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754F1" w14:textId="77777777" w:rsidR="00EF159B" w:rsidRDefault="00EF159B" w:rsidP="00EF159B">
      <w:pPr>
        <w:spacing w:after="0"/>
        <w:jc w:val="center"/>
        <w:rPr>
          <w:b/>
          <w:bCs/>
          <w:color w:val="156082" w:themeColor="accent1"/>
          <w:sz w:val="22"/>
          <w:szCs w:val="22"/>
        </w:rPr>
      </w:pPr>
    </w:p>
    <w:p w14:paraId="7FEDE3DB" w14:textId="77777777" w:rsidR="00EF159B" w:rsidRDefault="00EF159B" w:rsidP="00EF159B">
      <w:pPr>
        <w:spacing w:after="0"/>
        <w:jc w:val="center"/>
        <w:rPr>
          <w:b/>
          <w:bCs/>
          <w:color w:val="156082" w:themeColor="accent1"/>
          <w:sz w:val="22"/>
          <w:szCs w:val="22"/>
        </w:rPr>
      </w:pPr>
    </w:p>
    <w:p w14:paraId="35D76250" w14:textId="656AF248" w:rsidR="00EF159B" w:rsidRPr="00EF159B" w:rsidRDefault="00EF159B" w:rsidP="00EF159B">
      <w:pPr>
        <w:spacing w:after="0"/>
        <w:jc w:val="right"/>
        <w:rPr>
          <w:color w:val="156082" w:themeColor="accent1"/>
          <w:sz w:val="22"/>
          <w:szCs w:val="22"/>
        </w:rPr>
      </w:pPr>
      <w:r w:rsidRPr="00EF159B">
        <w:rPr>
          <w:color w:val="156082" w:themeColor="accent1"/>
          <w:sz w:val="22"/>
          <w:szCs w:val="22"/>
        </w:rPr>
        <w:t>19 June 2024</w:t>
      </w:r>
    </w:p>
    <w:p w14:paraId="06B1EAA9" w14:textId="77777777" w:rsidR="00EF159B" w:rsidRDefault="00EF159B" w:rsidP="00EF159B">
      <w:pPr>
        <w:spacing w:after="0"/>
        <w:jc w:val="center"/>
        <w:rPr>
          <w:b/>
          <w:bCs/>
          <w:color w:val="156082" w:themeColor="accent1"/>
          <w:sz w:val="22"/>
          <w:szCs w:val="22"/>
        </w:rPr>
      </w:pPr>
    </w:p>
    <w:p w14:paraId="4CF39497" w14:textId="77777777" w:rsidR="00EF159B" w:rsidRDefault="00EF159B" w:rsidP="00EF159B">
      <w:pPr>
        <w:spacing w:after="0"/>
        <w:jc w:val="center"/>
        <w:rPr>
          <w:b/>
          <w:bCs/>
          <w:color w:val="156082" w:themeColor="accent1"/>
          <w:sz w:val="22"/>
          <w:szCs w:val="22"/>
        </w:rPr>
      </w:pPr>
    </w:p>
    <w:p w14:paraId="67D4F6E2" w14:textId="77777777" w:rsidR="00EF159B" w:rsidRDefault="00EF159B" w:rsidP="00EF159B">
      <w:pPr>
        <w:spacing w:after="0"/>
        <w:jc w:val="center"/>
        <w:rPr>
          <w:b/>
          <w:bCs/>
          <w:color w:val="156082" w:themeColor="accent1"/>
          <w:sz w:val="22"/>
          <w:szCs w:val="22"/>
        </w:rPr>
      </w:pPr>
    </w:p>
    <w:p w14:paraId="38D81A2A" w14:textId="77777777" w:rsidR="00EF159B" w:rsidRDefault="00EF159B" w:rsidP="00EF159B">
      <w:pPr>
        <w:spacing w:after="0"/>
        <w:jc w:val="center"/>
        <w:rPr>
          <w:b/>
          <w:bCs/>
          <w:color w:val="156082" w:themeColor="accent1"/>
          <w:sz w:val="22"/>
          <w:szCs w:val="22"/>
        </w:rPr>
      </w:pPr>
    </w:p>
    <w:p w14:paraId="5BDFE610" w14:textId="77777777" w:rsidR="00EF159B" w:rsidRDefault="00EF159B" w:rsidP="00EF159B">
      <w:pPr>
        <w:spacing w:after="0"/>
        <w:jc w:val="center"/>
        <w:rPr>
          <w:b/>
          <w:bCs/>
          <w:color w:val="156082" w:themeColor="accent1"/>
          <w:sz w:val="22"/>
          <w:szCs w:val="22"/>
        </w:rPr>
      </w:pPr>
    </w:p>
    <w:p w14:paraId="3E248003" w14:textId="77777777" w:rsidR="00EF159B" w:rsidRDefault="00EF159B" w:rsidP="00EF159B">
      <w:pPr>
        <w:spacing w:after="0"/>
        <w:jc w:val="center"/>
        <w:rPr>
          <w:b/>
          <w:bCs/>
          <w:color w:val="156082" w:themeColor="accent1"/>
          <w:sz w:val="22"/>
          <w:szCs w:val="22"/>
        </w:rPr>
      </w:pPr>
    </w:p>
    <w:p w14:paraId="4ADCEE55" w14:textId="3789D7B1" w:rsidR="00EF159B" w:rsidRDefault="00EF159B" w:rsidP="00EF159B">
      <w:pPr>
        <w:spacing w:after="0"/>
        <w:jc w:val="center"/>
        <w:rPr>
          <w:b/>
          <w:bCs/>
          <w:color w:val="156082" w:themeColor="accent1"/>
          <w:sz w:val="22"/>
          <w:szCs w:val="22"/>
        </w:rPr>
      </w:pPr>
      <w:r>
        <w:rPr>
          <w:b/>
          <w:bCs/>
          <w:color w:val="156082" w:themeColor="accent1"/>
          <w:sz w:val="22"/>
          <w:szCs w:val="22"/>
        </w:rPr>
        <w:t xml:space="preserve">IOC INTERSESSIONAL FINANCIAL ADVISORY GROUP </w:t>
      </w:r>
    </w:p>
    <w:p w14:paraId="18B01975" w14:textId="77777777" w:rsidR="00EF159B" w:rsidRPr="00EB32FE" w:rsidRDefault="00EF159B" w:rsidP="00EF159B">
      <w:pPr>
        <w:spacing w:after="0"/>
        <w:jc w:val="center"/>
        <w:rPr>
          <w:i/>
          <w:iCs/>
          <w:color w:val="156082" w:themeColor="accent1"/>
          <w:sz w:val="22"/>
          <w:szCs w:val="22"/>
        </w:rPr>
      </w:pPr>
      <w:r w:rsidRPr="00EB32FE">
        <w:rPr>
          <w:i/>
          <w:iCs/>
          <w:color w:val="156082" w:themeColor="accent1"/>
          <w:sz w:val="22"/>
          <w:szCs w:val="22"/>
        </w:rPr>
        <w:t>(Intersessional period 2023-2024)</w:t>
      </w:r>
    </w:p>
    <w:p w14:paraId="36CD6A88" w14:textId="77777777" w:rsidR="00EF159B" w:rsidRDefault="00EF159B" w:rsidP="00EF159B">
      <w:pPr>
        <w:jc w:val="center"/>
        <w:rPr>
          <w:b/>
          <w:bCs/>
          <w:color w:val="156082" w:themeColor="accent1"/>
          <w:sz w:val="22"/>
          <w:szCs w:val="22"/>
        </w:rPr>
      </w:pPr>
    </w:p>
    <w:p w14:paraId="1E7B2472" w14:textId="77777777" w:rsidR="00EF159B" w:rsidRDefault="00EF159B" w:rsidP="00EF159B">
      <w:pPr>
        <w:spacing w:after="0"/>
        <w:jc w:val="center"/>
        <w:rPr>
          <w:b/>
          <w:bCs/>
          <w:color w:val="156082" w:themeColor="accent1"/>
          <w:sz w:val="22"/>
          <w:szCs w:val="22"/>
        </w:rPr>
      </w:pPr>
      <w:r>
        <w:rPr>
          <w:b/>
          <w:bCs/>
          <w:color w:val="156082" w:themeColor="accent1"/>
          <w:sz w:val="22"/>
          <w:szCs w:val="22"/>
        </w:rPr>
        <w:t xml:space="preserve">ADDITIONAL INFORMATION </w:t>
      </w:r>
    </w:p>
    <w:p w14:paraId="017CB2C2" w14:textId="7131CC65" w:rsidR="00EF159B" w:rsidRDefault="00EF159B" w:rsidP="00EF159B">
      <w:pPr>
        <w:spacing w:after="0"/>
        <w:jc w:val="center"/>
        <w:rPr>
          <w:b/>
          <w:bCs/>
          <w:color w:val="156082" w:themeColor="accent1"/>
          <w:sz w:val="22"/>
          <w:szCs w:val="22"/>
        </w:rPr>
      </w:pPr>
      <w:r>
        <w:rPr>
          <w:b/>
          <w:bCs/>
          <w:color w:val="156082" w:themeColor="accent1"/>
          <w:sz w:val="22"/>
          <w:szCs w:val="22"/>
        </w:rPr>
        <w:t xml:space="preserve">ON THE </w:t>
      </w:r>
      <w:r w:rsidRPr="00FA2706">
        <w:rPr>
          <w:b/>
          <w:bCs/>
          <w:color w:val="156082" w:themeColor="accent1"/>
          <w:sz w:val="22"/>
          <w:szCs w:val="22"/>
        </w:rPr>
        <w:t>REVISED PROGRAMME &amp; BUDGET 2024-2025</w:t>
      </w:r>
      <w:r>
        <w:rPr>
          <w:b/>
          <w:bCs/>
          <w:color w:val="156082" w:themeColor="accent1"/>
          <w:sz w:val="22"/>
          <w:szCs w:val="22"/>
        </w:rPr>
        <w:t xml:space="preserve"> (42 C/5)</w:t>
      </w:r>
    </w:p>
    <w:p w14:paraId="40C49124" w14:textId="77777777" w:rsidR="00EF159B" w:rsidRDefault="00EF159B" w:rsidP="00EF159B">
      <w:pPr>
        <w:spacing w:after="0"/>
        <w:jc w:val="center"/>
        <w:rPr>
          <w:b/>
          <w:bCs/>
          <w:color w:val="156082" w:themeColor="accent1"/>
          <w:sz w:val="22"/>
          <w:szCs w:val="22"/>
        </w:rPr>
      </w:pPr>
    </w:p>
    <w:p w14:paraId="4F02A10F" w14:textId="77777777" w:rsidR="00EF159B" w:rsidRDefault="00EF159B" w:rsidP="00EF159B">
      <w:pPr>
        <w:spacing w:after="0"/>
        <w:jc w:val="center"/>
        <w:rPr>
          <w:b/>
          <w:bCs/>
          <w:color w:val="156082" w:themeColor="accent1"/>
          <w:sz w:val="22"/>
          <w:szCs w:val="22"/>
        </w:rPr>
      </w:pPr>
    </w:p>
    <w:p w14:paraId="474B5A24" w14:textId="49A85D98" w:rsidR="00EF159B" w:rsidRPr="00FA2706" w:rsidRDefault="00EF159B" w:rsidP="00EF159B">
      <w:pPr>
        <w:spacing w:after="0"/>
        <w:jc w:val="center"/>
        <w:rPr>
          <w:b/>
          <w:bCs/>
          <w:color w:val="156082" w:themeColor="accent1"/>
          <w:sz w:val="22"/>
          <w:szCs w:val="22"/>
        </w:rPr>
      </w:pPr>
      <w:r w:rsidRPr="00EF159B">
        <w:rPr>
          <w:b/>
          <w:bCs/>
          <w:noProof/>
          <w:color w:val="156082" w:themeColor="accent1"/>
          <w:sz w:val="22"/>
          <w:szCs w:val="22"/>
        </w:rPr>
        <mc:AlternateContent>
          <mc:Choice Requires="wps">
            <w:drawing>
              <wp:anchor distT="91440" distB="91440" distL="114300" distR="114300" simplePos="0" relativeHeight="251660288" behindDoc="0" locked="0" layoutInCell="1" allowOverlap="1" wp14:anchorId="5B1B7C54" wp14:editId="487D978E">
                <wp:simplePos x="0" y="0"/>
                <wp:positionH relativeFrom="page">
                  <wp:align>center</wp:align>
                </wp:positionH>
                <wp:positionV relativeFrom="paragraph">
                  <wp:posOffset>274320</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01FE1D77" w14:textId="39FE7AFB" w:rsidR="00EF159B" w:rsidRDefault="00EF159B">
                            <w:pPr>
                              <w:pBdr>
                                <w:top w:val="single" w:sz="24" w:space="8" w:color="156082" w:themeColor="accent1"/>
                                <w:bottom w:val="single" w:sz="24" w:space="8" w:color="156082" w:themeColor="accent1"/>
                              </w:pBdr>
                              <w:spacing w:after="0"/>
                              <w:rPr>
                                <w:i/>
                                <w:iCs/>
                                <w:color w:val="156082" w:themeColor="accent1"/>
                              </w:rPr>
                            </w:pPr>
                          </w:p>
                          <w:p w14:paraId="538A6706" w14:textId="77777777" w:rsidR="00EF159B" w:rsidRPr="00EF159B" w:rsidRDefault="00EF159B" w:rsidP="00EF159B">
                            <w:pPr>
                              <w:pBdr>
                                <w:top w:val="single" w:sz="24" w:space="8" w:color="156082" w:themeColor="accent1"/>
                                <w:bottom w:val="single" w:sz="24" w:space="8" w:color="156082" w:themeColor="accent1"/>
                              </w:pBdr>
                              <w:spacing w:after="0"/>
                              <w:jc w:val="both"/>
                              <w:rPr>
                                <w:color w:val="156082" w:themeColor="accent1"/>
                              </w:rPr>
                            </w:pPr>
                          </w:p>
                          <w:p w14:paraId="3A4AE778" w14:textId="77777777" w:rsidR="00EF159B" w:rsidRDefault="00EF159B" w:rsidP="00EF159B">
                            <w:pPr>
                              <w:pBdr>
                                <w:top w:val="single" w:sz="24" w:space="8" w:color="156082" w:themeColor="accent1"/>
                                <w:bottom w:val="single" w:sz="24" w:space="8" w:color="156082" w:themeColor="accent1"/>
                              </w:pBdr>
                              <w:spacing w:after="0"/>
                              <w:jc w:val="both"/>
                              <w:rPr>
                                <w:color w:val="156082" w:themeColor="accent1"/>
                              </w:rPr>
                            </w:pPr>
                            <w:r w:rsidRPr="00EF159B">
                              <w:rPr>
                                <w:color w:val="156082" w:themeColor="accent1"/>
                              </w:rPr>
                              <w:t xml:space="preserve">This document </w:t>
                            </w:r>
                            <w:r>
                              <w:rPr>
                                <w:color w:val="156082" w:themeColor="accent1"/>
                              </w:rPr>
                              <w:t>was</w:t>
                            </w:r>
                            <w:r w:rsidRPr="00EF159B">
                              <w:rPr>
                                <w:color w:val="156082" w:themeColor="accent1"/>
                              </w:rPr>
                              <w:t xml:space="preserve"> prepared to respond to the request of Member States for additional information, following the online exchange with the Intersessional Financial Advisory Group on 11 June 2024. </w:t>
                            </w:r>
                          </w:p>
                          <w:p w14:paraId="72467FA2" w14:textId="77777777" w:rsidR="00EF159B" w:rsidRDefault="00EF159B" w:rsidP="00EF159B">
                            <w:pPr>
                              <w:pBdr>
                                <w:top w:val="single" w:sz="24" w:space="8" w:color="156082" w:themeColor="accent1"/>
                                <w:bottom w:val="single" w:sz="24" w:space="8" w:color="156082" w:themeColor="accent1"/>
                              </w:pBdr>
                              <w:spacing w:after="0"/>
                              <w:jc w:val="both"/>
                              <w:rPr>
                                <w:color w:val="156082" w:themeColor="accent1"/>
                              </w:rPr>
                            </w:pPr>
                          </w:p>
                          <w:p w14:paraId="122AA5E8" w14:textId="702F832B" w:rsidR="00EF159B" w:rsidRPr="00EF159B" w:rsidRDefault="00EF159B" w:rsidP="00EF159B">
                            <w:pPr>
                              <w:pBdr>
                                <w:top w:val="single" w:sz="24" w:space="8" w:color="156082" w:themeColor="accent1"/>
                                <w:bottom w:val="single" w:sz="24" w:space="8" w:color="156082" w:themeColor="accent1"/>
                              </w:pBdr>
                              <w:spacing w:after="0"/>
                              <w:jc w:val="both"/>
                              <w:rPr>
                                <w:color w:val="156082" w:themeColor="accent1"/>
                              </w:rPr>
                            </w:pPr>
                            <w:r w:rsidRPr="00EF159B">
                              <w:rPr>
                                <w:color w:val="156082" w:themeColor="accent1"/>
                              </w:rPr>
                              <w:t xml:space="preserve">The purpose is to supplement the information already provided in Part II of IOC/EC-57/5.1.Doc(1), both </w:t>
                            </w:r>
                            <w:r w:rsidR="00A167AE" w:rsidRPr="00EF159B">
                              <w:rPr>
                                <w:color w:val="156082" w:themeColor="accent1"/>
                              </w:rPr>
                              <w:t>about</w:t>
                            </w:r>
                            <w:r w:rsidRPr="00EF159B">
                              <w:rPr>
                                <w:color w:val="156082" w:themeColor="accent1"/>
                              </w:rPr>
                              <w:t xml:space="preserve"> the methodology applied by the Secretariat in the allocation of additional resources under regular budget and </w:t>
                            </w:r>
                            <w:r w:rsidR="00A167AE" w:rsidRPr="00EF159B">
                              <w:rPr>
                                <w:color w:val="156082" w:themeColor="accent1"/>
                              </w:rPr>
                              <w:t>regarding</w:t>
                            </w:r>
                            <w:r w:rsidRPr="00EF159B">
                              <w:rPr>
                                <w:color w:val="156082" w:themeColor="accent1"/>
                              </w:rPr>
                              <w:t xml:space="preserve"> priority setting for enhanced programme delivery.</w:t>
                            </w:r>
                          </w:p>
                          <w:p w14:paraId="18EEA8BB" w14:textId="77777777" w:rsidR="00EF159B" w:rsidRPr="00EF159B" w:rsidRDefault="00EF159B" w:rsidP="00EF159B">
                            <w:pPr>
                              <w:pBdr>
                                <w:top w:val="single" w:sz="24" w:space="8" w:color="156082" w:themeColor="accent1"/>
                                <w:bottom w:val="single" w:sz="24" w:space="8" w:color="156082" w:themeColor="accent1"/>
                              </w:pBdr>
                              <w:spacing w:after="0"/>
                              <w:jc w:val="both"/>
                              <w:rPr>
                                <w:color w:val="156082" w:themeColor="accent1"/>
                              </w:rPr>
                            </w:pP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5B1B7C54" id="_x0000_t202" coordsize="21600,21600" o:spt="202" path="m,l,21600r21600,l21600,xe">
                <v:stroke joinstyle="miter"/>
                <v:path gradientshapeok="t" o:connecttype="rect"/>
              </v:shapetype>
              <v:shape id="Text Box 2" o:spid="_x0000_s1026" type="#_x0000_t202" style="position:absolute;left:0;text-align:left;margin-left:0;margin-top:21.6pt;width:273.6pt;height:110.55pt;z-index:251660288;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JD+QEAAM4DAAAOAAAAZHJzL2Uyb0RvYy54bWysU11v2yAUfZ+0/4B4X+ykzppYcaquXaZJ&#10;3YfU7gdgjGM04DIgsbNfvwt202h7q+YHBL7cc+8597C5GbQiR+G8BFPR+SynRBgOjTT7iv542r1b&#10;UeIDMw1TYERFT8LTm+3bN5velmIBHahGOIIgxpe9rWgXgi2zzPNOaOZnYIXBYAtOs4BHt88ax3pE&#10;1ypb5Pn7rAfXWAdceI9/78cg3Sb8thU8fGtbLwJRFcXeQlpdWuu4ZtsNK/eO2U7yqQ32ii40kwaL&#10;nqHuWWDk4OQ/UFpyBx7aMOOgM2hbyUXigGzm+V9sHjtmReKC4nh7lsn/P1j+9fhovzsShg8w4AAT&#10;CW8fgP/0xMBdx8xe3DoHfSdYg4XnUbKst76cUqPUvvQRpO6/QINDZocACWhonY6qIE+C6DiA01l0&#10;MQTC8edVcV1cLzDEMTYv8qv1aplqsPI53TofPgnQJG4q6nCqCZ4dH3yI7bDy+UqsZmAnlUqTVYb0&#10;FV0vF8uUcBHRMqDxlNQVXeXxG60QWX40TUoOTKpxjwWUmWhHpiPnMNQDXoz0a2hOKICD0WD4IHDT&#10;gftNSY/mqqj/dWBOUKI+GxRxPS+K6MZ0KJaJvruM1JcRZjhCVTRQMm7vQnJw5OrtLYq9k0mGl06m&#10;XtE0SZ3J4NGVl+d06+UZbv8AAAD//wMAUEsDBBQABgAIAAAAIQB6nJk63gAAAAcBAAAPAAAAZHJz&#10;L2Rvd25yZXYueG1sTI/NTsMwEITvSLyDtUjcqEMSSgjZVOWnnJAQbS+9OfGSRI3tKHba8PYsJ7jt&#10;aEYz3xar2fTiRKPvnEW4XUQgyNZOd7ZB2O82NxkIH5TVqneWEL7Jw6q8vChUrt3ZftJpGxrBJdbn&#10;CqENYcil9HVLRvmFG8iy9+VGowLLsZF6VGcuN72Mo2gpjeosL7RqoOeW6uN2MgjvNB6yhyl76g4v&#10;m9ePY6Krt7VGvL6a148gAs3hLwy/+IwOJTNVbrLaix6BHwkIaRKDYPcuveejQoiXaQKyLOR//vIH&#10;AAD//wMAUEsBAi0AFAAGAAgAAAAhALaDOJL+AAAA4QEAABMAAAAAAAAAAAAAAAAAAAAAAFtDb250&#10;ZW50X1R5cGVzXS54bWxQSwECLQAUAAYACAAAACEAOP0h/9YAAACUAQAACwAAAAAAAAAAAAAAAAAv&#10;AQAAX3JlbHMvLnJlbHNQSwECLQAUAAYACAAAACEAdaEyQ/kBAADOAwAADgAAAAAAAAAAAAAAAAAu&#10;AgAAZHJzL2Uyb0RvYy54bWxQSwECLQAUAAYACAAAACEAepyZOt4AAAAHAQAADwAAAAAAAAAAAAAA&#10;AABTBAAAZHJzL2Rvd25yZXYueG1sUEsFBgAAAAAEAAQA8wAAAF4FAAAAAA==&#10;" filled="f" stroked="f">
                <v:textbox style="mso-fit-shape-to-text:t">
                  <w:txbxContent>
                    <w:p w14:paraId="01FE1D77" w14:textId="39FE7AFB" w:rsidR="00EF159B" w:rsidRDefault="00EF159B">
                      <w:pPr>
                        <w:pBdr>
                          <w:top w:val="single" w:sz="24" w:space="8" w:color="156082" w:themeColor="accent1"/>
                          <w:bottom w:val="single" w:sz="24" w:space="8" w:color="156082" w:themeColor="accent1"/>
                        </w:pBdr>
                        <w:spacing w:after="0"/>
                        <w:rPr>
                          <w:i/>
                          <w:iCs/>
                          <w:color w:val="156082" w:themeColor="accent1"/>
                        </w:rPr>
                      </w:pPr>
                    </w:p>
                    <w:p w14:paraId="538A6706" w14:textId="77777777" w:rsidR="00EF159B" w:rsidRPr="00EF159B" w:rsidRDefault="00EF159B" w:rsidP="00EF159B">
                      <w:pPr>
                        <w:pBdr>
                          <w:top w:val="single" w:sz="24" w:space="8" w:color="156082" w:themeColor="accent1"/>
                          <w:bottom w:val="single" w:sz="24" w:space="8" w:color="156082" w:themeColor="accent1"/>
                        </w:pBdr>
                        <w:spacing w:after="0"/>
                        <w:jc w:val="both"/>
                        <w:rPr>
                          <w:color w:val="156082" w:themeColor="accent1"/>
                        </w:rPr>
                      </w:pPr>
                    </w:p>
                    <w:p w14:paraId="3A4AE778" w14:textId="77777777" w:rsidR="00EF159B" w:rsidRDefault="00EF159B" w:rsidP="00EF159B">
                      <w:pPr>
                        <w:pBdr>
                          <w:top w:val="single" w:sz="24" w:space="8" w:color="156082" w:themeColor="accent1"/>
                          <w:bottom w:val="single" w:sz="24" w:space="8" w:color="156082" w:themeColor="accent1"/>
                        </w:pBdr>
                        <w:spacing w:after="0"/>
                        <w:jc w:val="both"/>
                        <w:rPr>
                          <w:color w:val="156082" w:themeColor="accent1"/>
                        </w:rPr>
                      </w:pPr>
                      <w:r w:rsidRPr="00EF159B">
                        <w:rPr>
                          <w:color w:val="156082" w:themeColor="accent1"/>
                        </w:rPr>
                        <w:t xml:space="preserve">This document </w:t>
                      </w:r>
                      <w:r>
                        <w:rPr>
                          <w:color w:val="156082" w:themeColor="accent1"/>
                        </w:rPr>
                        <w:t>was</w:t>
                      </w:r>
                      <w:r w:rsidRPr="00EF159B">
                        <w:rPr>
                          <w:color w:val="156082" w:themeColor="accent1"/>
                        </w:rPr>
                        <w:t xml:space="preserve"> prepared to respond to the request of Member States for additional information, following the online exchange with the Intersessional Financial Advisory Group on 11 June 2024. </w:t>
                      </w:r>
                    </w:p>
                    <w:p w14:paraId="72467FA2" w14:textId="77777777" w:rsidR="00EF159B" w:rsidRDefault="00EF159B" w:rsidP="00EF159B">
                      <w:pPr>
                        <w:pBdr>
                          <w:top w:val="single" w:sz="24" w:space="8" w:color="156082" w:themeColor="accent1"/>
                          <w:bottom w:val="single" w:sz="24" w:space="8" w:color="156082" w:themeColor="accent1"/>
                        </w:pBdr>
                        <w:spacing w:after="0"/>
                        <w:jc w:val="both"/>
                        <w:rPr>
                          <w:color w:val="156082" w:themeColor="accent1"/>
                        </w:rPr>
                      </w:pPr>
                    </w:p>
                    <w:p w14:paraId="122AA5E8" w14:textId="702F832B" w:rsidR="00EF159B" w:rsidRPr="00EF159B" w:rsidRDefault="00EF159B" w:rsidP="00EF159B">
                      <w:pPr>
                        <w:pBdr>
                          <w:top w:val="single" w:sz="24" w:space="8" w:color="156082" w:themeColor="accent1"/>
                          <w:bottom w:val="single" w:sz="24" w:space="8" w:color="156082" w:themeColor="accent1"/>
                        </w:pBdr>
                        <w:spacing w:after="0"/>
                        <w:jc w:val="both"/>
                        <w:rPr>
                          <w:color w:val="156082" w:themeColor="accent1"/>
                        </w:rPr>
                      </w:pPr>
                      <w:r w:rsidRPr="00EF159B">
                        <w:rPr>
                          <w:color w:val="156082" w:themeColor="accent1"/>
                        </w:rPr>
                        <w:t xml:space="preserve">The purpose is to supplement the information already provided in Part II of IOC/EC-57/5.1.Doc(1), both </w:t>
                      </w:r>
                      <w:r w:rsidR="00A167AE" w:rsidRPr="00EF159B">
                        <w:rPr>
                          <w:color w:val="156082" w:themeColor="accent1"/>
                        </w:rPr>
                        <w:t>about</w:t>
                      </w:r>
                      <w:r w:rsidRPr="00EF159B">
                        <w:rPr>
                          <w:color w:val="156082" w:themeColor="accent1"/>
                        </w:rPr>
                        <w:t xml:space="preserve"> the methodology applied by the Secretariat in the allocation of additional resources under regular budget and </w:t>
                      </w:r>
                      <w:r w:rsidR="00A167AE" w:rsidRPr="00EF159B">
                        <w:rPr>
                          <w:color w:val="156082" w:themeColor="accent1"/>
                        </w:rPr>
                        <w:t>regarding</w:t>
                      </w:r>
                      <w:r w:rsidRPr="00EF159B">
                        <w:rPr>
                          <w:color w:val="156082" w:themeColor="accent1"/>
                        </w:rPr>
                        <w:t xml:space="preserve"> priority setting for enhanced programme delivery.</w:t>
                      </w:r>
                    </w:p>
                    <w:p w14:paraId="18EEA8BB" w14:textId="77777777" w:rsidR="00EF159B" w:rsidRPr="00EF159B" w:rsidRDefault="00EF159B" w:rsidP="00EF159B">
                      <w:pPr>
                        <w:pBdr>
                          <w:top w:val="single" w:sz="24" w:space="8" w:color="156082" w:themeColor="accent1"/>
                          <w:bottom w:val="single" w:sz="24" w:space="8" w:color="156082" w:themeColor="accent1"/>
                        </w:pBdr>
                        <w:spacing w:after="0"/>
                        <w:jc w:val="both"/>
                        <w:rPr>
                          <w:color w:val="156082" w:themeColor="accent1"/>
                        </w:rPr>
                      </w:pPr>
                    </w:p>
                  </w:txbxContent>
                </v:textbox>
                <w10:wrap type="topAndBottom" anchorx="page"/>
              </v:shape>
            </w:pict>
          </mc:Fallback>
        </mc:AlternateContent>
      </w:r>
    </w:p>
    <w:p w14:paraId="06736BE5" w14:textId="77777777" w:rsidR="00EF159B" w:rsidRDefault="00EF159B">
      <w:pPr>
        <w:rPr>
          <w:b/>
          <w:bCs/>
          <w:color w:val="156082" w:themeColor="accent1"/>
          <w:sz w:val="22"/>
          <w:szCs w:val="22"/>
        </w:rPr>
      </w:pPr>
      <w:r>
        <w:rPr>
          <w:b/>
          <w:bCs/>
          <w:color w:val="156082" w:themeColor="accent1"/>
          <w:sz w:val="22"/>
          <w:szCs w:val="22"/>
        </w:rPr>
        <w:br w:type="page"/>
      </w:r>
    </w:p>
    <w:p w14:paraId="24E21DC1" w14:textId="77777777" w:rsidR="008D4FBE" w:rsidRPr="00FA2706" w:rsidRDefault="008D4FBE" w:rsidP="00A71FA3">
      <w:pPr>
        <w:spacing w:line="240" w:lineRule="auto"/>
        <w:jc w:val="both"/>
        <w:rPr>
          <w:color w:val="156082" w:themeColor="accent1"/>
          <w:sz w:val="22"/>
          <w:szCs w:val="22"/>
        </w:rPr>
      </w:pPr>
    </w:p>
    <w:p w14:paraId="0A702D73" w14:textId="49C62C9C" w:rsidR="00B168DE" w:rsidRPr="00FA2706" w:rsidRDefault="00AB3AAC" w:rsidP="001A3083">
      <w:pPr>
        <w:jc w:val="center"/>
        <w:rPr>
          <w:b/>
          <w:bCs/>
          <w:color w:val="156082" w:themeColor="accent1"/>
          <w:sz w:val="22"/>
          <w:szCs w:val="22"/>
        </w:rPr>
      </w:pPr>
      <w:r w:rsidRPr="00FA2706">
        <w:rPr>
          <w:b/>
          <w:bCs/>
          <w:color w:val="156082" w:themeColor="accent1"/>
          <w:sz w:val="22"/>
          <w:szCs w:val="22"/>
        </w:rPr>
        <w:t xml:space="preserve"> PART I - </w:t>
      </w:r>
      <w:r w:rsidR="001A3083" w:rsidRPr="00FA2706">
        <w:rPr>
          <w:b/>
          <w:bCs/>
          <w:color w:val="156082" w:themeColor="accent1"/>
          <w:sz w:val="22"/>
          <w:szCs w:val="22"/>
        </w:rPr>
        <w:t>ALLOCATION OF ADDITIONAL RESOURCES</w:t>
      </w:r>
    </w:p>
    <w:p w14:paraId="62A3378D" w14:textId="5D98C053" w:rsidR="00012885" w:rsidRPr="00FA2706" w:rsidRDefault="008D4FBE" w:rsidP="00EB7772">
      <w:pPr>
        <w:spacing w:after="0" w:line="240" w:lineRule="auto"/>
        <w:jc w:val="both"/>
        <w:rPr>
          <w:color w:val="156082" w:themeColor="accent1"/>
          <w:sz w:val="22"/>
          <w:szCs w:val="22"/>
        </w:rPr>
      </w:pPr>
      <w:r w:rsidRPr="00FA2706">
        <w:rPr>
          <w:color w:val="156082" w:themeColor="accent1"/>
          <w:sz w:val="22"/>
          <w:szCs w:val="22"/>
        </w:rPr>
        <w:t xml:space="preserve">The revision of the IOC budget for 2024-2025 </w:t>
      </w:r>
      <w:r w:rsidR="00EB7772">
        <w:rPr>
          <w:color w:val="156082" w:themeColor="accent1"/>
          <w:sz w:val="22"/>
          <w:szCs w:val="22"/>
        </w:rPr>
        <w:t xml:space="preserve">by the Secretariat </w:t>
      </w:r>
      <w:r w:rsidRPr="00FA2706">
        <w:rPr>
          <w:color w:val="156082" w:themeColor="accent1"/>
          <w:sz w:val="22"/>
          <w:szCs w:val="22"/>
        </w:rPr>
        <w:t xml:space="preserve">happened within the internal </w:t>
      </w:r>
      <w:r w:rsidRPr="00EB7772">
        <w:rPr>
          <w:b/>
          <w:bCs/>
          <w:color w:val="156082" w:themeColor="accent1"/>
          <w:sz w:val="22"/>
          <w:szCs w:val="22"/>
        </w:rPr>
        <w:t xml:space="preserve">timeframe of </w:t>
      </w:r>
      <w:r w:rsidR="003B727B" w:rsidRPr="00EB7772">
        <w:rPr>
          <w:b/>
          <w:bCs/>
          <w:color w:val="156082" w:themeColor="accent1"/>
          <w:sz w:val="22"/>
          <w:szCs w:val="22"/>
        </w:rPr>
        <w:t>less than three weeks</w:t>
      </w:r>
      <w:r w:rsidR="003B727B" w:rsidRPr="00FA2706">
        <w:rPr>
          <w:color w:val="156082" w:themeColor="accent1"/>
          <w:sz w:val="22"/>
          <w:szCs w:val="22"/>
        </w:rPr>
        <w:t xml:space="preserve">, with the revised budgetary envelopes communicated on 17 July and the deadline for budgetary allocations proposals of 4 August 2023. </w:t>
      </w:r>
    </w:p>
    <w:p w14:paraId="35423CB4" w14:textId="77777777" w:rsidR="003B727B" w:rsidRPr="00FA2706" w:rsidRDefault="003B727B" w:rsidP="00EB7772">
      <w:pPr>
        <w:spacing w:after="0" w:line="240" w:lineRule="auto"/>
        <w:jc w:val="both"/>
        <w:rPr>
          <w:color w:val="156082" w:themeColor="accent1"/>
          <w:sz w:val="22"/>
          <w:szCs w:val="22"/>
        </w:rPr>
      </w:pPr>
    </w:p>
    <w:p w14:paraId="0293C2CF" w14:textId="307DBC07" w:rsidR="00110A74" w:rsidRPr="00FA2706" w:rsidRDefault="007F7AFC" w:rsidP="00EB7772">
      <w:pPr>
        <w:spacing w:after="0" w:line="240" w:lineRule="auto"/>
        <w:jc w:val="both"/>
        <w:rPr>
          <w:color w:val="156082" w:themeColor="accent1"/>
          <w:sz w:val="22"/>
          <w:szCs w:val="22"/>
        </w:rPr>
      </w:pPr>
      <w:r w:rsidRPr="00FA2706">
        <w:rPr>
          <w:color w:val="156082" w:themeColor="accent1"/>
          <w:sz w:val="22"/>
          <w:szCs w:val="22"/>
        </w:rPr>
        <w:t xml:space="preserve">With the uplift of the IOC regular budget from USD 13.5M (Base Case Scenario presented to the IOC Assembly in June 2023) to USD </w:t>
      </w:r>
      <w:r w:rsidR="000E53EB" w:rsidRPr="00FA2706">
        <w:rPr>
          <w:color w:val="156082" w:themeColor="accent1"/>
          <w:sz w:val="22"/>
          <w:szCs w:val="22"/>
        </w:rPr>
        <w:t xml:space="preserve">21.1M, the total increase to allocate was </w:t>
      </w:r>
      <w:r w:rsidR="00F32198" w:rsidRPr="00FA2706">
        <w:rPr>
          <w:color w:val="156082" w:themeColor="accent1"/>
          <w:sz w:val="22"/>
          <w:szCs w:val="22"/>
        </w:rPr>
        <w:t>close to USD 7.6</w:t>
      </w:r>
      <w:r w:rsidR="009B73B3" w:rsidRPr="00FA2706">
        <w:rPr>
          <w:color w:val="156082" w:themeColor="accent1"/>
          <w:sz w:val="22"/>
          <w:szCs w:val="22"/>
        </w:rPr>
        <w:t xml:space="preserve">M. </w:t>
      </w:r>
    </w:p>
    <w:p w14:paraId="1663E7B9" w14:textId="77777777" w:rsidR="00C15950" w:rsidRPr="00FA2706" w:rsidRDefault="00C15950" w:rsidP="00EB7772">
      <w:pPr>
        <w:spacing w:after="0"/>
        <w:jc w:val="both"/>
        <w:rPr>
          <w:color w:val="156082" w:themeColor="accent1"/>
          <w:sz w:val="22"/>
          <w:szCs w:val="22"/>
        </w:rPr>
      </w:pPr>
    </w:p>
    <w:p w14:paraId="1050905F" w14:textId="10C7E131" w:rsidR="00833584" w:rsidRPr="00EB32FE" w:rsidRDefault="00833584" w:rsidP="00EB7772">
      <w:pPr>
        <w:spacing w:after="0"/>
        <w:jc w:val="both"/>
        <w:rPr>
          <w:b/>
          <w:bCs/>
          <w:color w:val="156082" w:themeColor="accent1"/>
          <w:sz w:val="18"/>
          <w:szCs w:val="18"/>
        </w:rPr>
      </w:pPr>
      <w:r w:rsidRPr="00EB32FE">
        <w:rPr>
          <w:b/>
          <w:bCs/>
          <w:color w:val="156082" w:themeColor="accent1"/>
          <w:sz w:val="18"/>
          <w:szCs w:val="18"/>
        </w:rPr>
        <w:t>Table 1</w:t>
      </w:r>
      <w:r w:rsidR="004659C9" w:rsidRPr="00EB32FE">
        <w:rPr>
          <w:b/>
          <w:bCs/>
          <w:color w:val="156082" w:themeColor="accent1"/>
          <w:sz w:val="18"/>
          <w:szCs w:val="18"/>
        </w:rPr>
        <w:t>:</w:t>
      </w:r>
      <w:r w:rsidR="00EF159B">
        <w:rPr>
          <w:b/>
          <w:bCs/>
          <w:color w:val="156082" w:themeColor="accent1"/>
          <w:sz w:val="18"/>
          <w:szCs w:val="18"/>
        </w:rPr>
        <w:tab/>
      </w:r>
      <w:r w:rsidR="004659C9" w:rsidRPr="00EB32FE">
        <w:rPr>
          <w:b/>
          <w:bCs/>
          <w:color w:val="156082" w:themeColor="accent1"/>
          <w:sz w:val="18"/>
          <w:szCs w:val="18"/>
        </w:rPr>
        <w:t xml:space="preserve">IOC budget increase in 42 C/5 Revised </w:t>
      </w:r>
    </w:p>
    <w:tbl>
      <w:tblPr>
        <w:tblStyle w:val="TableGrid"/>
        <w:tblW w:w="9540" w:type="dxa"/>
        <w:tblInd w:w="-5" w:type="dxa"/>
        <w:tblLook w:val="04A0" w:firstRow="1" w:lastRow="0" w:firstColumn="1" w:lastColumn="0" w:noHBand="0" w:noVBand="1"/>
      </w:tblPr>
      <w:tblGrid>
        <w:gridCol w:w="4543"/>
        <w:gridCol w:w="1679"/>
        <w:gridCol w:w="1873"/>
        <w:gridCol w:w="1445"/>
      </w:tblGrid>
      <w:tr w:rsidR="00C15950" w:rsidRPr="00FA2706" w14:paraId="2DA006B1" w14:textId="77777777" w:rsidTr="00C15950">
        <w:trPr>
          <w:trHeight w:val="300"/>
        </w:trPr>
        <w:tc>
          <w:tcPr>
            <w:tcW w:w="4543" w:type="dxa"/>
            <w:noWrap/>
            <w:hideMark/>
          </w:tcPr>
          <w:p w14:paraId="13E5456E" w14:textId="77777777" w:rsidR="00C15950" w:rsidRPr="00FA2706" w:rsidRDefault="00C15950" w:rsidP="00EB7772">
            <w:pPr>
              <w:jc w:val="both"/>
              <w:rPr>
                <w:color w:val="156082" w:themeColor="accent1"/>
                <w:sz w:val="22"/>
                <w:szCs w:val="22"/>
              </w:rPr>
            </w:pPr>
            <w:r w:rsidRPr="00FA2706">
              <w:rPr>
                <w:color w:val="156082" w:themeColor="accent1"/>
                <w:sz w:val="22"/>
                <w:szCs w:val="22"/>
              </w:rPr>
              <w:t> </w:t>
            </w:r>
          </w:p>
        </w:tc>
        <w:tc>
          <w:tcPr>
            <w:tcW w:w="1679" w:type="dxa"/>
            <w:noWrap/>
            <w:hideMark/>
          </w:tcPr>
          <w:p w14:paraId="5DA53DD0" w14:textId="77777777" w:rsidR="00C15950" w:rsidRPr="00FA2706" w:rsidRDefault="00C15950" w:rsidP="00EB7772">
            <w:pPr>
              <w:jc w:val="both"/>
              <w:rPr>
                <w:color w:val="156082" w:themeColor="accent1"/>
                <w:sz w:val="22"/>
                <w:szCs w:val="22"/>
              </w:rPr>
            </w:pPr>
            <w:r w:rsidRPr="00FA2706">
              <w:rPr>
                <w:color w:val="156082" w:themeColor="accent1"/>
                <w:sz w:val="22"/>
                <w:szCs w:val="22"/>
              </w:rPr>
              <w:t>Assembly - 32</w:t>
            </w:r>
          </w:p>
        </w:tc>
        <w:tc>
          <w:tcPr>
            <w:tcW w:w="1873" w:type="dxa"/>
            <w:noWrap/>
            <w:hideMark/>
          </w:tcPr>
          <w:p w14:paraId="27413EE3" w14:textId="77777777" w:rsidR="00C15950" w:rsidRPr="00FA2706" w:rsidRDefault="00C15950" w:rsidP="00EB7772">
            <w:pPr>
              <w:jc w:val="both"/>
              <w:rPr>
                <w:color w:val="156082" w:themeColor="accent1"/>
                <w:sz w:val="22"/>
                <w:szCs w:val="22"/>
              </w:rPr>
            </w:pPr>
            <w:r w:rsidRPr="00FA2706">
              <w:rPr>
                <w:color w:val="156082" w:themeColor="accent1"/>
                <w:sz w:val="22"/>
                <w:szCs w:val="22"/>
              </w:rPr>
              <w:t>42 C/5 Revised</w:t>
            </w:r>
          </w:p>
        </w:tc>
        <w:tc>
          <w:tcPr>
            <w:tcW w:w="1445" w:type="dxa"/>
            <w:noWrap/>
            <w:hideMark/>
          </w:tcPr>
          <w:p w14:paraId="0D165AA4" w14:textId="77777777" w:rsidR="00C15950" w:rsidRPr="00FA2706" w:rsidRDefault="00C15950" w:rsidP="00EB7772">
            <w:pPr>
              <w:jc w:val="both"/>
              <w:rPr>
                <w:color w:val="156082" w:themeColor="accent1"/>
                <w:sz w:val="22"/>
                <w:szCs w:val="22"/>
              </w:rPr>
            </w:pPr>
            <w:r w:rsidRPr="00FA2706">
              <w:rPr>
                <w:color w:val="156082" w:themeColor="accent1"/>
                <w:sz w:val="22"/>
                <w:szCs w:val="22"/>
              </w:rPr>
              <w:t>Variance</w:t>
            </w:r>
          </w:p>
        </w:tc>
      </w:tr>
      <w:tr w:rsidR="00C15950" w:rsidRPr="00FA2706" w14:paraId="51D9C9FA" w14:textId="77777777" w:rsidTr="00C15950">
        <w:trPr>
          <w:trHeight w:val="300"/>
        </w:trPr>
        <w:tc>
          <w:tcPr>
            <w:tcW w:w="4543" w:type="dxa"/>
            <w:noWrap/>
            <w:hideMark/>
          </w:tcPr>
          <w:p w14:paraId="6F2D8838" w14:textId="77777777" w:rsidR="00C15950" w:rsidRPr="00FA2706" w:rsidRDefault="00C15950" w:rsidP="00EB7772">
            <w:pPr>
              <w:jc w:val="both"/>
              <w:rPr>
                <w:b/>
                <w:bCs/>
                <w:color w:val="156082" w:themeColor="accent1"/>
                <w:sz w:val="22"/>
                <w:szCs w:val="22"/>
              </w:rPr>
            </w:pPr>
            <w:r w:rsidRPr="00FA2706">
              <w:rPr>
                <w:b/>
                <w:bCs/>
                <w:color w:val="156082" w:themeColor="accent1"/>
                <w:sz w:val="22"/>
                <w:szCs w:val="22"/>
              </w:rPr>
              <w:t>IOC Regular Budget</w:t>
            </w:r>
          </w:p>
        </w:tc>
        <w:tc>
          <w:tcPr>
            <w:tcW w:w="1679" w:type="dxa"/>
            <w:noWrap/>
            <w:hideMark/>
          </w:tcPr>
          <w:p w14:paraId="40CFB6F8" w14:textId="77777777" w:rsidR="00C15950" w:rsidRPr="00FA2706" w:rsidRDefault="00C15950" w:rsidP="002D2040">
            <w:pPr>
              <w:jc w:val="right"/>
              <w:rPr>
                <w:b/>
                <w:bCs/>
                <w:color w:val="156082" w:themeColor="accent1"/>
                <w:sz w:val="22"/>
                <w:szCs w:val="22"/>
              </w:rPr>
            </w:pPr>
            <w:r w:rsidRPr="00FA2706">
              <w:rPr>
                <w:b/>
                <w:bCs/>
                <w:color w:val="156082" w:themeColor="accent1"/>
                <w:sz w:val="22"/>
                <w:szCs w:val="22"/>
              </w:rPr>
              <w:t>13,546,600</w:t>
            </w:r>
          </w:p>
        </w:tc>
        <w:tc>
          <w:tcPr>
            <w:tcW w:w="1873" w:type="dxa"/>
            <w:noWrap/>
            <w:hideMark/>
          </w:tcPr>
          <w:p w14:paraId="7BAB0DD9" w14:textId="77777777" w:rsidR="00C15950" w:rsidRPr="00FA2706" w:rsidRDefault="00C15950" w:rsidP="002D2040">
            <w:pPr>
              <w:jc w:val="right"/>
              <w:rPr>
                <w:b/>
                <w:bCs/>
                <w:color w:val="156082" w:themeColor="accent1"/>
                <w:sz w:val="22"/>
                <w:szCs w:val="22"/>
              </w:rPr>
            </w:pPr>
            <w:r w:rsidRPr="00FA2706">
              <w:rPr>
                <w:b/>
                <w:bCs/>
                <w:color w:val="156082" w:themeColor="accent1"/>
                <w:sz w:val="22"/>
                <w:szCs w:val="22"/>
              </w:rPr>
              <w:t>21,134,686</w:t>
            </w:r>
          </w:p>
        </w:tc>
        <w:tc>
          <w:tcPr>
            <w:tcW w:w="1445" w:type="dxa"/>
            <w:noWrap/>
            <w:hideMark/>
          </w:tcPr>
          <w:p w14:paraId="6C3F4227" w14:textId="77777777" w:rsidR="00C15950" w:rsidRPr="00FA2706" w:rsidRDefault="00C15950" w:rsidP="002D2040">
            <w:pPr>
              <w:jc w:val="right"/>
              <w:rPr>
                <w:b/>
                <w:bCs/>
                <w:color w:val="156082" w:themeColor="accent1"/>
                <w:sz w:val="22"/>
                <w:szCs w:val="22"/>
              </w:rPr>
            </w:pPr>
            <w:r w:rsidRPr="00FA2706">
              <w:rPr>
                <w:b/>
                <w:bCs/>
                <w:color w:val="156082" w:themeColor="accent1"/>
                <w:sz w:val="22"/>
                <w:szCs w:val="22"/>
              </w:rPr>
              <w:t>7,588,086</w:t>
            </w:r>
          </w:p>
        </w:tc>
      </w:tr>
      <w:tr w:rsidR="00C15950" w:rsidRPr="00FA2706" w14:paraId="0FF9ECC0" w14:textId="77777777" w:rsidTr="00C15950">
        <w:trPr>
          <w:trHeight w:val="300"/>
        </w:trPr>
        <w:tc>
          <w:tcPr>
            <w:tcW w:w="4543" w:type="dxa"/>
            <w:noWrap/>
            <w:hideMark/>
          </w:tcPr>
          <w:p w14:paraId="2B2666BF" w14:textId="77777777" w:rsidR="00C15950" w:rsidRPr="00FA2706" w:rsidRDefault="00C15950" w:rsidP="00EB7772">
            <w:pPr>
              <w:jc w:val="both"/>
              <w:rPr>
                <w:color w:val="156082" w:themeColor="accent1"/>
                <w:sz w:val="22"/>
                <w:szCs w:val="22"/>
              </w:rPr>
            </w:pPr>
            <w:r w:rsidRPr="00FA2706">
              <w:rPr>
                <w:color w:val="156082" w:themeColor="accent1"/>
                <w:sz w:val="22"/>
                <w:szCs w:val="22"/>
              </w:rPr>
              <w:t>Staff</w:t>
            </w:r>
          </w:p>
        </w:tc>
        <w:tc>
          <w:tcPr>
            <w:tcW w:w="1679" w:type="dxa"/>
            <w:noWrap/>
            <w:hideMark/>
          </w:tcPr>
          <w:p w14:paraId="7B406894" w14:textId="77777777" w:rsidR="00C15950" w:rsidRPr="00FA2706" w:rsidRDefault="00C15950" w:rsidP="002D2040">
            <w:pPr>
              <w:jc w:val="right"/>
              <w:rPr>
                <w:color w:val="156082" w:themeColor="accent1"/>
                <w:sz w:val="22"/>
                <w:szCs w:val="22"/>
              </w:rPr>
            </w:pPr>
            <w:r w:rsidRPr="00FA2706">
              <w:rPr>
                <w:color w:val="156082" w:themeColor="accent1"/>
                <w:sz w:val="22"/>
                <w:szCs w:val="22"/>
              </w:rPr>
              <w:t>9,959,017</w:t>
            </w:r>
          </w:p>
        </w:tc>
        <w:tc>
          <w:tcPr>
            <w:tcW w:w="1873" w:type="dxa"/>
            <w:noWrap/>
            <w:hideMark/>
          </w:tcPr>
          <w:p w14:paraId="70F8E2A2" w14:textId="77777777" w:rsidR="00C15950" w:rsidRPr="00FA2706" w:rsidRDefault="00C15950" w:rsidP="002D2040">
            <w:pPr>
              <w:jc w:val="right"/>
              <w:rPr>
                <w:color w:val="156082" w:themeColor="accent1"/>
                <w:sz w:val="22"/>
                <w:szCs w:val="22"/>
              </w:rPr>
            </w:pPr>
            <w:r w:rsidRPr="00FA2706">
              <w:rPr>
                <w:color w:val="156082" w:themeColor="accent1"/>
                <w:sz w:val="22"/>
                <w:szCs w:val="22"/>
              </w:rPr>
              <w:t>12,102,087</w:t>
            </w:r>
          </w:p>
        </w:tc>
        <w:tc>
          <w:tcPr>
            <w:tcW w:w="1445" w:type="dxa"/>
            <w:noWrap/>
            <w:hideMark/>
          </w:tcPr>
          <w:p w14:paraId="171B5E36" w14:textId="77777777" w:rsidR="00C15950" w:rsidRPr="00FA2706" w:rsidRDefault="00C15950" w:rsidP="002D2040">
            <w:pPr>
              <w:jc w:val="right"/>
              <w:rPr>
                <w:color w:val="156082" w:themeColor="accent1"/>
                <w:sz w:val="22"/>
                <w:szCs w:val="22"/>
              </w:rPr>
            </w:pPr>
            <w:r w:rsidRPr="00FA2706">
              <w:rPr>
                <w:color w:val="156082" w:themeColor="accent1"/>
                <w:sz w:val="22"/>
                <w:szCs w:val="22"/>
              </w:rPr>
              <w:t>2,143,070</w:t>
            </w:r>
          </w:p>
        </w:tc>
      </w:tr>
      <w:tr w:rsidR="00C15950" w:rsidRPr="00FA2706" w14:paraId="476517F3" w14:textId="77777777" w:rsidTr="00C15950">
        <w:trPr>
          <w:trHeight w:val="300"/>
        </w:trPr>
        <w:tc>
          <w:tcPr>
            <w:tcW w:w="4543" w:type="dxa"/>
            <w:noWrap/>
            <w:hideMark/>
          </w:tcPr>
          <w:p w14:paraId="01FC3EE5" w14:textId="77777777" w:rsidR="00C15950" w:rsidRPr="00FA2706" w:rsidRDefault="00C15950" w:rsidP="00EB7772">
            <w:pPr>
              <w:jc w:val="both"/>
              <w:rPr>
                <w:color w:val="156082" w:themeColor="accent1"/>
                <w:sz w:val="22"/>
                <w:szCs w:val="22"/>
              </w:rPr>
            </w:pPr>
            <w:r w:rsidRPr="00FA2706">
              <w:rPr>
                <w:color w:val="156082" w:themeColor="accent1"/>
                <w:sz w:val="22"/>
                <w:szCs w:val="22"/>
              </w:rPr>
              <w:t>Non-staff (activities)</w:t>
            </w:r>
          </w:p>
        </w:tc>
        <w:tc>
          <w:tcPr>
            <w:tcW w:w="1679" w:type="dxa"/>
            <w:noWrap/>
            <w:hideMark/>
          </w:tcPr>
          <w:p w14:paraId="4505930F" w14:textId="77777777" w:rsidR="00C15950" w:rsidRPr="00FA2706" w:rsidRDefault="00C15950" w:rsidP="002D2040">
            <w:pPr>
              <w:jc w:val="right"/>
              <w:rPr>
                <w:color w:val="156082" w:themeColor="accent1"/>
                <w:sz w:val="22"/>
                <w:szCs w:val="22"/>
              </w:rPr>
            </w:pPr>
            <w:r w:rsidRPr="00FA2706">
              <w:rPr>
                <w:color w:val="156082" w:themeColor="accent1"/>
                <w:sz w:val="22"/>
                <w:szCs w:val="22"/>
              </w:rPr>
              <w:t>3,587,583</w:t>
            </w:r>
          </w:p>
        </w:tc>
        <w:tc>
          <w:tcPr>
            <w:tcW w:w="1873" w:type="dxa"/>
            <w:noWrap/>
            <w:hideMark/>
          </w:tcPr>
          <w:p w14:paraId="01E78551" w14:textId="77777777" w:rsidR="00C15950" w:rsidRPr="00FA2706" w:rsidRDefault="00C15950" w:rsidP="002D2040">
            <w:pPr>
              <w:jc w:val="right"/>
              <w:rPr>
                <w:color w:val="156082" w:themeColor="accent1"/>
                <w:sz w:val="22"/>
                <w:szCs w:val="22"/>
              </w:rPr>
            </w:pPr>
            <w:r w:rsidRPr="00FA2706">
              <w:rPr>
                <w:color w:val="156082" w:themeColor="accent1"/>
                <w:sz w:val="22"/>
                <w:szCs w:val="22"/>
              </w:rPr>
              <w:t>9,032,599</w:t>
            </w:r>
          </w:p>
        </w:tc>
        <w:tc>
          <w:tcPr>
            <w:tcW w:w="1445" w:type="dxa"/>
            <w:noWrap/>
            <w:hideMark/>
          </w:tcPr>
          <w:p w14:paraId="29F216E5" w14:textId="77777777" w:rsidR="00C15950" w:rsidRPr="00FA2706" w:rsidRDefault="00C15950" w:rsidP="002D2040">
            <w:pPr>
              <w:jc w:val="right"/>
              <w:rPr>
                <w:color w:val="156082" w:themeColor="accent1"/>
                <w:sz w:val="22"/>
                <w:szCs w:val="22"/>
              </w:rPr>
            </w:pPr>
            <w:r w:rsidRPr="00FA2706">
              <w:rPr>
                <w:color w:val="156082" w:themeColor="accent1"/>
                <w:sz w:val="22"/>
                <w:szCs w:val="22"/>
              </w:rPr>
              <w:t>5,445,016</w:t>
            </w:r>
          </w:p>
        </w:tc>
      </w:tr>
      <w:tr w:rsidR="00C15950" w:rsidRPr="00FA2706" w14:paraId="23638107" w14:textId="77777777" w:rsidTr="00C15950">
        <w:trPr>
          <w:trHeight w:val="300"/>
        </w:trPr>
        <w:tc>
          <w:tcPr>
            <w:tcW w:w="4543" w:type="dxa"/>
            <w:noWrap/>
            <w:hideMark/>
          </w:tcPr>
          <w:p w14:paraId="0C549E12" w14:textId="1436D708" w:rsidR="00C15950" w:rsidRPr="00FA2706" w:rsidRDefault="00C15950" w:rsidP="00CD6FAF">
            <w:pPr>
              <w:rPr>
                <w:b/>
                <w:bCs/>
                <w:color w:val="156082" w:themeColor="accent1"/>
                <w:sz w:val="22"/>
                <w:szCs w:val="22"/>
              </w:rPr>
            </w:pPr>
            <w:r w:rsidRPr="00FA2706">
              <w:rPr>
                <w:b/>
                <w:bCs/>
                <w:color w:val="156082" w:themeColor="accent1"/>
                <w:sz w:val="22"/>
                <w:szCs w:val="22"/>
              </w:rPr>
              <w:t>Voluntary Contributions (incl. funds to mobilize)</w:t>
            </w:r>
          </w:p>
        </w:tc>
        <w:tc>
          <w:tcPr>
            <w:tcW w:w="1679" w:type="dxa"/>
            <w:noWrap/>
            <w:hideMark/>
          </w:tcPr>
          <w:p w14:paraId="2540D562" w14:textId="77777777" w:rsidR="00C15950" w:rsidRPr="00FA2706" w:rsidRDefault="00C15950" w:rsidP="002D2040">
            <w:pPr>
              <w:jc w:val="right"/>
              <w:rPr>
                <w:b/>
                <w:bCs/>
                <w:color w:val="156082" w:themeColor="accent1"/>
                <w:sz w:val="22"/>
                <w:szCs w:val="22"/>
              </w:rPr>
            </w:pPr>
            <w:r w:rsidRPr="00FA2706">
              <w:rPr>
                <w:b/>
                <w:bCs/>
                <w:color w:val="156082" w:themeColor="accent1"/>
                <w:sz w:val="22"/>
                <w:szCs w:val="22"/>
              </w:rPr>
              <w:t>21,830,822</w:t>
            </w:r>
          </w:p>
        </w:tc>
        <w:tc>
          <w:tcPr>
            <w:tcW w:w="1873" w:type="dxa"/>
            <w:noWrap/>
            <w:hideMark/>
          </w:tcPr>
          <w:p w14:paraId="4346D6F6" w14:textId="77777777" w:rsidR="00C15950" w:rsidRPr="00FA2706" w:rsidRDefault="00C15950" w:rsidP="002D2040">
            <w:pPr>
              <w:jc w:val="right"/>
              <w:rPr>
                <w:b/>
                <w:bCs/>
                <w:color w:val="156082" w:themeColor="accent1"/>
                <w:sz w:val="22"/>
                <w:szCs w:val="22"/>
              </w:rPr>
            </w:pPr>
            <w:r w:rsidRPr="00FA2706">
              <w:rPr>
                <w:b/>
                <w:bCs/>
                <w:color w:val="156082" w:themeColor="accent1"/>
                <w:sz w:val="22"/>
                <w:szCs w:val="22"/>
              </w:rPr>
              <w:t>27,156,164</w:t>
            </w:r>
          </w:p>
        </w:tc>
        <w:tc>
          <w:tcPr>
            <w:tcW w:w="1445" w:type="dxa"/>
            <w:noWrap/>
            <w:hideMark/>
          </w:tcPr>
          <w:p w14:paraId="0FB1645A" w14:textId="77777777" w:rsidR="00C15950" w:rsidRPr="00FA2706" w:rsidRDefault="00C15950" w:rsidP="002D2040">
            <w:pPr>
              <w:jc w:val="right"/>
              <w:rPr>
                <w:b/>
                <w:bCs/>
                <w:color w:val="156082" w:themeColor="accent1"/>
                <w:sz w:val="22"/>
                <w:szCs w:val="22"/>
              </w:rPr>
            </w:pPr>
            <w:r w:rsidRPr="00FA2706">
              <w:rPr>
                <w:b/>
                <w:bCs/>
                <w:color w:val="156082" w:themeColor="accent1"/>
                <w:sz w:val="22"/>
                <w:szCs w:val="22"/>
              </w:rPr>
              <w:t>5,325,342</w:t>
            </w:r>
          </w:p>
        </w:tc>
      </w:tr>
      <w:tr w:rsidR="00C15950" w:rsidRPr="00FA2706" w14:paraId="56B46769" w14:textId="77777777" w:rsidTr="00C15950">
        <w:trPr>
          <w:trHeight w:val="300"/>
        </w:trPr>
        <w:tc>
          <w:tcPr>
            <w:tcW w:w="4543" w:type="dxa"/>
            <w:noWrap/>
            <w:hideMark/>
          </w:tcPr>
          <w:p w14:paraId="3B59A317" w14:textId="4309F30E" w:rsidR="00C15950" w:rsidRPr="00FA2706" w:rsidRDefault="00C15950" w:rsidP="00EB7772">
            <w:pPr>
              <w:jc w:val="both"/>
              <w:rPr>
                <w:b/>
                <w:bCs/>
                <w:color w:val="156082" w:themeColor="accent1"/>
                <w:sz w:val="22"/>
                <w:szCs w:val="22"/>
              </w:rPr>
            </w:pPr>
            <w:r w:rsidRPr="00FA2706">
              <w:rPr>
                <w:b/>
                <w:bCs/>
                <w:color w:val="156082" w:themeColor="accent1"/>
                <w:sz w:val="22"/>
                <w:szCs w:val="22"/>
              </w:rPr>
              <w:t>Total Integrated Budgetary Framework (IBF)</w:t>
            </w:r>
          </w:p>
        </w:tc>
        <w:tc>
          <w:tcPr>
            <w:tcW w:w="1679" w:type="dxa"/>
            <w:noWrap/>
            <w:hideMark/>
          </w:tcPr>
          <w:p w14:paraId="78D27002" w14:textId="77777777" w:rsidR="00C15950" w:rsidRPr="00FA2706" w:rsidRDefault="00C15950" w:rsidP="002D2040">
            <w:pPr>
              <w:jc w:val="right"/>
              <w:rPr>
                <w:b/>
                <w:bCs/>
                <w:color w:val="156082" w:themeColor="accent1"/>
                <w:sz w:val="22"/>
                <w:szCs w:val="22"/>
              </w:rPr>
            </w:pPr>
            <w:r w:rsidRPr="00FA2706">
              <w:rPr>
                <w:b/>
                <w:bCs/>
                <w:color w:val="156082" w:themeColor="accent1"/>
                <w:sz w:val="22"/>
                <w:szCs w:val="22"/>
              </w:rPr>
              <w:t>35,377,422</w:t>
            </w:r>
          </w:p>
        </w:tc>
        <w:tc>
          <w:tcPr>
            <w:tcW w:w="1873" w:type="dxa"/>
            <w:noWrap/>
            <w:hideMark/>
          </w:tcPr>
          <w:p w14:paraId="3C2007F2" w14:textId="77777777" w:rsidR="00C15950" w:rsidRPr="00FA2706" w:rsidRDefault="00C15950" w:rsidP="002D2040">
            <w:pPr>
              <w:jc w:val="right"/>
              <w:rPr>
                <w:b/>
                <w:bCs/>
                <w:color w:val="156082" w:themeColor="accent1"/>
                <w:sz w:val="22"/>
                <w:szCs w:val="22"/>
              </w:rPr>
            </w:pPr>
            <w:r w:rsidRPr="00FA2706">
              <w:rPr>
                <w:b/>
                <w:bCs/>
                <w:color w:val="156082" w:themeColor="accent1"/>
                <w:sz w:val="22"/>
                <w:szCs w:val="22"/>
              </w:rPr>
              <w:t>48,290,850</w:t>
            </w:r>
          </w:p>
        </w:tc>
        <w:tc>
          <w:tcPr>
            <w:tcW w:w="1445" w:type="dxa"/>
            <w:noWrap/>
            <w:hideMark/>
          </w:tcPr>
          <w:p w14:paraId="33DD9546" w14:textId="77777777" w:rsidR="00C15950" w:rsidRPr="00FA2706" w:rsidRDefault="00C15950" w:rsidP="002D2040">
            <w:pPr>
              <w:jc w:val="right"/>
              <w:rPr>
                <w:b/>
                <w:bCs/>
                <w:color w:val="156082" w:themeColor="accent1"/>
                <w:sz w:val="22"/>
                <w:szCs w:val="22"/>
              </w:rPr>
            </w:pPr>
            <w:r w:rsidRPr="00FA2706">
              <w:rPr>
                <w:b/>
                <w:bCs/>
                <w:color w:val="156082" w:themeColor="accent1"/>
                <w:sz w:val="22"/>
                <w:szCs w:val="22"/>
              </w:rPr>
              <w:t>12,913,428</w:t>
            </w:r>
          </w:p>
        </w:tc>
      </w:tr>
    </w:tbl>
    <w:p w14:paraId="299A1213" w14:textId="77777777" w:rsidR="00C15950" w:rsidRPr="00FA2706" w:rsidRDefault="00C15950" w:rsidP="00EB7772">
      <w:pPr>
        <w:spacing w:after="0"/>
        <w:jc w:val="both"/>
        <w:rPr>
          <w:color w:val="156082" w:themeColor="accent1"/>
          <w:sz w:val="22"/>
          <w:szCs w:val="22"/>
        </w:rPr>
      </w:pPr>
    </w:p>
    <w:p w14:paraId="7231CBC8" w14:textId="3F06D5BE" w:rsidR="00BE780C" w:rsidRPr="00FA2706" w:rsidRDefault="00021579" w:rsidP="00EB7772">
      <w:pPr>
        <w:spacing w:after="0" w:line="240" w:lineRule="auto"/>
        <w:jc w:val="both"/>
        <w:rPr>
          <w:color w:val="156082" w:themeColor="accent1"/>
          <w:sz w:val="22"/>
          <w:szCs w:val="22"/>
        </w:rPr>
      </w:pPr>
      <w:r w:rsidRPr="00FA2706">
        <w:rPr>
          <w:color w:val="156082" w:themeColor="accent1"/>
          <w:sz w:val="22"/>
          <w:szCs w:val="22"/>
        </w:rPr>
        <w:t xml:space="preserve">As per usual, the submission of the IOC budget </w:t>
      </w:r>
      <w:r w:rsidR="000916F5" w:rsidRPr="00FA2706">
        <w:rPr>
          <w:color w:val="156082" w:themeColor="accent1"/>
          <w:sz w:val="22"/>
          <w:szCs w:val="22"/>
        </w:rPr>
        <w:t xml:space="preserve">as part of the UNESCO C/5 </w:t>
      </w:r>
      <w:r w:rsidR="00BE780C" w:rsidRPr="00FA2706">
        <w:rPr>
          <w:color w:val="156082" w:themeColor="accent1"/>
          <w:sz w:val="22"/>
          <w:szCs w:val="22"/>
        </w:rPr>
        <w:t>requires that the Secretariat define:</w:t>
      </w:r>
    </w:p>
    <w:p w14:paraId="37F68E42" w14:textId="6A64F41F" w:rsidR="00BE780C" w:rsidRPr="00FA2706" w:rsidRDefault="00C45BCF" w:rsidP="00EB7772">
      <w:pPr>
        <w:pStyle w:val="ListParagraph"/>
        <w:numPr>
          <w:ilvl w:val="0"/>
          <w:numId w:val="19"/>
        </w:numPr>
        <w:spacing w:after="0" w:line="240" w:lineRule="auto"/>
        <w:jc w:val="both"/>
        <w:rPr>
          <w:color w:val="156082" w:themeColor="accent1"/>
          <w:sz w:val="22"/>
          <w:szCs w:val="22"/>
        </w:rPr>
      </w:pPr>
      <w:r w:rsidRPr="00FA2706">
        <w:rPr>
          <w:color w:val="156082" w:themeColor="accent1"/>
          <w:sz w:val="22"/>
          <w:szCs w:val="22"/>
        </w:rPr>
        <w:t xml:space="preserve">the proposed changes to the </w:t>
      </w:r>
      <w:r w:rsidRPr="00FA2706">
        <w:rPr>
          <w:b/>
          <w:bCs/>
          <w:color w:val="156082" w:themeColor="accent1"/>
          <w:sz w:val="22"/>
          <w:szCs w:val="22"/>
        </w:rPr>
        <w:t>staff establishment</w:t>
      </w:r>
    </w:p>
    <w:p w14:paraId="2AB83F90" w14:textId="17587416" w:rsidR="00C45BCF" w:rsidRPr="00FA2706" w:rsidRDefault="00C1580C" w:rsidP="00EB7772">
      <w:pPr>
        <w:pStyle w:val="ListParagraph"/>
        <w:numPr>
          <w:ilvl w:val="0"/>
          <w:numId w:val="19"/>
        </w:numPr>
        <w:spacing w:after="0" w:line="240" w:lineRule="auto"/>
        <w:jc w:val="both"/>
        <w:rPr>
          <w:color w:val="156082" w:themeColor="accent1"/>
          <w:sz w:val="22"/>
          <w:szCs w:val="22"/>
        </w:rPr>
      </w:pPr>
      <w:r w:rsidRPr="00FA2706">
        <w:rPr>
          <w:color w:val="156082" w:themeColor="accent1"/>
          <w:sz w:val="22"/>
          <w:szCs w:val="22"/>
        </w:rPr>
        <w:t>the ‘</w:t>
      </w:r>
      <w:r w:rsidR="008D2303" w:rsidRPr="00FA2706">
        <w:rPr>
          <w:b/>
          <w:bCs/>
          <w:color w:val="156082" w:themeColor="accent1"/>
          <w:sz w:val="22"/>
          <w:szCs w:val="22"/>
        </w:rPr>
        <w:t>decentralization</w:t>
      </w:r>
      <w:r w:rsidRPr="00FA2706">
        <w:rPr>
          <w:b/>
          <w:bCs/>
          <w:color w:val="156082" w:themeColor="accent1"/>
          <w:sz w:val="22"/>
          <w:szCs w:val="22"/>
        </w:rPr>
        <w:t>’</w:t>
      </w:r>
      <w:r w:rsidRPr="00FA2706">
        <w:rPr>
          <w:color w:val="156082" w:themeColor="accent1"/>
          <w:sz w:val="22"/>
          <w:szCs w:val="22"/>
        </w:rPr>
        <w:t xml:space="preserve"> of funds to be implemented </w:t>
      </w:r>
      <w:r w:rsidR="008D2303" w:rsidRPr="00FA2706">
        <w:rPr>
          <w:color w:val="156082" w:themeColor="accent1"/>
          <w:sz w:val="22"/>
          <w:szCs w:val="22"/>
        </w:rPr>
        <w:t xml:space="preserve">by units outside of </w:t>
      </w:r>
      <w:proofErr w:type="gramStart"/>
      <w:r w:rsidR="008D2303" w:rsidRPr="00FA2706">
        <w:rPr>
          <w:color w:val="156082" w:themeColor="accent1"/>
          <w:sz w:val="22"/>
          <w:szCs w:val="22"/>
        </w:rPr>
        <w:t>Headquarters</w:t>
      </w:r>
      <w:proofErr w:type="gramEnd"/>
    </w:p>
    <w:p w14:paraId="416DB286" w14:textId="6395F3A1" w:rsidR="00D062B9" w:rsidRPr="00FA2706" w:rsidRDefault="00D062B9" w:rsidP="00EB7772">
      <w:pPr>
        <w:pStyle w:val="ListParagraph"/>
        <w:numPr>
          <w:ilvl w:val="0"/>
          <w:numId w:val="19"/>
        </w:numPr>
        <w:spacing w:after="0" w:line="240" w:lineRule="auto"/>
        <w:jc w:val="both"/>
        <w:rPr>
          <w:color w:val="156082" w:themeColor="accent1"/>
          <w:sz w:val="22"/>
          <w:szCs w:val="22"/>
        </w:rPr>
      </w:pPr>
      <w:r w:rsidRPr="00FA2706">
        <w:rPr>
          <w:color w:val="156082" w:themeColor="accent1"/>
          <w:sz w:val="22"/>
          <w:szCs w:val="22"/>
        </w:rPr>
        <w:t>the estimate of resources allocated to Global Priorities and Priority Groups</w:t>
      </w:r>
    </w:p>
    <w:p w14:paraId="1311634D" w14:textId="77777777" w:rsidR="007361B4" w:rsidRPr="00FA2706" w:rsidRDefault="007361B4" w:rsidP="00EB7772">
      <w:pPr>
        <w:spacing w:after="0" w:line="240" w:lineRule="auto"/>
        <w:jc w:val="both"/>
        <w:rPr>
          <w:color w:val="156082" w:themeColor="accent1"/>
          <w:sz w:val="22"/>
          <w:szCs w:val="22"/>
        </w:rPr>
      </w:pPr>
    </w:p>
    <w:p w14:paraId="5C50109E" w14:textId="1AB7AA6A" w:rsidR="004F0DF2" w:rsidRPr="00FA2706" w:rsidRDefault="00520D0C" w:rsidP="00EB7772">
      <w:pPr>
        <w:spacing w:after="0" w:line="240" w:lineRule="auto"/>
        <w:jc w:val="both"/>
        <w:rPr>
          <w:color w:val="156082" w:themeColor="accent1"/>
          <w:sz w:val="22"/>
          <w:szCs w:val="22"/>
        </w:rPr>
      </w:pPr>
      <w:r w:rsidRPr="00FA2706">
        <w:rPr>
          <w:color w:val="156082" w:themeColor="accent1"/>
          <w:sz w:val="22"/>
          <w:szCs w:val="22"/>
        </w:rPr>
        <w:t xml:space="preserve">The main </w:t>
      </w:r>
      <w:r w:rsidRPr="00FA2706">
        <w:rPr>
          <w:b/>
          <w:bCs/>
          <w:color w:val="156082" w:themeColor="accent1"/>
          <w:sz w:val="22"/>
          <w:szCs w:val="22"/>
        </w:rPr>
        <w:t>staffing choices</w:t>
      </w:r>
      <w:r w:rsidRPr="00FA2706">
        <w:rPr>
          <w:color w:val="156082" w:themeColor="accent1"/>
          <w:sz w:val="22"/>
          <w:szCs w:val="22"/>
        </w:rPr>
        <w:t xml:space="preserve"> were made by the Secretariat based on UNESCO internal guidance</w:t>
      </w:r>
      <w:r w:rsidR="008339AC" w:rsidRPr="00FA2706">
        <w:rPr>
          <w:color w:val="156082" w:themeColor="accent1"/>
          <w:sz w:val="22"/>
          <w:szCs w:val="22"/>
        </w:rPr>
        <w:t xml:space="preserve"> and</w:t>
      </w:r>
      <w:r w:rsidR="00C547BE" w:rsidRPr="00FA2706">
        <w:rPr>
          <w:color w:val="156082" w:themeColor="accent1"/>
          <w:sz w:val="22"/>
          <w:szCs w:val="22"/>
        </w:rPr>
        <w:t xml:space="preserve"> consistent with the IOC Assembly’s recommendation</w:t>
      </w:r>
      <w:r w:rsidR="00EA73C7" w:rsidRPr="00FA2706">
        <w:rPr>
          <w:color w:val="156082" w:themeColor="accent1"/>
          <w:sz w:val="22"/>
          <w:szCs w:val="22"/>
        </w:rPr>
        <w:t xml:space="preserve"> </w:t>
      </w:r>
      <w:r w:rsidR="00C547BE" w:rsidRPr="00FA2706">
        <w:rPr>
          <w:color w:val="156082" w:themeColor="accent1"/>
          <w:sz w:val="22"/>
          <w:szCs w:val="22"/>
        </w:rPr>
        <w:t>t</w:t>
      </w:r>
      <w:r w:rsidR="00E56E28" w:rsidRPr="00FA2706">
        <w:rPr>
          <w:color w:val="156082" w:themeColor="accent1"/>
          <w:sz w:val="22"/>
          <w:szCs w:val="22"/>
        </w:rPr>
        <w:t xml:space="preserve">o improve the </w:t>
      </w:r>
      <w:r w:rsidR="007A7EA1" w:rsidRPr="00FA2706">
        <w:rPr>
          <w:b/>
          <w:bCs/>
          <w:color w:val="156082" w:themeColor="accent1"/>
          <w:sz w:val="22"/>
          <w:szCs w:val="22"/>
        </w:rPr>
        <w:t>ratio of staff- versus non-staff</w:t>
      </w:r>
      <w:r w:rsidR="007A7EA1" w:rsidRPr="00FA2706">
        <w:rPr>
          <w:color w:val="156082" w:themeColor="accent1"/>
          <w:sz w:val="22"/>
          <w:szCs w:val="22"/>
        </w:rPr>
        <w:t xml:space="preserve"> costs in line with </w:t>
      </w:r>
      <w:r w:rsidR="00D41940" w:rsidRPr="00FA2706">
        <w:rPr>
          <w:color w:val="156082" w:themeColor="accent1"/>
          <w:sz w:val="22"/>
          <w:szCs w:val="22"/>
        </w:rPr>
        <w:t xml:space="preserve">Resolution XXVII-2 </w:t>
      </w:r>
      <w:r w:rsidR="0057310E" w:rsidRPr="00FA2706">
        <w:rPr>
          <w:color w:val="156082" w:themeColor="accent1"/>
          <w:sz w:val="22"/>
          <w:szCs w:val="22"/>
        </w:rPr>
        <w:t>while strengthening the delivery on the ground and bearing in mind</w:t>
      </w:r>
      <w:r w:rsidR="0023575E" w:rsidRPr="00FA2706">
        <w:rPr>
          <w:color w:val="156082" w:themeColor="accent1"/>
          <w:sz w:val="22"/>
          <w:szCs w:val="22"/>
        </w:rPr>
        <w:t xml:space="preserve"> the</w:t>
      </w:r>
      <w:r w:rsidR="004F0DF2" w:rsidRPr="00FA2706">
        <w:rPr>
          <w:color w:val="156082" w:themeColor="accent1"/>
          <w:sz w:val="22"/>
          <w:szCs w:val="22"/>
        </w:rPr>
        <w:t xml:space="preserve"> ‘</w:t>
      </w:r>
      <w:r w:rsidR="004F0DF2" w:rsidRPr="00FA2706">
        <w:rPr>
          <w:b/>
          <w:bCs/>
          <w:i/>
          <w:iCs/>
          <w:color w:val="156082" w:themeColor="accent1"/>
          <w:sz w:val="22"/>
          <w:szCs w:val="22"/>
        </w:rPr>
        <w:t>critically vulnerable areas’</w:t>
      </w:r>
      <w:r w:rsidR="004F0DF2" w:rsidRPr="00FA2706">
        <w:rPr>
          <w:color w:val="156082" w:themeColor="accent1"/>
          <w:sz w:val="22"/>
          <w:szCs w:val="22"/>
        </w:rPr>
        <w:t xml:space="preserve"> identified in IOC Resolution A-32/4.</w:t>
      </w:r>
    </w:p>
    <w:p w14:paraId="6BB25E14" w14:textId="77777777" w:rsidR="004F0DF2" w:rsidRPr="00FA2706" w:rsidRDefault="004F0DF2" w:rsidP="00EB7772">
      <w:pPr>
        <w:spacing w:after="0" w:line="240" w:lineRule="auto"/>
        <w:jc w:val="both"/>
        <w:rPr>
          <w:color w:val="156082" w:themeColor="accent1"/>
          <w:sz w:val="22"/>
          <w:szCs w:val="22"/>
        </w:rPr>
      </w:pPr>
    </w:p>
    <w:p w14:paraId="7BDFA435" w14:textId="2CA49A65" w:rsidR="00D53A11" w:rsidRDefault="003C3B2D" w:rsidP="00D53A11">
      <w:pPr>
        <w:spacing w:after="0" w:line="240" w:lineRule="auto"/>
        <w:jc w:val="both"/>
        <w:rPr>
          <w:color w:val="156082" w:themeColor="accent1"/>
          <w:sz w:val="22"/>
          <w:szCs w:val="22"/>
        </w:rPr>
      </w:pPr>
      <w:r w:rsidRPr="00FA2706">
        <w:rPr>
          <w:color w:val="156082" w:themeColor="accent1"/>
          <w:sz w:val="22"/>
          <w:szCs w:val="22"/>
        </w:rPr>
        <w:t>As a result, 1 new post was created at HQ for GOOS, and 4 new posts were created in the field for IODE, IOCIN</w:t>
      </w:r>
      <w:r w:rsidR="008853F5">
        <w:rPr>
          <w:color w:val="156082" w:themeColor="accent1"/>
          <w:sz w:val="22"/>
          <w:szCs w:val="22"/>
        </w:rPr>
        <w:t>D</w:t>
      </w:r>
      <w:r w:rsidRPr="00FA2706">
        <w:rPr>
          <w:color w:val="156082" w:themeColor="accent1"/>
          <w:sz w:val="22"/>
          <w:szCs w:val="22"/>
        </w:rPr>
        <w:t xml:space="preserve">IO, IOCAFRICA and </w:t>
      </w:r>
      <w:r w:rsidR="00FB26B3" w:rsidRPr="00FA2706">
        <w:rPr>
          <w:color w:val="156082" w:themeColor="accent1"/>
          <w:sz w:val="22"/>
          <w:szCs w:val="22"/>
        </w:rPr>
        <w:t>Pacific SIDS regio</w:t>
      </w:r>
      <w:r w:rsidR="00D81F5C" w:rsidRPr="00FA2706">
        <w:rPr>
          <w:color w:val="156082" w:themeColor="accent1"/>
          <w:sz w:val="22"/>
          <w:szCs w:val="22"/>
        </w:rPr>
        <w:t>n</w:t>
      </w:r>
      <w:r w:rsidR="00927CD6" w:rsidRPr="00FA2706">
        <w:rPr>
          <w:color w:val="156082" w:themeColor="accent1"/>
          <w:sz w:val="22"/>
          <w:szCs w:val="22"/>
        </w:rPr>
        <w:t>.</w:t>
      </w:r>
      <w:r w:rsidR="008922EA" w:rsidRPr="00FA2706">
        <w:rPr>
          <w:color w:val="156082" w:themeColor="accent1"/>
          <w:sz w:val="22"/>
          <w:szCs w:val="22"/>
        </w:rPr>
        <w:t xml:space="preserve"> </w:t>
      </w:r>
      <w:r w:rsidR="00C10242" w:rsidRPr="00FA2706">
        <w:rPr>
          <w:color w:val="156082" w:themeColor="accent1"/>
          <w:sz w:val="22"/>
          <w:szCs w:val="22"/>
        </w:rPr>
        <w:t>Wi</w:t>
      </w:r>
      <w:r w:rsidR="00927CD6" w:rsidRPr="00FA2706">
        <w:rPr>
          <w:color w:val="156082" w:themeColor="accent1"/>
          <w:sz w:val="22"/>
          <w:szCs w:val="22"/>
        </w:rPr>
        <w:t xml:space="preserve">th that, the revised cost of the 2024-2025 staff establishment </w:t>
      </w:r>
      <w:r w:rsidR="00031B7B" w:rsidRPr="00FA2706">
        <w:rPr>
          <w:color w:val="156082" w:themeColor="accent1"/>
          <w:sz w:val="22"/>
          <w:szCs w:val="22"/>
        </w:rPr>
        <w:t>amounted to USD 12.1M</w:t>
      </w:r>
      <w:r w:rsidR="0032623B" w:rsidRPr="00FA2706">
        <w:rPr>
          <w:color w:val="156082" w:themeColor="accent1"/>
          <w:sz w:val="22"/>
          <w:szCs w:val="22"/>
        </w:rPr>
        <w:t xml:space="preserve"> (57%</w:t>
      </w:r>
      <w:r w:rsidR="00C63401">
        <w:rPr>
          <w:color w:val="156082" w:themeColor="accent1"/>
          <w:sz w:val="22"/>
          <w:szCs w:val="22"/>
        </w:rPr>
        <w:t>)</w:t>
      </w:r>
      <w:r w:rsidR="00031B7B" w:rsidRPr="00FA2706">
        <w:rPr>
          <w:color w:val="156082" w:themeColor="accent1"/>
          <w:sz w:val="22"/>
          <w:szCs w:val="22"/>
        </w:rPr>
        <w:t>, and non-staff (activities)</w:t>
      </w:r>
      <w:r w:rsidR="0032623B" w:rsidRPr="00FA2706">
        <w:rPr>
          <w:color w:val="156082" w:themeColor="accent1"/>
          <w:sz w:val="22"/>
          <w:szCs w:val="22"/>
        </w:rPr>
        <w:t xml:space="preserve"> to USD 9M (43%)</w:t>
      </w:r>
      <w:r w:rsidR="00460148" w:rsidRPr="00FA2706">
        <w:rPr>
          <w:color w:val="156082" w:themeColor="accent1"/>
          <w:sz w:val="22"/>
          <w:szCs w:val="22"/>
        </w:rPr>
        <w:t xml:space="preserve">. </w:t>
      </w:r>
    </w:p>
    <w:p w14:paraId="385EAC4E" w14:textId="77777777" w:rsidR="00EF159B" w:rsidRDefault="00EF159B" w:rsidP="00D53A11">
      <w:pPr>
        <w:spacing w:after="0" w:line="240" w:lineRule="auto"/>
        <w:jc w:val="both"/>
        <w:rPr>
          <w:color w:val="156082" w:themeColor="accent1"/>
          <w:sz w:val="22"/>
          <w:szCs w:val="22"/>
        </w:rPr>
      </w:pPr>
    </w:p>
    <w:p w14:paraId="3B812EA0" w14:textId="235FE9F1" w:rsidR="00EF159B" w:rsidRDefault="00D81F5C" w:rsidP="00D53A11">
      <w:pPr>
        <w:spacing w:after="0" w:line="240" w:lineRule="auto"/>
        <w:jc w:val="both"/>
        <w:rPr>
          <w:color w:val="156082" w:themeColor="accent1"/>
          <w:sz w:val="22"/>
          <w:szCs w:val="22"/>
        </w:rPr>
      </w:pPr>
      <w:r w:rsidRPr="00FA2706">
        <w:rPr>
          <w:color w:val="156082" w:themeColor="accent1"/>
          <w:sz w:val="22"/>
          <w:szCs w:val="22"/>
        </w:rPr>
        <w:t xml:space="preserve">The </w:t>
      </w:r>
      <w:r w:rsidR="00C20BFE" w:rsidRPr="00FA2706">
        <w:rPr>
          <w:color w:val="156082" w:themeColor="accent1"/>
          <w:sz w:val="22"/>
          <w:szCs w:val="22"/>
        </w:rPr>
        <w:t>USD 5.5M available</w:t>
      </w:r>
      <w:r w:rsidR="00FC39BA" w:rsidRPr="00FA2706">
        <w:rPr>
          <w:color w:val="156082" w:themeColor="accent1"/>
          <w:sz w:val="22"/>
          <w:szCs w:val="22"/>
        </w:rPr>
        <w:t xml:space="preserve"> for </w:t>
      </w:r>
      <w:r w:rsidR="00FC39BA" w:rsidRPr="00FA2706">
        <w:rPr>
          <w:b/>
          <w:bCs/>
          <w:color w:val="156082" w:themeColor="accent1"/>
          <w:sz w:val="22"/>
          <w:szCs w:val="22"/>
        </w:rPr>
        <w:t>non-staff programme reinforcements</w:t>
      </w:r>
      <w:r w:rsidR="00FC39BA" w:rsidRPr="00FA2706">
        <w:rPr>
          <w:color w:val="156082" w:themeColor="accent1"/>
          <w:sz w:val="22"/>
          <w:szCs w:val="22"/>
        </w:rPr>
        <w:t xml:space="preserve"> were allocated</w:t>
      </w:r>
      <w:r w:rsidR="00E60510" w:rsidRPr="00FA2706">
        <w:rPr>
          <w:color w:val="156082" w:themeColor="accent1"/>
          <w:sz w:val="22"/>
          <w:szCs w:val="22"/>
        </w:rPr>
        <w:t xml:space="preserve"> as shown below: 2/3 to stabilize all IOC functions and </w:t>
      </w:r>
      <w:r w:rsidR="00F22A4A" w:rsidRPr="00FA2706">
        <w:rPr>
          <w:color w:val="156082" w:themeColor="accent1"/>
          <w:sz w:val="22"/>
          <w:szCs w:val="22"/>
        </w:rPr>
        <w:t xml:space="preserve">an additional allocation of 1/3 </w:t>
      </w:r>
      <w:r w:rsidR="00425E1D" w:rsidRPr="00FA2706">
        <w:rPr>
          <w:color w:val="156082" w:themeColor="accent1"/>
          <w:sz w:val="22"/>
          <w:szCs w:val="22"/>
        </w:rPr>
        <w:t xml:space="preserve">to provide targeted investment in IODE, GOOS, Capacity Development and Regional Subsidiary Bodies. </w:t>
      </w:r>
      <w:r w:rsidR="00C20BFE" w:rsidRPr="00FA2706">
        <w:rPr>
          <w:color w:val="156082" w:themeColor="accent1"/>
          <w:sz w:val="22"/>
          <w:szCs w:val="22"/>
        </w:rPr>
        <w:t xml:space="preserve"> </w:t>
      </w:r>
      <w:r w:rsidR="0023575E" w:rsidRPr="00FA2706">
        <w:rPr>
          <w:color w:val="156082" w:themeColor="accent1"/>
          <w:sz w:val="22"/>
          <w:szCs w:val="22"/>
        </w:rPr>
        <w:t xml:space="preserve"> </w:t>
      </w:r>
      <w:r w:rsidR="00C2604C" w:rsidRPr="00FA2706">
        <w:rPr>
          <w:color w:val="156082" w:themeColor="accent1"/>
          <w:sz w:val="22"/>
          <w:szCs w:val="22"/>
        </w:rPr>
        <w:t xml:space="preserve"> </w:t>
      </w:r>
    </w:p>
    <w:p w14:paraId="2C967556" w14:textId="77777777" w:rsidR="0019506D" w:rsidRDefault="0019506D" w:rsidP="00EB7772">
      <w:pPr>
        <w:spacing w:after="0"/>
        <w:jc w:val="both"/>
        <w:rPr>
          <w:b/>
          <w:bCs/>
          <w:color w:val="156082" w:themeColor="accent1"/>
          <w:sz w:val="18"/>
          <w:szCs w:val="18"/>
        </w:rPr>
      </w:pPr>
    </w:p>
    <w:p w14:paraId="48C67C80" w14:textId="50E2EC77" w:rsidR="00A553D7" w:rsidRPr="00EB32FE" w:rsidRDefault="008922EA" w:rsidP="00EB7772">
      <w:pPr>
        <w:spacing w:after="0"/>
        <w:jc w:val="both"/>
        <w:rPr>
          <w:b/>
          <w:bCs/>
          <w:color w:val="156082" w:themeColor="accent1"/>
          <w:sz w:val="18"/>
          <w:szCs w:val="18"/>
        </w:rPr>
      </w:pPr>
      <w:r w:rsidRPr="00EB32FE">
        <w:rPr>
          <w:b/>
          <w:bCs/>
          <w:color w:val="156082" w:themeColor="accent1"/>
          <w:sz w:val="18"/>
          <w:szCs w:val="18"/>
        </w:rPr>
        <w:t>Table 2. Allocation of the additional regular budget to IOC functions</w:t>
      </w:r>
    </w:p>
    <w:p w14:paraId="5565D86A" w14:textId="251376C9" w:rsidR="0011547B" w:rsidRPr="00FA2706" w:rsidRDefault="000E5F92" w:rsidP="00EB7772">
      <w:pPr>
        <w:jc w:val="both"/>
        <w:rPr>
          <w:color w:val="156082" w:themeColor="accent1"/>
          <w:sz w:val="22"/>
          <w:szCs w:val="22"/>
        </w:rPr>
      </w:pPr>
      <w:r w:rsidRPr="00FA2706">
        <w:rPr>
          <w:noProof/>
          <w:sz w:val="22"/>
          <w:szCs w:val="22"/>
        </w:rPr>
        <w:drawing>
          <wp:inline distT="0" distB="0" distL="0" distR="0" wp14:anchorId="7B42C030" wp14:editId="0AF4935F">
            <wp:extent cx="5943600" cy="1577975"/>
            <wp:effectExtent l="0" t="0" r="0" b="3175"/>
            <wp:docPr id="1356413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577975"/>
                    </a:xfrm>
                    <a:prstGeom prst="rect">
                      <a:avLst/>
                    </a:prstGeom>
                    <a:noFill/>
                    <a:ln>
                      <a:noFill/>
                    </a:ln>
                  </pic:spPr>
                </pic:pic>
              </a:graphicData>
            </a:graphic>
          </wp:inline>
        </w:drawing>
      </w:r>
    </w:p>
    <w:p w14:paraId="25179308" w14:textId="77777777" w:rsidR="0019506D" w:rsidRDefault="0019506D" w:rsidP="00EB7772">
      <w:pPr>
        <w:spacing w:after="0" w:line="240" w:lineRule="auto"/>
        <w:jc w:val="both"/>
        <w:rPr>
          <w:b/>
          <w:bCs/>
          <w:color w:val="156082" w:themeColor="accent1"/>
          <w:sz w:val="18"/>
          <w:szCs w:val="18"/>
        </w:rPr>
      </w:pPr>
    </w:p>
    <w:p w14:paraId="338937F2" w14:textId="77777777" w:rsidR="0019506D" w:rsidRDefault="0019506D" w:rsidP="00EB7772">
      <w:pPr>
        <w:spacing w:after="0" w:line="240" w:lineRule="auto"/>
        <w:jc w:val="both"/>
        <w:rPr>
          <w:b/>
          <w:bCs/>
          <w:color w:val="156082" w:themeColor="accent1"/>
          <w:sz w:val="18"/>
          <w:szCs w:val="18"/>
        </w:rPr>
      </w:pPr>
    </w:p>
    <w:p w14:paraId="710BB724" w14:textId="14704EBC" w:rsidR="00EF159B" w:rsidRDefault="005C14E1" w:rsidP="00EB7772">
      <w:pPr>
        <w:spacing w:after="0" w:line="240" w:lineRule="auto"/>
        <w:jc w:val="both"/>
        <w:rPr>
          <w:b/>
          <w:bCs/>
          <w:color w:val="156082" w:themeColor="accent1"/>
          <w:sz w:val="18"/>
          <w:szCs w:val="18"/>
        </w:rPr>
      </w:pPr>
      <w:r w:rsidRPr="00EB32FE">
        <w:rPr>
          <w:b/>
          <w:bCs/>
          <w:color w:val="156082" w:themeColor="accent1"/>
          <w:sz w:val="18"/>
          <w:szCs w:val="18"/>
        </w:rPr>
        <w:lastRenderedPageBreak/>
        <w:t>Table 3.</w:t>
      </w:r>
      <w:r w:rsidR="00EF159B">
        <w:rPr>
          <w:b/>
          <w:bCs/>
          <w:color w:val="156082" w:themeColor="accent1"/>
          <w:sz w:val="18"/>
          <w:szCs w:val="18"/>
        </w:rPr>
        <w:tab/>
        <w:t xml:space="preserve">  </w:t>
      </w:r>
      <w:r w:rsidRPr="00EB32FE">
        <w:rPr>
          <w:b/>
          <w:bCs/>
          <w:color w:val="156082" w:themeColor="accent1"/>
          <w:sz w:val="18"/>
          <w:szCs w:val="18"/>
        </w:rPr>
        <w:t xml:space="preserve">Allocation of resources </w:t>
      </w:r>
      <w:r w:rsidR="001E25A6" w:rsidRPr="00EB32FE">
        <w:rPr>
          <w:b/>
          <w:bCs/>
          <w:color w:val="156082" w:themeColor="accent1"/>
          <w:sz w:val="18"/>
          <w:szCs w:val="18"/>
        </w:rPr>
        <w:t>between HQ and units in the field (</w:t>
      </w:r>
      <w:r w:rsidR="005D1DED" w:rsidRPr="00EB32FE">
        <w:rPr>
          <w:b/>
          <w:bCs/>
          <w:color w:val="156082" w:themeColor="accent1"/>
          <w:sz w:val="18"/>
          <w:szCs w:val="18"/>
        </w:rPr>
        <w:t xml:space="preserve">the lines </w:t>
      </w:r>
      <w:r w:rsidR="001E25A6" w:rsidRPr="00EB32FE">
        <w:rPr>
          <w:b/>
          <w:bCs/>
          <w:color w:val="156082" w:themeColor="accent1"/>
          <w:sz w:val="18"/>
          <w:szCs w:val="18"/>
        </w:rPr>
        <w:t>in</w:t>
      </w:r>
      <w:r w:rsidR="005D1DED" w:rsidRPr="00EB32FE">
        <w:rPr>
          <w:b/>
          <w:bCs/>
          <w:color w:val="156082" w:themeColor="accent1"/>
          <w:sz w:val="18"/>
          <w:szCs w:val="18"/>
        </w:rPr>
        <w:t xml:space="preserve"> yellow </w:t>
      </w:r>
      <w:r w:rsidR="0093103C" w:rsidRPr="00EB32FE">
        <w:rPr>
          <w:b/>
          <w:bCs/>
          <w:color w:val="156082" w:themeColor="accent1"/>
          <w:sz w:val="18"/>
          <w:szCs w:val="18"/>
        </w:rPr>
        <w:t>‘</w:t>
      </w:r>
      <w:r w:rsidR="001E25A6" w:rsidRPr="00EB32FE">
        <w:rPr>
          <w:b/>
          <w:bCs/>
          <w:color w:val="156082" w:themeColor="accent1"/>
          <w:sz w:val="18"/>
          <w:szCs w:val="18"/>
        </w:rPr>
        <w:t>d</w:t>
      </w:r>
      <w:r w:rsidR="00FE1AD8" w:rsidRPr="00EB32FE">
        <w:rPr>
          <w:b/>
          <w:bCs/>
          <w:color w:val="156082" w:themeColor="accent1"/>
          <w:sz w:val="18"/>
          <w:szCs w:val="18"/>
        </w:rPr>
        <w:t>ecentralized</w:t>
      </w:r>
      <w:r w:rsidR="005D1DED" w:rsidRPr="00EB32FE">
        <w:rPr>
          <w:b/>
          <w:bCs/>
          <w:color w:val="156082" w:themeColor="accent1"/>
          <w:sz w:val="18"/>
          <w:szCs w:val="18"/>
        </w:rPr>
        <w:t xml:space="preserve">’ to units outside </w:t>
      </w:r>
    </w:p>
    <w:p w14:paraId="075A2669" w14:textId="6F3C22B0" w:rsidR="00A553D7" w:rsidRPr="00EB32FE" w:rsidRDefault="005D1DED" w:rsidP="00EF159B">
      <w:pPr>
        <w:spacing w:after="0" w:line="240" w:lineRule="auto"/>
        <w:ind w:firstLine="720"/>
        <w:jc w:val="both"/>
        <w:rPr>
          <w:b/>
          <w:bCs/>
          <w:color w:val="156082" w:themeColor="accent1"/>
          <w:sz w:val="18"/>
          <w:szCs w:val="18"/>
        </w:rPr>
      </w:pPr>
      <w:r w:rsidRPr="00EB32FE">
        <w:rPr>
          <w:b/>
          <w:bCs/>
          <w:color w:val="156082" w:themeColor="accent1"/>
          <w:sz w:val="18"/>
          <w:szCs w:val="18"/>
        </w:rPr>
        <w:t xml:space="preserve">of </w:t>
      </w:r>
      <w:r w:rsidR="003E0F24" w:rsidRPr="00EB32FE">
        <w:rPr>
          <w:b/>
          <w:bCs/>
          <w:color w:val="156082" w:themeColor="accent1"/>
          <w:sz w:val="18"/>
          <w:szCs w:val="18"/>
        </w:rPr>
        <w:t>H</w:t>
      </w:r>
      <w:r w:rsidRPr="00EB32FE">
        <w:rPr>
          <w:b/>
          <w:bCs/>
          <w:color w:val="156082" w:themeColor="accent1"/>
          <w:sz w:val="18"/>
          <w:szCs w:val="18"/>
        </w:rPr>
        <w:t>eadquarters</w:t>
      </w:r>
      <w:r w:rsidR="00C64783">
        <w:rPr>
          <w:rStyle w:val="FootnoteReference"/>
          <w:b/>
          <w:bCs/>
          <w:color w:val="156082" w:themeColor="accent1"/>
          <w:sz w:val="18"/>
          <w:szCs w:val="18"/>
        </w:rPr>
        <w:footnoteReference w:id="1"/>
      </w:r>
    </w:p>
    <w:p w14:paraId="4E8EBBE5" w14:textId="09D49951" w:rsidR="0093103C" w:rsidRPr="00FA2706" w:rsidRDefault="0019506D">
      <w:pPr>
        <w:rPr>
          <w:color w:val="156082" w:themeColor="accent1"/>
          <w:sz w:val="22"/>
          <w:szCs w:val="22"/>
        </w:rPr>
      </w:pPr>
      <w:r w:rsidRPr="0019506D">
        <w:rPr>
          <w:noProof/>
        </w:rPr>
        <w:drawing>
          <wp:inline distT="0" distB="0" distL="0" distR="0" wp14:anchorId="49F37532" wp14:editId="264521B7">
            <wp:extent cx="6400800" cy="7028180"/>
            <wp:effectExtent l="0" t="0" r="0" b="1270"/>
            <wp:docPr id="1519743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7028180"/>
                    </a:xfrm>
                    <a:prstGeom prst="rect">
                      <a:avLst/>
                    </a:prstGeom>
                    <a:noFill/>
                    <a:ln>
                      <a:noFill/>
                    </a:ln>
                  </pic:spPr>
                </pic:pic>
              </a:graphicData>
            </a:graphic>
          </wp:inline>
        </w:drawing>
      </w:r>
    </w:p>
    <w:p w14:paraId="4D276E68" w14:textId="77777777" w:rsidR="00FF7B74" w:rsidRDefault="00FF7B74" w:rsidP="00B92382">
      <w:pPr>
        <w:rPr>
          <w:color w:val="156082" w:themeColor="accent1"/>
          <w:sz w:val="22"/>
          <w:szCs w:val="22"/>
        </w:rPr>
      </w:pPr>
    </w:p>
    <w:p w14:paraId="44115437" w14:textId="5B7FB3F4" w:rsidR="00B92382" w:rsidRPr="00FA2706" w:rsidRDefault="00B92382" w:rsidP="00B92382">
      <w:pPr>
        <w:rPr>
          <w:color w:val="156082" w:themeColor="accent1"/>
          <w:sz w:val="22"/>
          <w:szCs w:val="22"/>
        </w:rPr>
      </w:pPr>
      <w:r>
        <w:rPr>
          <w:color w:val="156082" w:themeColor="accent1"/>
          <w:sz w:val="22"/>
          <w:szCs w:val="22"/>
        </w:rPr>
        <w:t>In Table 3, a</w:t>
      </w:r>
      <w:r w:rsidRPr="00FA2706">
        <w:rPr>
          <w:color w:val="156082" w:themeColor="accent1"/>
          <w:sz w:val="22"/>
          <w:szCs w:val="22"/>
        </w:rPr>
        <w:t xml:space="preserve">ll lines with ‘Implementing Unit’ = NAI (Nairobi) are dedicated to the </w:t>
      </w:r>
      <w:r w:rsidRPr="00FA2706">
        <w:rPr>
          <w:b/>
          <w:bCs/>
          <w:color w:val="156082" w:themeColor="accent1"/>
          <w:sz w:val="22"/>
          <w:szCs w:val="22"/>
        </w:rPr>
        <w:t>activities of IOCAFRICA</w:t>
      </w:r>
      <w:r w:rsidRPr="00FA2706">
        <w:rPr>
          <w:color w:val="156082" w:themeColor="accent1"/>
          <w:sz w:val="22"/>
          <w:szCs w:val="22"/>
        </w:rPr>
        <w:t>. Total of USD 937</w:t>
      </w:r>
      <w:r>
        <w:rPr>
          <w:color w:val="156082" w:themeColor="accent1"/>
          <w:sz w:val="22"/>
          <w:szCs w:val="22"/>
        </w:rPr>
        <w:t>K</w:t>
      </w:r>
      <w:r w:rsidRPr="00FA2706">
        <w:rPr>
          <w:color w:val="156082" w:themeColor="accent1"/>
          <w:sz w:val="22"/>
          <w:szCs w:val="22"/>
        </w:rPr>
        <w:t xml:space="preserve">, or </w:t>
      </w:r>
      <w:r w:rsidRPr="00FA2706">
        <w:rPr>
          <w:b/>
          <w:bCs/>
          <w:color w:val="156082" w:themeColor="accent1"/>
          <w:sz w:val="22"/>
          <w:szCs w:val="22"/>
        </w:rPr>
        <w:t>3% increase</w:t>
      </w:r>
      <w:r w:rsidRPr="00FA2706">
        <w:rPr>
          <w:color w:val="156082" w:themeColor="accent1"/>
          <w:sz w:val="22"/>
          <w:szCs w:val="22"/>
        </w:rPr>
        <w:t xml:space="preserve"> (at least 1% recommended by IOC Resolution A-32/4).</w:t>
      </w:r>
    </w:p>
    <w:p w14:paraId="56EF7BDE" w14:textId="77777777" w:rsidR="0038721F" w:rsidRDefault="0038721F" w:rsidP="00F94E68">
      <w:pPr>
        <w:spacing w:after="0" w:line="240" w:lineRule="auto"/>
        <w:jc w:val="center"/>
        <w:rPr>
          <w:b/>
          <w:bCs/>
          <w:color w:val="156082" w:themeColor="accent1"/>
          <w:sz w:val="18"/>
          <w:szCs w:val="18"/>
        </w:rPr>
      </w:pPr>
    </w:p>
    <w:p w14:paraId="1DC62A13" w14:textId="77777777" w:rsidR="00FF7B74" w:rsidRDefault="00FF7B74" w:rsidP="00F94E68">
      <w:pPr>
        <w:spacing w:after="0" w:line="240" w:lineRule="auto"/>
        <w:jc w:val="center"/>
        <w:rPr>
          <w:b/>
          <w:bCs/>
          <w:color w:val="156082" w:themeColor="accent1"/>
          <w:sz w:val="18"/>
          <w:szCs w:val="18"/>
        </w:rPr>
      </w:pPr>
    </w:p>
    <w:p w14:paraId="45D6C63C" w14:textId="77777777" w:rsidR="00FF7B74" w:rsidRDefault="00FF7B74" w:rsidP="00F94E68">
      <w:pPr>
        <w:spacing w:after="0" w:line="240" w:lineRule="auto"/>
        <w:jc w:val="center"/>
        <w:rPr>
          <w:b/>
          <w:bCs/>
          <w:color w:val="156082" w:themeColor="accent1"/>
          <w:sz w:val="18"/>
          <w:szCs w:val="18"/>
        </w:rPr>
      </w:pPr>
    </w:p>
    <w:p w14:paraId="2898412B" w14:textId="5648E71A" w:rsidR="0038721F" w:rsidRDefault="00B92382" w:rsidP="00F94E68">
      <w:pPr>
        <w:spacing w:after="0" w:line="240" w:lineRule="auto"/>
        <w:jc w:val="center"/>
        <w:rPr>
          <w:b/>
          <w:bCs/>
          <w:color w:val="156082" w:themeColor="accent1"/>
          <w:sz w:val="18"/>
          <w:szCs w:val="18"/>
        </w:rPr>
      </w:pPr>
      <w:r>
        <w:rPr>
          <w:b/>
          <w:bCs/>
          <w:color w:val="156082" w:themeColor="accent1"/>
          <w:sz w:val="18"/>
          <w:szCs w:val="18"/>
        </w:rPr>
        <w:t>Chart 1</w:t>
      </w:r>
      <w:r w:rsidR="00CA316D">
        <w:rPr>
          <w:b/>
          <w:bCs/>
          <w:color w:val="156082" w:themeColor="accent1"/>
          <w:sz w:val="18"/>
          <w:szCs w:val="18"/>
        </w:rPr>
        <w:t>. Non-staff regular budget by region</w:t>
      </w:r>
    </w:p>
    <w:p w14:paraId="1440CEC0" w14:textId="37B3B96A" w:rsidR="0038721F" w:rsidRDefault="0038721F" w:rsidP="00F94E68">
      <w:pPr>
        <w:spacing w:after="0" w:line="240" w:lineRule="auto"/>
        <w:jc w:val="center"/>
        <w:rPr>
          <w:b/>
          <w:bCs/>
          <w:color w:val="156082" w:themeColor="accent1"/>
          <w:sz w:val="18"/>
          <w:szCs w:val="18"/>
        </w:rPr>
      </w:pPr>
      <w:r>
        <w:rPr>
          <w:b/>
          <w:bCs/>
          <w:noProof/>
          <w:color w:val="156082" w:themeColor="accent1"/>
          <w:sz w:val="22"/>
          <w:szCs w:val="22"/>
        </w:rPr>
        <w:drawing>
          <wp:inline distT="0" distB="0" distL="0" distR="0" wp14:anchorId="04DCF03A" wp14:editId="7F69B96E">
            <wp:extent cx="3785870" cy="2268220"/>
            <wp:effectExtent l="0" t="0" r="5080" b="0"/>
            <wp:docPr id="499480754" name="Picture 1" descr="A pie chart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480754" name="Picture 1" descr="A pie chart with numbers and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5870" cy="2268220"/>
                    </a:xfrm>
                    <a:prstGeom prst="rect">
                      <a:avLst/>
                    </a:prstGeom>
                    <a:noFill/>
                  </pic:spPr>
                </pic:pic>
              </a:graphicData>
            </a:graphic>
          </wp:inline>
        </w:drawing>
      </w:r>
    </w:p>
    <w:p w14:paraId="12EEABEB" w14:textId="77777777" w:rsidR="0038721F" w:rsidRDefault="0038721F" w:rsidP="00F94E68">
      <w:pPr>
        <w:spacing w:after="0" w:line="240" w:lineRule="auto"/>
        <w:jc w:val="center"/>
        <w:rPr>
          <w:b/>
          <w:bCs/>
          <w:color w:val="156082" w:themeColor="accent1"/>
          <w:sz w:val="18"/>
          <w:szCs w:val="18"/>
        </w:rPr>
      </w:pPr>
    </w:p>
    <w:p w14:paraId="3DF1E725" w14:textId="7FA2E3DE" w:rsidR="0038721F" w:rsidRDefault="00FF7B74" w:rsidP="00F94E68">
      <w:pPr>
        <w:spacing w:after="0" w:line="240" w:lineRule="auto"/>
        <w:jc w:val="center"/>
        <w:rPr>
          <w:b/>
          <w:bCs/>
          <w:color w:val="156082" w:themeColor="accent1"/>
          <w:sz w:val="18"/>
          <w:szCs w:val="18"/>
        </w:rPr>
      </w:pPr>
      <w:r>
        <w:rPr>
          <w:b/>
          <w:bCs/>
          <w:noProof/>
          <w:color w:val="156082" w:themeColor="accent1"/>
          <w:sz w:val="18"/>
          <w:szCs w:val="18"/>
        </w:rPr>
        <mc:AlternateContent>
          <mc:Choice Requires="wps">
            <w:drawing>
              <wp:anchor distT="0" distB="0" distL="114300" distR="114300" simplePos="0" relativeHeight="251661312" behindDoc="0" locked="0" layoutInCell="1" allowOverlap="1" wp14:anchorId="270CC9DD" wp14:editId="57A45415">
                <wp:simplePos x="0" y="0"/>
                <wp:positionH relativeFrom="column">
                  <wp:posOffset>1295399</wp:posOffset>
                </wp:positionH>
                <wp:positionV relativeFrom="paragraph">
                  <wp:posOffset>139065</wp:posOffset>
                </wp:positionV>
                <wp:extent cx="4314825" cy="9525"/>
                <wp:effectExtent l="0" t="0" r="28575" b="28575"/>
                <wp:wrapNone/>
                <wp:docPr id="639720341" name="Straight Connector 2"/>
                <wp:cNvGraphicFramePr/>
                <a:graphic xmlns:a="http://schemas.openxmlformats.org/drawingml/2006/main">
                  <a:graphicData uri="http://schemas.microsoft.com/office/word/2010/wordprocessingShape">
                    <wps:wsp>
                      <wps:cNvCnPr/>
                      <wps:spPr>
                        <a:xfrm>
                          <a:off x="0" y="0"/>
                          <a:ext cx="4314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3E08A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2pt,10.95pt" to="441.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fAngEAAJcDAAAOAAAAZHJzL2Uyb0RvYy54bWysU8tu2zAQvAfoPxC8x5KcpEgFyzkkaC9F&#10;GzTpBzDU0iLAF5aMJf99l7QtF02BIEEuKz52ZneGq9XNZA3bAkbtXcebRc0ZOOl77TYd//349fya&#10;s5iE64XxDjq+g8hv1p/OVmNoYekHb3pARiQutmPo+JBSaKsqygGsiAsfwNGl8mhFoi1uqh7FSOzW&#10;VMu6/lyNHvuAXkKMdHq3v+Trwq8UyPRTqQiJmY5Tb6lELPEpx2q9Eu0GRRi0PLQh3tGFFdpR0Znq&#10;TiTBnlG/oLJaoo9epYX0tvJKaQlFA6lp6n/UPAwiQNFC5sQw2xQ/jlb+2N66eyQbxhDbGO4xq5gU&#10;2vyl/thUzNrNZsGUmKTDy4vm8np5xZmkuy9XtCKS6oQNGNM38JblRceNdlmKaMX2e0z71GMK4U7V&#10;yyrtDORk436BYrqnek1Bl8GAW4NsK+hJhZTgUnMoXbIzTGljZmD9OvCQn6FQhuYt4BlRKnuXZrDV&#10;zuP/qqfp2LLa5x8d2OvOFjz5flfepVhDr1/MPUxqHq+/9wV++p/WfwAAAP//AwBQSwMEFAAGAAgA&#10;AAAhACXmajThAAAACQEAAA8AAABkcnMvZG93bnJldi54bWxMj0FLw0AQhe+C/2EZwZvdNK0SYzal&#10;FMRakGIV6nGbHZNodjbsbpv03zue9DYz7/Hme8VitJ04oQ+tIwXTSQICqXKmpVrB+9vjTQYiRE1G&#10;d45QwRkDLMrLi0Lnxg30iqddrAWHUMi1gibGPpcyVA1aHSauR2Lt03mrI6++lsbrgcNtJ9MkuZNW&#10;t8QfGt3jqsHqe3e0Cl78er1abs5ftP2wwz7d7LfP45NS11fj8gFExDH+meEXn9GhZKaDO5IJolOQ&#10;JnPuEnmY3oNgQ5bNbkEc+DCbgywL+b9B+QMAAP//AwBQSwECLQAUAAYACAAAACEAtoM4kv4AAADh&#10;AQAAEwAAAAAAAAAAAAAAAAAAAAAAW0NvbnRlbnRfVHlwZXNdLnhtbFBLAQItABQABgAIAAAAIQA4&#10;/SH/1gAAAJQBAAALAAAAAAAAAAAAAAAAAC8BAABfcmVscy8ucmVsc1BLAQItABQABgAIAAAAIQBi&#10;OOfAngEAAJcDAAAOAAAAAAAAAAAAAAAAAC4CAABkcnMvZTJvRG9jLnhtbFBLAQItABQABgAIAAAA&#10;IQAl5mo04QAAAAkBAAAPAAAAAAAAAAAAAAAAAPgDAABkcnMvZG93bnJldi54bWxQSwUGAAAAAAQA&#10;BADzAAAABgUAAAAA&#10;" strokecolor="#156082 [3204]" strokeweight=".5pt">
                <v:stroke joinstyle="miter"/>
              </v:line>
            </w:pict>
          </mc:Fallback>
        </mc:AlternateContent>
      </w:r>
    </w:p>
    <w:p w14:paraId="3D43C297" w14:textId="77777777" w:rsidR="0038721F" w:rsidRDefault="0038721F" w:rsidP="00F94E68">
      <w:pPr>
        <w:spacing w:after="0" w:line="240" w:lineRule="auto"/>
        <w:jc w:val="center"/>
        <w:rPr>
          <w:b/>
          <w:bCs/>
          <w:color w:val="156082" w:themeColor="accent1"/>
          <w:sz w:val="18"/>
          <w:szCs w:val="18"/>
        </w:rPr>
      </w:pPr>
    </w:p>
    <w:p w14:paraId="0883AF1C" w14:textId="75555327" w:rsidR="00073519" w:rsidRDefault="00073519" w:rsidP="00073519">
      <w:pPr>
        <w:spacing w:after="0" w:line="240" w:lineRule="auto"/>
        <w:rPr>
          <w:color w:val="156082" w:themeColor="accent1"/>
          <w:sz w:val="22"/>
          <w:szCs w:val="22"/>
        </w:rPr>
      </w:pPr>
    </w:p>
    <w:p w14:paraId="52520E91" w14:textId="77777777" w:rsidR="00FF7B74" w:rsidRDefault="00FF7B74" w:rsidP="00073519">
      <w:pPr>
        <w:spacing w:after="0" w:line="240" w:lineRule="auto"/>
        <w:rPr>
          <w:color w:val="156082" w:themeColor="accent1"/>
          <w:sz w:val="22"/>
          <w:szCs w:val="22"/>
        </w:rPr>
      </w:pPr>
    </w:p>
    <w:p w14:paraId="40D5E25A" w14:textId="77777777" w:rsidR="00FF7B74" w:rsidRPr="00073519" w:rsidRDefault="00FF7B74" w:rsidP="00073519">
      <w:pPr>
        <w:spacing w:after="0" w:line="240" w:lineRule="auto"/>
        <w:rPr>
          <w:color w:val="156082" w:themeColor="accent1"/>
          <w:sz w:val="22"/>
          <w:szCs w:val="22"/>
        </w:rPr>
      </w:pPr>
    </w:p>
    <w:p w14:paraId="7D0C39F2" w14:textId="201BC08A" w:rsidR="00A2290B" w:rsidRPr="00EB32FE" w:rsidRDefault="00FE2024" w:rsidP="00F94E68">
      <w:pPr>
        <w:spacing w:after="0" w:line="240" w:lineRule="auto"/>
        <w:jc w:val="center"/>
        <w:rPr>
          <w:b/>
          <w:bCs/>
          <w:color w:val="156082" w:themeColor="accent1"/>
          <w:sz w:val="18"/>
          <w:szCs w:val="18"/>
        </w:rPr>
      </w:pPr>
      <w:r w:rsidRPr="00EB32FE">
        <w:rPr>
          <w:b/>
          <w:bCs/>
          <w:color w:val="156082" w:themeColor="accent1"/>
          <w:sz w:val="18"/>
          <w:szCs w:val="18"/>
        </w:rPr>
        <w:t xml:space="preserve">Table </w:t>
      </w:r>
      <w:r w:rsidR="003F224E" w:rsidRPr="00EB32FE">
        <w:rPr>
          <w:b/>
          <w:bCs/>
          <w:color w:val="156082" w:themeColor="accent1"/>
          <w:sz w:val="18"/>
          <w:szCs w:val="18"/>
        </w:rPr>
        <w:t>4</w:t>
      </w:r>
      <w:r w:rsidR="00A84E5D" w:rsidRPr="00EB32FE">
        <w:rPr>
          <w:b/>
          <w:bCs/>
          <w:color w:val="156082" w:themeColor="accent1"/>
          <w:sz w:val="18"/>
          <w:szCs w:val="18"/>
        </w:rPr>
        <w:t xml:space="preserve">. </w:t>
      </w:r>
      <w:r w:rsidR="00B11032" w:rsidRPr="00EB32FE">
        <w:rPr>
          <w:b/>
          <w:bCs/>
          <w:color w:val="156082" w:themeColor="accent1"/>
          <w:sz w:val="18"/>
          <w:szCs w:val="18"/>
        </w:rPr>
        <w:t xml:space="preserve">Integrated Budgetary Framework </w:t>
      </w:r>
      <w:r w:rsidR="000517BE">
        <w:rPr>
          <w:b/>
          <w:bCs/>
          <w:color w:val="156082" w:themeColor="accent1"/>
          <w:sz w:val="18"/>
          <w:szCs w:val="18"/>
        </w:rPr>
        <w:t xml:space="preserve">(IBF) </w:t>
      </w:r>
      <w:r w:rsidR="00B11032" w:rsidRPr="00EB32FE">
        <w:rPr>
          <w:b/>
          <w:bCs/>
          <w:color w:val="156082" w:themeColor="accent1"/>
          <w:sz w:val="18"/>
          <w:szCs w:val="18"/>
        </w:rPr>
        <w:t>- distribution of</w:t>
      </w:r>
      <w:r w:rsidR="00485A38" w:rsidRPr="00EB32FE">
        <w:rPr>
          <w:b/>
          <w:bCs/>
          <w:color w:val="156082" w:themeColor="accent1"/>
          <w:sz w:val="18"/>
          <w:szCs w:val="18"/>
        </w:rPr>
        <w:t xml:space="preserve"> resources by region </w:t>
      </w:r>
      <w:r w:rsidR="00AB3AAC" w:rsidRPr="00EB32FE">
        <w:rPr>
          <w:b/>
          <w:bCs/>
          <w:color w:val="156082" w:themeColor="accent1"/>
          <w:sz w:val="18"/>
          <w:szCs w:val="18"/>
        </w:rPr>
        <w:t xml:space="preserve">and by </w:t>
      </w:r>
      <w:r w:rsidR="00485A38" w:rsidRPr="00EB32FE">
        <w:rPr>
          <w:b/>
          <w:bCs/>
          <w:color w:val="156082" w:themeColor="accent1"/>
          <w:sz w:val="18"/>
          <w:szCs w:val="18"/>
        </w:rPr>
        <w:t>Global Priorities</w:t>
      </w:r>
      <w:r w:rsidR="00AB3AAC" w:rsidRPr="00EB32FE">
        <w:rPr>
          <w:b/>
          <w:bCs/>
          <w:color w:val="156082" w:themeColor="accent1"/>
          <w:sz w:val="18"/>
          <w:szCs w:val="18"/>
        </w:rPr>
        <w:t>/</w:t>
      </w:r>
      <w:r w:rsidR="00485A38" w:rsidRPr="00EB32FE">
        <w:rPr>
          <w:b/>
          <w:bCs/>
          <w:color w:val="156082" w:themeColor="accent1"/>
          <w:sz w:val="18"/>
          <w:szCs w:val="18"/>
        </w:rPr>
        <w:t xml:space="preserve">Priority </w:t>
      </w:r>
      <w:r w:rsidR="00A34120" w:rsidRPr="0022705E">
        <w:rPr>
          <w:b/>
          <w:bCs/>
          <w:color w:val="156082" w:themeColor="accent1"/>
          <w:sz w:val="18"/>
          <w:szCs w:val="18"/>
        </w:rPr>
        <w:t>Groups</w:t>
      </w:r>
      <w:r w:rsidR="00A34120">
        <w:rPr>
          <w:rStyle w:val="FootnoteReference"/>
          <w:b/>
          <w:bCs/>
          <w:color w:val="156082" w:themeColor="accent1"/>
          <w:sz w:val="18"/>
          <w:szCs w:val="18"/>
        </w:rPr>
        <w:footnoteReference w:id="2"/>
      </w:r>
    </w:p>
    <w:tbl>
      <w:tblPr>
        <w:tblW w:w="8282" w:type="dxa"/>
        <w:jc w:val="center"/>
        <w:tblLook w:val="04A0" w:firstRow="1" w:lastRow="0" w:firstColumn="1" w:lastColumn="0" w:noHBand="0" w:noVBand="1"/>
      </w:tblPr>
      <w:tblGrid>
        <w:gridCol w:w="4964"/>
        <w:gridCol w:w="421"/>
        <w:gridCol w:w="1127"/>
        <w:gridCol w:w="421"/>
        <w:gridCol w:w="1127"/>
        <w:gridCol w:w="222"/>
      </w:tblGrid>
      <w:tr w:rsidR="008E69D0" w:rsidRPr="00FA2706" w14:paraId="308FDB68" w14:textId="77777777" w:rsidTr="00A34120">
        <w:trPr>
          <w:gridAfter w:val="1"/>
          <w:wAfter w:w="222" w:type="dxa"/>
          <w:trHeight w:val="300"/>
          <w:jc w:val="center"/>
        </w:trPr>
        <w:tc>
          <w:tcPr>
            <w:tcW w:w="80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1EB61" w14:textId="79FB6191" w:rsidR="008E69D0" w:rsidRPr="00B60AF7" w:rsidRDefault="008E69D0" w:rsidP="00F94E68">
            <w:pPr>
              <w:spacing w:after="0" w:line="240" w:lineRule="auto"/>
              <w:jc w:val="center"/>
              <w:rPr>
                <w:rFonts w:eastAsia="Times New Roman" w:cs="Calibri"/>
                <w:b/>
                <w:bCs/>
                <w:color w:val="000000"/>
                <w:kern w:val="0"/>
                <w:sz w:val="18"/>
                <w:szCs w:val="18"/>
                <w14:ligatures w14:val="none"/>
              </w:rPr>
            </w:pPr>
            <w:r w:rsidRPr="00B60AF7">
              <w:rPr>
                <w:rFonts w:eastAsia="Times New Roman" w:cs="Calibri"/>
                <w:b/>
                <w:bCs/>
                <w:color w:val="000000"/>
                <w:kern w:val="0"/>
                <w:sz w:val="18"/>
                <w:szCs w:val="18"/>
                <w14:ligatures w14:val="none"/>
              </w:rPr>
              <w:t>IBF resources - in USD'000</w:t>
            </w:r>
          </w:p>
        </w:tc>
      </w:tr>
      <w:tr w:rsidR="008E69D0" w:rsidRPr="00FA2706" w14:paraId="0CF077F4" w14:textId="77777777" w:rsidTr="00A34120">
        <w:trPr>
          <w:gridAfter w:val="1"/>
          <w:wAfter w:w="222" w:type="dxa"/>
          <w:trHeight w:val="300"/>
          <w:jc w:val="center"/>
        </w:trPr>
        <w:tc>
          <w:tcPr>
            <w:tcW w:w="496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9E0DF4E" w14:textId="765514CE" w:rsidR="008E69D0" w:rsidRPr="00B60AF7" w:rsidRDefault="008E69D0" w:rsidP="00F94E68">
            <w:pPr>
              <w:spacing w:after="0" w:line="240" w:lineRule="auto"/>
              <w:jc w:val="center"/>
              <w:rPr>
                <w:rFonts w:eastAsia="Times New Roman" w:cs="Calibri"/>
                <w:color w:val="000000"/>
                <w:kern w:val="0"/>
                <w:sz w:val="18"/>
                <w:szCs w:val="18"/>
                <w14:ligatures w14:val="none"/>
              </w:rPr>
            </w:pPr>
          </w:p>
        </w:tc>
        <w:tc>
          <w:tcPr>
            <w:tcW w:w="15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E3617D"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41 C/5</w:t>
            </w:r>
          </w:p>
        </w:tc>
        <w:tc>
          <w:tcPr>
            <w:tcW w:w="1548" w:type="dxa"/>
            <w:gridSpan w:val="2"/>
            <w:tcBorders>
              <w:top w:val="single" w:sz="4" w:space="0" w:color="auto"/>
              <w:left w:val="nil"/>
              <w:bottom w:val="single" w:sz="4" w:space="0" w:color="auto"/>
              <w:right w:val="single" w:sz="4" w:space="0" w:color="auto"/>
            </w:tcBorders>
            <w:shd w:val="clear" w:color="auto" w:fill="auto"/>
            <w:vAlign w:val="center"/>
            <w:hideMark/>
          </w:tcPr>
          <w:p w14:paraId="481FF46B"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42 C/5</w:t>
            </w:r>
          </w:p>
        </w:tc>
      </w:tr>
      <w:tr w:rsidR="008E69D0" w:rsidRPr="00FA2706" w14:paraId="5F299C99" w14:textId="77777777" w:rsidTr="00A34120">
        <w:trPr>
          <w:gridAfter w:val="1"/>
          <w:wAfter w:w="222" w:type="dxa"/>
          <w:trHeight w:val="300"/>
          <w:jc w:val="center"/>
        </w:trPr>
        <w:tc>
          <w:tcPr>
            <w:tcW w:w="4964" w:type="dxa"/>
            <w:vMerge/>
            <w:tcBorders>
              <w:top w:val="nil"/>
              <w:left w:val="single" w:sz="4" w:space="0" w:color="auto"/>
              <w:bottom w:val="single" w:sz="4" w:space="0" w:color="auto"/>
              <w:right w:val="single" w:sz="4" w:space="0" w:color="auto"/>
            </w:tcBorders>
            <w:vAlign w:val="center"/>
            <w:hideMark/>
          </w:tcPr>
          <w:p w14:paraId="00367F45"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p>
        </w:tc>
        <w:tc>
          <w:tcPr>
            <w:tcW w:w="421" w:type="dxa"/>
            <w:tcBorders>
              <w:top w:val="nil"/>
              <w:left w:val="nil"/>
              <w:bottom w:val="single" w:sz="4" w:space="0" w:color="auto"/>
              <w:right w:val="single" w:sz="4" w:space="0" w:color="auto"/>
            </w:tcBorders>
            <w:shd w:val="clear" w:color="auto" w:fill="auto"/>
            <w:noWrap/>
            <w:vAlign w:val="bottom"/>
            <w:hideMark/>
          </w:tcPr>
          <w:p w14:paraId="45BD3350"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w:t>
            </w:r>
          </w:p>
        </w:tc>
        <w:tc>
          <w:tcPr>
            <w:tcW w:w="1127" w:type="dxa"/>
            <w:tcBorders>
              <w:top w:val="nil"/>
              <w:left w:val="nil"/>
              <w:bottom w:val="single" w:sz="4" w:space="0" w:color="auto"/>
              <w:right w:val="single" w:sz="4" w:space="0" w:color="auto"/>
            </w:tcBorders>
            <w:shd w:val="clear" w:color="auto" w:fill="auto"/>
            <w:noWrap/>
            <w:vAlign w:val="bottom"/>
            <w:hideMark/>
          </w:tcPr>
          <w:p w14:paraId="06665537"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w:t>
            </w:r>
          </w:p>
        </w:tc>
        <w:tc>
          <w:tcPr>
            <w:tcW w:w="421" w:type="dxa"/>
            <w:tcBorders>
              <w:top w:val="nil"/>
              <w:left w:val="nil"/>
              <w:bottom w:val="single" w:sz="4" w:space="0" w:color="auto"/>
              <w:right w:val="single" w:sz="4" w:space="0" w:color="auto"/>
            </w:tcBorders>
            <w:shd w:val="clear" w:color="auto" w:fill="auto"/>
            <w:noWrap/>
            <w:vAlign w:val="bottom"/>
            <w:hideMark/>
          </w:tcPr>
          <w:p w14:paraId="1EDFD5FB"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w:t>
            </w:r>
          </w:p>
        </w:tc>
        <w:tc>
          <w:tcPr>
            <w:tcW w:w="1127" w:type="dxa"/>
            <w:tcBorders>
              <w:top w:val="nil"/>
              <w:left w:val="nil"/>
              <w:bottom w:val="single" w:sz="4" w:space="0" w:color="auto"/>
              <w:right w:val="single" w:sz="4" w:space="0" w:color="auto"/>
            </w:tcBorders>
            <w:shd w:val="clear" w:color="auto" w:fill="auto"/>
            <w:noWrap/>
            <w:vAlign w:val="bottom"/>
            <w:hideMark/>
          </w:tcPr>
          <w:p w14:paraId="0C20BE1A"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w:t>
            </w:r>
          </w:p>
        </w:tc>
      </w:tr>
      <w:tr w:rsidR="008E69D0" w:rsidRPr="00FA2706" w14:paraId="1B63BD90" w14:textId="77777777" w:rsidTr="00A34120">
        <w:trPr>
          <w:gridAfter w:val="1"/>
          <w:wAfter w:w="222" w:type="dxa"/>
          <w:trHeight w:val="300"/>
          <w:jc w:val="center"/>
        </w:trPr>
        <w:tc>
          <w:tcPr>
            <w:tcW w:w="8060" w:type="dxa"/>
            <w:gridSpan w:val="5"/>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A69796A"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Global Priorities &amp; Priority Groups</w:t>
            </w:r>
          </w:p>
        </w:tc>
      </w:tr>
      <w:tr w:rsidR="008E69D0" w:rsidRPr="00FA2706" w14:paraId="461B031D" w14:textId="77777777" w:rsidTr="00A34120">
        <w:trPr>
          <w:gridAfter w:val="1"/>
          <w:wAfter w:w="222" w:type="dxa"/>
          <w:trHeight w:val="300"/>
          <w:jc w:val="center"/>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14:paraId="5C6BFFEC" w14:textId="77777777" w:rsidR="008E69D0" w:rsidRPr="00B60AF7" w:rsidRDefault="008E69D0" w:rsidP="00F94E68">
            <w:pPr>
              <w:spacing w:after="0" w:line="240" w:lineRule="auto"/>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Global Priority Africa</w:t>
            </w:r>
          </w:p>
        </w:tc>
        <w:tc>
          <w:tcPr>
            <w:tcW w:w="421" w:type="dxa"/>
            <w:tcBorders>
              <w:top w:val="nil"/>
              <w:left w:val="nil"/>
              <w:bottom w:val="single" w:sz="4" w:space="0" w:color="auto"/>
              <w:right w:val="single" w:sz="4" w:space="0" w:color="auto"/>
            </w:tcBorders>
            <w:shd w:val="clear" w:color="auto" w:fill="auto"/>
            <w:noWrap/>
            <w:vAlign w:val="bottom"/>
            <w:hideMark/>
          </w:tcPr>
          <w:p w14:paraId="3645ECEF"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22</w:t>
            </w:r>
          </w:p>
        </w:tc>
        <w:tc>
          <w:tcPr>
            <w:tcW w:w="1127" w:type="dxa"/>
            <w:tcBorders>
              <w:top w:val="nil"/>
              <w:left w:val="nil"/>
              <w:bottom w:val="single" w:sz="4" w:space="0" w:color="auto"/>
              <w:right w:val="single" w:sz="4" w:space="0" w:color="auto"/>
            </w:tcBorders>
            <w:shd w:val="clear" w:color="auto" w:fill="auto"/>
            <w:noWrap/>
            <w:vAlign w:val="bottom"/>
            <w:hideMark/>
          </w:tcPr>
          <w:p w14:paraId="339F4B64"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7,051</w:t>
            </w:r>
          </w:p>
        </w:tc>
        <w:tc>
          <w:tcPr>
            <w:tcW w:w="421" w:type="dxa"/>
            <w:tcBorders>
              <w:top w:val="nil"/>
              <w:left w:val="nil"/>
              <w:bottom w:val="single" w:sz="4" w:space="0" w:color="auto"/>
              <w:right w:val="single" w:sz="4" w:space="0" w:color="auto"/>
            </w:tcBorders>
            <w:shd w:val="clear" w:color="auto" w:fill="auto"/>
            <w:noWrap/>
            <w:vAlign w:val="bottom"/>
            <w:hideMark/>
          </w:tcPr>
          <w:p w14:paraId="011C0882"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26</w:t>
            </w:r>
          </w:p>
        </w:tc>
        <w:tc>
          <w:tcPr>
            <w:tcW w:w="1127" w:type="dxa"/>
            <w:tcBorders>
              <w:top w:val="nil"/>
              <w:left w:val="nil"/>
              <w:bottom w:val="single" w:sz="4" w:space="0" w:color="auto"/>
              <w:right w:val="single" w:sz="4" w:space="0" w:color="auto"/>
            </w:tcBorders>
            <w:shd w:val="clear" w:color="auto" w:fill="auto"/>
            <w:noWrap/>
            <w:vAlign w:val="bottom"/>
            <w:hideMark/>
          </w:tcPr>
          <w:p w14:paraId="2B7F1A27"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12,735</w:t>
            </w:r>
          </w:p>
        </w:tc>
      </w:tr>
      <w:tr w:rsidR="008E69D0" w:rsidRPr="00FA2706" w14:paraId="3AD13275" w14:textId="77777777" w:rsidTr="00A34120">
        <w:trPr>
          <w:gridAfter w:val="1"/>
          <w:wAfter w:w="222" w:type="dxa"/>
          <w:trHeight w:val="300"/>
          <w:jc w:val="center"/>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14:paraId="155356AD" w14:textId="77777777" w:rsidR="008E69D0" w:rsidRPr="00B60AF7" w:rsidRDefault="008E69D0" w:rsidP="00F94E68">
            <w:pPr>
              <w:spacing w:after="0" w:line="240" w:lineRule="auto"/>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Global Priority Gender Equality</w:t>
            </w:r>
          </w:p>
        </w:tc>
        <w:tc>
          <w:tcPr>
            <w:tcW w:w="421" w:type="dxa"/>
            <w:tcBorders>
              <w:top w:val="nil"/>
              <w:left w:val="nil"/>
              <w:bottom w:val="single" w:sz="4" w:space="0" w:color="auto"/>
              <w:right w:val="single" w:sz="4" w:space="0" w:color="auto"/>
            </w:tcBorders>
            <w:shd w:val="clear" w:color="auto" w:fill="auto"/>
            <w:noWrap/>
            <w:vAlign w:val="bottom"/>
            <w:hideMark/>
          </w:tcPr>
          <w:p w14:paraId="3930F2A1"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12</w:t>
            </w:r>
          </w:p>
        </w:tc>
        <w:tc>
          <w:tcPr>
            <w:tcW w:w="1127" w:type="dxa"/>
            <w:tcBorders>
              <w:top w:val="nil"/>
              <w:left w:val="nil"/>
              <w:bottom w:val="single" w:sz="4" w:space="0" w:color="auto"/>
              <w:right w:val="single" w:sz="4" w:space="0" w:color="auto"/>
            </w:tcBorders>
            <w:shd w:val="clear" w:color="auto" w:fill="auto"/>
            <w:noWrap/>
            <w:vAlign w:val="bottom"/>
            <w:hideMark/>
          </w:tcPr>
          <w:p w14:paraId="25D8E4C7"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3,803</w:t>
            </w:r>
          </w:p>
        </w:tc>
        <w:tc>
          <w:tcPr>
            <w:tcW w:w="421" w:type="dxa"/>
            <w:tcBorders>
              <w:top w:val="nil"/>
              <w:left w:val="nil"/>
              <w:bottom w:val="single" w:sz="4" w:space="0" w:color="auto"/>
              <w:right w:val="single" w:sz="4" w:space="0" w:color="auto"/>
            </w:tcBorders>
            <w:shd w:val="clear" w:color="auto" w:fill="auto"/>
            <w:noWrap/>
            <w:vAlign w:val="bottom"/>
            <w:hideMark/>
          </w:tcPr>
          <w:p w14:paraId="0CCD7B6A"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12</w:t>
            </w:r>
          </w:p>
        </w:tc>
        <w:tc>
          <w:tcPr>
            <w:tcW w:w="1127" w:type="dxa"/>
            <w:tcBorders>
              <w:top w:val="nil"/>
              <w:left w:val="nil"/>
              <w:bottom w:val="single" w:sz="4" w:space="0" w:color="auto"/>
              <w:right w:val="single" w:sz="4" w:space="0" w:color="auto"/>
            </w:tcBorders>
            <w:shd w:val="clear" w:color="auto" w:fill="auto"/>
            <w:noWrap/>
            <w:vAlign w:val="bottom"/>
            <w:hideMark/>
          </w:tcPr>
          <w:p w14:paraId="4204522C"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5,914</w:t>
            </w:r>
          </w:p>
        </w:tc>
      </w:tr>
      <w:tr w:rsidR="008E69D0" w:rsidRPr="00FA2706" w14:paraId="0A5A7C8C" w14:textId="77777777" w:rsidTr="00A34120">
        <w:trPr>
          <w:gridAfter w:val="1"/>
          <w:wAfter w:w="222" w:type="dxa"/>
          <w:trHeight w:val="300"/>
          <w:jc w:val="center"/>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14:paraId="06898F7E" w14:textId="77777777" w:rsidR="008E69D0" w:rsidRPr="00B60AF7" w:rsidRDefault="008E69D0" w:rsidP="00F94E68">
            <w:pPr>
              <w:spacing w:after="0" w:line="240" w:lineRule="auto"/>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Priority Group SIDS</w:t>
            </w:r>
          </w:p>
        </w:tc>
        <w:tc>
          <w:tcPr>
            <w:tcW w:w="421" w:type="dxa"/>
            <w:tcBorders>
              <w:top w:val="nil"/>
              <w:left w:val="nil"/>
              <w:bottom w:val="single" w:sz="4" w:space="0" w:color="auto"/>
              <w:right w:val="single" w:sz="4" w:space="0" w:color="auto"/>
            </w:tcBorders>
            <w:shd w:val="clear" w:color="auto" w:fill="auto"/>
            <w:noWrap/>
            <w:vAlign w:val="bottom"/>
            <w:hideMark/>
          </w:tcPr>
          <w:p w14:paraId="66529835"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20</w:t>
            </w:r>
          </w:p>
        </w:tc>
        <w:tc>
          <w:tcPr>
            <w:tcW w:w="1127" w:type="dxa"/>
            <w:tcBorders>
              <w:top w:val="nil"/>
              <w:left w:val="nil"/>
              <w:bottom w:val="single" w:sz="4" w:space="0" w:color="auto"/>
              <w:right w:val="single" w:sz="4" w:space="0" w:color="auto"/>
            </w:tcBorders>
            <w:shd w:val="clear" w:color="auto" w:fill="auto"/>
            <w:noWrap/>
            <w:vAlign w:val="bottom"/>
            <w:hideMark/>
          </w:tcPr>
          <w:p w14:paraId="09A61561"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6,413</w:t>
            </w:r>
          </w:p>
        </w:tc>
        <w:tc>
          <w:tcPr>
            <w:tcW w:w="421" w:type="dxa"/>
            <w:tcBorders>
              <w:top w:val="nil"/>
              <w:left w:val="nil"/>
              <w:bottom w:val="single" w:sz="4" w:space="0" w:color="auto"/>
              <w:right w:val="single" w:sz="4" w:space="0" w:color="auto"/>
            </w:tcBorders>
            <w:shd w:val="clear" w:color="auto" w:fill="auto"/>
            <w:noWrap/>
            <w:vAlign w:val="bottom"/>
            <w:hideMark/>
          </w:tcPr>
          <w:p w14:paraId="438EE1D6"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20</w:t>
            </w:r>
          </w:p>
        </w:tc>
        <w:tc>
          <w:tcPr>
            <w:tcW w:w="1127" w:type="dxa"/>
            <w:tcBorders>
              <w:top w:val="nil"/>
              <w:left w:val="nil"/>
              <w:bottom w:val="single" w:sz="4" w:space="0" w:color="auto"/>
              <w:right w:val="single" w:sz="4" w:space="0" w:color="auto"/>
            </w:tcBorders>
            <w:shd w:val="clear" w:color="auto" w:fill="auto"/>
            <w:noWrap/>
            <w:vAlign w:val="bottom"/>
            <w:hideMark/>
          </w:tcPr>
          <w:p w14:paraId="5B7AA00A"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9,759</w:t>
            </w:r>
          </w:p>
        </w:tc>
      </w:tr>
      <w:tr w:rsidR="008E69D0" w:rsidRPr="00FA2706" w14:paraId="6F8AFB64" w14:textId="77777777" w:rsidTr="00A34120">
        <w:trPr>
          <w:gridAfter w:val="1"/>
          <w:wAfter w:w="222" w:type="dxa"/>
          <w:trHeight w:val="300"/>
          <w:jc w:val="center"/>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14:paraId="4C68C353" w14:textId="77777777" w:rsidR="008E69D0" w:rsidRPr="00B60AF7" w:rsidRDefault="008E69D0" w:rsidP="00F94E68">
            <w:pPr>
              <w:spacing w:after="0" w:line="240" w:lineRule="auto"/>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Priority Group Youth</w:t>
            </w:r>
          </w:p>
        </w:tc>
        <w:tc>
          <w:tcPr>
            <w:tcW w:w="421" w:type="dxa"/>
            <w:tcBorders>
              <w:top w:val="nil"/>
              <w:left w:val="nil"/>
              <w:bottom w:val="single" w:sz="4" w:space="0" w:color="auto"/>
              <w:right w:val="single" w:sz="4" w:space="0" w:color="auto"/>
            </w:tcBorders>
            <w:shd w:val="clear" w:color="auto" w:fill="auto"/>
            <w:noWrap/>
            <w:vAlign w:val="bottom"/>
            <w:hideMark/>
          </w:tcPr>
          <w:p w14:paraId="6A1A3765"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5</w:t>
            </w:r>
          </w:p>
        </w:tc>
        <w:tc>
          <w:tcPr>
            <w:tcW w:w="1127" w:type="dxa"/>
            <w:tcBorders>
              <w:top w:val="nil"/>
              <w:left w:val="nil"/>
              <w:bottom w:val="single" w:sz="4" w:space="0" w:color="auto"/>
              <w:right w:val="single" w:sz="4" w:space="0" w:color="auto"/>
            </w:tcBorders>
            <w:shd w:val="clear" w:color="auto" w:fill="auto"/>
            <w:noWrap/>
            <w:vAlign w:val="bottom"/>
            <w:hideMark/>
          </w:tcPr>
          <w:p w14:paraId="0ACBFB48"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1,608</w:t>
            </w:r>
          </w:p>
        </w:tc>
        <w:tc>
          <w:tcPr>
            <w:tcW w:w="421" w:type="dxa"/>
            <w:tcBorders>
              <w:top w:val="nil"/>
              <w:left w:val="nil"/>
              <w:bottom w:val="single" w:sz="4" w:space="0" w:color="auto"/>
              <w:right w:val="single" w:sz="4" w:space="0" w:color="auto"/>
            </w:tcBorders>
            <w:shd w:val="clear" w:color="auto" w:fill="auto"/>
            <w:noWrap/>
            <w:vAlign w:val="bottom"/>
            <w:hideMark/>
          </w:tcPr>
          <w:p w14:paraId="4E73A79C"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6</w:t>
            </w:r>
          </w:p>
        </w:tc>
        <w:tc>
          <w:tcPr>
            <w:tcW w:w="1127" w:type="dxa"/>
            <w:tcBorders>
              <w:top w:val="nil"/>
              <w:left w:val="nil"/>
              <w:bottom w:val="single" w:sz="4" w:space="0" w:color="auto"/>
              <w:right w:val="single" w:sz="4" w:space="0" w:color="auto"/>
            </w:tcBorders>
            <w:shd w:val="clear" w:color="auto" w:fill="auto"/>
            <w:noWrap/>
            <w:vAlign w:val="bottom"/>
            <w:hideMark/>
          </w:tcPr>
          <w:p w14:paraId="45F1FD30"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2,716</w:t>
            </w:r>
          </w:p>
        </w:tc>
      </w:tr>
      <w:tr w:rsidR="008E69D0" w:rsidRPr="00FA2706" w14:paraId="27189918" w14:textId="77777777" w:rsidTr="00A34120">
        <w:trPr>
          <w:gridAfter w:val="1"/>
          <w:wAfter w:w="222" w:type="dxa"/>
          <w:trHeight w:val="300"/>
          <w:jc w:val="center"/>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14:paraId="41DB2D2E" w14:textId="390C1F98" w:rsidR="008E69D0" w:rsidRPr="00B60AF7" w:rsidRDefault="008E69D0" w:rsidP="00F94E68">
            <w:pPr>
              <w:spacing w:after="0" w:line="240" w:lineRule="auto"/>
              <w:rPr>
                <w:rFonts w:eastAsia="Times New Roman" w:cs="Calibri"/>
                <w:color w:val="000000"/>
                <w:kern w:val="0"/>
                <w:sz w:val="18"/>
                <w:szCs w:val="18"/>
                <w14:ligatures w14:val="none"/>
              </w:rPr>
            </w:pPr>
          </w:p>
        </w:tc>
        <w:tc>
          <w:tcPr>
            <w:tcW w:w="421" w:type="dxa"/>
            <w:tcBorders>
              <w:top w:val="nil"/>
              <w:left w:val="nil"/>
              <w:bottom w:val="single" w:sz="4" w:space="0" w:color="auto"/>
              <w:right w:val="single" w:sz="4" w:space="0" w:color="auto"/>
            </w:tcBorders>
            <w:shd w:val="clear" w:color="auto" w:fill="auto"/>
            <w:noWrap/>
            <w:vAlign w:val="bottom"/>
            <w:hideMark/>
          </w:tcPr>
          <w:p w14:paraId="10610F50" w14:textId="2124CE55" w:rsidR="008E69D0" w:rsidRPr="00B60AF7" w:rsidRDefault="008E69D0" w:rsidP="00F94E68">
            <w:pPr>
              <w:spacing w:after="0" w:line="240" w:lineRule="auto"/>
              <w:jc w:val="center"/>
              <w:rPr>
                <w:rFonts w:eastAsia="Times New Roman" w:cs="Calibri"/>
                <w:color w:val="000000"/>
                <w:kern w:val="0"/>
                <w:sz w:val="18"/>
                <w:szCs w:val="18"/>
                <w14:ligatures w14:val="none"/>
              </w:rPr>
            </w:pPr>
          </w:p>
        </w:tc>
        <w:tc>
          <w:tcPr>
            <w:tcW w:w="1127" w:type="dxa"/>
            <w:tcBorders>
              <w:top w:val="nil"/>
              <w:left w:val="nil"/>
              <w:bottom w:val="single" w:sz="4" w:space="0" w:color="auto"/>
              <w:right w:val="single" w:sz="4" w:space="0" w:color="auto"/>
            </w:tcBorders>
            <w:shd w:val="clear" w:color="auto" w:fill="auto"/>
            <w:noWrap/>
            <w:vAlign w:val="bottom"/>
            <w:hideMark/>
          </w:tcPr>
          <w:p w14:paraId="76951C1E" w14:textId="1C0C4AA1" w:rsidR="008E69D0" w:rsidRPr="00B60AF7" w:rsidRDefault="008E69D0" w:rsidP="00F94E68">
            <w:pPr>
              <w:spacing w:after="0" w:line="240" w:lineRule="auto"/>
              <w:jc w:val="center"/>
              <w:rPr>
                <w:rFonts w:eastAsia="Times New Roman" w:cs="Calibri"/>
                <w:color w:val="000000"/>
                <w:kern w:val="0"/>
                <w:sz w:val="18"/>
                <w:szCs w:val="18"/>
                <w14:ligatures w14:val="none"/>
              </w:rPr>
            </w:pPr>
          </w:p>
        </w:tc>
        <w:tc>
          <w:tcPr>
            <w:tcW w:w="421" w:type="dxa"/>
            <w:tcBorders>
              <w:top w:val="nil"/>
              <w:left w:val="nil"/>
              <w:bottom w:val="single" w:sz="4" w:space="0" w:color="auto"/>
              <w:right w:val="single" w:sz="4" w:space="0" w:color="auto"/>
            </w:tcBorders>
            <w:shd w:val="clear" w:color="auto" w:fill="auto"/>
            <w:noWrap/>
            <w:vAlign w:val="bottom"/>
            <w:hideMark/>
          </w:tcPr>
          <w:p w14:paraId="5164A39B" w14:textId="1E97BB5C" w:rsidR="008E69D0" w:rsidRPr="00B60AF7" w:rsidRDefault="008E69D0" w:rsidP="00F94E68">
            <w:pPr>
              <w:spacing w:after="0" w:line="240" w:lineRule="auto"/>
              <w:jc w:val="center"/>
              <w:rPr>
                <w:rFonts w:eastAsia="Times New Roman" w:cs="Calibri"/>
                <w:color w:val="000000"/>
                <w:kern w:val="0"/>
                <w:sz w:val="18"/>
                <w:szCs w:val="18"/>
                <w14:ligatures w14:val="none"/>
              </w:rPr>
            </w:pPr>
          </w:p>
        </w:tc>
        <w:tc>
          <w:tcPr>
            <w:tcW w:w="1127" w:type="dxa"/>
            <w:tcBorders>
              <w:top w:val="nil"/>
              <w:left w:val="nil"/>
              <w:bottom w:val="single" w:sz="4" w:space="0" w:color="auto"/>
              <w:right w:val="single" w:sz="4" w:space="0" w:color="auto"/>
            </w:tcBorders>
            <w:shd w:val="clear" w:color="auto" w:fill="auto"/>
            <w:noWrap/>
            <w:vAlign w:val="bottom"/>
            <w:hideMark/>
          </w:tcPr>
          <w:p w14:paraId="1CE56321" w14:textId="3DFB8D17" w:rsidR="008E69D0" w:rsidRPr="00B60AF7" w:rsidRDefault="008E69D0" w:rsidP="00F94E68">
            <w:pPr>
              <w:spacing w:after="0" w:line="240" w:lineRule="auto"/>
              <w:jc w:val="center"/>
              <w:rPr>
                <w:rFonts w:eastAsia="Times New Roman" w:cs="Calibri"/>
                <w:color w:val="000000"/>
                <w:kern w:val="0"/>
                <w:sz w:val="18"/>
                <w:szCs w:val="18"/>
                <w14:ligatures w14:val="none"/>
              </w:rPr>
            </w:pPr>
          </w:p>
        </w:tc>
      </w:tr>
      <w:tr w:rsidR="008E69D0" w:rsidRPr="00FA2706" w14:paraId="6113A43A" w14:textId="77777777" w:rsidTr="00A34120">
        <w:trPr>
          <w:gridAfter w:val="1"/>
          <w:wAfter w:w="222" w:type="dxa"/>
          <w:trHeight w:val="300"/>
          <w:jc w:val="center"/>
        </w:trPr>
        <w:tc>
          <w:tcPr>
            <w:tcW w:w="8060"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5B5F8B8" w14:textId="17411A8C" w:rsidR="008E69D0" w:rsidRPr="00B60AF7" w:rsidRDefault="008E6853" w:rsidP="00F94E68">
            <w:pPr>
              <w:spacing w:after="0" w:line="240" w:lineRule="auto"/>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Decentralization</w:t>
            </w:r>
            <w:r w:rsidR="008E69D0" w:rsidRPr="00B60AF7">
              <w:rPr>
                <w:rFonts w:eastAsia="Times New Roman" w:cs="Calibri"/>
                <w:color w:val="000000"/>
                <w:kern w:val="0"/>
                <w:sz w:val="18"/>
                <w:szCs w:val="18"/>
                <w14:ligatures w14:val="none"/>
              </w:rPr>
              <w:t xml:space="preserve"> of resources*</w:t>
            </w:r>
          </w:p>
        </w:tc>
      </w:tr>
      <w:tr w:rsidR="008E69D0" w:rsidRPr="00FA2706" w14:paraId="4E942E70" w14:textId="77777777" w:rsidTr="00A34120">
        <w:trPr>
          <w:gridAfter w:val="1"/>
          <w:wAfter w:w="222" w:type="dxa"/>
          <w:trHeight w:val="300"/>
          <w:jc w:val="center"/>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14:paraId="499028CD" w14:textId="77777777" w:rsidR="008E69D0" w:rsidRPr="00B60AF7" w:rsidRDefault="008E69D0" w:rsidP="00F94E68">
            <w:pPr>
              <w:spacing w:after="0" w:line="240" w:lineRule="auto"/>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Headquarters</w:t>
            </w:r>
          </w:p>
        </w:tc>
        <w:tc>
          <w:tcPr>
            <w:tcW w:w="421" w:type="dxa"/>
            <w:tcBorders>
              <w:top w:val="nil"/>
              <w:left w:val="nil"/>
              <w:bottom w:val="single" w:sz="4" w:space="0" w:color="auto"/>
              <w:right w:val="single" w:sz="4" w:space="0" w:color="auto"/>
            </w:tcBorders>
            <w:shd w:val="clear" w:color="auto" w:fill="auto"/>
            <w:noWrap/>
            <w:vAlign w:val="bottom"/>
            <w:hideMark/>
          </w:tcPr>
          <w:p w14:paraId="3A7A113F"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82</w:t>
            </w:r>
          </w:p>
        </w:tc>
        <w:tc>
          <w:tcPr>
            <w:tcW w:w="1127" w:type="dxa"/>
            <w:tcBorders>
              <w:top w:val="nil"/>
              <w:left w:val="nil"/>
              <w:bottom w:val="single" w:sz="4" w:space="0" w:color="auto"/>
              <w:right w:val="single" w:sz="4" w:space="0" w:color="auto"/>
            </w:tcBorders>
            <w:shd w:val="clear" w:color="auto" w:fill="auto"/>
            <w:noWrap/>
            <w:vAlign w:val="bottom"/>
            <w:hideMark/>
          </w:tcPr>
          <w:p w14:paraId="77F47061"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26,032</w:t>
            </w:r>
          </w:p>
        </w:tc>
        <w:tc>
          <w:tcPr>
            <w:tcW w:w="421" w:type="dxa"/>
            <w:tcBorders>
              <w:top w:val="nil"/>
              <w:left w:val="nil"/>
              <w:bottom w:val="single" w:sz="4" w:space="0" w:color="auto"/>
              <w:right w:val="single" w:sz="4" w:space="0" w:color="auto"/>
            </w:tcBorders>
            <w:shd w:val="clear" w:color="auto" w:fill="auto"/>
            <w:noWrap/>
            <w:vAlign w:val="bottom"/>
            <w:hideMark/>
          </w:tcPr>
          <w:p w14:paraId="778838EA"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65</w:t>
            </w:r>
          </w:p>
        </w:tc>
        <w:tc>
          <w:tcPr>
            <w:tcW w:w="1127" w:type="dxa"/>
            <w:tcBorders>
              <w:top w:val="nil"/>
              <w:left w:val="nil"/>
              <w:bottom w:val="single" w:sz="4" w:space="0" w:color="auto"/>
              <w:right w:val="single" w:sz="4" w:space="0" w:color="auto"/>
            </w:tcBorders>
            <w:shd w:val="clear" w:color="auto" w:fill="auto"/>
            <w:noWrap/>
            <w:vAlign w:val="bottom"/>
            <w:hideMark/>
          </w:tcPr>
          <w:p w14:paraId="3FFC56A1"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31,214</w:t>
            </w:r>
          </w:p>
        </w:tc>
      </w:tr>
      <w:tr w:rsidR="008E69D0" w:rsidRPr="00FA2706" w14:paraId="0301B410" w14:textId="77777777" w:rsidTr="00A34120">
        <w:trPr>
          <w:gridAfter w:val="1"/>
          <w:wAfter w:w="222" w:type="dxa"/>
          <w:trHeight w:val="300"/>
          <w:jc w:val="center"/>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14:paraId="25C65143" w14:textId="77777777" w:rsidR="008E69D0" w:rsidRPr="00B60AF7" w:rsidRDefault="008E69D0" w:rsidP="00F94E68">
            <w:pPr>
              <w:spacing w:after="0" w:line="240" w:lineRule="auto"/>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Africa</w:t>
            </w:r>
          </w:p>
        </w:tc>
        <w:tc>
          <w:tcPr>
            <w:tcW w:w="421" w:type="dxa"/>
            <w:tcBorders>
              <w:top w:val="nil"/>
              <w:left w:val="nil"/>
              <w:bottom w:val="single" w:sz="4" w:space="0" w:color="auto"/>
              <w:right w:val="single" w:sz="4" w:space="0" w:color="auto"/>
            </w:tcBorders>
            <w:shd w:val="clear" w:color="auto" w:fill="auto"/>
            <w:noWrap/>
            <w:vAlign w:val="bottom"/>
            <w:hideMark/>
          </w:tcPr>
          <w:p w14:paraId="44283142"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5</w:t>
            </w:r>
          </w:p>
        </w:tc>
        <w:tc>
          <w:tcPr>
            <w:tcW w:w="1127" w:type="dxa"/>
            <w:tcBorders>
              <w:top w:val="nil"/>
              <w:left w:val="nil"/>
              <w:bottom w:val="single" w:sz="4" w:space="0" w:color="auto"/>
              <w:right w:val="single" w:sz="4" w:space="0" w:color="auto"/>
            </w:tcBorders>
            <w:shd w:val="clear" w:color="auto" w:fill="auto"/>
            <w:noWrap/>
            <w:vAlign w:val="bottom"/>
            <w:hideMark/>
          </w:tcPr>
          <w:p w14:paraId="54F69A7A"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1,545</w:t>
            </w:r>
          </w:p>
        </w:tc>
        <w:tc>
          <w:tcPr>
            <w:tcW w:w="421" w:type="dxa"/>
            <w:tcBorders>
              <w:top w:val="nil"/>
              <w:left w:val="nil"/>
              <w:bottom w:val="single" w:sz="4" w:space="0" w:color="auto"/>
              <w:right w:val="single" w:sz="4" w:space="0" w:color="auto"/>
            </w:tcBorders>
            <w:shd w:val="clear" w:color="auto" w:fill="auto"/>
            <w:noWrap/>
            <w:vAlign w:val="bottom"/>
            <w:hideMark/>
          </w:tcPr>
          <w:p w14:paraId="13910A92"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5</w:t>
            </w:r>
          </w:p>
        </w:tc>
        <w:tc>
          <w:tcPr>
            <w:tcW w:w="1127" w:type="dxa"/>
            <w:tcBorders>
              <w:top w:val="nil"/>
              <w:left w:val="nil"/>
              <w:bottom w:val="single" w:sz="4" w:space="0" w:color="auto"/>
              <w:right w:val="single" w:sz="4" w:space="0" w:color="auto"/>
            </w:tcBorders>
            <w:shd w:val="clear" w:color="auto" w:fill="auto"/>
            <w:noWrap/>
            <w:vAlign w:val="bottom"/>
            <w:hideMark/>
          </w:tcPr>
          <w:p w14:paraId="3E4F4B1F"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2,432</w:t>
            </w:r>
          </w:p>
        </w:tc>
      </w:tr>
      <w:tr w:rsidR="008E69D0" w:rsidRPr="00FA2706" w14:paraId="649D5256" w14:textId="77777777" w:rsidTr="00A34120">
        <w:trPr>
          <w:gridAfter w:val="1"/>
          <w:wAfter w:w="222" w:type="dxa"/>
          <w:trHeight w:val="300"/>
          <w:jc w:val="center"/>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14:paraId="73658E72" w14:textId="77777777" w:rsidR="008E69D0" w:rsidRPr="00B60AF7" w:rsidRDefault="008E69D0" w:rsidP="00F94E68">
            <w:pPr>
              <w:spacing w:after="0" w:line="240" w:lineRule="auto"/>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Asia &amp; the Pacific</w:t>
            </w:r>
          </w:p>
        </w:tc>
        <w:tc>
          <w:tcPr>
            <w:tcW w:w="421" w:type="dxa"/>
            <w:tcBorders>
              <w:top w:val="nil"/>
              <w:left w:val="nil"/>
              <w:bottom w:val="single" w:sz="4" w:space="0" w:color="auto"/>
              <w:right w:val="single" w:sz="4" w:space="0" w:color="auto"/>
            </w:tcBorders>
            <w:shd w:val="clear" w:color="auto" w:fill="auto"/>
            <w:noWrap/>
            <w:vAlign w:val="bottom"/>
            <w:hideMark/>
          </w:tcPr>
          <w:p w14:paraId="1A1693F2"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6</w:t>
            </w:r>
          </w:p>
        </w:tc>
        <w:tc>
          <w:tcPr>
            <w:tcW w:w="1127" w:type="dxa"/>
            <w:tcBorders>
              <w:top w:val="nil"/>
              <w:left w:val="nil"/>
              <w:bottom w:val="single" w:sz="4" w:space="0" w:color="auto"/>
              <w:right w:val="single" w:sz="4" w:space="0" w:color="auto"/>
            </w:tcBorders>
            <w:shd w:val="clear" w:color="auto" w:fill="auto"/>
            <w:noWrap/>
            <w:vAlign w:val="bottom"/>
            <w:hideMark/>
          </w:tcPr>
          <w:p w14:paraId="6F365DF0"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1,935</w:t>
            </w:r>
          </w:p>
        </w:tc>
        <w:tc>
          <w:tcPr>
            <w:tcW w:w="421" w:type="dxa"/>
            <w:tcBorders>
              <w:top w:val="nil"/>
              <w:left w:val="nil"/>
              <w:bottom w:val="single" w:sz="4" w:space="0" w:color="auto"/>
              <w:right w:val="single" w:sz="4" w:space="0" w:color="auto"/>
            </w:tcBorders>
            <w:shd w:val="clear" w:color="auto" w:fill="auto"/>
            <w:noWrap/>
            <w:vAlign w:val="bottom"/>
            <w:hideMark/>
          </w:tcPr>
          <w:p w14:paraId="13BEB4C7"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10</w:t>
            </w:r>
          </w:p>
        </w:tc>
        <w:tc>
          <w:tcPr>
            <w:tcW w:w="1127" w:type="dxa"/>
            <w:tcBorders>
              <w:top w:val="nil"/>
              <w:left w:val="nil"/>
              <w:bottom w:val="single" w:sz="4" w:space="0" w:color="auto"/>
              <w:right w:val="single" w:sz="4" w:space="0" w:color="auto"/>
            </w:tcBorders>
            <w:shd w:val="clear" w:color="auto" w:fill="auto"/>
            <w:noWrap/>
            <w:vAlign w:val="bottom"/>
            <w:hideMark/>
          </w:tcPr>
          <w:p w14:paraId="162A020C"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4,626</w:t>
            </w:r>
          </w:p>
        </w:tc>
      </w:tr>
      <w:tr w:rsidR="008E69D0" w:rsidRPr="00FA2706" w14:paraId="484BFD16" w14:textId="77777777" w:rsidTr="00A34120">
        <w:trPr>
          <w:gridAfter w:val="1"/>
          <w:wAfter w:w="222" w:type="dxa"/>
          <w:trHeight w:val="300"/>
          <w:jc w:val="center"/>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14:paraId="026C8E21" w14:textId="77777777" w:rsidR="008E69D0" w:rsidRPr="00B60AF7" w:rsidRDefault="008E69D0" w:rsidP="00F94E68">
            <w:pPr>
              <w:spacing w:after="0" w:line="240" w:lineRule="auto"/>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Europe &amp; North America</w:t>
            </w:r>
          </w:p>
        </w:tc>
        <w:tc>
          <w:tcPr>
            <w:tcW w:w="421" w:type="dxa"/>
            <w:tcBorders>
              <w:top w:val="nil"/>
              <w:left w:val="nil"/>
              <w:bottom w:val="single" w:sz="4" w:space="0" w:color="auto"/>
              <w:right w:val="single" w:sz="4" w:space="0" w:color="auto"/>
            </w:tcBorders>
            <w:shd w:val="clear" w:color="auto" w:fill="auto"/>
            <w:noWrap/>
            <w:vAlign w:val="bottom"/>
            <w:hideMark/>
          </w:tcPr>
          <w:p w14:paraId="19953626"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5</w:t>
            </w:r>
          </w:p>
        </w:tc>
        <w:tc>
          <w:tcPr>
            <w:tcW w:w="1127" w:type="dxa"/>
            <w:tcBorders>
              <w:top w:val="nil"/>
              <w:left w:val="nil"/>
              <w:bottom w:val="single" w:sz="4" w:space="0" w:color="auto"/>
              <w:right w:val="single" w:sz="4" w:space="0" w:color="auto"/>
            </w:tcBorders>
            <w:shd w:val="clear" w:color="auto" w:fill="auto"/>
            <w:noWrap/>
            <w:vAlign w:val="bottom"/>
            <w:hideMark/>
          </w:tcPr>
          <w:p w14:paraId="0C4AFF17"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1,720</w:t>
            </w:r>
          </w:p>
        </w:tc>
        <w:tc>
          <w:tcPr>
            <w:tcW w:w="421" w:type="dxa"/>
            <w:tcBorders>
              <w:top w:val="nil"/>
              <w:left w:val="nil"/>
              <w:bottom w:val="single" w:sz="4" w:space="0" w:color="auto"/>
              <w:right w:val="single" w:sz="4" w:space="0" w:color="auto"/>
            </w:tcBorders>
            <w:shd w:val="clear" w:color="auto" w:fill="auto"/>
            <w:noWrap/>
            <w:vAlign w:val="bottom"/>
            <w:hideMark/>
          </w:tcPr>
          <w:p w14:paraId="3428D113"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16</w:t>
            </w:r>
          </w:p>
        </w:tc>
        <w:tc>
          <w:tcPr>
            <w:tcW w:w="1127" w:type="dxa"/>
            <w:tcBorders>
              <w:top w:val="nil"/>
              <w:left w:val="nil"/>
              <w:bottom w:val="single" w:sz="4" w:space="0" w:color="auto"/>
              <w:right w:val="single" w:sz="4" w:space="0" w:color="auto"/>
            </w:tcBorders>
            <w:shd w:val="clear" w:color="auto" w:fill="auto"/>
            <w:noWrap/>
            <w:vAlign w:val="bottom"/>
            <w:hideMark/>
          </w:tcPr>
          <w:p w14:paraId="1CE996D4"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7,796</w:t>
            </w:r>
          </w:p>
        </w:tc>
      </w:tr>
      <w:tr w:rsidR="008E69D0" w:rsidRPr="00FA2706" w14:paraId="3A1C8825" w14:textId="77777777" w:rsidTr="00A34120">
        <w:trPr>
          <w:gridAfter w:val="1"/>
          <w:wAfter w:w="222" w:type="dxa"/>
          <w:trHeight w:val="300"/>
          <w:jc w:val="center"/>
        </w:trPr>
        <w:tc>
          <w:tcPr>
            <w:tcW w:w="4964" w:type="dxa"/>
            <w:tcBorders>
              <w:top w:val="nil"/>
              <w:left w:val="single" w:sz="4" w:space="0" w:color="auto"/>
              <w:bottom w:val="single" w:sz="4" w:space="0" w:color="auto"/>
              <w:right w:val="single" w:sz="4" w:space="0" w:color="auto"/>
            </w:tcBorders>
            <w:shd w:val="clear" w:color="auto" w:fill="auto"/>
            <w:noWrap/>
            <w:vAlign w:val="bottom"/>
            <w:hideMark/>
          </w:tcPr>
          <w:p w14:paraId="26390611" w14:textId="77777777" w:rsidR="008E69D0" w:rsidRPr="00B60AF7" w:rsidRDefault="008E69D0" w:rsidP="00F94E68">
            <w:pPr>
              <w:spacing w:after="0" w:line="240" w:lineRule="auto"/>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Latin America &amp; the Caribbean</w:t>
            </w:r>
          </w:p>
        </w:tc>
        <w:tc>
          <w:tcPr>
            <w:tcW w:w="421" w:type="dxa"/>
            <w:tcBorders>
              <w:top w:val="nil"/>
              <w:left w:val="nil"/>
              <w:bottom w:val="single" w:sz="4" w:space="0" w:color="auto"/>
              <w:right w:val="single" w:sz="4" w:space="0" w:color="auto"/>
            </w:tcBorders>
            <w:shd w:val="clear" w:color="auto" w:fill="auto"/>
            <w:noWrap/>
            <w:vAlign w:val="bottom"/>
            <w:hideMark/>
          </w:tcPr>
          <w:p w14:paraId="74AA822E"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2</w:t>
            </w:r>
          </w:p>
        </w:tc>
        <w:tc>
          <w:tcPr>
            <w:tcW w:w="1127" w:type="dxa"/>
            <w:tcBorders>
              <w:top w:val="nil"/>
              <w:left w:val="nil"/>
              <w:bottom w:val="single" w:sz="4" w:space="0" w:color="auto"/>
              <w:right w:val="single" w:sz="4" w:space="0" w:color="auto"/>
            </w:tcBorders>
            <w:shd w:val="clear" w:color="auto" w:fill="auto"/>
            <w:noWrap/>
            <w:vAlign w:val="bottom"/>
            <w:hideMark/>
          </w:tcPr>
          <w:p w14:paraId="4C510DE7"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584</w:t>
            </w:r>
          </w:p>
        </w:tc>
        <w:tc>
          <w:tcPr>
            <w:tcW w:w="421" w:type="dxa"/>
            <w:tcBorders>
              <w:top w:val="nil"/>
              <w:left w:val="nil"/>
              <w:bottom w:val="single" w:sz="4" w:space="0" w:color="auto"/>
              <w:right w:val="single" w:sz="4" w:space="0" w:color="auto"/>
            </w:tcBorders>
            <w:shd w:val="clear" w:color="auto" w:fill="auto"/>
            <w:noWrap/>
            <w:vAlign w:val="bottom"/>
            <w:hideMark/>
          </w:tcPr>
          <w:p w14:paraId="5C8F4609"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5</w:t>
            </w:r>
          </w:p>
        </w:tc>
        <w:tc>
          <w:tcPr>
            <w:tcW w:w="1127" w:type="dxa"/>
            <w:tcBorders>
              <w:top w:val="nil"/>
              <w:left w:val="nil"/>
              <w:bottom w:val="single" w:sz="4" w:space="0" w:color="auto"/>
              <w:right w:val="single" w:sz="4" w:space="0" w:color="auto"/>
            </w:tcBorders>
            <w:shd w:val="clear" w:color="auto" w:fill="auto"/>
            <w:noWrap/>
            <w:vAlign w:val="bottom"/>
            <w:hideMark/>
          </w:tcPr>
          <w:p w14:paraId="7F7EAF6B" w14:textId="77777777" w:rsidR="008E69D0" w:rsidRPr="00B60AF7" w:rsidRDefault="008E69D0" w:rsidP="00F94E68">
            <w:pPr>
              <w:spacing w:after="0" w:line="240" w:lineRule="auto"/>
              <w:jc w:val="center"/>
              <w:rPr>
                <w:rFonts w:eastAsia="Times New Roman" w:cs="Calibri"/>
                <w:color w:val="000000"/>
                <w:kern w:val="0"/>
                <w:sz w:val="18"/>
                <w:szCs w:val="18"/>
                <w14:ligatures w14:val="none"/>
              </w:rPr>
            </w:pPr>
            <w:r w:rsidRPr="00B60AF7">
              <w:rPr>
                <w:rFonts w:eastAsia="Times New Roman" w:cs="Calibri"/>
                <w:color w:val="000000"/>
                <w:kern w:val="0"/>
                <w:sz w:val="18"/>
                <w:szCs w:val="18"/>
                <w14:ligatures w14:val="none"/>
              </w:rPr>
              <w:t>2,223</w:t>
            </w:r>
          </w:p>
        </w:tc>
      </w:tr>
      <w:tr w:rsidR="008E69D0" w:rsidRPr="00FA2706" w14:paraId="518AF7BF" w14:textId="77777777" w:rsidTr="00A34120">
        <w:trPr>
          <w:gridAfter w:val="1"/>
          <w:wAfter w:w="222" w:type="dxa"/>
          <w:trHeight w:val="499"/>
          <w:jc w:val="center"/>
        </w:trPr>
        <w:tc>
          <w:tcPr>
            <w:tcW w:w="806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FB90C" w14:textId="77777777" w:rsidR="008E69D0" w:rsidRPr="00B60AF7" w:rsidRDefault="008E69D0" w:rsidP="00F94E68">
            <w:pPr>
              <w:spacing w:after="0" w:line="240" w:lineRule="auto"/>
              <w:jc w:val="center"/>
              <w:rPr>
                <w:rFonts w:eastAsia="Times New Roman" w:cs="Calibri"/>
                <w:i/>
                <w:iCs/>
                <w:color w:val="000000"/>
                <w:kern w:val="0"/>
                <w:sz w:val="18"/>
                <w:szCs w:val="18"/>
                <w14:ligatures w14:val="none"/>
              </w:rPr>
            </w:pPr>
            <w:r w:rsidRPr="00B60AF7">
              <w:rPr>
                <w:rFonts w:eastAsia="Times New Roman" w:cs="Calibri"/>
                <w:i/>
                <w:iCs/>
                <w:color w:val="000000"/>
                <w:kern w:val="0"/>
                <w:sz w:val="18"/>
                <w:szCs w:val="18"/>
                <w14:ligatures w14:val="none"/>
              </w:rPr>
              <w:t xml:space="preserve">* 42 C/5 shows </w:t>
            </w:r>
            <w:proofErr w:type="spellStart"/>
            <w:r w:rsidRPr="00B60AF7">
              <w:rPr>
                <w:rFonts w:eastAsia="Times New Roman" w:cs="Calibri"/>
                <w:i/>
                <w:iCs/>
                <w:color w:val="000000"/>
                <w:kern w:val="0"/>
                <w:sz w:val="18"/>
                <w:szCs w:val="18"/>
                <w14:ligatures w14:val="none"/>
              </w:rPr>
              <w:t>decentralisation</w:t>
            </w:r>
            <w:proofErr w:type="spellEnd"/>
            <w:r w:rsidRPr="00B60AF7">
              <w:rPr>
                <w:rFonts w:eastAsia="Times New Roman" w:cs="Calibri"/>
                <w:i/>
                <w:iCs/>
                <w:color w:val="000000"/>
                <w:kern w:val="0"/>
                <w:sz w:val="18"/>
                <w:szCs w:val="18"/>
                <w14:ligatures w14:val="none"/>
              </w:rPr>
              <w:t xml:space="preserve"> to all units outside </w:t>
            </w:r>
            <w:proofErr w:type="gramStart"/>
            <w:r w:rsidRPr="00B60AF7">
              <w:rPr>
                <w:rFonts w:eastAsia="Times New Roman" w:cs="Calibri"/>
                <w:i/>
                <w:iCs/>
                <w:color w:val="000000"/>
                <w:kern w:val="0"/>
                <w:sz w:val="18"/>
                <w:szCs w:val="18"/>
                <w14:ligatures w14:val="none"/>
              </w:rPr>
              <w:t>HQ ,</w:t>
            </w:r>
            <w:proofErr w:type="gramEnd"/>
            <w:r w:rsidRPr="00B60AF7">
              <w:rPr>
                <w:rFonts w:eastAsia="Times New Roman" w:cs="Calibri"/>
                <w:i/>
                <w:iCs/>
                <w:color w:val="000000"/>
                <w:kern w:val="0"/>
                <w:sz w:val="18"/>
                <w:szCs w:val="18"/>
                <w14:ligatures w14:val="none"/>
              </w:rPr>
              <w:t xml:space="preserve"> including for those outside UNESCO field offices and administratively attached to HQ: ex Ostend, Copenhagen, Brest, Cartagena, Bridgetown, Perth</w:t>
            </w:r>
          </w:p>
        </w:tc>
      </w:tr>
      <w:tr w:rsidR="008E69D0" w:rsidRPr="00FA2706" w14:paraId="60BFB8D9" w14:textId="77777777" w:rsidTr="00A34120">
        <w:trPr>
          <w:trHeight w:val="300"/>
          <w:jc w:val="center"/>
        </w:trPr>
        <w:tc>
          <w:tcPr>
            <w:tcW w:w="8060" w:type="dxa"/>
            <w:gridSpan w:val="5"/>
            <w:vMerge/>
            <w:tcBorders>
              <w:top w:val="single" w:sz="4" w:space="0" w:color="auto"/>
              <w:left w:val="single" w:sz="4" w:space="0" w:color="auto"/>
              <w:bottom w:val="single" w:sz="4" w:space="0" w:color="auto"/>
              <w:right w:val="single" w:sz="4" w:space="0" w:color="auto"/>
            </w:tcBorders>
            <w:vAlign w:val="center"/>
            <w:hideMark/>
          </w:tcPr>
          <w:p w14:paraId="5B4F33ED" w14:textId="77777777" w:rsidR="008E69D0" w:rsidRPr="00FA2706" w:rsidRDefault="008E69D0" w:rsidP="00F94E68">
            <w:pPr>
              <w:spacing w:after="0" w:line="240" w:lineRule="auto"/>
              <w:jc w:val="center"/>
              <w:rPr>
                <w:rFonts w:eastAsia="Times New Roman" w:cs="Calibri"/>
                <w:i/>
                <w:iCs/>
                <w:color w:val="000000"/>
                <w:kern w:val="0"/>
                <w:sz w:val="22"/>
                <w:szCs w:val="22"/>
                <w14:ligatures w14:val="none"/>
              </w:rPr>
            </w:pPr>
          </w:p>
        </w:tc>
        <w:tc>
          <w:tcPr>
            <w:tcW w:w="222" w:type="dxa"/>
            <w:tcBorders>
              <w:top w:val="nil"/>
              <w:left w:val="nil"/>
              <w:bottom w:val="nil"/>
              <w:right w:val="nil"/>
            </w:tcBorders>
            <w:shd w:val="clear" w:color="auto" w:fill="auto"/>
            <w:noWrap/>
            <w:vAlign w:val="bottom"/>
            <w:hideMark/>
          </w:tcPr>
          <w:p w14:paraId="0887E743" w14:textId="77777777" w:rsidR="008E69D0" w:rsidRPr="00FA2706" w:rsidRDefault="008E69D0" w:rsidP="00F94E68">
            <w:pPr>
              <w:spacing w:after="0" w:line="240" w:lineRule="auto"/>
              <w:jc w:val="center"/>
              <w:rPr>
                <w:rFonts w:eastAsia="Times New Roman" w:cs="Calibri"/>
                <w:i/>
                <w:iCs/>
                <w:color w:val="000000"/>
                <w:kern w:val="0"/>
                <w:sz w:val="22"/>
                <w:szCs w:val="22"/>
                <w14:ligatures w14:val="none"/>
              </w:rPr>
            </w:pPr>
          </w:p>
        </w:tc>
      </w:tr>
      <w:tr w:rsidR="008E69D0" w:rsidRPr="00FA2706" w14:paraId="27DCDB13" w14:textId="77777777" w:rsidTr="00A34120">
        <w:trPr>
          <w:trHeight w:val="300"/>
          <w:jc w:val="center"/>
        </w:trPr>
        <w:tc>
          <w:tcPr>
            <w:tcW w:w="8060" w:type="dxa"/>
            <w:gridSpan w:val="5"/>
            <w:vMerge/>
            <w:tcBorders>
              <w:top w:val="single" w:sz="4" w:space="0" w:color="auto"/>
              <w:left w:val="single" w:sz="4" w:space="0" w:color="auto"/>
              <w:bottom w:val="single" w:sz="4" w:space="0" w:color="auto"/>
              <w:right w:val="single" w:sz="4" w:space="0" w:color="auto"/>
            </w:tcBorders>
            <w:vAlign w:val="center"/>
            <w:hideMark/>
          </w:tcPr>
          <w:p w14:paraId="36234FEC" w14:textId="77777777" w:rsidR="008E69D0" w:rsidRPr="00FA2706" w:rsidRDefault="008E69D0" w:rsidP="00F94E68">
            <w:pPr>
              <w:spacing w:after="0" w:line="240" w:lineRule="auto"/>
              <w:jc w:val="center"/>
              <w:rPr>
                <w:rFonts w:eastAsia="Times New Roman" w:cs="Calibri"/>
                <w:i/>
                <w:iCs/>
                <w:color w:val="000000"/>
                <w:kern w:val="0"/>
                <w:sz w:val="22"/>
                <w:szCs w:val="22"/>
                <w14:ligatures w14:val="none"/>
              </w:rPr>
            </w:pPr>
          </w:p>
        </w:tc>
        <w:tc>
          <w:tcPr>
            <w:tcW w:w="222" w:type="dxa"/>
            <w:tcBorders>
              <w:top w:val="nil"/>
              <w:left w:val="nil"/>
              <w:bottom w:val="nil"/>
              <w:right w:val="nil"/>
            </w:tcBorders>
            <w:shd w:val="clear" w:color="auto" w:fill="auto"/>
            <w:noWrap/>
            <w:vAlign w:val="bottom"/>
            <w:hideMark/>
          </w:tcPr>
          <w:p w14:paraId="03BDEA94" w14:textId="77777777" w:rsidR="008E69D0" w:rsidRPr="00FA2706" w:rsidRDefault="008E69D0" w:rsidP="00F94E68">
            <w:pPr>
              <w:spacing w:after="0" w:line="240" w:lineRule="auto"/>
              <w:jc w:val="center"/>
              <w:rPr>
                <w:rFonts w:eastAsia="Times New Roman" w:cs="Times New Roman"/>
                <w:kern w:val="0"/>
                <w:sz w:val="22"/>
                <w:szCs w:val="22"/>
                <w14:ligatures w14:val="none"/>
              </w:rPr>
            </w:pPr>
          </w:p>
        </w:tc>
      </w:tr>
    </w:tbl>
    <w:p w14:paraId="244D41CC" w14:textId="3EDEC297" w:rsidR="00AB3AAC" w:rsidRPr="00FA2706" w:rsidRDefault="00AB3AAC" w:rsidP="00F94E68">
      <w:pPr>
        <w:jc w:val="center"/>
        <w:rPr>
          <w:b/>
          <w:bCs/>
          <w:color w:val="156082" w:themeColor="accent1"/>
          <w:sz w:val="22"/>
          <w:szCs w:val="22"/>
        </w:rPr>
      </w:pPr>
    </w:p>
    <w:p w14:paraId="1DE9633C" w14:textId="77777777" w:rsidR="00FF7B74" w:rsidRDefault="00FF7B74">
      <w:pPr>
        <w:rPr>
          <w:b/>
          <w:bCs/>
          <w:color w:val="156082" w:themeColor="accent1"/>
          <w:sz w:val="22"/>
          <w:szCs w:val="22"/>
        </w:rPr>
      </w:pPr>
      <w:r>
        <w:rPr>
          <w:b/>
          <w:bCs/>
          <w:color w:val="156082" w:themeColor="accent1"/>
          <w:sz w:val="22"/>
          <w:szCs w:val="22"/>
        </w:rPr>
        <w:br w:type="page"/>
      </w:r>
    </w:p>
    <w:p w14:paraId="6F8A4E4F" w14:textId="563A8411" w:rsidR="00AB3AAC" w:rsidRPr="00FA2706" w:rsidRDefault="0011547B" w:rsidP="001A019A">
      <w:pPr>
        <w:jc w:val="center"/>
        <w:rPr>
          <w:b/>
          <w:bCs/>
          <w:color w:val="156082" w:themeColor="accent1"/>
          <w:sz w:val="22"/>
          <w:szCs w:val="22"/>
        </w:rPr>
      </w:pPr>
      <w:r w:rsidRPr="00FA2706">
        <w:rPr>
          <w:b/>
          <w:bCs/>
          <w:color w:val="156082" w:themeColor="accent1"/>
          <w:sz w:val="22"/>
          <w:szCs w:val="22"/>
        </w:rPr>
        <w:lastRenderedPageBreak/>
        <w:t>PART I</w:t>
      </w:r>
      <w:r w:rsidR="00AB3AAC" w:rsidRPr="00FA2706">
        <w:rPr>
          <w:b/>
          <w:bCs/>
          <w:color w:val="156082" w:themeColor="accent1"/>
          <w:sz w:val="22"/>
          <w:szCs w:val="22"/>
        </w:rPr>
        <w:t xml:space="preserve">I </w:t>
      </w:r>
      <w:r w:rsidRPr="00FA2706">
        <w:rPr>
          <w:b/>
          <w:bCs/>
          <w:color w:val="156082" w:themeColor="accent1"/>
          <w:sz w:val="22"/>
          <w:szCs w:val="22"/>
        </w:rPr>
        <w:t xml:space="preserve">– </w:t>
      </w:r>
      <w:r w:rsidR="00AB3AAC" w:rsidRPr="00FA2706">
        <w:rPr>
          <w:b/>
          <w:bCs/>
          <w:color w:val="156082" w:themeColor="accent1"/>
          <w:sz w:val="22"/>
          <w:szCs w:val="22"/>
        </w:rPr>
        <w:t>ENHANCED PROGRAMME DELIVERY/PRIORITY SETTING</w:t>
      </w:r>
    </w:p>
    <w:p w14:paraId="612D6B93" w14:textId="2003F2B6" w:rsidR="006F6A5D" w:rsidRPr="00EF159B" w:rsidRDefault="00F208CC" w:rsidP="006F6A5D">
      <w:pPr>
        <w:pStyle w:val="ListParagraph"/>
        <w:numPr>
          <w:ilvl w:val="0"/>
          <w:numId w:val="21"/>
        </w:numPr>
        <w:jc w:val="both"/>
        <w:rPr>
          <w:b/>
          <w:bCs/>
          <w:color w:val="156082" w:themeColor="accent1"/>
          <w:sz w:val="22"/>
          <w:szCs w:val="22"/>
        </w:rPr>
      </w:pPr>
      <w:r>
        <w:rPr>
          <w:color w:val="156082" w:themeColor="accent1"/>
          <w:sz w:val="22"/>
          <w:szCs w:val="22"/>
        </w:rPr>
        <w:t>D</w:t>
      </w:r>
      <w:r w:rsidR="009A1683" w:rsidRPr="00FA2706">
        <w:rPr>
          <w:color w:val="156082" w:themeColor="accent1"/>
          <w:sz w:val="22"/>
          <w:szCs w:val="22"/>
        </w:rPr>
        <w:t xml:space="preserve">ual </w:t>
      </w:r>
      <w:r w:rsidR="005A3C7B" w:rsidRPr="00FA2706">
        <w:rPr>
          <w:color w:val="156082" w:themeColor="accent1"/>
          <w:sz w:val="22"/>
          <w:szCs w:val="22"/>
        </w:rPr>
        <w:t xml:space="preserve">governance </w:t>
      </w:r>
      <w:r w:rsidR="005A3C7B">
        <w:rPr>
          <w:color w:val="156082" w:themeColor="accent1"/>
          <w:sz w:val="22"/>
          <w:szCs w:val="22"/>
        </w:rPr>
        <w:t>and</w:t>
      </w:r>
      <w:r w:rsidR="001C14D1">
        <w:rPr>
          <w:color w:val="156082" w:themeColor="accent1"/>
          <w:sz w:val="22"/>
          <w:szCs w:val="22"/>
        </w:rPr>
        <w:t xml:space="preserve"> management </w:t>
      </w:r>
      <w:r w:rsidR="009A1683" w:rsidRPr="00FA2706">
        <w:rPr>
          <w:color w:val="156082" w:themeColor="accent1"/>
          <w:sz w:val="22"/>
          <w:szCs w:val="22"/>
        </w:rPr>
        <w:t>process and timeline constraints (revised draft 42 C/5 preparations from 17 July to 4 August 2023, review of proposals including the overall budgetary ceiling for UNESCO and thus IOC by the UNESCO Executive Board in October 2023 and final endorsement by the UNESCO General Conference in November 2023) did not provide the most optimal condition</w:t>
      </w:r>
      <w:r w:rsidR="00773E18">
        <w:rPr>
          <w:color w:val="156082" w:themeColor="accent1"/>
          <w:sz w:val="22"/>
          <w:szCs w:val="22"/>
        </w:rPr>
        <w:t>s</w:t>
      </w:r>
      <w:r w:rsidR="009A1683" w:rsidRPr="00FA2706">
        <w:rPr>
          <w:color w:val="156082" w:themeColor="accent1"/>
          <w:sz w:val="22"/>
          <w:szCs w:val="22"/>
        </w:rPr>
        <w:t xml:space="preserve"> for quality consultations with IOC Member States. </w:t>
      </w:r>
    </w:p>
    <w:p w14:paraId="6A0D80CB" w14:textId="22C18812" w:rsidR="00EF159B" w:rsidRPr="00273E45" w:rsidRDefault="00EF159B" w:rsidP="00EF159B">
      <w:pPr>
        <w:pStyle w:val="ListParagraph"/>
        <w:numPr>
          <w:ilvl w:val="0"/>
          <w:numId w:val="21"/>
        </w:numPr>
        <w:jc w:val="both"/>
        <w:rPr>
          <w:b/>
          <w:bCs/>
          <w:color w:val="156082" w:themeColor="accent1"/>
          <w:sz w:val="22"/>
          <w:szCs w:val="22"/>
        </w:rPr>
      </w:pPr>
      <w:r w:rsidRPr="00B80E97">
        <w:rPr>
          <w:color w:val="156082" w:themeColor="accent1"/>
          <w:sz w:val="22"/>
          <w:szCs w:val="22"/>
        </w:rPr>
        <w:t>This was anticipated by the IOC Assembly at its 32</w:t>
      </w:r>
      <w:r w:rsidRPr="00B80E97">
        <w:rPr>
          <w:color w:val="156082" w:themeColor="accent1"/>
          <w:sz w:val="22"/>
          <w:szCs w:val="22"/>
          <w:vertAlign w:val="superscript"/>
        </w:rPr>
        <w:t>nd</w:t>
      </w:r>
      <w:r w:rsidRPr="00B80E97">
        <w:rPr>
          <w:color w:val="156082" w:themeColor="accent1"/>
          <w:sz w:val="22"/>
          <w:szCs w:val="22"/>
        </w:rPr>
        <w:t xml:space="preserve"> session in June 2023 when formulating and adopting IOC Resolution A-32/4. The Chair of the Financial Committee in his report to the Assembly described Member States’ guidance in the resolution as ‘resilient to the unknown’, the ‘unknown’ being the exact amount of the anticipated regular budget increase. In his report Professor Karim Hilmi also stressed </w:t>
      </w:r>
      <w:r w:rsidRPr="00273E45">
        <w:rPr>
          <w:color w:val="156082" w:themeColor="accent1"/>
          <w:sz w:val="22"/>
          <w:szCs w:val="22"/>
        </w:rPr>
        <w:t>the need to stabilize existing functions, while also setting the context for targeted investment for some areas of activities, based on consultations and informed priority-setting’ and the need to leave ‘room for sufficient flexibility, given that the next biennium budget will be implemented by a new Executive Secretary, with the guidance of the new Chair.</w:t>
      </w:r>
    </w:p>
    <w:p w14:paraId="58B8E5F0" w14:textId="3574498C" w:rsidR="009A1683" w:rsidRPr="00FA2706" w:rsidRDefault="009A1683" w:rsidP="006F6A5D">
      <w:pPr>
        <w:pStyle w:val="ListParagraph"/>
        <w:numPr>
          <w:ilvl w:val="0"/>
          <w:numId w:val="21"/>
        </w:numPr>
        <w:jc w:val="both"/>
        <w:rPr>
          <w:b/>
          <w:bCs/>
          <w:color w:val="156082" w:themeColor="accent1"/>
          <w:sz w:val="22"/>
          <w:szCs w:val="22"/>
        </w:rPr>
      </w:pPr>
      <w:r w:rsidRPr="00FA2706">
        <w:rPr>
          <w:color w:val="156082" w:themeColor="accent1"/>
          <w:sz w:val="22"/>
          <w:szCs w:val="22"/>
        </w:rPr>
        <w:t>In line with IOC Resolution A-32/4, all IOC programmes were asked to articulate how the increase in funding will lead to enhanced programme delivery</w:t>
      </w:r>
      <w:r w:rsidR="00A42E2D" w:rsidRPr="00FA2706">
        <w:rPr>
          <w:color w:val="156082" w:themeColor="accent1"/>
          <w:sz w:val="22"/>
          <w:szCs w:val="22"/>
        </w:rPr>
        <w:t>. Subsidiary bodies’ priorities were also based on those adopted by them at statutory meetings held in the first semester of 2023 (March 2023 for IODE, IOCAFRICA, April 2023 for WESTPAC and May 2023 for IOCARIBE). Once the amount of the budgetary increase could be more clearly anticipated (even if the final confirmation could only come at the UNESCO General Conference in November 2023), the Secretariat engaged in consultations and iterative co-design process with the Officers of subsidiary bodies and key stakeholders of global programmes, with some still on-going. The details can be found further down in the document by function and by programme/subsidiary body.</w:t>
      </w:r>
    </w:p>
    <w:p w14:paraId="4E99BB95" w14:textId="77777777" w:rsidR="0019153A" w:rsidRPr="00FA2706" w:rsidRDefault="00A42E2D" w:rsidP="006F6A5D">
      <w:pPr>
        <w:pStyle w:val="ListParagraph"/>
        <w:numPr>
          <w:ilvl w:val="0"/>
          <w:numId w:val="21"/>
        </w:numPr>
        <w:jc w:val="both"/>
        <w:rPr>
          <w:b/>
          <w:bCs/>
          <w:color w:val="156082" w:themeColor="accent1"/>
          <w:sz w:val="22"/>
          <w:szCs w:val="22"/>
        </w:rPr>
      </w:pPr>
      <w:r w:rsidRPr="00FA2706">
        <w:rPr>
          <w:color w:val="156082" w:themeColor="accent1"/>
          <w:sz w:val="22"/>
          <w:szCs w:val="22"/>
        </w:rPr>
        <w:t>Definition</w:t>
      </w:r>
      <w:r w:rsidR="0019153A" w:rsidRPr="00FA2706">
        <w:rPr>
          <w:color w:val="156082" w:themeColor="accent1"/>
          <w:sz w:val="22"/>
          <w:szCs w:val="22"/>
        </w:rPr>
        <w:t xml:space="preserve"> by</w:t>
      </w:r>
      <w:r w:rsidRPr="00FA2706">
        <w:rPr>
          <w:color w:val="156082" w:themeColor="accent1"/>
          <w:sz w:val="22"/>
          <w:szCs w:val="22"/>
        </w:rPr>
        <w:t xml:space="preserve"> </w:t>
      </w:r>
      <w:r w:rsidR="0019153A" w:rsidRPr="00FA2706">
        <w:rPr>
          <w:color w:val="156082" w:themeColor="accent1"/>
          <w:sz w:val="22"/>
          <w:szCs w:val="22"/>
        </w:rPr>
        <w:t>‘</w:t>
      </w:r>
      <w:r w:rsidR="0019153A" w:rsidRPr="00FA2706">
        <w:rPr>
          <w:i/>
          <w:iCs/>
          <w:color w:val="156082" w:themeColor="accent1"/>
          <w:sz w:val="22"/>
          <w:szCs w:val="22"/>
        </w:rPr>
        <w:t xml:space="preserve">the relevant IOC </w:t>
      </w:r>
      <w:r w:rsidRPr="00FA2706">
        <w:rPr>
          <w:i/>
          <w:iCs/>
          <w:color w:val="156082" w:themeColor="accent1"/>
          <w:sz w:val="22"/>
          <w:szCs w:val="22"/>
        </w:rPr>
        <w:t>programmes and subsidiary bodies</w:t>
      </w:r>
      <w:r w:rsidR="0019153A" w:rsidRPr="00FA2706">
        <w:rPr>
          <w:i/>
          <w:iCs/>
          <w:color w:val="156082" w:themeColor="accent1"/>
          <w:sz w:val="22"/>
          <w:szCs w:val="22"/>
        </w:rPr>
        <w:t>’</w:t>
      </w:r>
      <w:r w:rsidR="0019153A" w:rsidRPr="00FA2706">
        <w:rPr>
          <w:color w:val="156082" w:themeColor="accent1"/>
          <w:sz w:val="22"/>
          <w:szCs w:val="22"/>
        </w:rPr>
        <w:t xml:space="preserve"> identified in paragraph 15 (ii) of IOC Resolution A-32/4 (=IODE, GOOS, Capacity Development and Regional Subsidiary Bodies)</w:t>
      </w:r>
      <w:r w:rsidRPr="00FA2706">
        <w:rPr>
          <w:color w:val="156082" w:themeColor="accent1"/>
          <w:sz w:val="22"/>
          <w:szCs w:val="22"/>
        </w:rPr>
        <w:t xml:space="preserve"> of </w:t>
      </w:r>
      <w:r w:rsidRPr="00FA2706">
        <w:rPr>
          <w:color w:val="156082" w:themeColor="accent1"/>
          <w:sz w:val="22"/>
          <w:szCs w:val="22"/>
          <w:u w:val="single"/>
        </w:rPr>
        <w:t>1 or 2</w:t>
      </w:r>
      <w:r w:rsidRPr="00FA2706">
        <w:rPr>
          <w:color w:val="156082" w:themeColor="accent1"/>
          <w:sz w:val="22"/>
          <w:szCs w:val="22"/>
        </w:rPr>
        <w:t xml:space="preserve"> priority activities</w:t>
      </w:r>
      <w:r w:rsidR="0019153A" w:rsidRPr="00FA2706">
        <w:rPr>
          <w:color w:val="156082" w:themeColor="accent1"/>
          <w:sz w:val="22"/>
          <w:szCs w:val="22"/>
        </w:rPr>
        <w:t xml:space="preserve"> </w:t>
      </w:r>
      <w:r w:rsidRPr="00FA2706">
        <w:rPr>
          <w:color w:val="156082" w:themeColor="accent1"/>
          <w:sz w:val="22"/>
          <w:szCs w:val="22"/>
        </w:rPr>
        <w:t>remained a challenge for most under the circumstances</w:t>
      </w:r>
      <w:r w:rsidR="00392FA5" w:rsidRPr="00FA2706">
        <w:rPr>
          <w:color w:val="156082" w:themeColor="accent1"/>
          <w:sz w:val="22"/>
          <w:szCs w:val="22"/>
        </w:rPr>
        <w:t xml:space="preserve">. </w:t>
      </w:r>
    </w:p>
    <w:p w14:paraId="4AD4EF55" w14:textId="3396BA27" w:rsidR="00A42E2D" w:rsidRPr="00FA2706" w:rsidRDefault="00A42E2D" w:rsidP="006F6A5D">
      <w:pPr>
        <w:pStyle w:val="ListParagraph"/>
        <w:numPr>
          <w:ilvl w:val="0"/>
          <w:numId w:val="21"/>
        </w:numPr>
        <w:jc w:val="both"/>
        <w:rPr>
          <w:b/>
          <w:bCs/>
          <w:color w:val="156082" w:themeColor="accent1"/>
          <w:sz w:val="22"/>
          <w:szCs w:val="22"/>
        </w:rPr>
      </w:pPr>
      <w:r w:rsidRPr="00FA2706">
        <w:rPr>
          <w:color w:val="156082" w:themeColor="accent1"/>
          <w:sz w:val="22"/>
          <w:szCs w:val="22"/>
        </w:rPr>
        <w:t xml:space="preserve">Given the broadness of mandate </w:t>
      </w:r>
      <w:r w:rsidR="00392FA5" w:rsidRPr="00FA2706">
        <w:rPr>
          <w:color w:val="156082" w:themeColor="accent1"/>
          <w:sz w:val="22"/>
          <w:szCs w:val="22"/>
        </w:rPr>
        <w:t xml:space="preserve">and differences of visions and regional and sub-regional priorities, </w:t>
      </w:r>
      <w:r w:rsidR="0019153A" w:rsidRPr="00FA2706">
        <w:rPr>
          <w:color w:val="156082" w:themeColor="accent1"/>
          <w:sz w:val="22"/>
          <w:szCs w:val="22"/>
        </w:rPr>
        <w:t xml:space="preserve">as well as governance challenges and staff rotation in some cases, </w:t>
      </w:r>
      <w:r w:rsidR="00392FA5" w:rsidRPr="00FA2706">
        <w:rPr>
          <w:color w:val="156082" w:themeColor="accent1"/>
          <w:sz w:val="22"/>
          <w:szCs w:val="22"/>
        </w:rPr>
        <w:t>a process for such consultations by correspondence would need to be better defined to ensure inclusivity and ownership by Member States.</w:t>
      </w:r>
    </w:p>
    <w:p w14:paraId="18A9C071" w14:textId="27E13F20" w:rsidR="00392FA5" w:rsidRPr="00FA2706" w:rsidRDefault="00392FA5" w:rsidP="006F6A5D">
      <w:pPr>
        <w:pStyle w:val="ListParagraph"/>
        <w:numPr>
          <w:ilvl w:val="0"/>
          <w:numId w:val="21"/>
        </w:numPr>
        <w:jc w:val="both"/>
        <w:rPr>
          <w:b/>
          <w:bCs/>
          <w:color w:val="156082" w:themeColor="accent1"/>
          <w:sz w:val="22"/>
          <w:szCs w:val="22"/>
        </w:rPr>
      </w:pPr>
      <w:r w:rsidRPr="00FA2706">
        <w:rPr>
          <w:color w:val="156082" w:themeColor="accent1"/>
          <w:sz w:val="22"/>
          <w:szCs w:val="22"/>
        </w:rPr>
        <w:t>IOC Resolution A-32/4 also refers to ‘</w:t>
      </w:r>
      <w:r w:rsidRPr="00FA2706">
        <w:rPr>
          <w:i/>
          <w:iCs/>
          <w:color w:val="156082" w:themeColor="accent1"/>
          <w:sz w:val="22"/>
          <w:szCs w:val="22"/>
        </w:rPr>
        <w:t>scenarios</w:t>
      </w:r>
      <w:r w:rsidRPr="00FA2706">
        <w:rPr>
          <w:color w:val="156082" w:themeColor="accent1"/>
          <w:sz w:val="22"/>
          <w:szCs w:val="22"/>
        </w:rPr>
        <w:t xml:space="preserve">’ that could be developed based on the above-mentioned consultations, without specifying whether such scenarios would be focused on programmatic priorities and budgetary allocations </w:t>
      </w:r>
      <w:r w:rsidRPr="000F75FB">
        <w:rPr>
          <w:color w:val="156082" w:themeColor="accent1"/>
          <w:sz w:val="22"/>
          <w:szCs w:val="22"/>
          <w:u w:val="single"/>
        </w:rPr>
        <w:t>within</w:t>
      </w:r>
      <w:r w:rsidRPr="00FA2706">
        <w:rPr>
          <w:color w:val="156082" w:themeColor="accent1"/>
          <w:sz w:val="22"/>
          <w:szCs w:val="22"/>
        </w:rPr>
        <w:t xml:space="preserve"> each subsidiary body/program or </w:t>
      </w:r>
      <w:r w:rsidR="00D6120A" w:rsidRPr="000F75FB">
        <w:rPr>
          <w:color w:val="156082" w:themeColor="accent1"/>
          <w:sz w:val="22"/>
          <w:szCs w:val="22"/>
          <w:u w:val="single"/>
        </w:rPr>
        <w:t>across</w:t>
      </w:r>
      <w:r w:rsidR="00D6120A" w:rsidRPr="00FA2706">
        <w:rPr>
          <w:color w:val="156082" w:themeColor="accent1"/>
          <w:sz w:val="22"/>
          <w:szCs w:val="22"/>
        </w:rPr>
        <w:t xml:space="preserve"> </w:t>
      </w:r>
      <w:r w:rsidR="00F17836">
        <w:rPr>
          <w:color w:val="156082" w:themeColor="accent1"/>
          <w:sz w:val="22"/>
          <w:szCs w:val="22"/>
        </w:rPr>
        <w:t>subsidiary bodies/</w:t>
      </w:r>
      <w:r w:rsidR="00D6120A" w:rsidRPr="00FA2706">
        <w:rPr>
          <w:color w:val="156082" w:themeColor="accent1"/>
          <w:sz w:val="22"/>
          <w:szCs w:val="22"/>
        </w:rPr>
        <w:t>programme</w:t>
      </w:r>
      <w:r w:rsidR="00A602B5">
        <w:rPr>
          <w:color w:val="156082" w:themeColor="accent1"/>
          <w:sz w:val="22"/>
          <w:szCs w:val="22"/>
        </w:rPr>
        <w:t>s</w:t>
      </w:r>
      <w:r w:rsidR="00D6120A" w:rsidRPr="00FA2706">
        <w:rPr>
          <w:color w:val="156082" w:themeColor="accent1"/>
          <w:sz w:val="22"/>
          <w:szCs w:val="22"/>
        </w:rPr>
        <w:t xml:space="preserve"> and functions. The Resolution further requests the Executive Secretary to ‘</w:t>
      </w:r>
      <w:r w:rsidR="00D6120A" w:rsidRPr="00FA2706">
        <w:rPr>
          <w:i/>
          <w:iCs/>
          <w:color w:val="156082" w:themeColor="accent1"/>
          <w:sz w:val="22"/>
          <w:szCs w:val="22"/>
        </w:rPr>
        <w:t>compile scenarios from the above-mentioned consultations and provide the appropriate input to IFAG for their deliberations’</w:t>
      </w:r>
      <w:r w:rsidR="00D6120A" w:rsidRPr="00FA2706">
        <w:rPr>
          <w:color w:val="156082" w:themeColor="accent1"/>
          <w:sz w:val="22"/>
          <w:szCs w:val="22"/>
        </w:rPr>
        <w:t>, in line with its Terms of Reference as an advisory body to IOC governing bodies. The deliberations in IFAG would have then prepared for Member States discussions in the Executive Council plenary, with the sessional Financial Committee ‘</w:t>
      </w:r>
      <w:r w:rsidR="00D6120A" w:rsidRPr="00FA2706">
        <w:rPr>
          <w:i/>
          <w:iCs/>
          <w:color w:val="156082" w:themeColor="accent1"/>
          <w:sz w:val="22"/>
          <w:szCs w:val="22"/>
        </w:rPr>
        <w:t xml:space="preserve">providing </w:t>
      </w:r>
      <w:r w:rsidR="0019153A" w:rsidRPr="00FA2706">
        <w:rPr>
          <w:i/>
          <w:iCs/>
          <w:color w:val="156082" w:themeColor="accent1"/>
          <w:sz w:val="22"/>
          <w:szCs w:val="22"/>
        </w:rPr>
        <w:t>recommended</w:t>
      </w:r>
      <w:r w:rsidR="00D6120A" w:rsidRPr="00FA2706">
        <w:rPr>
          <w:i/>
          <w:iCs/>
          <w:color w:val="156082" w:themeColor="accent1"/>
          <w:sz w:val="22"/>
          <w:szCs w:val="22"/>
        </w:rPr>
        <w:t xml:space="preserve"> allocations to the programmes or bodies in paragraph 15 (ii)</w:t>
      </w:r>
      <w:r w:rsidR="0019153A" w:rsidRPr="00FA2706">
        <w:rPr>
          <w:i/>
          <w:iCs/>
          <w:color w:val="156082" w:themeColor="accent1"/>
          <w:sz w:val="22"/>
          <w:szCs w:val="22"/>
        </w:rPr>
        <w:t>’</w:t>
      </w:r>
      <w:r w:rsidR="0019153A" w:rsidRPr="00FA2706">
        <w:rPr>
          <w:color w:val="156082" w:themeColor="accent1"/>
          <w:sz w:val="22"/>
          <w:szCs w:val="22"/>
        </w:rPr>
        <w:t xml:space="preserve"> (=IODE, GOOS, Capacity Development and Regional Subsidiary Bodies) to the IOC Executive Council.</w:t>
      </w:r>
    </w:p>
    <w:p w14:paraId="10372F40" w14:textId="0F7F7A63" w:rsidR="0019153A" w:rsidRPr="00FA2706" w:rsidRDefault="0019153A" w:rsidP="0019153A">
      <w:pPr>
        <w:pStyle w:val="ListParagraph"/>
        <w:numPr>
          <w:ilvl w:val="0"/>
          <w:numId w:val="21"/>
        </w:numPr>
        <w:jc w:val="both"/>
        <w:rPr>
          <w:b/>
          <w:bCs/>
          <w:color w:val="156082" w:themeColor="accent1"/>
          <w:sz w:val="22"/>
          <w:szCs w:val="22"/>
        </w:rPr>
      </w:pPr>
      <w:r w:rsidRPr="00FA2706">
        <w:rPr>
          <w:color w:val="156082" w:themeColor="accent1"/>
          <w:sz w:val="22"/>
          <w:szCs w:val="22"/>
        </w:rPr>
        <w:t xml:space="preserve">Given that the </w:t>
      </w:r>
      <w:proofErr w:type="spellStart"/>
      <w:r w:rsidRPr="00FA2706">
        <w:rPr>
          <w:color w:val="156082" w:themeColor="accent1"/>
          <w:sz w:val="22"/>
          <w:szCs w:val="22"/>
        </w:rPr>
        <w:t>set up</w:t>
      </w:r>
      <w:proofErr w:type="spellEnd"/>
      <w:r w:rsidRPr="00FA2706">
        <w:rPr>
          <w:color w:val="156082" w:themeColor="accent1"/>
          <w:sz w:val="22"/>
          <w:szCs w:val="22"/>
        </w:rPr>
        <w:t xml:space="preserve"> of IOC workplans had to be completed by the Secretariat in December</w:t>
      </w:r>
      <w:r w:rsidR="004C025B">
        <w:rPr>
          <w:color w:val="156082" w:themeColor="accent1"/>
          <w:sz w:val="22"/>
          <w:szCs w:val="22"/>
        </w:rPr>
        <w:t xml:space="preserve"> 2023</w:t>
      </w:r>
      <w:r w:rsidRPr="00FA2706">
        <w:rPr>
          <w:color w:val="156082" w:themeColor="accent1"/>
          <w:sz w:val="22"/>
          <w:szCs w:val="22"/>
        </w:rPr>
        <w:t xml:space="preserve"> and implementation started immediately in January</w:t>
      </w:r>
      <w:r w:rsidR="004C025B">
        <w:rPr>
          <w:color w:val="156082" w:themeColor="accent1"/>
          <w:sz w:val="22"/>
          <w:szCs w:val="22"/>
        </w:rPr>
        <w:t xml:space="preserve"> 2024</w:t>
      </w:r>
      <w:r w:rsidRPr="00FA2706">
        <w:rPr>
          <w:color w:val="156082" w:themeColor="accent1"/>
          <w:sz w:val="22"/>
          <w:szCs w:val="22"/>
        </w:rPr>
        <w:t>, the subsidiary bodies and program</w:t>
      </w:r>
      <w:r w:rsidR="00FA2706" w:rsidRPr="00FA2706">
        <w:rPr>
          <w:color w:val="156082" w:themeColor="accent1"/>
          <w:sz w:val="22"/>
          <w:szCs w:val="22"/>
        </w:rPr>
        <w:t xml:space="preserve">mes identified by the Assembly as ‘critically vulnerable areas’ in need of targeted additional regular budget investment, would have operated for the first semester of 2024-2025 without clarity on priorities or final budgetary allocations. </w:t>
      </w:r>
    </w:p>
    <w:p w14:paraId="4790C971" w14:textId="4709971D" w:rsidR="00FA2706" w:rsidRPr="00FA2706" w:rsidRDefault="00FA2706" w:rsidP="0019153A">
      <w:pPr>
        <w:pStyle w:val="ListParagraph"/>
        <w:numPr>
          <w:ilvl w:val="0"/>
          <w:numId w:val="21"/>
        </w:numPr>
        <w:jc w:val="both"/>
        <w:rPr>
          <w:b/>
          <w:bCs/>
          <w:color w:val="156082" w:themeColor="accent1"/>
          <w:sz w:val="22"/>
          <w:szCs w:val="22"/>
        </w:rPr>
      </w:pPr>
      <w:r w:rsidRPr="00FA2706">
        <w:rPr>
          <w:color w:val="156082" w:themeColor="accent1"/>
          <w:sz w:val="22"/>
          <w:szCs w:val="22"/>
        </w:rPr>
        <w:t xml:space="preserve">It should be noted that the targeted additional investment in these critically vulnerable areas was needed to repair the damage from more than a decade of </w:t>
      </w:r>
      <w:r w:rsidR="00A602B5">
        <w:rPr>
          <w:color w:val="156082" w:themeColor="accent1"/>
          <w:sz w:val="22"/>
          <w:szCs w:val="22"/>
        </w:rPr>
        <w:t>minimal bu</w:t>
      </w:r>
      <w:r w:rsidRPr="00FA2706">
        <w:rPr>
          <w:color w:val="156082" w:themeColor="accent1"/>
          <w:sz w:val="22"/>
          <w:szCs w:val="22"/>
        </w:rPr>
        <w:t xml:space="preserve">dgets. </w:t>
      </w:r>
    </w:p>
    <w:p w14:paraId="6F560352" w14:textId="2090B9AC" w:rsidR="00FA2706" w:rsidRPr="00FA2706" w:rsidRDefault="00FA2706" w:rsidP="0019153A">
      <w:pPr>
        <w:pStyle w:val="ListParagraph"/>
        <w:numPr>
          <w:ilvl w:val="0"/>
          <w:numId w:val="21"/>
        </w:numPr>
        <w:jc w:val="both"/>
        <w:rPr>
          <w:b/>
          <w:bCs/>
          <w:color w:val="156082" w:themeColor="accent1"/>
          <w:sz w:val="22"/>
          <w:szCs w:val="22"/>
        </w:rPr>
      </w:pPr>
      <w:r w:rsidRPr="00FA2706">
        <w:rPr>
          <w:color w:val="156082" w:themeColor="accent1"/>
          <w:sz w:val="22"/>
          <w:szCs w:val="22"/>
        </w:rPr>
        <w:lastRenderedPageBreak/>
        <w:t>A key priority identified by all of them was the need for restoring basic infrastructure and rebuilding Member States’ and other partners/stakeholders trust in their sustainability and capacity to deliver</w:t>
      </w:r>
      <w:r w:rsidR="007B1CC5">
        <w:rPr>
          <w:color w:val="156082" w:themeColor="accent1"/>
          <w:sz w:val="22"/>
          <w:szCs w:val="22"/>
        </w:rPr>
        <w:t>.</w:t>
      </w:r>
    </w:p>
    <w:p w14:paraId="22CAC100" w14:textId="3F81FD52" w:rsidR="00FA2706" w:rsidRPr="00FA2706" w:rsidRDefault="00FA2706" w:rsidP="0019153A">
      <w:pPr>
        <w:pStyle w:val="ListParagraph"/>
        <w:numPr>
          <w:ilvl w:val="0"/>
          <w:numId w:val="21"/>
        </w:numPr>
        <w:jc w:val="both"/>
        <w:rPr>
          <w:b/>
          <w:bCs/>
          <w:color w:val="156082" w:themeColor="accent1"/>
          <w:sz w:val="22"/>
          <w:szCs w:val="22"/>
        </w:rPr>
      </w:pPr>
      <w:r w:rsidRPr="00FA2706">
        <w:rPr>
          <w:color w:val="156082" w:themeColor="accent1"/>
          <w:sz w:val="22"/>
          <w:szCs w:val="22"/>
        </w:rPr>
        <w:t>Overall, with human reinforcement focusing on the above-mentioned critically vulnerable areas and remaining very conservative (only 5 new positions, still falling short from the estimate of resources prepared at the request of Member States in Circular Letter 2912 of October 2022), some of the Commission’s key functions remain barely sustainable.</w:t>
      </w:r>
    </w:p>
    <w:p w14:paraId="531F7F06" w14:textId="4E5C5E84" w:rsidR="006F6A5D" w:rsidRPr="00EB32FE" w:rsidRDefault="00EB32FE" w:rsidP="00EB32FE">
      <w:pPr>
        <w:pStyle w:val="ListParagraph"/>
        <w:numPr>
          <w:ilvl w:val="0"/>
          <w:numId w:val="22"/>
        </w:numPr>
        <w:jc w:val="both"/>
        <w:rPr>
          <w:b/>
          <w:bCs/>
          <w:color w:val="156082" w:themeColor="accent1"/>
          <w:sz w:val="22"/>
          <w:szCs w:val="22"/>
        </w:rPr>
      </w:pPr>
      <w:r>
        <w:rPr>
          <w:color w:val="156082" w:themeColor="accent1"/>
          <w:sz w:val="22"/>
          <w:szCs w:val="22"/>
        </w:rPr>
        <w:t xml:space="preserve">The above considerations are merely presented by the Secretariat to the attention of Member States to describe some of </w:t>
      </w:r>
      <w:r w:rsidR="00775231">
        <w:rPr>
          <w:color w:val="156082" w:themeColor="accent1"/>
          <w:sz w:val="22"/>
          <w:szCs w:val="22"/>
        </w:rPr>
        <w:t xml:space="preserve">the </w:t>
      </w:r>
      <w:r>
        <w:rPr>
          <w:color w:val="156082" w:themeColor="accent1"/>
          <w:sz w:val="22"/>
          <w:szCs w:val="22"/>
        </w:rPr>
        <w:t xml:space="preserve">challenges encountered in the process of the revised 42 C/5 preparations and to highlight the critical importance of a clear and transparent consultation process </w:t>
      </w:r>
      <w:r w:rsidR="00B822A1">
        <w:rPr>
          <w:color w:val="156082" w:themeColor="accent1"/>
          <w:sz w:val="22"/>
          <w:szCs w:val="22"/>
        </w:rPr>
        <w:t>on the strategic direction of the IOC.</w:t>
      </w:r>
    </w:p>
    <w:p w14:paraId="3CC15C70" w14:textId="0E131767" w:rsidR="00EB32FE" w:rsidRPr="00EB32FE" w:rsidRDefault="00EB32FE" w:rsidP="00EB32FE">
      <w:pPr>
        <w:pStyle w:val="ListParagraph"/>
        <w:numPr>
          <w:ilvl w:val="0"/>
          <w:numId w:val="22"/>
        </w:numPr>
        <w:jc w:val="both"/>
        <w:rPr>
          <w:b/>
          <w:bCs/>
          <w:color w:val="156082" w:themeColor="accent1"/>
          <w:sz w:val="22"/>
          <w:szCs w:val="22"/>
        </w:rPr>
      </w:pPr>
      <w:r>
        <w:rPr>
          <w:color w:val="156082" w:themeColor="accent1"/>
          <w:sz w:val="22"/>
          <w:szCs w:val="22"/>
        </w:rPr>
        <w:t>In addition to governing bodies’ meetings &amp; intersessional guidance by IFAG, the Consultation Process IOC and the Future of the Ocean is proposed by the Executive Secretary to inform decision-making leading to the next Medium-Term Strategy.</w:t>
      </w:r>
    </w:p>
    <w:p w14:paraId="4ECEADB0" w14:textId="77777777" w:rsidR="00EB32FE" w:rsidRDefault="00EB32FE">
      <w:pPr>
        <w:rPr>
          <w:b/>
          <w:bCs/>
          <w:color w:val="156082" w:themeColor="accent1"/>
          <w:sz w:val="22"/>
          <w:szCs w:val="22"/>
        </w:rPr>
      </w:pPr>
      <w:r>
        <w:rPr>
          <w:b/>
          <w:bCs/>
          <w:color w:val="156082" w:themeColor="accent1"/>
          <w:sz w:val="22"/>
          <w:szCs w:val="22"/>
        </w:rPr>
        <w:br w:type="page"/>
      </w:r>
    </w:p>
    <w:p w14:paraId="2BC5E33C" w14:textId="5D70E359" w:rsidR="0011547B" w:rsidRPr="00FA2706" w:rsidRDefault="0011547B" w:rsidP="006B63A7">
      <w:pPr>
        <w:jc w:val="center"/>
        <w:rPr>
          <w:b/>
          <w:bCs/>
          <w:color w:val="156082" w:themeColor="accent1"/>
          <w:sz w:val="22"/>
          <w:szCs w:val="22"/>
        </w:rPr>
      </w:pPr>
      <w:r w:rsidRPr="00FA2706">
        <w:rPr>
          <w:b/>
          <w:bCs/>
          <w:color w:val="156082" w:themeColor="accent1"/>
          <w:sz w:val="22"/>
          <w:szCs w:val="22"/>
        </w:rPr>
        <w:lastRenderedPageBreak/>
        <w:t>STABILISATION OF ALL FUNCTIONS</w:t>
      </w:r>
    </w:p>
    <w:p w14:paraId="2292FF43" w14:textId="77777777" w:rsidR="0011547B" w:rsidRPr="00FA2706" w:rsidRDefault="0011547B" w:rsidP="0011547B">
      <w:pPr>
        <w:jc w:val="center"/>
        <w:rPr>
          <w:color w:val="156082" w:themeColor="accent1"/>
          <w:sz w:val="22"/>
          <w:szCs w:val="22"/>
        </w:rPr>
      </w:pPr>
    </w:p>
    <w:p w14:paraId="420CC25C" w14:textId="398ABCF5" w:rsidR="0011547B" w:rsidRPr="00FA2706" w:rsidRDefault="00435DB4" w:rsidP="0011547B">
      <w:pPr>
        <w:jc w:val="center"/>
        <w:rPr>
          <w:color w:val="156082" w:themeColor="accent1"/>
          <w:sz w:val="22"/>
          <w:szCs w:val="22"/>
          <w:u w:val="single"/>
        </w:rPr>
      </w:pPr>
      <w:r w:rsidRPr="00FA2706">
        <w:rPr>
          <w:color w:val="156082" w:themeColor="accent1"/>
          <w:sz w:val="22"/>
          <w:szCs w:val="22"/>
          <w:u w:val="single"/>
        </w:rPr>
        <w:t xml:space="preserve">Function </w:t>
      </w:r>
      <w:r w:rsidR="0011547B" w:rsidRPr="00FA2706">
        <w:rPr>
          <w:color w:val="156082" w:themeColor="accent1"/>
          <w:sz w:val="22"/>
          <w:szCs w:val="22"/>
          <w:u w:val="single"/>
        </w:rPr>
        <w:t>A – Ocean research</w:t>
      </w:r>
    </w:p>
    <w:p w14:paraId="6DE61A15" w14:textId="77777777" w:rsidR="0011547B" w:rsidRPr="00FA2706" w:rsidRDefault="0011547B" w:rsidP="0011547B">
      <w:pPr>
        <w:pStyle w:val="ListParagraph"/>
        <w:numPr>
          <w:ilvl w:val="0"/>
          <w:numId w:val="5"/>
        </w:numPr>
        <w:rPr>
          <w:i/>
          <w:iCs/>
          <w:color w:val="156082" w:themeColor="accent1"/>
          <w:sz w:val="22"/>
          <w:szCs w:val="22"/>
        </w:rPr>
      </w:pPr>
      <w:r w:rsidRPr="00FA2706">
        <w:rPr>
          <w:i/>
          <w:iCs/>
          <w:color w:val="156082" w:themeColor="accent1"/>
          <w:sz w:val="22"/>
          <w:szCs w:val="22"/>
        </w:rPr>
        <w:t>Source of Member States Guidance:</w:t>
      </w:r>
    </w:p>
    <w:p w14:paraId="2408C261" w14:textId="089C300B" w:rsidR="00D171F5" w:rsidRPr="00FA2706" w:rsidRDefault="00D171F5" w:rsidP="00D171F5">
      <w:pPr>
        <w:pStyle w:val="ListParagraph"/>
        <w:rPr>
          <w:color w:val="156082" w:themeColor="accent1"/>
          <w:sz w:val="22"/>
          <w:szCs w:val="22"/>
        </w:rPr>
      </w:pPr>
      <w:r w:rsidRPr="00FA2706">
        <w:rPr>
          <w:color w:val="156082" w:themeColor="accent1"/>
          <w:sz w:val="22"/>
          <w:szCs w:val="22"/>
        </w:rPr>
        <w:t>IOC Assembly 32</w:t>
      </w:r>
      <w:r w:rsidRPr="00FA2706">
        <w:rPr>
          <w:color w:val="156082" w:themeColor="accent1"/>
          <w:sz w:val="22"/>
          <w:szCs w:val="22"/>
          <w:vertAlign w:val="superscript"/>
        </w:rPr>
        <w:t>nd</w:t>
      </w:r>
      <w:r w:rsidRPr="00FA2706">
        <w:rPr>
          <w:color w:val="156082" w:themeColor="accent1"/>
          <w:sz w:val="22"/>
          <w:szCs w:val="22"/>
        </w:rPr>
        <w:t xml:space="preserve"> session: IOC Resolution A-32/4(II)</w:t>
      </w:r>
    </w:p>
    <w:p w14:paraId="7608026E" w14:textId="41F405CF" w:rsidR="00E26DF1" w:rsidRPr="00FA2706" w:rsidRDefault="00E26DF1" w:rsidP="00D171F5">
      <w:pPr>
        <w:pStyle w:val="ListParagraph"/>
        <w:rPr>
          <w:color w:val="156082" w:themeColor="accent1"/>
          <w:sz w:val="22"/>
          <w:szCs w:val="22"/>
        </w:rPr>
      </w:pPr>
    </w:p>
    <w:p w14:paraId="0CB8EB50" w14:textId="296CD277" w:rsidR="003114DA" w:rsidRPr="00FA2706" w:rsidRDefault="0011547B" w:rsidP="009A2820">
      <w:pPr>
        <w:pStyle w:val="ListParagraph"/>
        <w:numPr>
          <w:ilvl w:val="0"/>
          <w:numId w:val="5"/>
        </w:numPr>
        <w:spacing w:after="0"/>
        <w:rPr>
          <w:i/>
          <w:color w:val="156082" w:themeColor="accent1"/>
          <w:sz w:val="22"/>
          <w:szCs w:val="22"/>
        </w:rPr>
      </w:pPr>
      <w:r w:rsidRPr="00FA2706">
        <w:rPr>
          <w:i/>
          <w:iCs/>
          <w:color w:val="156082" w:themeColor="accent1"/>
          <w:sz w:val="22"/>
          <w:szCs w:val="22"/>
        </w:rPr>
        <w:t>Key outputs:</w:t>
      </w:r>
    </w:p>
    <w:p w14:paraId="01159C41" w14:textId="6B6816CF" w:rsidR="003114DA" w:rsidRPr="00FA2706" w:rsidRDefault="00D171F5" w:rsidP="00EE5D7A">
      <w:pPr>
        <w:pStyle w:val="ListParagraph"/>
        <w:numPr>
          <w:ilvl w:val="1"/>
          <w:numId w:val="5"/>
        </w:numPr>
        <w:spacing w:after="0" w:line="240" w:lineRule="auto"/>
        <w:jc w:val="both"/>
        <w:rPr>
          <w:iCs/>
          <w:color w:val="156082" w:themeColor="accent1"/>
          <w:sz w:val="22"/>
          <w:szCs w:val="22"/>
        </w:rPr>
      </w:pPr>
      <w:r w:rsidRPr="00FA2706">
        <w:rPr>
          <w:iCs/>
          <w:color w:val="156082" w:themeColor="accent1"/>
          <w:sz w:val="22"/>
          <w:szCs w:val="22"/>
          <w:lang w:val="en-GB"/>
        </w:rPr>
        <w:t xml:space="preserve">Creating a stable foundation for the three core components, particularly the ones implemented by the IOC Secretariat on Ocean Carbon Sources and Sinks, as well as </w:t>
      </w:r>
      <w:r w:rsidR="00D3120B" w:rsidRPr="00FA2706">
        <w:rPr>
          <w:iCs/>
          <w:color w:val="156082" w:themeColor="accent1"/>
          <w:sz w:val="22"/>
          <w:szCs w:val="22"/>
          <w:lang w:val="en-GB"/>
        </w:rPr>
        <w:t xml:space="preserve">Climate Change Impacts </w:t>
      </w:r>
      <w:r w:rsidR="003114DA" w:rsidRPr="00FA2706">
        <w:rPr>
          <w:iCs/>
          <w:color w:val="156082" w:themeColor="accent1"/>
          <w:sz w:val="22"/>
          <w:szCs w:val="22"/>
          <w:lang w:val="en-GB"/>
        </w:rPr>
        <w:t>on Ocean and Coastal Ecosystems.</w:t>
      </w:r>
    </w:p>
    <w:p w14:paraId="6BEDE0D6" w14:textId="374727BC" w:rsidR="003114DA" w:rsidRPr="00FA2706" w:rsidRDefault="00D3120B" w:rsidP="00EE5D7A">
      <w:pPr>
        <w:pStyle w:val="ListParagraph"/>
        <w:numPr>
          <w:ilvl w:val="1"/>
          <w:numId w:val="5"/>
        </w:numPr>
        <w:spacing w:after="0" w:line="240" w:lineRule="auto"/>
        <w:jc w:val="both"/>
        <w:rPr>
          <w:iCs/>
          <w:color w:val="156082" w:themeColor="accent1"/>
          <w:sz w:val="22"/>
          <w:szCs w:val="22"/>
        </w:rPr>
      </w:pPr>
      <w:r w:rsidRPr="00FA2706">
        <w:rPr>
          <w:iCs/>
          <w:color w:val="156082" w:themeColor="accent1"/>
          <w:sz w:val="22"/>
          <w:szCs w:val="22"/>
          <w:lang w:val="en-GB"/>
        </w:rPr>
        <w:t xml:space="preserve">Improved guidance to Member States on how to measure and report ocean </w:t>
      </w:r>
      <w:r w:rsidR="003114DA" w:rsidRPr="00FA2706">
        <w:rPr>
          <w:iCs/>
          <w:color w:val="156082" w:themeColor="accent1"/>
          <w:sz w:val="22"/>
          <w:szCs w:val="22"/>
          <w:lang w:val="en-GB"/>
        </w:rPr>
        <w:t>acidification data (SDG 14.3.1)</w:t>
      </w:r>
    </w:p>
    <w:p w14:paraId="28167F59" w14:textId="77777777" w:rsidR="003114DA" w:rsidRPr="00FA2706" w:rsidRDefault="00D3120B" w:rsidP="00EE5D7A">
      <w:pPr>
        <w:pStyle w:val="ListParagraph"/>
        <w:numPr>
          <w:ilvl w:val="1"/>
          <w:numId w:val="5"/>
        </w:numPr>
        <w:spacing w:after="0" w:line="240" w:lineRule="auto"/>
        <w:jc w:val="both"/>
        <w:rPr>
          <w:iCs/>
          <w:color w:val="156082" w:themeColor="accent1"/>
          <w:sz w:val="22"/>
          <w:szCs w:val="22"/>
          <w:lang w:val="en-GB"/>
        </w:rPr>
      </w:pPr>
      <w:r w:rsidRPr="00FA2706">
        <w:rPr>
          <w:iCs/>
          <w:color w:val="156082" w:themeColor="accent1"/>
          <w:sz w:val="22"/>
          <w:szCs w:val="22"/>
          <w:lang w:val="en-GB"/>
        </w:rPr>
        <w:t>Support to develop a global ocean acidificatio</w:t>
      </w:r>
      <w:r w:rsidR="003114DA" w:rsidRPr="00FA2706">
        <w:rPr>
          <w:iCs/>
          <w:color w:val="156082" w:themeColor="accent1"/>
          <w:sz w:val="22"/>
          <w:szCs w:val="22"/>
          <w:lang w:val="en-GB"/>
        </w:rPr>
        <w:t>n capacity development strategy.</w:t>
      </w:r>
    </w:p>
    <w:p w14:paraId="5E36254C" w14:textId="3FCC22D3" w:rsidR="003114DA" w:rsidRPr="00FA2706" w:rsidRDefault="00D3120B" w:rsidP="00EE5D7A">
      <w:pPr>
        <w:pStyle w:val="ListParagraph"/>
        <w:numPr>
          <w:ilvl w:val="1"/>
          <w:numId w:val="5"/>
        </w:numPr>
        <w:spacing w:after="0" w:line="240" w:lineRule="auto"/>
        <w:jc w:val="both"/>
        <w:rPr>
          <w:iCs/>
          <w:color w:val="156082" w:themeColor="accent1"/>
          <w:sz w:val="22"/>
          <w:szCs w:val="22"/>
        </w:rPr>
      </w:pPr>
      <w:r w:rsidRPr="00FA2706">
        <w:rPr>
          <w:iCs/>
          <w:color w:val="156082" w:themeColor="accent1"/>
          <w:sz w:val="22"/>
          <w:szCs w:val="22"/>
          <w:lang w:val="en-GB"/>
        </w:rPr>
        <w:t xml:space="preserve">Scientific Summary for Policymakers on methodologies to reoxygenate oxygen </w:t>
      </w:r>
      <w:r w:rsidR="003114DA" w:rsidRPr="00FA2706">
        <w:rPr>
          <w:iCs/>
          <w:color w:val="156082" w:themeColor="accent1"/>
          <w:sz w:val="22"/>
          <w:szCs w:val="22"/>
          <w:lang w:val="en-GB"/>
        </w:rPr>
        <w:t>deprived zones</w:t>
      </w:r>
    </w:p>
    <w:p w14:paraId="305739E8" w14:textId="77777777" w:rsidR="003114DA" w:rsidRPr="00FA2706" w:rsidRDefault="00D3120B" w:rsidP="00EE5D7A">
      <w:pPr>
        <w:pStyle w:val="ListParagraph"/>
        <w:numPr>
          <w:ilvl w:val="1"/>
          <w:numId w:val="5"/>
        </w:numPr>
        <w:spacing w:after="0" w:line="240" w:lineRule="auto"/>
        <w:jc w:val="both"/>
        <w:rPr>
          <w:iCs/>
          <w:color w:val="156082" w:themeColor="accent1"/>
          <w:sz w:val="22"/>
          <w:szCs w:val="22"/>
        </w:rPr>
      </w:pPr>
      <w:r w:rsidRPr="00FA2706">
        <w:rPr>
          <w:iCs/>
          <w:color w:val="156082" w:themeColor="accent1"/>
          <w:sz w:val="22"/>
          <w:szCs w:val="22"/>
          <w:lang w:val="en-GB"/>
        </w:rPr>
        <w:t>Leadership in Integrated Ocean Carbon Research, including the production of a vision document pr</w:t>
      </w:r>
      <w:r w:rsidR="00EE0635" w:rsidRPr="00FA2706">
        <w:rPr>
          <w:iCs/>
          <w:color w:val="156082" w:themeColor="accent1"/>
          <w:sz w:val="22"/>
          <w:szCs w:val="22"/>
          <w:lang w:val="en-GB"/>
        </w:rPr>
        <w:t>oviding guidance on key knowledge gaps and ways to close them.</w:t>
      </w:r>
    </w:p>
    <w:p w14:paraId="672C63A4" w14:textId="1560D617" w:rsidR="00EB32FE" w:rsidRPr="00EB32FE" w:rsidRDefault="000914C2" w:rsidP="00EE5D7A">
      <w:pPr>
        <w:pStyle w:val="ListParagraph"/>
        <w:numPr>
          <w:ilvl w:val="1"/>
          <w:numId w:val="5"/>
        </w:numPr>
        <w:spacing w:after="0" w:line="240" w:lineRule="auto"/>
        <w:jc w:val="both"/>
        <w:rPr>
          <w:color w:val="156082" w:themeColor="accent1"/>
          <w:sz w:val="22"/>
          <w:szCs w:val="22"/>
          <w:u w:val="single"/>
        </w:rPr>
      </w:pPr>
      <w:r w:rsidRPr="00EB32FE">
        <w:rPr>
          <w:iCs/>
          <w:color w:val="156082" w:themeColor="accent1"/>
          <w:sz w:val="22"/>
          <w:szCs w:val="22"/>
        </w:rPr>
        <w:t>Fulfillment of sponsorship of the World Climate Research Programme jointly with WMO and the ISC</w:t>
      </w:r>
    </w:p>
    <w:p w14:paraId="2B275F49" w14:textId="77777777" w:rsidR="00EB32FE" w:rsidRDefault="00EB32FE" w:rsidP="00EE5D7A">
      <w:pPr>
        <w:pStyle w:val="ListParagraph"/>
        <w:spacing w:after="0" w:line="240" w:lineRule="auto"/>
        <w:ind w:left="1440"/>
        <w:jc w:val="both"/>
        <w:rPr>
          <w:color w:val="156082" w:themeColor="accent1"/>
          <w:sz w:val="22"/>
          <w:szCs w:val="22"/>
          <w:u w:val="single"/>
        </w:rPr>
      </w:pPr>
    </w:p>
    <w:p w14:paraId="6FF98EE9" w14:textId="77777777" w:rsidR="00EB32FE" w:rsidRPr="00EB32FE" w:rsidRDefault="00EB32FE" w:rsidP="00EB32FE">
      <w:pPr>
        <w:pStyle w:val="ListParagraph"/>
        <w:spacing w:after="0" w:line="240" w:lineRule="auto"/>
        <w:ind w:left="1440"/>
        <w:rPr>
          <w:color w:val="156082" w:themeColor="accent1"/>
          <w:sz w:val="22"/>
          <w:szCs w:val="22"/>
          <w:u w:val="single"/>
        </w:rPr>
      </w:pPr>
    </w:p>
    <w:p w14:paraId="5F46B55B" w14:textId="77777777" w:rsidR="00621269" w:rsidRPr="00621269" w:rsidRDefault="00621269" w:rsidP="00EE5D7A">
      <w:pPr>
        <w:jc w:val="center"/>
        <w:rPr>
          <w:color w:val="156082" w:themeColor="accent1"/>
          <w:sz w:val="22"/>
          <w:szCs w:val="22"/>
          <w:u w:val="single"/>
        </w:rPr>
      </w:pPr>
      <w:r w:rsidRPr="00621269">
        <w:rPr>
          <w:color w:val="156082" w:themeColor="accent1"/>
          <w:sz w:val="22"/>
          <w:szCs w:val="22"/>
          <w:u w:val="single"/>
        </w:rPr>
        <w:t>Function C – Early Warning &amp; Services</w:t>
      </w:r>
    </w:p>
    <w:p w14:paraId="36A857C0" w14:textId="77777777" w:rsidR="00621269" w:rsidRPr="00621269" w:rsidRDefault="00621269" w:rsidP="00621269">
      <w:pPr>
        <w:rPr>
          <w:color w:val="156082" w:themeColor="accent1"/>
          <w:sz w:val="22"/>
          <w:szCs w:val="22"/>
        </w:rPr>
      </w:pPr>
    </w:p>
    <w:p w14:paraId="733B259B" w14:textId="77777777" w:rsidR="00621269" w:rsidRPr="00621269" w:rsidRDefault="00621269" w:rsidP="00EE5D7A">
      <w:pPr>
        <w:numPr>
          <w:ilvl w:val="0"/>
          <w:numId w:val="5"/>
        </w:numPr>
        <w:spacing w:after="0" w:line="240" w:lineRule="auto"/>
        <w:rPr>
          <w:i/>
          <w:iCs/>
          <w:color w:val="156082" w:themeColor="accent1"/>
          <w:sz w:val="22"/>
          <w:szCs w:val="22"/>
        </w:rPr>
      </w:pPr>
      <w:r w:rsidRPr="00621269">
        <w:rPr>
          <w:i/>
          <w:iCs/>
          <w:color w:val="156082" w:themeColor="accent1"/>
          <w:sz w:val="22"/>
          <w:szCs w:val="22"/>
        </w:rPr>
        <w:t>Source of Member States Guidance:</w:t>
      </w:r>
    </w:p>
    <w:p w14:paraId="3F1EA8BD" w14:textId="77777777" w:rsidR="00621269" w:rsidRPr="00621269" w:rsidRDefault="00621269" w:rsidP="00EE5D7A">
      <w:pPr>
        <w:spacing w:after="0" w:line="240" w:lineRule="auto"/>
        <w:ind w:firstLine="720"/>
        <w:rPr>
          <w:color w:val="156082" w:themeColor="accent1"/>
          <w:sz w:val="22"/>
          <w:szCs w:val="22"/>
        </w:rPr>
      </w:pPr>
      <w:r w:rsidRPr="00621269">
        <w:rPr>
          <w:color w:val="156082" w:themeColor="accent1"/>
          <w:sz w:val="22"/>
          <w:szCs w:val="22"/>
        </w:rPr>
        <w:t>IOC Assembly 32nd session: IOC Resolution A-32/3.4.1</w:t>
      </w:r>
    </w:p>
    <w:p w14:paraId="163C3733" w14:textId="3F01F73D" w:rsidR="00621269" w:rsidRDefault="00621269" w:rsidP="00EE5D7A">
      <w:pPr>
        <w:spacing w:after="0" w:line="240" w:lineRule="auto"/>
        <w:ind w:left="720"/>
        <w:rPr>
          <w:color w:val="156082" w:themeColor="accent1"/>
          <w:sz w:val="22"/>
          <w:szCs w:val="22"/>
        </w:rPr>
      </w:pPr>
      <w:r w:rsidRPr="00621269">
        <w:rPr>
          <w:color w:val="156082" w:themeColor="accent1"/>
          <w:sz w:val="22"/>
          <w:szCs w:val="22"/>
        </w:rPr>
        <w:t>Fifteenth Session of the IOC-FAO Intergovernmental Panel on HAB (IOC-FAO/IPHAB-XVI/3s) and IOC Decision A-32/3.4.3</w:t>
      </w:r>
    </w:p>
    <w:p w14:paraId="5BFE53D3" w14:textId="77777777" w:rsidR="00EE5D7A" w:rsidRPr="00621269" w:rsidRDefault="00EE5D7A" w:rsidP="00EE5D7A">
      <w:pPr>
        <w:spacing w:after="0" w:line="240" w:lineRule="auto"/>
        <w:ind w:left="720"/>
        <w:rPr>
          <w:color w:val="156082" w:themeColor="accent1"/>
          <w:sz w:val="22"/>
          <w:szCs w:val="22"/>
        </w:rPr>
      </w:pPr>
    </w:p>
    <w:p w14:paraId="1F1E5F85" w14:textId="77777777" w:rsidR="00621269" w:rsidRPr="00621269" w:rsidRDefault="00621269" w:rsidP="00EE5D7A">
      <w:pPr>
        <w:numPr>
          <w:ilvl w:val="0"/>
          <w:numId w:val="5"/>
        </w:numPr>
        <w:spacing w:after="0" w:line="240" w:lineRule="auto"/>
        <w:rPr>
          <w:i/>
          <w:iCs/>
          <w:color w:val="156082" w:themeColor="accent1"/>
          <w:sz w:val="22"/>
          <w:szCs w:val="22"/>
        </w:rPr>
      </w:pPr>
      <w:r w:rsidRPr="00621269">
        <w:rPr>
          <w:i/>
          <w:iCs/>
          <w:color w:val="156082" w:themeColor="accent1"/>
          <w:sz w:val="22"/>
          <w:szCs w:val="22"/>
        </w:rPr>
        <w:t>Key outputs:</w:t>
      </w:r>
    </w:p>
    <w:p w14:paraId="6B43296F" w14:textId="01C51727" w:rsidR="00621269" w:rsidRPr="00621269" w:rsidRDefault="00621269" w:rsidP="001A019A">
      <w:pPr>
        <w:numPr>
          <w:ilvl w:val="1"/>
          <w:numId w:val="5"/>
        </w:numPr>
        <w:spacing w:after="0" w:line="240" w:lineRule="auto"/>
        <w:jc w:val="both"/>
        <w:rPr>
          <w:color w:val="156082" w:themeColor="accent1"/>
          <w:sz w:val="22"/>
          <w:szCs w:val="22"/>
        </w:rPr>
      </w:pPr>
      <w:r w:rsidRPr="00621269">
        <w:rPr>
          <w:color w:val="156082" w:themeColor="accent1"/>
          <w:sz w:val="22"/>
          <w:szCs w:val="22"/>
        </w:rPr>
        <w:t xml:space="preserve">6 new Tsunami Ready communities </w:t>
      </w:r>
      <w:r w:rsidR="00EE5D7A" w:rsidRPr="00621269">
        <w:rPr>
          <w:color w:val="156082" w:themeColor="accent1"/>
          <w:sz w:val="22"/>
          <w:szCs w:val="22"/>
        </w:rPr>
        <w:t>recognized</w:t>
      </w:r>
      <w:r w:rsidRPr="00621269">
        <w:rPr>
          <w:color w:val="156082" w:themeColor="accent1"/>
          <w:sz w:val="22"/>
          <w:szCs w:val="22"/>
        </w:rPr>
        <w:t xml:space="preserve"> in 5 SIDS in the Caribbean Region, 2 communities in 2 SIDS in the Indian Ocean, and 5 communities in 5 SIDS in the Pacific Ocean (total of 13 new Tsunami Ready communities in 12 SIDS)</w:t>
      </w:r>
    </w:p>
    <w:p w14:paraId="0A998967" w14:textId="77777777" w:rsidR="00621269" w:rsidRPr="00621269" w:rsidRDefault="00621269" w:rsidP="001A019A">
      <w:pPr>
        <w:numPr>
          <w:ilvl w:val="1"/>
          <w:numId w:val="5"/>
        </w:numPr>
        <w:spacing w:after="0" w:line="240" w:lineRule="auto"/>
        <w:jc w:val="both"/>
        <w:rPr>
          <w:color w:val="156082" w:themeColor="accent1"/>
          <w:sz w:val="22"/>
          <w:szCs w:val="22"/>
        </w:rPr>
      </w:pPr>
      <w:r w:rsidRPr="00621269">
        <w:rPr>
          <w:color w:val="156082" w:themeColor="accent1"/>
          <w:sz w:val="22"/>
          <w:szCs w:val="22"/>
        </w:rPr>
        <w:t xml:space="preserve">Organization of the 2nd UNESCO-IOC Global Tsunami Symposium </w:t>
      </w:r>
      <w:r w:rsidRPr="00621269">
        <w:rPr>
          <w:i/>
          <w:iCs/>
          <w:color w:val="156082" w:themeColor="accent1"/>
          <w:sz w:val="22"/>
          <w:szCs w:val="22"/>
        </w:rPr>
        <w:t>“Two Decades After 2004 Indian Ocean Tsunami: Reflection and the Way Forward”</w:t>
      </w:r>
      <w:r w:rsidRPr="00621269">
        <w:rPr>
          <w:color w:val="156082" w:themeColor="accent1"/>
          <w:sz w:val="22"/>
          <w:szCs w:val="22"/>
        </w:rPr>
        <w:t>, Banda Aceh, 11 - 14 November 2024, to be hosted by the Government of Indonesia as part of the plans by the ICG/IOTWMS to commemorate the 20th Anniversary of the Indian Ocean Tsunami of 2004</w:t>
      </w:r>
    </w:p>
    <w:p w14:paraId="3F38F47B" w14:textId="77777777" w:rsidR="00621269" w:rsidRPr="00621269" w:rsidRDefault="00621269" w:rsidP="001A019A">
      <w:pPr>
        <w:numPr>
          <w:ilvl w:val="1"/>
          <w:numId w:val="5"/>
        </w:numPr>
        <w:spacing w:after="0" w:line="240" w:lineRule="auto"/>
        <w:jc w:val="both"/>
        <w:rPr>
          <w:color w:val="156082" w:themeColor="accent1"/>
          <w:sz w:val="22"/>
          <w:szCs w:val="22"/>
        </w:rPr>
      </w:pPr>
      <w:r w:rsidRPr="00621269">
        <w:rPr>
          <w:color w:val="156082" w:themeColor="accent1"/>
          <w:sz w:val="22"/>
          <w:szCs w:val="22"/>
        </w:rPr>
        <w:t>Strategic leadership and initiative provided by IOC in defining priorities for research on harmful algal bloom solutions.</w:t>
      </w:r>
    </w:p>
    <w:p w14:paraId="0707F824" w14:textId="77777777" w:rsidR="00621269" w:rsidRPr="00621269" w:rsidRDefault="00621269" w:rsidP="001A019A">
      <w:pPr>
        <w:numPr>
          <w:ilvl w:val="1"/>
          <w:numId w:val="5"/>
        </w:numPr>
        <w:spacing w:after="0" w:line="240" w:lineRule="auto"/>
        <w:jc w:val="both"/>
        <w:rPr>
          <w:color w:val="156082" w:themeColor="accent1"/>
          <w:sz w:val="22"/>
          <w:szCs w:val="22"/>
        </w:rPr>
      </w:pPr>
      <w:r w:rsidRPr="00621269">
        <w:rPr>
          <w:color w:val="156082" w:themeColor="accent1"/>
          <w:sz w:val="22"/>
          <w:szCs w:val="22"/>
        </w:rPr>
        <w:t>Enhanced capacity in Member States to forecast and mitigate harmful algal blooms.</w:t>
      </w:r>
    </w:p>
    <w:p w14:paraId="57C72E4E" w14:textId="77777777" w:rsidR="00621269" w:rsidRPr="00621269" w:rsidRDefault="00621269" w:rsidP="001A019A">
      <w:pPr>
        <w:spacing w:after="0" w:line="240" w:lineRule="auto"/>
        <w:jc w:val="both"/>
        <w:rPr>
          <w:color w:val="156082" w:themeColor="accent1"/>
          <w:sz w:val="22"/>
          <w:szCs w:val="22"/>
        </w:rPr>
      </w:pPr>
      <w:r w:rsidRPr="00621269">
        <w:rPr>
          <w:color w:val="156082" w:themeColor="accent1"/>
          <w:sz w:val="22"/>
          <w:szCs w:val="22"/>
        </w:rPr>
        <w:br w:type="page"/>
      </w:r>
    </w:p>
    <w:p w14:paraId="0F484D24" w14:textId="77777777" w:rsidR="00621269" w:rsidRPr="00621269" w:rsidRDefault="00621269" w:rsidP="00EE5D7A">
      <w:pPr>
        <w:spacing w:after="0" w:line="240" w:lineRule="auto"/>
        <w:jc w:val="center"/>
        <w:rPr>
          <w:color w:val="156082" w:themeColor="accent1"/>
          <w:sz w:val="22"/>
          <w:szCs w:val="22"/>
          <w:u w:val="single"/>
        </w:rPr>
      </w:pPr>
      <w:r w:rsidRPr="00621269">
        <w:rPr>
          <w:color w:val="156082" w:themeColor="accent1"/>
          <w:sz w:val="22"/>
          <w:szCs w:val="22"/>
          <w:u w:val="single"/>
        </w:rPr>
        <w:lastRenderedPageBreak/>
        <w:t>Function D – Assessment &amp; Information for Policy</w:t>
      </w:r>
    </w:p>
    <w:p w14:paraId="63C419A5" w14:textId="0115E659" w:rsidR="00621269" w:rsidRPr="00621269" w:rsidRDefault="00621269" w:rsidP="00EE5D7A">
      <w:pPr>
        <w:spacing w:after="0" w:line="240" w:lineRule="auto"/>
        <w:rPr>
          <w:i/>
          <w:iCs/>
          <w:color w:val="156082" w:themeColor="accent1"/>
          <w:sz w:val="22"/>
          <w:szCs w:val="22"/>
        </w:rPr>
      </w:pPr>
    </w:p>
    <w:p w14:paraId="7518B84A" w14:textId="77777777" w:rsidR="00621269" w:rsidRPr="00621269" w:rsidRDefault="00621269" w:rsidP="00EE5D7A">
      <w:pPr>
        <w:spacing w:after="0" w:line="240" w:lineRule="auto"/>
        <w:rPr>
          <w:color w:val="156082" w:themeColor="accent1"/>
          <w:sz w:val="22"/>
          <w:szCs w:val="22"/>
        </w:rPr>
      </w:pPr>
    </w:p>
    <w:p w14:paraId="5062D78F" w14:textId="40329A22" w:rsidR="00621269" w:rsidRPr="00621269" w:rsidRDefault="00621269" w:rsidP="00EE5D7A">
      <w:pPr>
        <w:numPr>
          <w:ilvl w:val="0"/>
          <w:numId w:val="5"/>
        </w:numPr>
        <w:spacing w:after="0" w:line="240" w:lineRule="auto"/>
        <w:jc w:val="both"/>
        <w:rPr>
          <w:color w:val="156082" w:themeColor="accent1"/>
          <w:sz w:val="22"/>
          <w:szCs w:val="22"/>
        </w:rPr>
      </w:pPr>
      <w:r w:rsidRPr="00621269">
        <w:rPr>
          <w:i/>
          <w:iCs/>
          <w:color w:val="156082" w:themeColor="accent1"/>
          <w:sz w:val="22"/>
          <w:szCs w:val="22"/>
        </w:rPr>
        <w:t>Source of Member States Guidance:</w:t>
      </w:r>
    </w:p>
    <w:p w14:paraId="7AF45958" w14:textId="77777777" w:rsidR="00621269" w:rsidRPr="00621269" w:rsidRDefault="00621269" w:rsidP="00EE5D7A">
      <w:pPr>
        <w:spacing w:after="0" w:line="240" w:lineRule="auto"/>
        <w:jc w:val="both"/>
        <w:rPr>
          <w:color w:val="156082" w:themeColor="accent1"/>
          <w:sz w:val="22"/>
          <w:szCs w:val="22"/>
        </w:rPr>
      </w:pPr>
    </w:p>
    <w:p w14:paraId="0B14815A" w14:textId="77777777" w:rsidR="00621269" w:rsidRPr="00464AE0" w:rsidRDefault="00621269" w:rsidP="00EE5D7A">
      <w:pPr>
        <w:numPr>
          <w:ilvl w:val="1"/>
          <w:numId w:val="5"/>
        </w:numPr>
        <w:spacing w:after="0" w:line="240" w:lineRule="auto"/>
        <w:jc w:val="both"/>
        <w:rPr>
          <w:color w:val="156082" w:themeColor="accent1"/>
          <w:sz w:val="22"/>
          <w:szCs w:val="22"/>
        </w:rPr>
      </w:pPr>
      <w:r w:rsidRPr="00464AE0">
        <w:rPr>
          <w:color w:val="156082" w:themeColor="accent1"/>
          <w:sz w:val="22"/>
          <w:szCs w:val="22"/>
        </w:rPr>
        <w:t xml:space="preserve">Re </w:t>
      </w:r>
      <w:proofErr w:type="spellStart"/>
      <w:r w:rsidRPr="00464AE0">
        <w:rPr>
          <w:color w:val="156082" w:themeColor="accent1"/>
          <w:sz w:val="22"/>
          <w:szCs w:val="22"/>
        </w:rPr>
        <w:t>SToR</w:t>
      </w:r>
      <w:proofErr w:type="spellEnd"/>
      <w:r w:rsidRPr="00464AE0">
        <w:rPr>
          <w:color w:val="156082" w:themeColor="accent1"/>
          <w:sz w:val="22"/>
          <w:szCs w:val="22"/>
        </w:rPr>
        <w:t xml:space="preserve"> the </w:t>
      </w:r>
      <w:proofErr w:type="spellStart"/>
      <w:r w:rsidRPr="00464AE0">
        <w:rPr>
          <w:color w:val="156082" w:themeColor="accent1"/>
          <w:sz w:val="22"/>
          <w:szCs w:val="22"/>
        </w:rPr>
        <w:t>StOR</w:t>
      </w:r>
      <w:proofErr w:type="spellEnd"/>
      <w:r w:rsidRPr="00464AE0">
        <w:rPr>
          <w:color w:val="156082" w:themeColor="accent1"/>
          <w:sz w:val="22"/>
          <w:szCs w:val="22"/>
        </w:rPr>
        <w:t xml:space="preserve"> Advisory Board which is open-ended composed of Member State representatives. [</w:t>
      </w:r>
      <w:r w:rsidRPr="00464AE0">
        <w:rPr>
          <w:color w:val="156082" w:themeColor="accent1"/>
          <w:sz w:val="22"/>
          <w:szCs w:val="22"/>
          <w:lang w:val="en-GB"/>
        </w:rPr>
        <w:t>IOC Decision A-32/4.2 Second edition of the IOC State of the Ocean Report]</w:t>
      </w:r>
    </w:p>
    <w:p w14:paraId="2CB32141" w14:textId="77777777" w:rsidR="00621269" w:rsidRPr="00464AE0" w:rsidRDefault="00621269" w:rsidP="00EE5D7A">
      <w:pPr>
        <w:numPr>
          <w:ilvl w:val="1"/>
          <w:numId w:val="5"/>
        </w:numPr>
        <w:spacing w:after="0" w:line="240" w:lineRule="auto"/>
        <w:jc w:val="both"/>
        <w:rPr>
          <w:color w:val="156082" w:themeColor="accent1"/>
          <w:sz w:val="22"/>
          <w:szCs w:val="22"/>
        </w:rPr>
      </w:pPr>
      <w:r w:rsidRPr="00464AE0">
        <w:rPr>
          <w:color w:val="156082" w:themeColor="accent1"/>
          <w:sz w:val="22"/>
          <w:szCs w:val="22"/>
        </w:rPr>
        <w:t>Re SDG Indicator 14.1.1. on coastal eutrophication Member State guidance is further back in the value chain in the SDG process. [</w:t>
      </w:r>
      <w:r w:rsidRPr="00464AE0">
        <w:rPr>
          <w:color w:val="156082" w:themeColor="accent1"/>
          <w:sz w:val="22"/>
          <w:szCs w:val="22"/>
          <w:lang w:val="en-GB"/>
        </w:rPr>
        <w:t>IOC Decision A-32/4.11 IOC Custodian Role in relation to SDG 14 indicators]</w:t>
      </w:r>
    </w:p>
    <w:p w14:paraId="6F0F7FFF" w14:textId="77777777" w:rsidR="00621269" w:rsidRPr="00464AE0" w:rsidRDefault="00621269" w:rsidP="00EE5D7A">
      <w:pPr>
        <w:numPr>
          <w:ilvl w:val="1"/>
          <w:numId w:val="5"/>
        </w:numPr>
        <w:spacing w:after="0" w:line="240" w:lineRule="auto"/>
        <w:jc w:val="both"/>
        <w:rPr>
          <w:color w:val="156082" w:themeColor="accent1"/>
          <w:sz w:val="22"/>
          <w:szCs w:val="22"/>
        </w:rPr>
      </w:pPr>
      <w:r w:rsidRPr="00464AE0">
        <w:rPr>
          <w:color w:val="156082" w:themeColor="accent1"/>
          <w:sz w:val="22"/>
          <w:szCs w:val="22"/>
        </w:rPr>
        <w:t>Re IOC sponsorship of GESAMP member States guidance provided in approval of IOC UNESCO membership of GESAMP to provide independent scientific advice to the sponsoring agencies and its member states.</w:t>
      </w:r>
    </w:p>
    <w:p w14:paraId="40AE3B1E" w14:textId="77777777" w:rsidR="00621269" w:rsidRPr="00464AE0" w:rsidRDefault="00621269" w:rsidP="00EE5D7A">
      <w:pPr>
        <w:numPr>
          <w:ilvl w:val="1"/>
          <w:numId w:val="5"/>
        </w:numPr>
        <w:spacing w:after="0" w:line="240" w:lineRule="auto"/>
        <w:jc w:val="both"/>
        <w:rPr>
          <w:color w:val="156082" w:themeColor="accent1"/>
          <w:sz w:val="22"/>
          <w:szCs w:val="22"/>
        </w:rPr>
      </w:pPr>
      <w:r w:rsidRPr="00464AE0">
        <w:rPr>
          <w:color w:val="156082" w:themeColor="accent1"/>
          <w:sz w:val="22"/>
          <w:szCs w:val="22"/>
        </w:rPr>
        <w:t>Engagement of IOC in UN processes [</w:t>
      </w:r>
      <w:r w:rsidRPr="00464AE0">
        <w:rPr>
          <w:color w:val="156082" w:themeColor="accent1"/>
          <w:sz w:val="22"/>
          <w:szCs w:val="22"/>
          <w:lang w:val="en-GB"/>
        </w:rPr>
        <w:t>IOC Decision A-32/4.6 IOC Contributions to UN Governance Processes]</w:t>
      </w:r>
    </w:p>
    <w:p w14:paraId="771ED3DF" w14:textId="77777777" w:rsidR="00621269" w:rsidRPr="00621269" w:rsidRDefault="00621269" w:rsidP="00EE5D7A">
      <w:pPr>
        <w:numPr>
          <w:ilvl w:val="1"/>
          <w:numId w:val="5"/>
        </w:numPr>
        <w:spacing w:after="0" w:line="240" w:lineRule="auto"/>
        <w:jc w:val="both"/>
        <w:rPr>
          <w:color w:val="156082" w:themeColor="accent1"/>
          <w:sz w:val="22"/>
          <w:szCs w:val="22"/>
        </w:rPr>
      </w:pPr>
      <w:r w:rsidRPr="00464AE0">
        <w:rPr>
          <w:color w:val="156082" w:themeColor="accent1"/>
          <w:sz w:val="22"/>
          <w:szCs w:val="22"/>
        </w:rPr>
        <w:t>Engagement in GEBCO [</w:t>
      </w:r>
      <w:r w:rsidRPr="00464AE0">
        <w:rPr>
          <w:color w:val="156082" w:themeColor="accent1"/>
          <w:sz w:val="22"/>
          <w:szCs w:val="22"/>
          <w:lang w:val="en-GB"/>
        </w:rPr>
        <w:t>IOC Decision A-32/4.1 Report of the GEBCO Guiding Committee and Outcomes</w:t>
      </w:r>
      <w:r w:rsidRPr="00621269">
        <w:rPr>
          <w:color w:val="156082" w:themeColor="accent1"/>
          <w:sz w:val="22"/>
          <w:szCs w:val="22"/>
          <w:lang w:val="en-GB"/>
        </w:rPr>
        <w:t xml:space="preserve"> of the GEBCO Governance Review 2023]</w:t>
      </w:r>
    </w:p>
    <w:p w14:paraId="74B31A61" w14:textId="77777777" w:rsidR="00621269" w:rsidRPr="00621269" w:rsidRDefault="00621269" w:rsidP="00EE5D7A">
      <w:pPr>
        <w:spacing w:after="0" w:line="240" w:lineRule="auto"/>
        <w:rPr>
          <w:i/>
          <w:iCs/>
          <w:color w:val="156082" w:themeColor="accent1"/>
          <w:sz w:val="22"/>
          <w:szCs w:val="22"/>
        </w:rPr>
      </w:pPr>
    </w:p>
    <w:p w14:paraId="1607EB8F" w14:textId="77777777" w:rsidR="00621269" w:rsidRPr="00621269" w:rsidRDefault="00621269" w:rsidP="00EE5D7A">
      <w:pPr>
        <w:numPr>
          <w:ilvl w:val="0"/>
          <w:numId w:val="5"/>
        </w:numPr>
        <w:spacing w:after="0" w:line="240" w:lineRule="auto"/>
        <w:jc w:val="both"/>
        <w:rPr>
          <w:color w:val="156082" w:themeColor="accent1"/>
          <w:sz w:val="22"/>
          <w:szCs w:val="22"/>
        </w:rPr>
      </w:pPr>
      <w:r w:rsidRPr="00621269">
        <w:rPr>
          <w:i/>
          <w:iCs/>
          <w:color w:val="156082" w:themeColor="accent1"/>
          <w:sz w:val="22"/>
          <w:szCs w:val="22"/>
        </w:rPr>
        <w:t>Key outputs:</w:t>
      </w:r>
    </w:p>
    <w:p w14:paraId="48E48B37" w14:textId="77777777" w:rsidR="00621269" w:rsidRPr="00621269" w:rsidRDefault="00621269" w:rsidP="00EE5D7A">
      <w:pPr>
        <w:numPr>
          <w:ilvl w:val="1"/>
          <w:numId w:val="5"/>
        </w:numPr>
        <w:spacing w:after="0" w:line="240" w:lineRule="auto"/>
        <w:jc w:val="both"/>
        <w:rPr>
          <w:color w:val="156082" w:themeColor="accent1"/>
          <w:sz w:val="22"/>
          <w:szCs w:val="22"/>
        </w:rPr>
      </w:pPr>
      <w:proofErr w:type="spellStart"/>
      <w:r w:rsidRPr="00621269">
        <w:rPr>
          <w:color w:val="156082" w:themeColor="accent1"/>
          <w:sz w:val="22"/>
          <w:szCs w:val="22"/>
        </w:rPr>
        <w:t>SToR</w:t>
      </w:r>
      <w:proofErr w:type="spellEnd"/>
      <w:r w:rsidRPr="00621269">
        <w:rPr>
          <w:color w:val="156082" w:themeColor="accent1"/>
          <w:sz w:val="22"/>
          <w:szCs w:val="22"/>
        </w:rPr>
        <w:t xml:space="preserve"> 2024 Edition</w:t>
      </w:r>
    </w:p>
    <w:p w14:paraId="02BD94A7" w14:textId="77777777" w:rsidR="00621269" w:rsidRPr="00621269" w:rsidRDefault="00621269" w:rsidP="00EE5D7A">
      <w:pPr>
        <w:numPr>
          <w:ilvl w:val="1"/>
          <w:numId w:val="5"/>
        </w:numPr>
        <w:spacing w:after="0" w:line="240" w:lineRule="auto"/>
        <w:jc w:val="both"/>
        <w:rPr>
          <w:color w:val="156082" w:themeColor="accent1"/>
          <w:sz w:val="22"/>
          <w:szCs w:val="22"/>
        </w:rPr>
      </w:pPr>
      <w:r w:rsidRPr="00621269">
        <w:rPr>
          <w:color w:val="156082" w:themeColor="accent1"/>
          <w:sz w:val="22"/>
          <w:szCs w:val="22"/>
        </w:rPr>
        <w:t>Member States (can) report on SDG Indicator 14.1.1. on coastal eutrophication using ICEP</w:t>
      </w:r>
    </w:p>
    <w:p w14:paraId="3DFC6BB6" w14:textId="77777777" w:rsidR="00621269" w:rsidRPr="00621269" w:rsidRDefault="00621269" w:rsidP="00EE5D7A">
      <w:pPr>
        <w:numPr>
          <w:ilvl w:val="1"/>
          <w:numId w:val="5"/>
        </w:numPr>
        <w:spacing w:after="0" w:line="240" w:lineRule="auto"/>
        <w:jc w:val="both"/>
        <w:rPr>
          <w:color w:val="156082" w:themeColor="accent1"/>
          <w:sz w:val="22"/>
          <w:szCs w:val="22"/>
        </w:rPr>
      </w:pPr>
      <w:r w:rsidRPr="00621269">
        <w:rPr>
          <w:color w:val="156082" w:themeColor="accent1"/>
          <w:sz w:val="22"/>
          <w:szCs w:val="22"/>
        </w:rPr>
        <w:t>Independent scientific advice to the sponsoring agencies and its member states om impacts of plastic pollution, on an assessment framework for marine carbon dioxide removal, on best practices for management fouling in the shipping and non-shipping sectors, on the effects of climate change on pollutants in the ocean.</w:t>
      </w:r>
    </w:p>
    <w:p w14:paraId="17BD02EF" w14:textId="77777777" w:rsidR="00621269" w:rsidRPr="00621269" w:rsidRDefault="00621269" w:rsidP="00EE5D7A">
      <w:pPr>
        <w:numPr>
          <w:ilvl w:val="1"/>
          <w:numId w:val="5"/>
        </w:numPr>
        <w:spacing w:after="0" w:line="240" w:lineRule="auto"/>
        <w:jc w:val="both"/>
        <w:rPr>
          <w:color w:val="156082" w:themeColor="accent1"/>
          <w:sz w:val="22"/>
          <w:szCs w:val="22"/>
        </w:rPr>
      </w:pPr>
      <w:r w:rsidRPr="00621269">
        <w:rPr>
          <w:color w:val="156082" w:themeColor="accent1"/>
          <w:sz w:val="22"/>
          <w:szCs w:val="22"/>
        </w:rPr>
        <w:t xml:space="preserve">IOC programmatic contribution to World Ocean Assessment, UNFCCC, CBD and UN Ocean Conference though targeted products, international events, sponsoring of IOC experts from emerging countries and strategic messaging </w:t>
      </w:r>
      <w:proofErr w:type="gramStart"/>
      <w:r w:rsidRPr="00621269">
        <w:rPr>
          <w:color w:val="156082" w:themeColor="accent1"/>
          <w:sz w:val="22"/>
          <w:szCs w:val="22"/>
        </w:rPr>
        <w:t>campaigns</w:t>
      </w:r>
      <w:proofErr w:type="gramEnd"/>
    </w:p>
    <w:p w14:paraId="49263ED3" w14:textId="77777777" w:rsidR="00621269" w:rsidRPr="00621269" w:rsidRDefault="00621269" w:rsidP="00EE5D7A">
      <w:pPr>
        <w:numPr>
          <w:ilvl w:val="1"/>
          <w:numId w:val="5"/>
        </w:numPr>
        <w:spacing w:after="0" w:line="240" w:lineRule="auto"/>
        <w:jc w:val="both"/>
        <w:rPr>
          <w:color w:val="156082" w:themeColor="accent1"/>
          <w:sz w:val="22"/>
          <w:szCs w:val="22"/>
        </w:rPr>
      </w:pPr>
      <w:r w:rsidRPr="00621269">
        <w:rPr>
          <w:color w:val="156082" w:themeColor="accent1"/>
          <w:sz w:val="22"/>
          <w:szCs w:val="22"/>
        </w:rPr>
        <w:t>Support to GEBCO activities through the work of GEBCO Working Groups (</w:t>
      </w:r>
      <w:proofErr w:type="spellStart"/>
      <w:r w:rsidRPr="00621269">
        <w:rPr>
          <w:color w:val="156082" w:themeColor="accent1"/>
          <w:sz w:val="22"/>
          <w:szCs w:val="22"/>
        </w:rPr>
        <w:t>eg</w:t>
      </w:r>
      <w:proofErr w:type="spellEnd"/>
      <w:r w:rsidRPr="00621269">
        <w:rPr>
          <w:color w:val="156082" w:themeColor="accent1"/>
          <w:sz w:val="22"/>
          <w:szCs w:val="22"/>
        </w:rPr>
        <w:t xml:space="preserve"> Education and Training, Communication/Outreach) via IHO </w:t>
      </w:r>
    </w:p>
    <w:p w14:paraId="5B4500BD" w14:textId="77777777" w:rsidR="00621269" w:rsidRPr="00621269" w:rsidRDefault="00621269" w:rsidP="00EE5D7A">
      <w:pPr>
        <w:numPr>
          <w:ilvl w:val="1"/>
          <w:numId w:val="5"/>
        </w:numPr>
        <w:spacing w:after="0" w:line="240" w:lineRule="auto"/>
        <w:jc w:val="both"/>
        <w:rPr>
          <w:color w:val="156082" w:themeColor="accent1"/>
          <w:sz w:val="22"/>
          <w:szCs w:val="22"/>
        </w:rPr>
      </w:pPr>
      <w:r w:rsidRPr="00621269">
        <w:rPr>
          <w:color w:val="156082" w:themeColor="accent1"/>
          <w:sz w:val="22"/>
          <w:szCs w:val="22"/>
        </w:rPr>
        <w:t>Facilitation of regional approach to coastal adaptation through design of project and identification of funding opportunities</w:t>
      </w:r>
    </w:p>
    <w:p w14:paraId="013A3592" w14:textId="77777777" w:rsidR="00621269" w:rsidRPr="00621269" w:rsidRDefault="00621269" w:rsidP="00EE5D7A">
      <w:pPr>
        <w:spacing w:after="0" w:line="240" w:lineRule="auto"/>
        <w:jc w:val="both"/>
        <w:rPr>
          <w:color w:val="156082" w:themeColor="accent1"/>
          <w:sz w:val="22"/>
          <w:szCs w:val="22"/>
        </w:rPr>
      </w:pPr>
    </w:p>
    <w:p w14:paraId="3125CC86" w14:textId="77777777" w:rsidR="00621269" w:rsidRPr="00621269" w:rsidRDefault="00621269" w:rsidP="00EE5D7A">
      <w:pPr>
        <w:spacing w:after="0" w:line="240" w:lineRule="auto"/>
        <w:rPr>
          <w:i/>
          <w:iCs/>
          <w:color w:val="156082" w:themeColor="accent1"/>
          <w:sz w:val="22"/>
          <w:szCs w:val="22"/>
        </w:rPr>
      </w:pPr>
      <w:r w:rsidRPr="00621269">
        <w:rPr>
          <w:i/>
          <w:iCs/>
          <w:color w:val="156082" w:themeColor="accent1"/>
          <w:sz w:val="22"/>
          <w:szCs w:val="22"/>
        </w:rPr>
        <w:br w:type="page"/>
      </w:r>
    </w:p>
    <w:p w14:paraId="12240A26" w14:textId="77777777" w:rsidR="00621269" w:rsidRDefault="00621269" w:rsidP="00EE5D7A">
      <w:pPr>
        <w:spacing w:after="0" w:line="240" w:lineRule="auto"/>
        <w:jc w:val="center"/>
        <w:rPr>
          <w:color w:val="156082" w:themeColor="accent1"/>
          <w:sz w:val="22"/>
          <w:szCs w:val="22"/>
          <w:u w:val="single"/>
        </w:rPr>
      </w:pPr>
      <w:r w:rsidRPr="00621269">
        <w:rPr>
          <w:color w:val="156082" w:themeColor="accent1"/>
          <w:sz w:val="22"/>
          <w:szCs w:val="22"/>
          <w:u w:val="single"/>
        </w:rPr>
        <w:lastRenderedPageBreak/>
        <w:t>Function E – Sustainable Management &amp; Governance</w:t>
      </w:r>
    </w:p>
    <w:p w14:paraId="0830ED03" w14:textId="77777777" w:rsidR="00EE5D7A" w:rsidRPr="00621269" w:rsidRDefault="00EE5D7A" w:rsidP="00EE5D7A">
      <w:pPr>
        <w:spacing w:after="0" w:line="240" w:lineRule="auto"/>
        <w:rPr>
          <w:color w:val="156082" w:themeColor="accent1"/>
          <w:sz w:val="22"/>
          <w:szCs w:val="22"/>
          <w:u w:val="single"/>
        </w:rPr>
      </w:pPr>
    </w:p>
    <w:p w14:paraId="0BA60E24" w14:textId="7FD1CC81" w:rsidR="00621269" w:rsidRDefault="00621269" w:rsidP="00EE5D7A">
      <w:pPr>
        <w:spacing w:after="0" w:line="240" w:lineRule="auto"/>
        <w:rPr>
          <w:b/>
          <w:bCs/>
          <w:color w:val="156082" w:themeColor="accent1"/>
          <w:sz w:val="22"/>
          <w:szCs w:val="22"/>
        </w:rPr>
      </w:pPr>
      <w:r w:rsidRPr="00621269">
        <w:rPr>
          <w:b/>
          <w:bCs/>
          <w:color w:val="156082" w:themeColor="accent1"/>
          <w:sz w:val="22"/>
          <w:szCs w:val="22"/>
        </w:rPr>
        <w:t>OCEAN DECADE</w:t>
      </w:r>
    </w:p>
    <w:p w14:paraId="41B5FCD6" w14:textId="77777777" w:rsidR="00030E40" w:rsidRPr="00621269" w:rsidRDefault="00030E40" w:rsidP="00EE5D7A">
      <w:pPr>
        <w:spacing w:after="0" w:line="240" w:lineRule="auto"/>
        <w:rPr>
          <w:b/>
          <w:bCs/>
          <w:color w:val="156082" w:themeColor="accent1"/>
          <w:sz w:val="22"/>
          <w:szCs w:val="22"/>
        </w:rPr>
      </w:pPr>
    </w:p>
    <w:p w14:paraId="7C792AFE" w14:textId="77777777" w:rsidR="00621269" w:rsidRPr="00621269" w:rsidRDefault="00621269" w:rsidP="00EE5D7A">
      <w:pPr>
        <w:numPr>
          <w:ilvl w:val="0"/>
          <w:numId w:val="23"/>
        </w:numPr>
        <w:spacing w:after="0" w:line="240" w:lineRule="auto"/>
        <w:rPr>
          <w:color w:val="156082" w:themeColor="accent1"/>
          <w:sz w:val="22"/>
          <w:szCs w:val="22"/>
        </w:rPr>
      </w:pPr>
      <w:r w:rsidRPr="00621269">
        <w:rPr>
          <w:i/>
          <w:iCs/>
          <w:color w:val="156082" w:themeColor="accent1"/>
          <w:sz w:val="22"/>
          <w:szCs w:val="22"/>
        </w:rPr>
        <w:t>Source of Member States Guidance:</w:t>
      </w:r>
    </w:p>
    <w:p w14:paraId="4F734566" w14:textId="77777777" w:rsidR="00621269" w:rsidRPr="00621269" w:rsidRDefault="00621269" w:rsidP="00030E40">
      <w:pPr>
        <w:spacing w:after="0" w:line="240" w:lineRule="auto"/>
        <w:ind w:firstLine="720"/>
        <w:rPr>
          <w:color w:val="156082" w:themeColor="accent1"/>
          <w:sz w:val="22"/>
          <w:szCs w:val="22"/>
        </w:rPr>
      </w:pPr>
      <w:r w:rsidRPr="00621269">
        <w:rPr>
          <w:color w:val="156082" w:themeColor="accent1"/>
          <w:sz w:val="22"/>
          <w:szCs w:val="22"/>
        </w:rPr>
        <w:t>Ocean Decade Implementation Plan </w:t>
      </w:r>
    </w:p>
    <w:p w14:paraId="143A4AAD" w14:textId="77777777" w:rsidR="00621269" w:rsidRPr="00621269" w:rsidRDefault="00621269" w:rsidP="005A3C7B">
      <w:pPr>
        <w:spacing w:after="0" w:line="240" w:lineRule="auto"/>
        <w:ind w:left="720"/>
        <w:jc w:val="both"/>
        <w:rPr>
          <w:color w:val="156082" w:themeColor="accent1"/>
          <w:sz w:val="22"/>
          <w:szCs w:val="22"/>
        </w:rPr>
      </w:pPr>
      <w:r w:rsidRPr="00621269">
        <w:rPr>
          <w:color w:val="156082" w:themeColor="accent1"/>
          <w:sz w:val="22"/>
          <w:szCs w:val="22"/>
        </w:rPr>
        <w:t>IOC Resolutions EC-53/1, A-31/1, A-32/</w:t>
      </w:r>
      <w:proofErr w:type="gramStart"/>
      <w:r w:rsidRPr="00621269">
        <w:rPr>
          <w:color w:val="156082" w:themeColor="accent1"/>
          <w:sz w:val="22"/>
          <w:szCs w:val="22"/>
        </w:rPr>
        <w:t>3</w:t>
      </w:r>
      <w:proofErr w:type="gramEnd"/>
      <w:r w:rsidRPr="00621269">
        <w:rPr>
          <w:color w:val="156082" w:themeColor="accent1"/>
          <w:sz w:val="22"/>
          <w:szCs w:val="22"/>
        </w:rPr>
        <w:t xml:space="preserve"> and EC-55/1 on the Implementation of the United Nations Decade of Ocean Science for Sustainable Development (2021–2030)</w:t>
      </w:r>
    </w:p>
    <w:p w14:paraId="1B4F828D" w14:textId="77777777" w:rsidR="00621269" w:rsidRPr="00621269" w:rsidRDefault="00621269" w:rsidP="005A3C7B">
      <w:pPr>
        <w:spacing w:after="0" w:line="240" w:lineRule="auto"/>
        <w:jc w:val="both"/>
        <w:rPr>
          <w:color w:val="156082" w:themeColor="accent1"/>
          <w:sz w:val="22"/>
          <w:szCs w:val="22"/>
        </w:rPr>
      </w:pPr>
      <w:r w:rsidRPr="00621269">
        <w:rPr>
          <w:i/>
          <w:iCs/>
          <w:color w:val="156082" w:themeColor="accent1"/>
          <w:sz w:val="22"/>
          <w:szCs w:val="22"/>
        </w:rPr>
        <w:t> </w:t>
      </w:r>
    </w:p>
    <w:p w14:paraId="54501B6F" w14:textId="77777777" w:rsidR="00621269" w:rsidRPr="00621269" w:rsidRDefault="00621269" w:rsidP="005A3C7B">
      <w:pPr>
        <w:numPr>
          <w:ilvl w:val="0"/>
          <w:numId w:val="24"/>
        </w:numPr>
        <w:spacing w:after="0" w:line="240" w:lineRule="auto"/>
        <w:jc w:val="both"/>
        <w:rPr>
          <w:color w:val="156082" w:themeColor="accent1"/>
          <w:sz w:val="22"/>
          <w:szCs w:val="22"/>
        </w:rPr>
      </w:pPr>
      <w:r w:rsidRPr="00621269">
        <w:rPr>
          <w:i/>
          <w:iCs/>
          <w:color w:val="156082" w:themeColor="accent1"/>
          <w:sz w:val="22"/>
          <w:szCs w:val="22"/>
        </w:rPr>
        <w:t>Key outputs:</w:t>
      </w:r>
    </w:p>
    <w:p w14:paraId="54D98FD4" w14:textId="1F078E47" w:rsidR="00621269" w:rsidRPr="00621269" w:rsidRDefault="00621269" w:rsidP="005A3C7B">
      <w:pPr>
        <w:spacing w:after="0" w:line="240" w:lineRule="auto"/>
        <w:ind w:left="720"/>
        <w:jc w:val="both"/>
        <w:rPr>
          <w:color w:val="156082" w:themeColor="accent1"/>
          <w:sz w:val="22"/>
          <w:szCs w:val="22"/>
        </w:rPr>
      </w:pPr>
      <w:r w:rsidRPr="00621269">
        <w:rPr>
          <w:color w:val="156082" w:themeColor="accent1"/>
          <w:sz w:val="22"/>
          <w:szCs w:val="22"/>
        </w:rPr>
        <w:t>Technical support to key operational functions of the Ocean Decade (e.g. Decade Action database management, coordination of Calls for Decade Actions and new endorsements, website maintenance and communication) </w:t>
      </w:r>
    </w:p>
    <w:p w14:paraId="396F9F91" w14:textId="77777777" w:rsidR="00621269" w:rsidRPr="00621269" w:rsidRDefault="00621269" w:rsidP="005A3C7B">
      <w:pPr>
        <w:spacing w:after="0" w:line="240" w:lineRule="auto"/>
        <w:ind w:left="720"/>
        <w:jc w:val="both"/>
        <w:rPr>
          <w:color w:val="156082" w:themeColor="accent1"/>
          <w:sz w:val="22"/>
          <w:szCs w:val="22"/>
        </w:rPr>
      </w:pPr>
      <w:r w:rsidRPr="00621269">
        <w:rPr>
          <w:color w:val="156082" w:themeColor="accent1"/>
          <w:sz w:val="22"/>
          <w:szCs w:val="22"/>
        </w:rPr>
        <w:t>Outreach and engagement materials in selected regional and international events and conferences.</w:t>
      </w:r>
      <w:r w:rsidRPr="00621269">
        <w:rPr>
          <w:color w:val="156082" w:themeColor="accent1"/>
          <w:sz w:val="22"/>
          <w:szCs w:val="22"/>
        </w:rPr>
        <w:br/>
      </w:r>
    </w:p>
    <w:p w14:paraId="0A495891" w14:textId="77777777" w:rsidR="00621269" w:rsidRDefault="00621269" w:rsidP="00EE5D7A">
      <w:pPr>
        <w:spacing w:after="0" w:line="240" w:lineRule="auto"/>
        <w:rPr>
          <w:b/>
          <w:bCs/>
          <w:color w:val="156082" w:themeColor="accent1"/>
          <w:sz w:val="22"/>
          <w:szCs w:val="22"/>
        </w:rPr>
      </w:pPr>
      <w:r w:rsidRPr="00621269">
        <w:rPr>
          <w:b/>
          <w:bCs/>
          <w:color w:val="156082" w:themeColor="accent1"/>
          <w:sz w:val="22"/>
          <w:szCs w:val="22"/>
        </w:rPr>
        <w:t>ICAM &amp; MSP</w:t>
      </w:r>
    </w:p>
    <w:p w14:paraId="513C8851" w14:textId="77777777" w:rsidR="002460E3" w:rsidRPr="00621269" w:rsidRDefault="002460E3" w:rsidP="00EE5D7A">
      <w:pPr>
        <w:spacing w:after="0" w:line="240" w:lineRule="auto"/>
        <w:rPr>
          <w:b/>
          <w:bCs/>
          <w:color w:val="156082" w:themeColor="accent1"/>
          <w:sz w:val="22"/>
          <w:szCs w:val="22"/>
        </w:rPr>
      </w:pPr>
    </w:p>
    <w:p w14:paraId="3AD772D1" w14:textId="77777777" w:rsidR="00621269" w:rsidRPr="00621269" w:rsidRDefault="00621269" w:rsidP="00EE5D7A">
      <w:pPr>
        <w:numPr>
          <w:ilvl w:val="0"/>
          <w:numId w:val="2"/>
        </w:numPr>
        <w:spacing w:after="0" w:line="240" w:lineRule="auto"/>
        <w:rPr>
          <w:color w:val="156082" w:themeColor="accent1"/>
          <w:sz w:val="22"/>
          <w:szCs w:val="22"/>
        </w:rPr>
      </w:pPr>
      <w:r w:rsidRPr="00621269">
        <w:rPr>
          <w:i/>
          <w:iCs/>
          <w:color w:val="156082" w:themeColor="accent1"/>
          <w:sz w:val="22"/>
          <w:szCs w:val="22"/>
        </w:rPr>
        <w:t>Source of Member States Guidance:</w:t>
      </w:r>
      <w:r w:rsidRPr="00621269">
        <w:rPr>
          <w:color w:val="156082" w:themeColor="accent1"/>
          <w:sz w:val="22"/>
          <w:szCs w:val="22"/>
        </w:rPr>
        <w:t xml:space="preserve"> </w:t>
      </w:r>
    </w:p>
    <w:p w14:paraId="765C81FB" w14:textId="77777777" w:rsidR="00621269" w:rsidRPr="00621269" w:rsidRDefault="00621269" w:rsidP="005A3C7B">
      <w:pPr>
        <w:spacing w:after="0" w:line="240" w:lineRule="auto"/>
        <w:ind w:left="720"/>
        <w:jc w:val="both"/>
        <w:rPr>
          <w:i/>
          <w:iCs/>
          <w:color w:val="156082" w:themeColor="accent1"/>
          <w:sz w:val="22"/>
          <w:szCs w:val="22"/>
        </w:rPr>
      </w:pPr>
      <w:r w:rsidRPr="00621269">
        <w:rPr>
          <w:color w:val="156082" w:themeColor="accent1"/>
          <w:sz w:val="22"/>
          <w:szCs w:val="22"/>
        </w:rPr>
        <w:t xml:space="preserve">IOC Medium-Term Strategy 2022–2029, High Level Objectives #1 on </w:t>
      </w:r>
      <w:r w:rsidRPr="00621269">
        <w:rPr>
          <w:i/>
          <w:iCs/>
          <w:color w:val="156082" w:themeColor="accent1"/>
          <w:sz w:val="22"/>
          <w:szCs w:val="22"/>
        </w:rPr>
        <w:t>‘</w:t>
      </w:r>
      <w:proofErr w:type="gramStart"/>
      <w:r w:rsidRPr="00621269">
        <w:rPr>
          <w:i/>
          <w:iCs/>
          <w:color w:val="156082" w:themeColor="accent1"/>
          <w:sz w:val="22"/>
          <w:szCs w:val="22"/>
        </w:rPr>
        <w:t>Healthy ocean</w:t>
      </w:r>
      <w:proofErr w:type="gramEnd"/>
      <w:r w:rsidRPr="00621269">
        <w:rPr>
          <w:i/>
          <w:iCs/>
          <w:color w:val="156082" w:themeColor="accent1"/>
          <w:sz w:val="22"/>
          <w:szCs w:val="22"/>
        </w:rPr>
        <w:t xml:space="preserve"> and sustained ocean ecosystem services’</w:t>
      </w:r>
      <w:r w:rsidRPr="00621269">
        <w:rPr>
          <w:color w:val="156082" w:themeColor="accent1"/>
          <w:sz w:val="22"/>
          <w:szCs w:val="22"/>
        </w:rPr>
        <w:t xml:space="preserve"> and #4 on </w:t>
      </w:r>
      <w:r w:rsidRPr="00621269">
        <w:rPr>
          <w:i/>
          <w:iCs/>
          <w:color w:val="156082" w:themeColor="accent1"/>
          <w:sz w:val="22"/>
          <w:szCs w:val="22"/>
        </w:rPr>
        <w:t>‘Scientifically-founded services for the sustainable ocean economy</w:t>
      </w:r>
    </w:p>
    <w:p w14:paraId="55F37404" w14:textId="77777777" w:rsidR="00621269" w:rsidRPr="00621269" w:rsidRDefault="00621269" w:rsidP="005A3C7B">
      <w:pPr>
        <w:spacing w:after="0" w:line="240" w:lineRule="auto"/>
        <w:ind w:left="720"/>
        <w:jc w:val="both"/>
        <w:rPr>
          <w:color w:val="156082" w:themeColor="accent1"/>
          <w:sz w:val="22"/>
          <w:szCs w:val="22"/>
          <w:lang w:val="en-GB"/>
        </w:rPr>
      </w:pPr>
      <w:r w:rsidRPr="00621269">
        <w:rPr>
          <w:color w:val="156082" w:themeColor="accent1"/>
          <w:sz w:val="22"/>
          <w:szCs w:val="22"/>
          <w:lang w:val="en-GB"/>
        </w:rPr>
        <w:t>IOC Decision A-32/5 /IOC and the Future of the Ocean: Sustainable Delivery and Expansion of IOC Activities [</w:t>
      </w:r>
      <w:r w:rsidRPr="00621269">
        <w:rPr>
          <w:i/>
          <w:iCs/>
          <w:color w:val="156082" w:themeColor="accent1"/>
          <w:sz w:val="22"/>
          <w:szCs w:val="22"/>
          <w:lang w:val="en-GB"/>
        </w:rPr>
        <w:t>ref. to IOC role in facilitating science-based sustainable ocean planning</w:t>
      </w:r>
      <w:r w:rsidRPr="00621269">
        <w:rPr>
          <w:color w:val="156082" w:themeColor="accent1"/>
          <w:sz w:val="22"/>
          <w:szCs w:val="22"/>
          <w:lang w:val="en-GB"/>
        </w:rPr>
        <w:t>]</w:t>
      </w:r>
    </w:p>
    <w:p w14:paraId="77B6A4C7" w14:textId="77777777" w:rsidR="00621269" w:rsidRPr="00621269" w:rsidRDefault="00621269" w:rsidP="005A3C7B">
      <w:pPr>
        <w:spacing w:after="0" w:line="240" w:lineRule="auto"/>
        <w:ind w:left="720"/>
        <w:jc w:val="both"/>
        <w:rPr>
          <w:color w:val="156082" w:themeColor="accent1"/>
          <w:sz w:val="22"/>
          <w:szCs w:val="22"/>
        </w:rPr>
      </w:pPr>
      <w:r w:rsidRPr="00621269">
        <w:rPr>
          <w:color w:val="156082" w:themeColor="accent1"/>
          <w:sz w:val="22"/>
          <w:szCs w:val="22"/>
          <w:lang w:val="en-GB"/>
        </w:rPr>
        <w:t>IOC Decision A-32/4.7/Development of a new IOC-wide Strategy on Sustainable Ocean Planning and Management [</w:t>
      </w:r>
      <w:r w:rsidRPr="00621269">
        <w:rPr>
          <w:i/>
          <w:iCs/>
          <w:color w:val="156082" w:themeColor="accent1"/>
          <w:sz w:val="22"/>
          <w:szCs w:val="22"/>
          <w:lang w:val="en-GB"/>
        </w:rPr>
        <w:t>ref. MS welcome u</w:t>
      </w:r>
      <w:proofErr w:type="spellStart"/>
      <w:r w:rsidRPr="00621269">
        <w:rPr>
          <w:i/>
          <w:iCs/>
          <w:color w:val="156082" w:themeColor="accent1"/>
          <w:sz w:val="22"/>
          <w:szCs w:val="22"/>
        </w:rPr>
        <w:t>pdated</w:t>
      </w:r>
      <w:proofErr w:type="spellEnd"/>
      <w:r w:rsidRPr="00621269">
        <w:rPr>
          <w:i/>
          <w:iCs/>
          <w:color w:val="156082" w:themeColor="accent1"/>
          <w:sz w:val="22"/>
          <w:szCs w:val="22"/>
        </w:rPr>
        <w:t xml:space="preserve"> Joint IOC_EC Roadmap to accelerate Marine/Maritime Spatial Planning processes worldwide </w:t>
      </w:r>
      <w:proofErr w:type="spellStart"/>
      <w:r w:rsidRPr="00621269">
        <w:rPr>
          <w:i/>
          <w:iCs/>
          <w:color w:val="156082" w:themeColor="accent1"/>
          <w:sz w:val="22"/>
          <w:szCs w:val="22"/>
        </w:rPr>
        <w:t>MSProadmap</w:t>
      </w:r>
      <w:proofErr w:type="spellEnd"/>
      <w:r w:rsidRPr="00621269">
        <w:rPr>
          <w:i/>
          <w:iCs/>
          <w:color w:val="156082" w:themeColor="accent1"/>
          <w:sz w:val="22"/>
          <w:szCs w:val="22"/>
        </w:rPr>
        <w:t xml:space="preserve"> (2022-2027)</w:t>
      </w:r>
      <w:r w:rsidRPr="00621269">
        <w:rPr>
          <w:color w:val="156082" w:themeColor="accent1"/>
          <w:sz w:val="22"/>
          <w:szCs w:val="22"/>
        </w:rPr>
        <w:t>]</w:t>
      </w:r>
    </w:p>
    <w:p w14:paraId="035B2A3C" w14:textId="008B374E" w:rsidR="00621269" w:rsidRPr="00621269" w:rsidRDefault="00621269" w:rsidP="005A3C7B">
      <w:pPr>
        <w:spacing w:after="0" w:line="240" w:lineRule="auto"/>
        <w:ind w:left="720"/>
        <w:jc w:val="both"/>
        <w:rPr>
          <w:color w:val="156082" w:themeColor="accent1"/>
          <w:sz w:val="22"/>
          <w:szCs w:val="22"/>
          <w:lang w:val="en-GB"/>
        </w:rPr>
      </w:pPr>
      <w:r w:rsidRPr="00621269">
        <w:rPr>
          <w:color w:val="156082" w:themeColor="accent1"/>
          <w:sz w:val="22"/>
          <w:szCs w:val="22"/>
          <w:lang w:val="en-GB"/>
        </w:rPr>
        <w:t>IOC Decision A-32/6.3 /Draft Action Plan in Response to the IOS Evaluation of the IOC Strategic Positioning [</w:t>
      </w:r>
      <w:r w:rsidRPr="00621269">
        <w:rPr>
          <w:i/>
          <w:iCs/>
          <w:color w:val="156082" w:themeColor="accent1"/>
          <w:sz w:val="22"/>
          <w:szCs w:val="22"/>
          <w:lang w:val="en-GB"/>
        </w:rPr>
        <w:t>MS takes note of action plan, Recommendation 1, and Action 1.4 to develop strategic messaging around an IOC-wide guiding framework of Sustainable Ocean Planning and Management</w:t>
      </w:r>
      <w:r w:rsidRPr="00621269">
        <w:rPr>
          <w:color w:val="156082" w:themeColor="accent1"/>
          <w:sz w:val="22"/>
          <w:szCs w:val="22"/>
          <w:lang w:val="en-GB"/>
        </w:rPr>
        <w:t>]</w:t>
      </w:r>
    </w:p>
    <w:p w14:paraId="5B6FEC4E" w14:textId="77777777" w:rsidR="00621269" w:rsidRPr="00621269" w:rsidRDefault="00621269" w:rsidP="00EE5D7A">
      <w:pPr>
        <w:spacing w:after="0" w:line="240" w:lineRule="auto"/>
        <w:rPr>
          <w:color w:val="156082" w:themeColor="accent1"/>
          <w:sz w:val="22"/>
          <w:szCs w:val="22"/>
          <w:lang w:val="en-GB"/>
        </w:rPr>
      </w:pPr>
    </w:p>
    <w:p w14:paraId="16FAC502" w14:textId="77777777" w:rsidR="00621269" w:rsidRPr="00621269" w:rsidRDefault="00621269" w:rsidP="00EE5D7A">
      <w:pPr>
        <w:numPr>
          <w:ilvl w:val="0"/>
          <w:numId w:val="4"/>
        </w:numPr>
        <w:spacing w:after="0" w:line="240" w:lineRule="auto"/>
        <w:rPr>
          <w:color w:val="156082" w:themeColor="accent1"/>
          <w:sz w:val="22"/>
          <w:szCs w:val="22"/>
        </w:rPr>
      </w:pPr>
      <w:r w:rsidRPr="00621269">
        <w:rPr>
          <w:i/>
          <w:iCs/>
          <w:color w:val="156082" w:themeColor="accent1"/>
          <w:sz w:val="22"/>
          <w:szCs w:val="22"/>
        </w:rPr>
        <w:t>Key outputs:</w:t>
      </w:r>
    </w:p>
    <w:p w14:paraId="2D64891D" w14:textId="77777777" w:rsidR="00621269" w:rsidRPr="00621269" w:rsidRDefault="00621269" w:rsidP="005A3C7B">
      <w:pPr>
        <w:numPr>
          <w:ilvl w:val="0"/>
          <w:numId w:val="3"/>
        </w:numPr>
        <w:spacing w:after="0" w:line="240" w:lineRule="auto"/>
        <w:jc w:val="lowKashida"/>
        <w:rPr>
          <w:color w:val="156082" w:themeColor="accent1"/>
          <w:sz w:val="22"/>
          <w:szCs w:val="22"/>
        </w:rPr>
      </w:pPr>
      <w:r w:rsidRPr="00621269">
        <w:rPr>
          <w:color w:val="156082" w:themeColor="accent1"/>
          <w:sz w:val="22"/>
          <w:szCs w:val="22"/>
          <w:lang w:val="en-GB"/>
        </w:rPr>
        <w:t xml:space="preserve">Co-develop with relevant partners such as UNFCCC, CBD and UNESCO, new MSP knowledge/guidance products to provide guidance to Member States on mainstreaming of Climate Change, Biodiversity, and ILK into MSP </w:t>
      </w:r>
      <w:proofErr w:type="gramStart"/>
      <w:r w:rsidRPr="00621269">
        <w:rPr>
          <w:color w:val="156082" w:themeColor="accent1"/>
          <w:sz w:val="22"/>
          <w:szCs w:val="22"/>
          <w:lang w:val="en-GB"/>
        </w:rPr>
        <w:t>processes</w:t>
      </w:r>
      <w:proofErr w:type="gramEnd"/>
    </w:p>
    <w:p w14:paraId="04ECD789" w14:textId="5282F5E0" w:rsidR="00621269" w:rsidRPr="00621269" w:rsidRDefault="00621269" w:rsidP="005A3C7B">
      <w:pPr>
        <w:numPr>
          <w:ilvl w:val="0"/>
          <w:numId w:val="3"/>
        </w:numPr>
        <w:spacing w:after="0" w:line="240" w:lineRule="auto"/>
        <w:jc w:val="lowKashida"/>
        <w:rPr>
          <w:color w:val="156082" w:themeColor="accent1"/>
          <w:sz w:val="22"/>
          <w:szCs w:val="22"/>
        </w:rPr>
      </w:pPr>
      <w:r w:rsidRPr="00621269">
        <w:rPr>
          <w:color w:val="156082" w:themeColor="accent1"/>
          <w:sz w:val="22"/>
          <w:szCs w:val="22"/>
          <w:lang w:val="en-GB"/>
        </w:rPr>
        <w:t xml:space="preserve">Deliver regional capacity development activities through </w:t>
      </w:r>
      <w:proofErr w:type="spellStart"/>
      <w:r w:rsidRPr="00621269">
        <w:rPr>
          <w:color w:val="156082" w:themeColor="accent1"/>
          <w:sz w:val="22"/>
          <w:szCs w:val="22"/>
          <w:lang w:val="en-GB"/>
        </w:rPr>
        <w:t>OceanTeacher</w:t>
      </w:r>
      <w:proofErr w:type="spellEnd"/>
      <w:r w:rsidRPr="00621269">
        <w:rPr>
          <w:color w:val="156082" w:themeColor="accent1"/>
          <w:sz w:val="22"/>
          <w:szCs w:val="22"/>
          <w:lang w:val="en-GB"/>
        </w:rPr>
        <w:t xml:space="preserve"> Academy and GEF LME project </w:t>
      </w:r>
      <w:proofErr w:type="gramStart"/>
      <w:r w:rsidRPr="00621269">
        <w:rPr>
          <w:color w:val="156082" w:themeColor="accent1"/>
          <w:sz w:val="22"/>
          <w:szCs w:val="22"/>
          <w:lang w:val="en-GB"/>
        </w:rPr>
        <w:t>mechanisms</w:t>
      </w:r>
      <w:proofErr w:type="gramEnd"/>
    </w:p>
    <w:p w14:paraId="0D154684" w14:textId="051F7057" w:rsidR="00621269" w:rsidRPr="00621269" w:rsidRDefault="00621269" w:rsidP="005A3C7B">
      <w:pPr>
        <w:numPr>
          <w:ilvl w:val="0"/>
          <w:numId w:val="3"/>
        </w:numPr>
        <w:spacing w:after="0" w:line="240" w:lineRule="auto"/>
        <w:jc w:val="lowKashida"/>
        <w:rPr>
          <w:color w:val="156082" w:themeColor="accent1"/>
          <w:sz w:val="22"/>
          <w:szCs w:val="22"/>
        </w:rPr>
      </w:pPr>
      <w:r w:rsidRPr="00621269">
        <w:rPr>
          <w:color w:val="156082" w:themeColor="accent1"/>
          <w:sz w:val="22"/>
          <w:szCs w:val="22"/>
          <w:lang w:val="en-GB"/>
        </w:rPr>
        <w:t xml:space="preserve">Strengthen links between MSP and international frameworks (e.g., Agenda 2030, KM-GBF, Paris Agreement, G20) through advocacy and </w:t>
      </w:r>
      <w:proofErr w:type="gramStart"/>
      <w:r w:rsidRPr="00621269">
        <w:rPr>
          <w:color w:val="156082" w:themeColor="accent1"/>
          <w:sz w:val="22"/>
          <w:szCs w:val="22"/>
          <w:lang w:val="en-GB"/>
        </w:rPr>
        <w:t>partnership</w:t>
      </w:r>
      <w:proofErr w:type="gramEnd"/>
    </w:p>
    <w:p w14:paraId="043EDBB9" w14:textId="77777777" w:rsidR="00621269" w:rsidRPr="00621269" w:rsidRDefault="00621269" w:rsidP="005A3C7B">
      <w:pPr>
        <w:numPr>
          <w:ilvl w:val="0"/>
          <w:numId w:val="3"/>
        </w:numPr>
        <w:spacing w:after="0" w:line="240" w:lineRule="auto"/>
        <w:jc w:val="lowKashida"/>
        <w:rPr>
          <w:color w:val="156082" w:themeColor="accent1"/>
          <w:sz w:val="22"/>
          <w:szCs w:val="22"/>
        </w:rPr>
      </w:pPr>
      <w:r w:rsidRPr="00621269">
        <w:rPr>
          <w:color w:val="156082" w:themeColor="accent1"/>
          <w:sz w:val="22"/>
          <w:szCs w:val="22"/>
        </w:rPr>
        <w:t>Foster engagement with Member States to promote and assist with the adoption of MSP</w:t>
      </w:r>
      <w:r w:rsidRPr="00621269">
        <w:rPr>
          <w:color w:val="156082" w:themeColor="accent1"/>
          <w:sz w:val="22"/>
          <w:szCs w:val="22"/>
          <w:lang w:val="en-GB"/>
        </w:rPr>
        <w:t xml:space="preserve"> through national rapid assessment methodologies conducted in at least 6 </w:t>
      </w:r>
      <w:proofErr w:type="gramStart"/>
      <w:r w:rsidRPr="00621269">
        <w:rPr>
          <w:color w:val="156082" w:themeColor="accent1"/>
          <w:sz w:val="22"/>
          <w:szCs w:val="22"/>
          <w:lang w:val="en-GB"/>
        </w:rPr>
        <w:t>countries</w:t>
      </w:r>
      <w:proofErr w:type="gramEnd"/>
    </w:p>
    <w:p w14:paraId="7A7FEA4C" w14:textId="2225648B" w:rsidR="00621269" w:rsidRPr="00621269" w:rsidRDefault="00621269" w:rsidP="005A3C7B">
      <w:pPr>
        <w:numPr>
          <w:ilvl w:val="0"/>
          <w:numId w:val="3"/>
        </w:numPr>
        <w:spacing w:after="0" w:line="240" w:lineRule="auto"/>
        <w:jc w:val="lowKashida"/>
        <w:rPr>
          <w:color w:val="156082" w:themeColor="accent1"/>
          <w:sz w:val="22"/>
          <w:szCs w:val="22"/>
        </w:rPr>
      </w:pPr>
      <w:r w:rsidRPr="00621269">
        <w:rPr>
          <w:color w:val="156082" w:themeColor="accent1"/>
          <w:sz w:val="22"/>
          <w:szCs w:val="22"/>
          <w:lang w:val="en-GB"/>
        </w:rPr>
        <w:t xml:space="preserve">Consolidate and maintain the </w:t>
      </w:r>
      <w:proofErr w:type="spellStart"/>
      <w:r w:rsidRPr="00621269">
        <w:rPr>
          <w:color w:val="156082" w:themeColor="accent1"/>
          <w:sz w:val="22"/>
          <w:szCs w:val="22"/>
          <w:lang w:val="en-GB"/>
        </w:rPr>
        <w:t>MSPglobal</w:t>
      </w:r>
      <w:proofErr w:type="spellEnd"/>
      <w:r w:rsidRPr="00621269">
        <w:rPr>
          <w:color w:val="156082" w:themeColor="accent1"/>
          <w:sz w:val="22"/>
          <w:szCs w:val="22"/>
          <w:lang w:val="en-GB"/>
        </w:rPr>
        <w:t xml:space="preserve"> team and its knowledge platform operational, including tracking of MSP national </w:t>
      </w:r>
      <w:proofErr w:type="gramStart"/>
      <w:r w:rsidRPr="00621269">
        <w:rPr>
          <w:color w:val="156082" w:themeColor="accent1"/>
          <w:sz w:val="22"/>
          <w:szCs w:val="22"/>
          <w:lang w:val="en-GB"/>
        </w:rPr>
        <w:t>implementation</w:t>
      </w:r>
      <w:proofErr w:type="gramEnd"/>
    </w:p>
    <w:p w14:paraId="184C5841" w14:textId="77777777" w:rsidR="00621269" w:rsidRPr="00621269" w:rsidRDefault="00621269" w:rsidP="00EE5D7A">
      <w:pPr>
        <w:spacing w:after="0" w:line="240" w:lineRule="auto"/>
        <w:rPr>
          <w:color w:val="156082" w:themeColor="accent1"/>
          <w:sz w:val="22"/>
          <w:szCs w:val="22"/>
        </w:rPr>
      </w:pPr>
    </w:p>
    <w:p w14:paraId="43E265CB" w14:textId="77777777" w:rsidR="00621269" w:rsidRPr="00621269" w:rsidRDefault="00621269" w:rsidP="00EE5D7A">
      <w:pPr>
        <w:spacing w:after="0" w:line="240" w:lineRule="auto"/>
        <w:rPr>
          <w:color w:val="156082" w:themeColor="accent1"/>
          <w:sz w:val="22"/>
          <w:szCs w:val="22"/>
          <w:u w:val="single"/>
        </w:rPr>
      </w:pPr>
      <w:r w:rsidRPr="00621269">
        <w:rPr>
          <w:color w:val="156082" w:themeColor="accent1"/>
          <w:sz w:val="22"/>
          <w:szCs w:val="22"/>
        </w:rPr>
        <w:br w:type="page"/>
      </w:r>
    </w:p>
    <w:p w14:paraId="41085A6E" w14:textId="42E1EC7A" w:rsidR="0011547B" w:rsidRPr="001A019A" w:rsidRDefault="0011547B" w:rsidP="00EE5D7A">
      <w:pPr>
        <w:spacing w:after="0" w:line="240" w:lineRule="auto"/>
        <w:jc w:val="center"/>
        <w:rPr>
          <w:b/>
          <w:bCs/>
          <w:color w:val="156082" w:themeColor="accent1"/>
        </w:rPr>
      </w:pPr>
      <w:r w:rsidRPr="001A019A">
        <w:rPr>
          <w:b/>
          <w:bCs/>
          <w:color w:val="156082" w:themeColor="accent1"/>
        </w:rPr>
        <w:lastRenderedPageBreak/>
        <w:t>TARGETED ADDITIONAL INVESTMENT</w:t>
      </w:r>
    </w:p>
    <w:p w14:paraId="50684615" w14:textId="77777777" w:rsidR="002460E3" w:rsidRPr="00EE5D7A" w:rsidRDefault="002460E3" w:rsidP="00EE5D7A">
      <w:pPr>
        <w:spacing w:after="0" w:line="240" w:lineRule="auto"/>
        <w:jc w:val="center"/>
        <w:rPr>
          <w:b/>
          <w:bCs/>
          <w:color w:val="156082" w:themeColor="accent1"/>
          <w:sz w:val="22"/>
          <w:szCs w:val="22"/>
        </w:rPr>
      </w:pPr>
    </w:p>
    <w:p w14:paraId="1C04F528" w14:textId="23746BF1" w:rsidR="0011547B" w:rsidRDefault="0011547B" w:rsidP="00EE5D7A">
      <w:pPr>
        <w:spacing w:after="0" w:line="240" w:lineRule="auto"/>
        <w:jc w:val="center"/>
        <w:rPr>
          <w:color w:val="156082" w:themeColor="accent1"/>
          <w:sz w:val="22"/>
          <w:szCs w:val="22"/>
          <w:u w:val="single"/>
        </w:rPr>
      </w:pPr>
      <w:r w:rsidRPr="00EE5D7A">
        <w:rPr>
          <w:color w:val="156082" w:themeColor="accent1"/>
          <w:sz w:val="22"/>
          <w:szCs w:val="22"/>
          <w:u w:val="single"/>
        </w:rPr>
        <w:t>Function B:  Observing System &amp; Data Management</w:t>
      </w:r>
    </w:p>
    <w:p w14:paraId="29CAE9F2" w14:textId="77777777" w:rsidR="002460E3" w:rsidRPr="00EE5D7A" w:rsidRDefault="002460E3" w:rsidP="00EE5D7A">
      <w:pPr>
        <w:spacing w:after="0" w:line="240" w:lineRule="auto"/>
        <w:jc w:val="center"/>
        <w:rPr>
          <w:color w:val="156082" w:themeColor="accent1"/>
          <w:sz w:val="22"/>
          <w:szCs w:val="22"/>
          <w:u w:val="single"/>
        </w:rPr>
      </w:pPr>
    </w:p>
    <w:p w14:paraId="662A170B" w14:textId="4C00CFC2" w:rsidR="0011547B" w:rsidRPr="00931F10" w:rsidRDefault="0011547B" w:rsidP="00EE5D7A">
      <w:pPr>
        <w:spacing w:after="0" w:line="240" w:lineRule="auto"/>
        <w:rPr>
          <w:b/>
          <w:bCs/>
          <w:color w:val="156082" w:themeColor="accent1"/>
          <w:sz w:val="22"/>
          <w:szCs w:val="22"/>
          <w:lang w:val="fr-FR"/>
        </w:rPr>
      </w:pPr>
      <w:r w:rsidRPr="00931F10">
        <w:rPr>
          <w:b/>
          <w:bCs/>
          <w:color w:val="156082" w:themeColor="accent1"/>
          <w:sz w:val="22"/>
          <w:szCs w:val="22"/>
          <w:lang w:val="fr-FR"/>
        </w:rPr>
        <w:t>International Oceanographic Data &amp; Information Exchange (IODE)</w:t>
      </w:r>
    </w:p>
    <w:p w14:paraId="388EBB5A" w14:textId="77777777" w:rsidR="002460E3" w:rsidRPr="00931F10" w:rsidRDefault="002460E3" w:rsidP="00EE5D7A">
      <w:pPr>
        <w:spacing w:after="0" w:line="240" w:lineRule="auto"/>
        <w:rPr>
          <w:b/>
          <w:bCs/>
          <w:color w:val="156082" w:themeColor="accent1"/>
          <w:sz w:val="22"/>
          <w:szCs w:val="22"/>
          <w:lang w:val="fr-FR"/>
        </w:rPr>
      </w:pPr>
    </w:p>
    <w:p w14:paraId="361614F9" w14:textId="77777777" w:rsidR="0011547B" w:rsidRPr="00EE5D7A" w:rsidRDefault="0011547B" w:rsidP="00946034">
      <w:pPr>
        <w:numPr>
          <w:ilvl w:val="0"/>
          <w:numId w:val="2"/>
        </w:numPr>
        <w:spacing w:after="0" w:line="240" w:lineRule="auto"/>
        <w:jc w:val="both"/>
        <w:rPr>
          <w:color w:val="156082" w:themeColor="accent1"/>
          <w:sz w:val="22"/>
          <w:szCs w:val="22"/>
        </w:rPr>
      </w:pPr>
      <w:r w:rsidRPr="00EE5D7A">
        <w:rPr>
          <w:i/>
          <w:iCs/>
          <w:color w:val="156082" w:themeColor="accent1"/>
          <w:sz w:val="22"/>
          <w:szCs w:val="22"/>
        </w:rPr>
        <w:t>Source of Member States Guidance:</w:t>
      </w:r>
      <w:r w:rsidRPr="00EE5D7A">
        <w:rPr>
          <w:color w:val="156082" w:themeColor="accent1"/>
          <w:sz w:val="22"/>
          <w:szCs w:val="22"/>
        </w:rPr>
        <w:t xml:space="preserve"> </w:t>
      </w:r>
    </w:p>
    <w:p w14:paraId="77C2F282" w14:textId="4B5FD25D" w:rsidR="0011547B" w:rsidRDefault="0011547B" w:rsidP="00946034">
      <w:pPr>
        <w:spacing w:after="0" w:line="240" w:lineRule="auto"/>
        <w:ind w:left="720"/>
        <w:jc w:val="both"/>
        <w:rPr>
          <w:color w:val="156082" w:themeColor="accent1"/>
          <w:sz w:val="22"/>
          <w:szCs w:val="22"/>
        </w:rPr>
      </w:pPr>
      <w:r w:rsidRPr="00EE5D7A">
        <w:rPr>
          <w:color w:val="156082" w:themeColor="accent1"/>
          <w:sz w:val="22"/>
          <w:szCs w:val="22"/>
        </w:rPr>
        <w:t>IODE-27, March 2023: 3 Priority Programme Components: OBIS, ODIS and OTGA</w:t>
      </w:r>
    </w:p>
    <w:p w14:paraId="6303F462" w14:textId="77777777" w:rsidR="002460E3" w:rsidRPr="00EE5D7A" w:rsidRDefault="002460E3" w:rsidP="00946034">
      <w:pPr>
        <w:spacing w:after="0" w:line="240" w:lineRule="auto"/>
        <w:ind w:left="720"/>
        <w:jc w:val="both"/>
        <w:rPr>
          <w:color w:val="156082" w:themeColor="accent1"/>
          <w:sz w:val="22"/>
          <w:szCs w:val="22"/>
        </w:rPr>
      </w:pPr>
    </w:p>
    <w:p w14:paraId="0CDE6C8D" w14:textId="3A092779" w:rsidR="0011547B" w:rsidRPr="002460E3" w:rsidRDefault="0011547B" w:rsidP="00946034">
      <w:pPr>
        <w:pStyle w:val="ListParagraph"/>
        <w:numPr>
          <w:ilvl w:val="0"/>
          <w:numId w:val="4"/>
        </w:numPr>
        <w:spacing w:after="0" w:line="240" w:lineRule="auto"/>
        <w:jc w:val="both"/>
        <w:rPr>
          <w:color w:val="156082" w:themeColor="accent1"/>
          <w:sz w:val="22"/>
          <w:szCs w:val="22"/>
        </w:rPr>
      </w:pPr>
      <w:r w:rsidRPr="00EE5D7A">
        <w:rPr>
          <w:i/>
          <w:iCs/>
          <w:color w:val="156082" w:themeColor="accent1"/>
          <w:sz w:val="22"/>
          <w:szCs w:val="22"/>
        </w:rPr>
        <w:t>Key /outputs:</w:t>
      </w:r>
    </w:p>
    <w:p w14:paraId="4BF7127F" w14:textId="77777777" w:rsidR="0011547B" w:rsidRPr="00EE5D7A" w:rsidRDefault="0011547B" w:rsidP="00946034">
      <w:pPr>
        <w:numPr>
          <w:ilvl w:val="0"/>
          <w:numId w:val="17"/>
        </w:numPr>
        <w:spacing w:after="0" w:line="240" w:lineRule="auto"/>
        <w:jc w:val="both"/>
        <w:rPr>
          <w:color w:val="156082" w:themeColor="accent1"/>
          <w:sz w:val="22"/>
          <w:szCs w:val="22"/>
        </w:rPr>
      </w:pPr>
      <w:r w:rsidRPr="00EE5D7A">
        <w:rPr>
          <w:color w:val="156082" w:themeColor="accent1"/>
          <w:sz w:val="22"/>
          <w:szCs w:val="22"/>
          <w:lang w:val="en-GB"/>
        </w:rPr>
        <w:t xml:space="preserve">Creating a stable foundation for the 3 core programme components </w:t>
      </w:r>
    </w:p>
    <w:p w14:paraId="608D7198" w14:textId="3D8275A7" w:rsidR="0011547B" w:rsidRPr="00EE5D7A" w:rsidRDefault="0011547B" w:rsidP="00946034">
      <w:pPr>
        <w:numPr>
          <w:ilvl w:val="0"/>
          <w:numId w:val="17"/>
        </w:numPr>
        <w:spacing w:after="0" w:line="240" w:lineRule="auto"/>
        <w:jc w:val="both"/>
        <w:rPr>
          <w:color w:val="156082" w:themeColor="accent1"/>
          <w:sz w:val="22"/>
          <w:szCs w:val="22"/>
        </w:rPr>
      </w:pPr>
      <w:r w:rsidRPr="00EE5D7A">
        <w:rPr>
          <w:color w:val="156082" w:themeColor="accent1"/>
          <w:sz w:val="22"/>
          <w:szCs w:val="22"/>
          <w:lang w:val="en-GB"/>
        </w:rPr>
        <w:t xml:space="preserve">Reinforcement of OBIS human resources to sustain </w:t>
      </w:r>
      <w:proofErr w:type="gramStart"/>
      <w:r w:rsidRPr="00EE5D7A">
        <w:rPr>
          <w:color w:val="156082" w:themeColor="accent1"/>
          <w:sz w:val="22"/>
          <w:szCs w:val="22"/>
          <w:lang w:val="en-GB"/>
        </w:rPr>
        <w:t>operations</w:t>
      </w:r>
      <w:proofErr w:type="gramEnd"/>
    </w:p>
    <w:p w14:paraId="2D4BBDCB" w14:textId="77777777" w:rsidR="0011547B" w:rsidRPr="00FA2706" w:rsidRDefault="0011547B" w:rsidP="00946034">
      <w:pPr>
        <w:numPr>
          <w:ilvl w:val="0"/>
          <w:numId w:val="17"/>
        </w:numPr>
        <w:spacing w:after="0" w:line="240" w:lineRule="auto"/>
        <w:jc w:val="both"/>
        <w:rPr>
          <w:color w:val="156082" w:themeColor="accent1"/>
          <w:sz w:val="22"/>
          <w:szCs w:val="22"/>
        </w:rPr>
      </w:pPr>
      <w:r w:rsidRPr="00EE5D7A">
        <w:rPr>
          <w:color w:val="156082" w:themeColor="accent1"/>
          <w:sz w:val="22"/>
          <w:szCs w:val="22"/>
          <w:lang w:val="en-GB"/>
        </w:rPr>
        <w:t>Stakeholder engagement to</w:t>
      </w:r>
      <w:r w:rsidRPr="00FA2706">
        <w:rPr>
          <w:color w:val="156082" w:themeColor="accent1"/>
          <w:sz w:val="22"/>
          <w:szCs w:val="22"/>
          <w:lang w:val="en-GB"/>
        </w:rPr>
        <w:t xml:space="preserve"> consolidate IOC’s position as the ocean biodiversity “go to” place within </w:t>
      </w:r>
      <w:proofErr w:type="gramStart"/>
      <w:r w:rsidRPr="00FA2706">
        <w:rPr>
          <w:color w:val="156082" w:themeColor="accent1"/>
          <w:sz w:val="22"/>
          <w:szCs w:val="22"/>
          <w:lang w:val="en-GB"/>
        </w:rPr>
        <w:t>UN</w:t>
      </w:r>
      <w:proofErr w:type="gramEnd"/>
    </w:p>
    <w:p w14:paraId="4DBCEBF6" w14:textId="77777777" w:rsidR="0011547B" w:rsidRPr="00FA2706" w:rsidRDefault="0011547B" w:rsidP="00946034">
      <w:pPr>
        <w:numPr>
          <w:ilvl w:val="0"/>
          <w:numId w:val="17"/>
        </w:numPr>
        <w:spacing w:after="0"/>
        <w:jc w:val="both"/>
        <w:rPr>
          <w:color w:val="156082" w:themeColor="accent1"/>
          <w:sz w:val="22"/>
          <w:szCs w:val="22"/>
        </w:rPr>
      </w:pPr>
      <w:r w:rsidRPr="00FA2706">
        <w:rPr>
          <w:color w:val="156082" w:themeColor="accent1"/>
          <w:sz w:val="22"/>
          <w:szCs w:val="22"/>
          <w:lang w:val="en-GB"/>
        </w:rPr>
        <w:t>Developing ODIS - a global digital ecosystem for ocean data - and support the global network of ocean data centres, essential for Member States to comply with their obligations in international frameworks (e.g. SDG, BBNJ)</w:t>
      </w:r>
    </w:p>
    <w:p w14:paraId="63B526B0" w14:textId="77777777" w:rsidR="0011547B" w:rsidRPr="00FA2706" w:rsidRDefault="0011547B" w:rsidP="00946034">
      <w:pPr>
        <w:numPr>
          <w:ilvl w:val="0"/>
          <w:numId w:val="17"/>
        </w:numPr>
        <w:spacing w:after="0"/>
        <w:jc w:val="both"/>
        <w:rPr>
          <w:color w:val="156082" w:themeColor="accent1"/>
          <w:sz w:val="22"/>
          <w:szCs w:val="22"/>
        </w:rPr>
      </w:pPr>
      <w:r w:rsidRPr="00FA2706">
        <w:rPr>
          <w:color w:val="156082" w:themeColor="accent1"/>
          <w:sz w:val="22"/>
          <w:szCs w:val="22"/>
          <w:lang w:val="en-GB"/>
        </w:rPr>
        <w:t>Consolidating and further expanding the global network of regional and specialized training centres</w:t>
      </w:r>
    </w:p>
    <w:p w14:paraId="0666AAA3" w14:textId="77777777" w:rsidR="006B63A7" w:rsidRPr="00FA2706" w:rsidRDefault="006B63A7" w:rsidP="00946034">
      <w:pPr>
        <w:jc w:val="both"/>
        <w:rPr>
          <w:b/>
          <w:bCs/>
          <w:color w:val="156082" w:themeColor="accent1"/>
          <w:sz w:val="22"/>
          <w:szCs w:val="22"/>
        </w:rPr>
      </w:pPr>
    </w:p>
    <w:p w14:paraId="187A74AE" w14:textId="4EBF3C2B" w:rsidR="0011547B" w:rsidRPr="00FA2706" w:rsidRDefault="0011547B" w:rsidP="00946034">
      <w:pPr>
        <w:jc w:val="both"/>
        <w:rPr>
          <w:color w:val="156082" w:themeColor="accent1"/>
          <w:sz w:val="22"/>
          <w:szCs w:val="22"/>
        </w:rPr>
      </w:pPr>
      <w:r w:rsidRPr="00FA2706">
        <w:rPr>
          <w:b/>
          <w:bCs/>
          <w:color w:val="156082" w:themeColor="accent1"/>
          <w:sz w:val="22"/>
          <w:szCs w:val="22"/>
        </w:rPr>
        <w:t>Global Ocean Observing System (GOOS)</w:t>
      </w:r>
    </w:p>
    <w:p w14:paraId="66BAA9CB" w14:textId="1EFA8788" w:rsidR="0011547B" w:rsidRPr="00FA2706" w:rsidRDefault="0011547B" w:rsidP="00946034">
      <w:pPr>
        <w:numPr>
          <w:ilvl w:val="0"/>
          <w:numId w:val="6"/>
        </w:numPr>
        <w:spacing w:after="0"/>
        <w:jc w:val="both"/>
        <w:rPr>
          <w:i/>
          <w:iCs/>
          <w:color w:val="156082" w:themeColor="accent1"/>
          <w:sz w:val="22"/>
          <w:szCs w:val="22"/>
        </w:rPr>
      </w:pPr>
      <w:r w:rsidRPr="00FA2706">
        <w:rPr>
          <w:i/>
          <w:iCs/>
          <w:color w:val="156082" w:themeColor="accent1"/>
          <w:sz w:val="22"/>
          <w:szCs w:val="22"/>
        </w:rPr>
        <w:t xml:space="preserve">Source of Member States Guidance: </w:t>
      </w:r>
    </w:p>
    <w:p w14:paraId="2CDAF7A7" w14:textId="7CDB7273" w:rsidR="0011547B" w:rsidRPr="00FA2706" w:rsidRDefault="0011547B" w:rsidP="00946034">
      <w:pPr>
        <w:spacing w:after="0" w:line="240" w:lineRule="auto"/>
        <w:ind w:left="720"/>
        <w:jc w:val="both"/>
        <w:rPr>
          <w:color w:val="156082" w:themeColor="accent1"/>
          <w:sz w:val="22"/>
          <w:szCs w:val="22"/>
        </w:rPr>
      </w:pPr>
      <w:r w:rsidRPr="00FA2706">
        <w:rPr>
          <w:color w:val="156082" w:themeColor="accent1"/>
          <w:sz w:val="22"/>
          <w:szCs w:val="22"/>
        </w:rPr>
        <w:t>GOOS</w:t>
      </w:r>
      <w:r w:rsidR="001A7135" w:rsidRPr="00FA2706">
        <w:rPr>
          <w:color w:val="156082" w:themeColor="accent1"/>
          <w:sz w:val="22"/>
          <w:szCs w:val="22"/>
        </w:rPr>
        <w:t xml:space="preserve"> </w:t>
      </w:r>
      <w:r w:rsidRPr="00FA2706">
        <w:rPr>
          <w:color w:val="156082" w:themeColor="accent1"/>
          <w:sz w:val="22"/>
          <w:szCs w:val="22"/>
        </w:rPr>
        <w:t>2030 Strategy</w:t>
      </w:r>
    </w:p>
    <w:p w14:paraId="675B7D3C" w14:textId="2210BD3F" w:rsidR="0011547B" w:rsidRPr="00FA2706" w:rsidRDefault="0011547B" w:rsidP="00946034">
      <w:pPr>
        <w:spacing w:after="0" w:line="240" w:lineRule="auto"/>
        <w:ind w:left="720"/>
        <w:jc w:val="both"/>
        <w:rPr>
          <w:color w:val="156082" w:themeColor="accent1"/>
          <w:sz w:val="22"/>
          <w:szCs w:val="22"/>
        </w:rPr>
      </w:pPr>
      <w:r w:rsidRPr="00FA2706">
        <w:rPr>
          <w:color w:val="156082" w:themeColor="accent1"/>
          <w:sz w:val="22"/>
          <w:szCs w:val="22"/>
        </w:rPr>
        <w:t>Assembly-32: GOOS Steering Committee Workplan</w:t>
      </w:r>
    </w:p>
    <w:p w14:paraId="3BE05026" w14:textId="77777777" w:rsidR="0011547B" w:rsidRPr="00FA2706" w:rsidRDefault="0011547B" w:rsidP="00946034">
      <w:pPr>
        <w:spacing w:after="0" w:line="240" w:lineRule="auto"/>
        <w:ind w:left="720"/>
        <w:jc w:val="both"/>
        <w:rPr>
          <w:color w:val="156082" w:themeColor="accent1"/>
          <w:sz w:val="22"/>
          <w:szCs w:val="22"/>
        </w:rPr>
      </w:pPr>
      <w:r w:rsidRPr="00FA2706">
        <w:rPr>
          <w:color w:val="156082" w:themeColor="accent1"/>
          <w:sz w:val="22"/>
          <w:szCs w:val="22"/>
        </w:rPr>
        <w:t>Continuous consultation &amp; co-design</w:t>
      </w:r>
    </w:p>
    <w:p w14:paraId="782BEC52" w14:textId="77777777" w:rsidR="0011547B" w:rsidRPr="00FA2706" w:rsidRDefault="0011547B" w:rsidP="00946034">
      <w:pPr>
        <w:spacing w:after="0"/>
        <w:jc w:val="both"/>
        <w:rPr>
          <w:i/>
          <w:iCs/>
          <w:color w:val="156082" w:themeColor="accent1"/>
          <w:sz w:val="22"/>
          <w:szCs w:val="22"/>
        </w:rPr>
      </w:pPr>
    </w:p>
    <w:p w14:paraId="276F841E" w14:textId="4C6B6DF7" w:rsidR="0011547B" w:rsidRPr="00FA2706" w:rsidRDefault="0011547B" w:rsidP="00946034">
      <w:pPr>
        <w:pStyle w:val="ListParagraph"/>
        <w:numPr>
          <w:ilvl w:val="0"/>
          <w:numId w:val="2"/>
        </w:numPr>
        <w:spacing w:after="0"/>
        <w:jc w:val="both"/>
        <w:rPr>
          <w:color w:val="156082" w:themeColor="accent1"/>
          <w:sz w:val="22"/>
          <w:szCs w:val="22"/>
        </w:rPr>
      </w:pPr>
      <w:r w:rsidRPr="00FA2706">
        <w:rPr>
          <w:i/>
          <w:iCs/>
          <w:color w:val="156082" w:themeColor="accent1"/>
          <w:sz w:val="22"/>
          <w:szCs w:val="22"/>
        </w:rPr>
        <w:t>Key outputs</w:t>
      </w:r>
    </w:p>
    <w:p w14:paraId="7C2C4338" w14:textId="77777777" w:rsidR="0011547B" w:rsidRPr="00FA2706" w:rsidRDefault="0011547B" w:rsidP="00946034">
      <w:pPr>
        <w:numPr>
          <w:ilvl w:val="0"/>
          <w:numId w:val="7"/>
        </w:numPr>
        <w:spacing w:after="0"/>
        <w:jc w:val="both"/>
        <w:rPr>
          <w:color w:val="156082" w:themeColor="accent1"/>
          <w:sz w:val="22"/>
          <w:szCs w:val="22"/>
        </w:rPr>
      </w:pPr>
      <w:r w:rsidRPr="00FA2706">
        <w:rPr>
          <w:color w:val="156082" w:themeColor="accent1"/>
          <w:sz w:val="22"/>
          <w:szCs w:val="22"/>
          <w:lang w:val="en-GB"/>
        </w:rPr>
        <w:t xml:space="preserve">Create a stable foundation for GOOS coordination by IOC, re-establish science/policy connections &amp; provide transparency of structure, processes and governance, with clear planning and vision in </w:t>
      </w:r>
      <w:proofErr w:type="gramStart"/>
      <w:r w:rsidRPr="00FA2706">
        <w:rPr>
          <w:color w:val="156082" w:themeColor="accent1"/>
          <w:sz w:val="22"/>
          <w:szCs w:val="22"/>
          <w:lang w:val="en-GB"/>
        </w:rPr>
        <w:t>place</w:t>
      </w:r>
      <w:proofErr w:type="gramEnd"/>
    </w:p>
    <w:p w14:paraId="491BB0C2" w14:textId="77777777" w:rsidR="0011547B" w:rsidRPr="00FA2706" w:rsidRDefault="0011547B" w:rsidP="00946034">
      <w:pPr>
        <w:numPr>
          <w:ilvl w:val="0"/>
          <w:numId w:val="7"/>
        </w:numPr>
        <w:spacing w:after="0"/>
        <w:jc w:val="both"/>
        <w:rPr>
          <w:color w:val="156082" w:themeColor="accent1"/>
          <w:sz w:val="22"/>
          <w:szCs w:val="22"/>
        </w:rPr>
      </w:pPr>
      <w:r w:rsidRPr="00FA2706">
        <w:rPr>
          <w:color w:val="156082" w:themeColor="accent1"/>
          <w:sz w:val="22"/>
          <w:szCs w:val="22"/>
          <w:lang w:val="en-GB"/>
        </w:rPr>
        <w:t>Evolve GOOS governance, to respond to mandate from A-32 and EC-57</w:t>
      </w:r>
    </w:p>
    <w:p w14:paraId="4658CE3B" w14:textId="77777777" w:rsidR="0011547B" w:rsidRPr="00FA2706" w:rsidRDefault="0011547B" w:rsidP="00946034">
      <w:pPr>
        <w:numPr>
          <w:ilvl w:val="0"/>
          <w:numId w:val="7"/>
        </w:numPr>
        <w:spacing w:after="0"/>
        <w:jc w:val="both"/>
        <w:rPr>
          <w:color w:val="156082" w:themeColor="accent1"/>
          <w:sz w:val="22"/>
          <w:szCs w:val="22"/>
        </w:rPr>
      </w:pPr>
      <w:r w:rsidRPr="00FA2706">
        <w:rPr>
          <w:color w:val="156082" w:themeColor="accent1"/>
          <w:sz w:val="22"/>
          <w:szCs w:val="22"/>
          <w:lang w:val="en-GB"/>
        </w:rPr>
        <w:t xml:space="preserve">Support GOOS components and networks ensuring cross-collaboration, evolve GOOS data strategy, launch the development of the carbon observation plan and biodiversity observation plan, ETOOFs support to Member States on operational </w:t>
      </w:r>
      <w:proofErr w:type="gramStart"/>
      <w:r w:rsidRPr="00FA2706">
        <w:rPr>
          <w:color w:val="156082" w:themeColor="accent1"/>
          <w:sz w:val="22"/>
          <w:szCs w:val="22"/>
          <w:lang w:val="en-GB"/>
        </w:rPr>
        <w:t>forecasting</w:t>
      </w:r>
      <w:proofErr w:type="gramEnd"/>
    </w:p>
    <w:p w14:paraId="57EC7969" w14:textId="163844E3" w:rsidR="006528FA" w:rsidRPr="00FA2706" w:rsidRDefault="0011547B" w:rsidP="00946034">
      <w:pPr>
        <w:numPr>
          <w:ilvl w:val="0"/>
          <w:numId w:val="7"/>
        </w:numPr>
        <w:spacing w:after="0"/>
        <w:jc w:val="both"/>
        <w:rPr>
          <w:color w:val="156082" w:themeColor="accent1"/>
          <w:sz w:val="22"/>
          <w:szCs w:val="22"/>
          <w:lang w:val="en-GB"/>
        </w:rPr>
      </w:pPr>
      <w:r w:rsidRPr="00FA2706">
        <w:rPr>
          <w:color w:val="156082" w:themeColor="accent1"/>
          <w:sz w:val="22"/>
          <w:szCs w:val="22"/>
          <w:lang w:val="en-GB"/>
        </w:rPr>
        <w:t>Co-design regional plans with clear deliverables for IOGOOS PIGOOS, IOCARIBE-GOOS and GOOS Africa through IOCAFRICA</w:t>
      </w:r>
    </w:p>
    <w:p w14:paraId="4AAF83ED" w14:textId="1C5605B6" w:rsidR="007A5721" w:rsidRPr="00FA2706" w:rsidRDefault="007A5721" w:rsidP="00946034">
      <w:pPr>
        <w:spacing w:after="0"/>
        <w:jc w:val="both"/>
        <w:rPr>
          <w:color w:val="156082" w:themeColor="accent1"/>
          <w:sz w:val="22"/>
          <w:szCs w:val="22"/>
          <w:u w:val="single"/>
        </w:rPr>
      </w:pPr>
    </w:p>
    <w:p w14:paraId="0EA3DFEE" w14:textId="77777777" w:rsidR="00EB32FE" w:rsidRDefault="00EB32FE">
      <w:pPr>
        <w:rPr>
          <w:color w:val="156082" w:themeColor="accent1"/>
          <w:sz w:val="22"/>
          <w:szCs w:val="22"/>
          <w:u w:val="single"/>
        </w:rPr>
      </w:pPr>
      <w:r>
        <w:rPr>
          <w:color w:val="156082" w:themeColor="accent1"/>
          <w:sz w:val="22"/>
          <w:szCs w:val="22"/>
          <w:u w:val="single"/>
        </w:rPr>
        <w:br w:type="page"/>
      </w:r>
    </w:p>
    <w:p w14:paraId="1AEA2B34" w14:textId="26546498" w:rsidR="006528FA" w:rsidRPr="00FA2706" w:rsidRDefault="006528FA" w:rsidP="006528FA">
      <w:pPr>
        <w:spacing w:after="0"/>
        <w:ind w:left="720"/>
        <w:jc w:val="center"/>
        <w:rPr>
          <w:color w:val="156082" w:themeColor="accent1"/>
          <w:sz w:val="22"/>
          <w:szCs w:val="22"/>
          <w:u w:val="single"/>
        </w:rPr>
      </w:pPr>
      <w:r w:rsidRPr="00FA2706">
        <w:rPr>
          <w:color w:val="156082" w:themeColor="accent1"/>
          <w:sz w:val="22"/>
          <w:szCs w:val="22"/>
          <w:u w:val="single"/>
        </w:rPr>
        <w:lastRenderedPageBreak/>
        <w:t>Function F: Capacity Development</w:t>
      </w:r>
    </w:p>
    <w:p w14:paraId="0E02A31D" w14:textId="7A39EA9B" w:rsidR="0011547B" w:rsidRPr="00FA2706" w:rsidRDefault="006528FA" w:rsidP="006528FA">
      <w:pPr>
        <w:spacing w:after="0"/>
        <w:ind w:left="720"/>
        <w:jc w:val="center"/>
        <w:rPr>
          <w:color w:val="156082" w:themeColor="accent1"/>
          <w:sz w:val="22"/>
          <w:szCs w:val="22"/>
        </w:rPr>
      </w:pPr>
      <w:r w:rsidRPr="00FA2706">
        <w:rPr>
          <w:color w:val="156082" w:themeColor="accent1"/>
          <w:sz w:val="22"/>
          <w:szCs w:val="22"/>
        </w:rPr>
        <w:t>(Coordination &amp; Regional Subsidiary Bodies’ workplans)</w:t>
      </w:r>
    </w:p>
    <w:p w14:paraId="66236351" w14:textId="77777777" w:rsidR="0011547B" w:rsidRPr="00FA2706" w:rsidRDefault="0011547B" w:rsidP="006528FA">
      <w:pPr>
        <w:spacing w:after="0"/>
        <w:ind w:left="720"/>
        <w:jc w:val="center"/>
        <w:rPr>
          <w:color w:val="156082" w:themeColor="accent1"/>
          <w:sz w:val="22"/>
          <w:szCs w:val="22"/>
        </w:rPr>
      </w:pPr>
    </w:p>
    <w:p w14:paraId="5C69CEE5" w14:textId="58AE5817" w:rsidR="0011547B" w:rsidRPr="00FA2706" w:rsidRDefault="006528FA" w:rsidP="006528FA">
      <w:pPr>
        <w:spacing w:after="0"/>
        <w:rPr>
          <w:b/>
          <w:bCs/>
          <w:color w:val="156082" w:themeColor="accent1"/>
          <w:sz w:val="22"/>
          <w:szCs w:val="22"/>
        </w:rPr>
      </w:pPr>
      <w:r w:rsidRPr="00FA2706">
        <w:rPr>
          <w:b/>
          <w:bCs/>
          <w:color w:val="156082" w:themeColor="accent1"/>
          <w:sz w:val="22"/>
          <w:szCs w:val="22"/>
        </w:rPr>
        <w:t>Coordination</w:t>
      </w:r>
    </w:p>
    <w:p w14:paraId="0458B8AE" w14:textId="77777777" w:rsidR="00E5664B" w:rsidRPr="00FA2706" w:rsidRDefault="00E5664B" w:rsidP="006528FA">
      <w:pPr>
        <w:spacing w:after="0"/>
        <w:rPr>
          <w:b/>
          <w:bCs/>
          <w:color w:val="156082" w:themeColor="accent1"/>
          <w:sz w:val="22"/>
          <w:szCs w:val="22"/>
        </w:rPr>
      </w:pPr>
    </w:p>
    <w:p w14:paraId="0F00D5C6" w14:textId="77777777" w:rsidR="006528FA" w:rsidRPr="00FA2706" w:rsidRDefault="006528FA" w:rsidP="006528FA">
      <w:pPr>
        <w:numPr>
          <w:ilvl w:val="0"/>
          <w:numId w:val="9"/>
        </w:numPr>
        <w:spacing w:after="0"/>
        <w:rPr>
          <w:color w:val="156082" w:themeColor="accent1"/>
          <w:sz w:val="22"/>
          <w:szCs w:val="22"/>
        </w:rPr>
      </w:pPr>
      <w:r w:rsidRPr="00FA2706">
        <w:rPr>
          <w:i/>
          <w:iCs/>
          <w:color w:val="156082" w:themeColor="accent1"/>
          <w:sz w:val="22"/>
          <w:szCs w:val="22"/>
        </w:rPr>
        <w:t>Source of Member States Guidance</w:t>
      </w:r>
      <w:r w:rsidRPr="00FA2706">
        <w:rPr>
          <w:color w:val="156082" w:themeColor="accent1"/>
          <w:sz w:val="22"/>
          <w:szCs w:val="22"/>
        </w:rPr>
        <w:t>:</w:t>
      </w:r>
    </w:p>
    <w:p w14:paraId="2BC574FD" w14:textId="2E15D683" w:rsidR="006528FA" w:rsidRPr="00FA2706" w:rsidRDefault="006528FA" w:rsidP="006528FA">
      <w:pPr>
        <w:spacing w:after="0"/>
        <w:ind w:left="720"/>
        <w:rPr>
          <w:color w:val="156082" w:themeColor="accent1"/>
          <w:sz w:val="22"/>
          <w:szCs w:val="22"/>
        </w:rPr>
      </w:pPr>
      <w:r w:rsidRPr="00FA2706">
        <w:rPr>
          <w:color w:val="156082" w:themeColor="accent1"/>
          <w:sz w:val="22"/>
          <w:szCs w:val="22"/>
        </w:rPr>
        <w:t>IOC Assembly-32: IOC Capacity Development Strategy (2023-2030)</w:t>
      </w:r>
    </w:p>
    <w:p w14:paraId="5125EB6C" w14:textId="77777777" w:rsidR="006528FA" w:rsidRPr="00FA2706" w:rsidRDefault="006528FA" w:rsidP="006528FA">
      <w:pPr>
        <w:spacing w:after="0"/>
        <w:ind w:left="720"/>
        <w:rPr>
          <w:color w:val="156082" w:themeColor="accent1"/>
          <w:sz w:val="22"/>
          <w:szCs w:val="22"/>
        </w:rPr>
      </w:pPr>
      <w:r w:rsidRPr="00FA2706">
        <w:rPr>
          <w:color w:val="156082" w:themeColor="accent1"/>
          <w:sz w:val="22"/>
          <w:szCs w:val="22"/>
        </w:rPr>
        <w:t xml:space="preserve">IOC EC-57: Proposal to establish a Group of Experts to guide </w:t>
      </w:r>
      <w:proofErr w:type="gramStart"/>
      <w:r w:rsidRPr="00FA2706">
        <w:rPr>
          <w:color w:val="156082" w:themeColor="accent1"/>
          <w:sz w:val="22"/>
          <w:szCs w:val="22"/>
        </w:rPr>
        <w:t>implementation</w:t>
      </w:r>
      <w:proofErr w:type="gramEnd"/>
    </w:p>
    <w:p w14:paraId="7D93A972" w14:textId="77777777" w:rsidR="006528FA" w:rsidRPr="00FA2706" w:rsidRDefault="006528FA" w:rsidP="006528FA">
      <w:pPr>
        <w:spacing w:after="0"/>
        <w:rPr>
          <w:i/>
          <w:iCs/>
          <w:color w:val="156082" w:themeColor="accent1"/>
          <w:sz w:val="22"/>
          <w:szCs w:val="22"/>
        </w:rPr>
      </w:pPr>
    </w:p>
    <w:p w14:paraId="36C55C16" w14:textId="47408ACC" w:rsidR="006528FA" w:rsidRPr="00FA2706" w:rsidRDefault="006528FA" w:rsidP="006528FA">
      <w:pPr>
        <w:pStyle w:val="ListParagraph"/>
        <w:numPr>
          <w:ilvl w:val="0"/>
          <w:numId w:val="4"/>
        </w:numPr>
        <w:spacing w:after="0"/>
        <w:rPr>
          <w:color w:val="156082" w:themeColor="accent1"/>
          <w:sz w:val="22"/>
          <w:szCs w:val="22"/>
        </w:rPr>
      </w:pPr>
      <w:r w:rsidRPr="00FA2706">
        <w:rPr>
          <w:i/>
          <w:iCs/>
          <w:color w:val="156082" w:themeColor="accent1"/>
          <w:sz w:val="22"/>
          <w:szCs w:val="22"/>
        </w:rPr>
        <w:t>Key outputs:</w:t>
      </w:r>
    </w:p>
    <w:p w14:paraId="4C6A8744" w14:textId="77777777" w:rsidR="006528FA" w:rsidRPr="00FA2706" w:rsidRDefault="006528FA" w:rsidP="00946034">
      <w:pPr>
        <w:spacing w:after="0"/>
        <w:ind w:left="360" w:firstLine="360"/>
        <w:rPr>
          <w:color w:val="156082" w:themeColor="accent1"/>
          <w:sz w:val="22"/>
          <w:szCs w:val="22"/>
        </w:rPr>
      </w:pPr>
      <w:r w:rsidRPr="00FA2706">
        <w:rPr>
          <w:color w:val="156082" w:themeColor="accent1"/>
          <w:sz w:val="22"/>
          <w:szCs w:val="22"/>
        </w:rPr>
        <w:t>1. Expanded IOC Ocean CD Hub to operationalize the matchmaking of needs to opportunities</w:t>
      </w:r>
    </w:p>
    <w:p w14:paraId="2DD41C4A" w14:textId="77777777" w:rsidR="006528FA" w:rsidRPr="00FA2706" w:rsidRDefault="006528FA" w:rsidP="00946034">
      <w:pPr>
        <w:spacing w:after="0"/>
        <w:ind w:firstLine="720"/>
        <w:rPr>
          <w:color w:val="156082" w:themeColor="accent1"/>
          <w:sz w:val="22"/>
          <w:szCs w:val="22"/>
        </w:rPr>
      </w:pPr>
      <w:r w:rsidRPr="00FA2706">
        <w:rPr>
          <w:color w:val="156082" w:themeColor="accent1"/>
          <w:sz w:val="22"/>
          <w:szCs w:val="22"/>
        </w:rPr>
        <w:t>2. Ocean Training Internship programme for hands-on learning and upskilling</w:t>
      </w:r>
    </w:p>
    <w:p w14:paraId="3D4DFB87" w14:textId="240E4CFF" w:rsidR="006528FA" w:rsidRPr="00FA2706" w:rsidRDefault="006528FA" w:rsidP="00946034">
      <w:pPr>
        <w:spacing w:after="0"/>
        <w:ind w:firstLine="720"/>
        <w:rPr>
          <w:color w:val="156082" w:themeColor="accent1"/>
          <w:sz w:val="22"/>
          <w:szCs w:val="22"/>
        </w:rPr>
      </w:pPr>
      <w:r w:rsidRPr="00FA2706">
        <w:rPr>
          <w:color w:val="156082" w:themeColor="accent1"/>
          <w:sz w:val="22"/>
          <w:szCs w:val="22"/>
        </w:rPr>
        <w:t>3. Engagement &amp; outreach: CD strategy booklet, policy briefs and brochures</w:t>
      </w:r>
    </w:p>
    <w:p w14:paraId="27FBE120" w14:textId="7DC4DDCD" w:rsidR="00E5664B" w:rsidRPr="00FA2706" w:rsidRDefault="00E5664B" w:rsidP="00E5664B">
      <w:pPr>
        <w:spacing w:after="0"/>
        <w:rPr>
          <w:b/>
          <w:bCs/>
          <w:color w:val="156082" w:themeColor="accent1"/>
          <w:sz w:val="22"/>
          <w:szCs w:val="22"/>
        </w:rPr>
      </w:pPr>
      <w:r w:rsidRPr="00FA2706">
        <w:rPr>
          <w:color w:val="156082" w:themeColor="accent1"/>
          <w:sz w:val="22"/>
          <w:szCs w:val="22"/>
        </w:rPr>
        <w:tab/>
      </w:r>
    </w:p>
    <w:p w14:paraId="45F7D725" w14:textId="33B5514E" w:rsidR="00E5664B" w:rsidRPr="00FA2706" w:rsidRDefault="00E5664B" w:rsidP="006528FA">
      <w:pPr>
        <w:spacing w:after="0"/>
        <w:rPr>
          <w:b/>
          <w:bCs/>
          <w:color w:val="156082" w:themeColor="accent1"/>
          <w:sz w:val="22"/>
          <w:szCs w:val="22"/>
        </w:rPr>
      </w:pPr>
      <w:r w:rsidRPr="00FA2706">
        <w:rPr>
          <w:b/>
          <w:bCs/>
          <w:color w:val="156082" w:themeColor="accent1"/>
          <w:sz w:val="22"/>
          <w:szCs w:val="22"/>
        </w:rPr>
        <w:t>Global Ocean Science Report (GOSR)</w:t>
      </w:r>
    </w:p>
    <w:p w14:paraId="0FD68F07" w14:textId="77777777" w:rsidR="00E5664B" w:rsidRPr="00FA2706" w:rsidRDefault="00E5664B" w:rsidP="006528FA">
      <w:pPr>
        <w:spacing w:after="0"/>
        <w:rPr>
          <w:b/>
          <w:bCs/>
          <w:color w:val="156082" w:themeColor="accent1"/>
          <w:sz w:val="22"/>
          <w:szCs w:val="22"/>
        </w:rPr>
      </w:pPr>
    </w:p>
    <w:p w14:paraId="7C101D6E" w14:textId="77777777" w:rsidR="00E5664B" w:rsidRPr="00FA2706" w:rsidRDefault="00E5664B" w:rsidP="00E5664B">
      <w:pPr>
        <w:pStyle w:val="ListParagraph"/>
        <w:numPr>
          <w:ilvl w:val="0"/>
          <w:numId w:val="18"/>
        </w:numPr>
        <w:spacing w:after="0" w:line="276" w:lineRule="auto"/>
        <w:rPr>
          <w:rFonts w:cs="Calibri"/>
          <w:i/>
          <w:iCs/>
          <w:color w:val="156082" w:themeColor="accent1"/>
          <w:sz w:val="22"/>
          <w:szCs w:val="22"/>
        </w:rPr>
      </w:pPr>
      <w:r w:rsidRPr="00FA2706">
        <w:rPr>
          <w:i/>
          <w:iCs/>
          <w:color w:val="156082" w:themeColor="accent1"/>
          <w:sz w:val="22"/>
          <w:szCs w:val="22"/>
        </w:rPr>
        <w:t>Source of Member States Guidance:</w:t>
      </w:r>
    </w:p>
    <w:p w14:paraId="114610C8" w14:textId="28A773D9" w:rsidR="00E5664B" w:rsidRPr="00FA2706" w:rsidRDefault="00E5664B" w:rsidP="00E5664B">
      <w:pPr>
        <w:spacing w:after="0" w:line="276" w:lineRule="auto"/>
        <w:ind w:firstLine="720"/>
        <w:rPr>
          <w:color w:val="156082" w:themeColor="accent1"/>
          <w:sz w:val="22"/>
          <w:szCs w:val="22"/>
        </w:rPr>
      </w:pPr>
      <w:r w:rsidRPr="00FA2706">
        <w:rPr>
          <w:color w:val="156082" w:themeColor="accent1"/>
          <w:sz w:val="22"/>
          <w:szCs w:val="22"/>
        </w:rPr>
        <w:t>Decision IOC-XXIX/5.1</w:t>
      </w:r>
    </w:p>
    <w:p w14:paraId="4C318076" w14:textId="77777777" w:rsidR="00E5664B" w:rsidRPr="00FA2706" w:rsidRDefault="00E5664B" w:rsidP="00E5664B">
      <w:pPr>
        <w:spacing w:after="0" w:line="276" w:lineRule="auto"/>
        <w:ind w:firstLine="720"/>
        <w:rPr>
          <w:color w:val="156082" w:themeColor="accent1"/>
          <w:sz w:val="22"/>
          <w:szCs w:val="22"/>
        </w:rPr>
      </w:pPr>
    </w:p>
    <w:p w14:paraId="47FE7A09" w14:textId="77777777" w:rsidR="00E5664B" w:rsidRPr="00FA2706" w:rsidRDefault="00E5664B" w:rsidP="00E5664B">
      <w:pPr>
        <w:pStyle w:val="ListParagraph"/>
        <w:numPr>
          <w:ilvl w:val="0"/>
          <w:numId w:val="18"/>
        </w:numPr>
        <w:spacing w:after="0" w:line="276" w:lineRule="auto"/>
        <w:rPr>
          <w:i/>
          <w:iCs/>
          <w:color w:val="156082" w:themeColor="accent1"/>
          <w:sz w:val="22"/>
          <w:szCs w:val="22"/>
        </w:rPr>
      </w:pPr>
      <w:r w:rsidRPr="00FA2706">
        <w:rPr>
          <w:i/>
          <w:iCs/>
          <w:color w:val="156082" w:themeColor="accent1"/>
          <w:sz w:val="22"/>
          <w:szCs w:val="22"/>
        </w:rPr>
        <w:t>Key outputs:</w:t>
      </w:r>
    </w:p>
    <w:p w14:paraId="18E93D37" w14:textId="591B59E9" w:rsidR="00E5664B" w:rsidRPr="00FA2706" w:rsidRDefault="00E5664B" w:rsidP="00E5664B">
      <w:pPr>
        <w:spacing w:after="0" w:line="276" w:lineRule="auto"/>
        <w:ind w:firstLine="720"/>
        <w:rPr>
          <w:color w:val="156082" w:themeColor="accent1"/>
          <w:sz w:val="22"/>
          <w:szCs w:val="22"/>
        </w:rPr>
      </w:pPr>
      <w:r w:rsidRPr="00FA2706">
        <w:rPr>
          <w:color w:val="156082" w:themeColor="accent1"/>
          <w:sz w:val="22"/>
          <w:szCs w:val="22"/>
        </w:rPr>
        <w:t xml:space="preserve">GOSR 2025 with target </w:t>
      </w:r>
      <w:r w:rsidR="00212D25" w:rsidRPr="00FA2706">
        <w:rPr>
          <w:color w:val="156082" w:themeColor="accent1"/>
          <w:sz w:val="22"/>
          <w:szCs w:val="22"/>
        </w:rPr>
        <w:t>of +</w:t>
      </w:r>
      <w:r w:rsidRPr="00FA2706">
        <w:rPr>
          <w:color w:val="156082" w:themeColor="accent1"/>
          <w:sz w:val="22"/>
          <w:szCs w:val="22"/>
        </w:rPr>
        <w:t xml:space="preserve"> 13 Member States (Africa 3, SIDS 2)</w:t>
      </w:r>
    </w:p>
    <w:p w14:paraId="74100D82" w14:textId="77777777" w:rsidR="00E5664B" w:rsidRPr="00FA2706" w:rsidRDefault="00E5664B" w:rsidP="00E5664B">
      <w:pPr>
        <w:spacing w:after="0" w:line="276" w:lineRule="auto"/>
        <w:ind w:firstLine="720"/>
        <w:rPr>
          <w:b/>
          <w:bCs/>
          <w:color w:val="156082" w:themeColor="accent1"/>
          <w:sz w:val="22"/>
          <w:szCs w:val="22"/>
        </w:rPr>
      </w:pPr>
    </w:p>
    <w:p w14:paraId="21C09D3D" w14:textId="409C4CAF" w:rsidR="006528FA" w:rsidRPr="00FA2706" w:rsidRDefault="006528FA" w:rsidP="006528FA">
      <w:pPr>
        <w:spacing w:after="0"/>
        <w:rPr>
          <w:b/>
          <w:bCs/>
          <w:color w:val="156082" w:themeColor="accent1"/>
          <w:sz w:val="22"/>
          <w:szCs w:val="22"/>
        </w:rPr>
      </w:pPr>
      <w:r w:rsidRPr="00FA2706">
        <w:rPr>
          <w:b/>
          <w:bCs/>
          <w:color w:val="156082" w:themeColor="accent1"/>
          <w:sz w:val="22"/>
          <w:szCs w:val="22"/>
        </w:rPr>
        <w:t>IOCAFRICA</w:t>
      </w:r>
    </w:p>
    <w:p w14:paraId="183C23F3" w14:textId="77777777" w:rsidR="006528FA" w:rsidRPr="00FA2706" w:rsidRDefault="006528FA" w:rsidP="006528FA">
      <w:pPr>
        <w:spacing w:after="0"/>
        <w:rPr>
          <w:b/>
          <w:bCs/>
          <w:color w:val="156082" w:themeColor="accent1"/>
          <w:sz w:val="22"/>
          <w:szCs w:val="22"/>
        </w:rPr>
      </w:pPr>
    </w:p>
    <w:p w14:paraId="3C6E0A90" w14:textId="77777777" w:rsidR="006528FA" w:rsidRPr="00FA2706" w:rsidRDefault="006528FA" w:rsidP="006528FA">
      <w:pPr>
        <w:numPr>
          <w:ilvl w:val="0"/>
          <w:numId w:val="10"/>
        </w:numPr>
        <w:spacing w:after="0"/>
        <w:rPr>
          <w:color w:val="156082" w:themeColor="accent1"/>
          <w:sz w:val="22"/>
          <w:szCs w:val="22"/>
        </w:rPr>
      </w:pPr>
      <w:r w:rsidRPr="00FA2706">
        <w:rPr>
          <w:color w:val="156082" w:themeColor="accent1"/>
          <w:sz w:val="22"/>
          <w:szCs w:val="22"/>
        </w:rPr>
        <w:t>Source of Member States Guidance:</w:t>
      </w:r>
    </w:p>
    <w:p w14:paraId="6416C055" w14:textId="6B31ECE6" w:rsidR="006528FA" w:rsidRPr="00FA2706" w:rsidRDefault="006528FA" w:rsidP="006528FA">
      <w:pPr>
        <w:spacing w:after="0"/>
        <w:ind w:left="720"/>
        <w:rPr>
          <w:color w:val="156082" w:themeColor="accent1"/>
          <w:sz w:val="22"/>
          <w:szCs w:val="22"/>
        </w:rPr>
      </w:pPr>
      <w:r w:rsidRPr="00FA2706">
        <w:rPr>
          <w:color w:val="156082" w:themeColor="accent1"/>
          <w:sz w:val="22"/>
          <w:szCs w:val="22"/>
        </w:rPr>
        <w:t>IOCAFRICA –VII, March 2023</w:t>
      </w:r>
    </w:p>
    <w:p w14:paraId="57DD786F" w14:textId="77777777" w:rsidR="006528FA" w:rsidRPr="00FA2706" w:rsidRDefault="006528FA" w:rsidP="006528FA">
      <w:pPr>
        <w:spacing w:after="0"/>
        <w:ind w:left="720"/>
        <w:rPr>
          <w:color w:val="156082" w:themeColor="accent1"/>
          <w:sz w:val="22"/>
          <w:szCs w:val="22"/>
        </w:rPr>
      </w:pPr>
      <w:r w:rsidRPr="00FA2706">
        <w:rPr>
          <w:color w:val="156082" w:themeColor="accent1"/>
          <w:sz w:val="22"/>
          <w:szCs w:val="22"/>
        </w:rPr>
        <w:t>Dialogue with IOCAFRICA Officers</w:t>
      </w:r>
    </w:p>
    <w:p w14:paraId="66622851" w14:textId="77777777" w:rsidR="006528FA" w:rsidRPr="00FA2706" w:rsidRDefault="006528FA" w:rsidP="006528FA">
      <w:pPr>
        <w:spacing w:after="0"/>
        <w:ind w:left="720"/>
        <w:rPr>
          <w:color w:val="156082" w:themeColor="accent1"/>
          <w:sz w:val="22"/>
          <w:szCs w:val="22"/>
        </w:rPr>
      </w:pPr>
      <w:r w:rsidRPr="00FA2706">
        <w:rPr>
          <w:color w:val="156082" w:themeColor="accent1"/>
          <w:sz w:val="22"/>
          <w:szCs w:val="22"/>
        </w:rPr>
        <w:t xml:space="preserve">Continuous workplan refinement/co-design to guide </w:t>
      </w:r>
      <w:proofErr w:type="gramStart"/>
      <w:r w:rsidRPr="00FA2706">
        <w:rPr>
          <w:color w:val="156082" w:themeColor="accent1"/>
          <w:sz w:val="22"/>
          <w:szCs w:val="22"/>
        </w:rPr>
        <w:t>implementation</w:t>
      </w:r>
      <w:proofErr w:type="gramEnd"/>
    </w:p>
    <w:p w14:paraId="52BD8CFC" w14:textId="77777777" w:rsidR="006528FA" w:rsidRPr="00FA2706" w:rsidRDefault="006528FA" w:rsidP="006528FA">
      <w:pPr>
        <w:spacing w:after="0"/>
        <w:rPr>
          <w:i/>
          <w:iCs/>
          <w:color w:val="156082" w:themeColor="accent1"/>
          <w:sz w:val="22"/>
          <w:szCs w:val="22"/>
        </w:rPr>
      </w:pPr>
    </w:p>
    <w:p w14:paraId="5EB19E24" w14:textId="73EB4FAE" w:rsidR="006528FA" w:rsidRPr="00FA2706" w:rsidRDefault="006528FA" w:rsidP="006528FA">
      <w:pPr>
        <w:pStyle w:val="ListParagraph"/>
        <w:numPr>
          <w:ilvl w:val="0"/>
          <w:numId w:val="4"/>
        </w:numPr>
        <w:spacing w:after="0"/>
        <w:rPr>
          <w:color w:val="156082" w:themeColor="accent1"/>
          <w:sz w:val="22"/>
          <w:szCs w:val="22"/>
        </w:rPr>
      </w:pPr>
      <w:r w:rsidRPr="00FA2706">
        <w:rPr>
          <w:i/>
          <w:iCs/>
          <w:color w:val="156082" w:themeColor="accent1"/>
          <w:sz w:val="22"/>
          <w:szCs w:val="22"/>
        </w:rPr>
        <w:t xml:space="preserve">Key </w:t>
      </w:r>
      <w:r w:rsidR="006B63A7" w:rsidRPr="00FA2706">
        <w:rPr>
          <w:i/>
          <w:iCs/>
          <w:color w:val="156082" w:themeColor="accent1"/>
          <w:sz w:val="22"/>
          <w:szCs w:val="22"/>
        </w:rPr>
        <w:t>o</w:t>
      </w:r>
      <w:r w:rsidRPr="00FA2706">
        <w:rPr>
          <w:i/>
          <w:iCs/>
          <w:color w:val="156082" w:themeColor="accent1"/>
          <w:sz w:val="22"/>
          <w:szCs w:val="22"/>
        </w:rPr>
        <w:t>utputs</w:t>
      </w:r>
      <w:r w:rsidR="00435DB4" w:rsidRPr="00FA2706">
        <w:rPr>
          <w:i/>
          <w:iCs/>
          <w:color w:val="156082" w:themeColor="accent1"/>
          <w:sz w:val="22"/>
          <w:szCs w:val="22"/>
        </w:rPr>
        <w:t>:</w:t>
      </w:r>
    </w:p>
    <w:p w14:paraId="5F0CA870" w14:textId="29E01410" w:rsidR="006528FA" w:rsidRPr="00FA2706" w:rsidRDefault="006528FA" w:rsidP="00946034">
      <w:pPr>
        <w:spacing w:after="0"/>
        <w:ind w:left="720"/>
        <w:jc w:val="both"/>
        <w:rPr>
          <w:color w:val="156082" w:themeColor="accent1"/>
          <w:sz w:val="22"/>
          <w:szCs w:val="22"/>
        </w:rPr>
      </w:pPr>
      <w:r w:rsidRPr="00FA2706">
        <w:rPr>
          <w:color w:val="156082" w:themeColor="accent1"/>
          <w:sz w:val="22"/>
          <w:szCs w:val="22"/>
        </w:rPr>
        <w:t>1. Data: developing community of standards and data management plans, support to African partners through ODIS. Enhanced by Flanders-funded Ocean Info Hub project.</w:t>
      </w:r>
    </w:p>
    <w:p w14:paraId="03A6B6F8" w14:textId="77777777" w:rsidR="006528FA" w:rsidRPr="00FA2706" w:rsidRDefault="006528FA" w:rsidP="00946034">
      <w:pPr>
        <w:spacing w:after="0"/>
        <w:ind w:left="720"/>
        <w:jc w:val="both"/>
        <w:rPr>
          <w:color w:val="156082" w:themeColor="accent1"/>
          <w:sz w:val="22"/>
          <w:szCs w:val="22"/>
        </w:rPr>
      </w:pPr>
      <w:r w:rsidRPr="00FA2706">
        <w:rPr>
          <w:color w:val="156082" w:themeColor="accent1"/>
          <w:sz w:val="22"/>
          <w:szCs w:val="22"/>
        </w:rPr>
        <w:t xml:space="preserve">2. Observations: GOOS-Africa: strengthening of tide gage network, </w:t>
      </w:r>
      <w:proofErr w:type="gramStart"/>
      <w:r w:rsidRPr="00FA2706">
        <w:rPr>
          <w:color w:val="156082" w:themeColor="accent1"/>
          <w:sz w:val="22"/>
          <w:szCs w:val="22"/>
        </w:rPr>
        <w:t>expanding</w:t>
      </w:r>
      <w:proofErr w:type="gramEnd"/>
      <w:r w:rsidRPr="00FA2706">
        <w:rPr>
          <w:color w:val="156082" w:themeColor="accent1"/>
          <w:sz w:val="22"/>
          <w:szCs w:val="22"/>
        </w:rPr>
        <w:t xml:space="preserve"> and improving data collection and sharing, integration of African research into global GOOS for better ecosystem management. Boosted by NORAD support. </w:t>
      </w:r>
    </w:p>
    <w:p w14:paraId="2DC5F940" w14:textId="5AD1D56A" w:rsidR="006528FA" w:rsidRPr="00FA2706" w:rsidRDefault="006528FA" w:rsidP="00946034">
      <w:pPr>
        <w:spacing w:after="0"/>
        <w:ind w:left="720"/>
        <w:jc w:val="both"/>
        <w:rPr>
          <w:color w:val="156082" w:themeColor="accent1"/>
          <w:sz w:val="22"/>
          <w:szCs w:val="22"/>
        </w:rPr>
      </w:pPr>
      <w:r w:rsidRPr="00FA2706">
        <w:rPr>
          <w:color w:val="156082" w:themeColor="accent1"/>
          <w:sz w:val="22"/>
          <w:szCs w:val="22"/>
        </w:rPr>
        <w:t xml:space="preserve">3. CD: training &amp; acquisition of new technologies, building local expertise &amp; enabling sustainable ocean economy approach. Building on support from Flanders and NORAD, broaden the donor base to enhance resource </w:t>
      </w:r>
      <w:proofErr w:type="gramStart"/>
      <w:r w:rsidRPr="00FA2706">
        <w:rPr>
          <w:color w:val="156082" w:themeColor="accent1"/>
          <w:sz w:val="22"/>
          <w:szCs w:val="22"/>
        </w:rPr>
        <w:t>mobilization</w:t>
      </w:r>
      <w:proofErr w:type="gramEnd"/>
    </w:p>
    <w:p w14:paraId="3EF5333A" w14:textId="4A64EF77" w:rsidR="006528FA" w:rsidRDefault="006528FA">
      <w:pPr>
        <w:rPr>
          <w:color w:val="156082" w:themeColor="accent1"/>
          <w:sz w:val="22"/>
          <w:szCs w:val="22"/>
        </w:rPr>
      </w:pPr>
    </w:p>
    <w:p w14:paraId="081C637D" w14:textId="77777777" w:rsidR="00EB32FE" w:rsidRDefault="00EB32FE">
      <w:pPr>
        <w:rPr>
          <w:color w:val="156082" w:themeColor="accent1"/>
          <w:sz w:val="22"/>
          <w:szCs w:val="22"/>
        </w:rPr>
      </w:pPr>
    </w:p>
    <w:p w14:paraId="6E981105" w14:textId="1BDC6E5E" w:rsidR="006528FA" w:rsidRPr="00FA2706" w:rsidRDefault="006528FA" w:rsidP="006528FA">
      <w:pPr>
        <w:spacing w:after="0"/>
        <w:rPr>
          <w:b/>
          <w:bCs/>
          <w:color w:val="156082" w:themeColor="accent1"/>
          <w:sz w:val="22"/>
          <w:szCs w:val="22"/>
        </w:rPr>
      </w:pPr>
      <w:r w:rsidRPr="00FA2706">
        <w:rPr>
          <w:b/>
          <w:bCs/>
          <w:color w:val="156082" w:themeColor="accent1"/>
          <w:sz w:val="22"/>
          <w:szCs w:val="22"/>
        </w:rPr>
        <w:t>IOCARIBE</w:t>
      </w:r>
    </w:p>
    <w:p w14:paraId="1C715523" w14:textId="77777777" w:rsidR="006528FA" w:rsidRPr="00FA2706" w:rsidRDefault="006528FA" w:rsidP="006528FA">
      <w:pPr>
        <w:spacing w:after="0"/>
        <w:rPr>
          <w:b/>
          <w:bCs/>
          <w:color w:val="156082" w:themeColor="accent1"/>
          <w:sz w:val="22"/>
          <w:szCs w:val="22"/>
        </w:rPr>
      </w:pPr>
    </w:p>
    <w:p w14:paraId="58B28C9A" w14:textId="77777777" w:rsidR="006528FA" w:rsidRPr="00FA2706" w:rsidRDefault="006528FA" w:rsidP="006528FA">
      <w:pPr>
        <w:numPr>
          <w:ilvl w:val="0"/>
          <w:numId w:val="11"/>
        </w:numPr>
        <w:spacing w:after="0"/>
        <w:rPr>
          <w:color w:val="156082" w:themeColor="accent1"/>
          <w:sz w:val="22"/>
          <w:szCs w:val="22"/>
        </w:rPr>
      </w:pPr>
      <w:r w:rsidRPr="00FA2706">
        <w:rPr>
          <w:i/>
          <w:iCs/>
          <w:color w:val="156082" w:themeColor="accent1"/>
          <w:sz w:val="22"/>
          <w:szCs w:val="22"/>
        </w:rPr>
        <w:t>Source of Member States Guidance</w:t>
      </w:r>
      <w:r w:rsidRPr="00FA2706">
        <w:rPr>
          <w:color w:val="156082" w:themeColor="accent1"/>
          <w:sz w:val="22"/>
          <w:szCs w:val="22"/>
        </w:rPr>
        <w:t xml:space="preserve">: </w:t>
      </w:r>
    </w:p>
    <w:p w14:paraId="6B3136AE" w14:textId="54C8D399" w:rsidR="006528FA" w:rsidRPr="00FA2706" w:rsidRDefault="006528FA" w:rsidP="006528FA">
      <w:pPr>
        <w:spacing w:after="0"/>
        <w:ind w:left="720"/>
        <w:rPr>
          <w:color w:val="156082" w:themeColor="accent1"/>
          <w:sz w:val="22"/>
          <w:szCs w:val="22"/>
        </w:rPr>
      </w:pPr>
      <w:r w:rsidRPr="00FA2706">
        <w:rPr>
          <w:color w:val="156082" w:themeColor="accent1"/>
          <w:sz w:val="22"/>
          <w:szCs w:val="22"/>
        </w:rPr>
        <w:lastRenderedPageBreak/>
        <w:t>IOCARIBE-XVII, May 2023</w:t>
      </w:r>
    </w:p>
    <w:p w14:paraId="5A0BABA4" w14:textId="77777777" w:rsidR="006528FA" w:rsidRPr="00FA2706" w:rsidRDefault="006528FA" w:rsidP="006528FA">
      <w:pPr>
        <w:spacing w:after="0"/>
        <w:ind w:left="720"/>
        <w:rPr>
          <w:color w:val="156082" w:themeColor="accent1"/>
          <w:sz w:val="22"/>
          <w:szCs w:val="22"/>
        </w:rPr>
      </w:pPr>
      <w:r w:rsidRPr="00FA2706">
        <w:rPr>
          <w:color w:val="156082" w:themeColor="accent1"/>
          <w:sz w:val="22"/>
          <w:szCs w:val="22"/>
        </w:rPr>
        <w:t>February 2024 Officers’ meeting</w:t>
      </w:r>
    </w:p>
    <w:p w14:paraId="0CC4AB4B" w14:textId="77777777" w:rsidR="006528FA" w:rsidRPr="00FA2706" w:rsidRDefault="006528FA" w:rsidP="006528FA">
      <w:pPr>
        <w:spacing w:after="0"/>
        <w:ind w:left="720"/>
        <w:rPr>
          <w:color w:val="156082" w:themeColor="accent1"/>
          <w:sz w:val="22"/>
          <w:szCs w:val="22"/>
        </w:rPr>
      </w:pPr>
      <w:r w:rsidRPr="00FA2706">
        <w:rPr>
          <w:color w:val="156082" w:themeColor="accent1"/>
          <w:sz w:val="22"/>
          <w:szCs w:val="22"/>
        </w:rPr>
        <w:t xml:space="preserve">Co-design with IOCARIBE Working Group Coordinators &amp; IOC global programs </w:t>
      </w:r>
      <w:proofErr w:type="gramStart"/>
      <w:r w:rsidRPr="00FA2706">
        <w:rPr>
          <w:color w:val="156082" w:themeColor="accent1"/>
          <w:sz w:val="22"/>
          <w:szCs w:val="22"/>
        </w:rPr>
        <w:t>leadership</w:t>
      </w:r>
      <w:proofErr w:type="gramEnd"/>
      <w:r w:rsidRPr="00FA2706">
        <w:rPr>
          <w:color w:val="156082" w:themeColor="accent1"/>
          <w:sz w:val="22"/>
          <w:szCs w:val="22"/>
        </w:rPr>
        <w:t xml:space="preserve"> </w:t>
      </w:r>
    </w:p>
    <w:p w14:paraId="48763F17" w14:textId="77777777" w:rsidR="006528FA" w:rsidRPr="00FA2706" w:rsidRDefault="006528FA" w:rsidP="006528FA">
      <w:pPr>
        <w:spacing w:after="0"/>
        <w:ind w:left="720"/>
        <w:rPr>
          <w:color w:val="156082" w:themeColor="accent1"/>
          <w:sz w:val="22"/>
          <w:szCs w:val="22"/>
        </w:rPr>
      </w:pPr>
    </w:p>
    <w:p w14:paraId="6FEC0142" w14:textId="61BB5084" w:rsidR="006528FA" w:rsidRPr="00FA2706" w:rsidRDefault="006B63A7" w:rsidP="006528FA">
      <w:pPr>
        <w:pStyle w:val="ListParagraph"/>
        <w:numPr>
          <w:ilvl w:val="0"/>
          <w:numId w:val="4"/>
        </w:numPr>
        <w:spacing w:after="0"/>
        <w:rPr>
          <w:color w:val="156082" w:themeColor="accent1"/>
          <w:sz w:val="22"/>
          <w:szCs w:val="22"/>
        </w:rPr>
      </w:pPr>
      <w:r w:rsidRPr="00FA2706">
        <w:rPr>
          <w:i/>
          <w:iCs/>
          <w:color w:val="156082" w:themeColor="accent1"/>
          <w:sz w:val="22"/>
          <w:szCs w:val="22"/>
        </w:rPr>
        <w:t>Key</w:t>
      </w:r>
      <w:r w:rsidR="006528FA" w:rsidRPr="00FA2706">
        <w:rPr>
          <w:i/>
          <w:iCs/>
          <w:color w:val="156082" w:themeColor="accent1"/>
          <w:sz w:val="22"/>
          <w:szCs w:val="22"/>
        </w:rPr>
        <w:t xml:space="preserve"> outputs:</w:t>
      </w:r>
    </w:p>
    <w:p w14:paraId="4BF936D7" w14:textId="77777777" w:rsidR="006528FA" w:rsidRPr="00FA2706" w:rsidRDefault="006528FA" w:rsidP="00946034">
      <w:pPr>
        <w:numPr>
          <w:ilvl w:val="0"/>
          <w:numId w:val="12"/>
        </w:numPr>
        <w:spacing w:after="0"/>
        <w:jc w:val="both"/>
        <w:rPr>
          <w:color w:val="156082" w:themeColor="accent1"/>
          <w:sz w:val="22"/>
          <w:szCs w:val="22"/>
        </w:rPr>
      </w:pPr>
      <w:r w:rsidRPr="00FA2706">
        <w:rPr>
          <w:color w:val="156082" w:themeColor="accent1"/>
          <w:sz w:val="22"/>
          <w:szCs w:val="22"/>
        </w:rPr>
        <w:t>Priority focus on:  GOOS, Harmful Algal Blooms/Sargassum, data and information, capacity development and ocean literacy</w:t>
      </w:r>
    </w:p>
    <w:p w14:paraId="32B9A54E" w14:textId="2DC07596" w:rsidR="006528FA" w:rsidRPr="00FA2706" w:rsidRDefault="006528FA" w:rsidP="00946034">
      <w:pPr>
        <w:numPr>
          <w:ilvl w:val="0"/>
          <w:numId w:val="12"/>
        </w:numPr>
        <w:spacing w:after="0"/>
        <w:jc w:val="both"/>
        <w:rPr>
          <w:color w:val="156082" w:themeColor="accent1"/>
          <w:sz w:val="22"/>
          <w:szCs w:val="22"/>
        </w:rPr>
      </w:pPr>
      <w:r w:rsidRPr="00FA2706">
        <w:rPr>
          <w:color w:val="156082" w:themeColor="accent1"/>
          <w:sz w:val="22"/>
          <w:szCs w:val="22"/>
        </w:rPr>
        <w:t>Enhance transfer of science to policy through three new regional working groups – Ocean Data &amp; Information, Capacity Development and Ocean Literacy, and the regional Ocean Decade Task Force</w:t>
      </w:r>
    </w:p>
    <w:p w14:paraId="07B77FAA" w14:textId="77777777" w:rsidR="006528FA" w:rsidRPr="00FA2706" w:rsidRDefault="006528FA" w:rsidP="00946034">
      <w:pPr>
        <w:spacing w:after="0"/>
        <w:jc w:val="both"/>
        <w:rPr>
          <w:color w:val="156082" w:themeColor="accent1"/>
          <w:sz w:val="22"/>
          <w:szCs w:val="22"/>
        </w:rPr>
      </w:pPr>
    </w:p>
    <w:p w14:paraId="521B4DBD" w14:textId="499A15EB" w:rsidR="006528FA" w:rsidRPr="00FA2706" w:rsidRDefault="00435DB4" w:rsidP="006528FA">
      <w:pPr>
        <w:spacing w:after="0"/>
        <w:rPr>
          <w:b/>
          <w:bCs/>
          <w:color w:val="156082" w:themeColor="accent1"/>
          <w:sz w:val="22"/>
          <w:szCs w:val="22"/>
        </w:rPr>
      </w:pPr>
      <w:r w:rsidRPr="00FA2706">
        <w:rPr>
          <w:b/>
          <w:bCs/>
          <w:color w:val="156082" w:themeColor="accent1"/>
          <w:sz w:val="22"/>
          <w:szCs w:val="22"/>
        </w:rPr>
        <w:t>WESTPAC</w:t>
      </w:r>
    </w:p>
    <w:p w14:paraId="52816AD3" w14:textId="77777777" w:rsidR="00435DB4" w:rsidRPr="00FA2706" w:rsidRDefault="00435DB4" w:rsidP="006528FA">
      <w:pPr>
        <w:spacing w:after="0"/>
        <w:rPr>
          <w:b/>
          <w:bCs/>
          <w:color w:val="156082" w:themeColor="accent1"/>
          <w:sz w:val="22"/>
          <w:szCs w:val="22"/>
        </w:rPr>
      </w:pPr>
    </w:p>
    <w:p w14:paraId="4C84F93E" w14:textId="6709DCB2" w:rsidR="00435DB4" w:rsidRPr="00FA2706" w:rsidRDefault="00435DB4" w:rsidP="00411A6A">
      <w:pPr>
        <w:numPr>
          <w:ilvl w:val="0"/>
          <w:numId w:val="13"/>
        </w:numPr>
        <w:spacing w:after="0"/>
        <w:rPr>
          <w:color w:val="156082" w:themeColor="accent1"/>
          <w:sz w:val="22"/>
          <w:szCs w:val="22"/>
        </w:rPr>
      </w:pPr>
      <w:r w:rsidRPr="00FA2706">
        <w:rPr>
          <w:i/>
          <w:iCs/>
          <w:color w:val="156082" w:themeColor="accent1"/>
          <w:sz w:val="22"/>
          <w:szCs w:val="22"/>
        </w:rPr>
        <w:t>Source of Member States Guidance</w:t>
      </w:r>
      <w:r w:rsidRPr="00FA2706">
        <w:rPr>
          <w:color w:val="156082" w:themeColor="accent1"/>
          <w:sz w:val="22"/>
          <w:szCs w:val="22"/>
        </w:rPr>
        <w:t>:</w:t>
      </w:r>
      <w:r w:rsidRPr="00FA2706">
        <w:rPr>
          <w:color w:val="156082" w:themeColor="accent1"/>
          <w:sz w:val="22"/>
          <w:szCs w:val="22"/>
        </w:rPr>
        <w:br/>
        <w:t>WESTPAC-XIV, April 2023</w:t>
      </w:r>
    </w:p>
    <w:p w14:paraId="245AA19B" w14:textId="77777777" w:rsidR="00435DB4" w:rsidRPr="00FA2706" w:rsidRDefault="00435DB4" w:rsidP="00435DB4">
      <w:pPr>
        <w:spacing w:after="0"/>
        <w:ind w:left="720"/>
        <w:rPr>
          <w:color w:val="156082" w:themeColor="accent1"/>
          <w:sz w:val="22"/>
          <w:szCs w:val="22"/>
        </w:rPr>
      </w:pPr>
      <w:r w:rsidRPr="00FA2706">
        <w:rPr>
          <w:color w:val="156082" w:themeColor="accent1"/>
          <w:sz w:val="22"/>
          <w:szCs w:val="22"/>
        </w:rPr>
        <w:t xml:space="preserve">Iterative consultation process with WESTPAC Officers &amp; IOC global programs leadership </w:t>
      </w:r>
    </w:p>
    <w:p w14:paraId="43F6883B" w14:textId="77777777" w:rsidR="00435DB4" w:rsidRPr="00FA2706" w:rsidRDefault="00435DB4" w:rsidP="00435DB4">
      <w:pPr>
        <w:spacing w:after="0"/>
        <w:ind w:left="720"/>
        <w:rPr>
          <w:color w:val="156082" w:themeColor="accent1"/>
          <w:sz w:val="22"/>
          <w:szCs w:val="22"/>
        </w:rPr>
      </w:pPr>
      <w:r w:rsidRPr="00FA2706">
        <w:rPr>
          <w:color w:val="156082" w:themeColor="accent1"/>
          <w:sz w:val="22"/>
          <w:szCs w:val="22"/>
        </w:rPr>
        <w:t>2</w:t>
      </w:r>
      <w:r w:rsidRPr="00FA2706">
        <w:rPr>
          <w:color w:val="156082" w:themeColor="accent1"/>
          <w:sz w:val="22"/>
          <w:szCs w:val="22"/>
          <w:vertAlign w:val="superscript"/>
        </w:rPr>
        <w:t>nd</w:t>
      </w:r>
      <w:r w:rsidRPr="00FA2706">
        <w:rPr>
          <w:color w:val="156082" w:themeColor="accent1"/>
          <w:sz w:val="22"/>
          <w:szCs w:val="22"/>
        </w:rPr>
        <w:t xml:space="preserve"> Ocean Decade Regional Conference &amp; 11</w:t>
      </w:r>
      <w:r w:rsidRPr="00FA2706">
        <w:rPr>
          <w:color w:val="156082" w:themeColor="accent1"/>
          <w:sz w:val="22"/>
          <w:szCs w:val="22"/>
          <w:vertAlign w:val="superscript"/>
        </w:rPr>
        <w:t>th</w:t>
      </w:r>
      <w:r w:rsidRPr="00FA2706">
        <w:rPr>
          <w:color w:val="156082" w:themeColor="accent1"/>
          <w:sz w:val="22"/>
          <w:szCs w:val="22"/>
        </w:rPr>
        <w:t xml:space="preserve"> WESTPAC International Marine Scientific Conference (April 2024)</w:t>
      </w:r>
    </w:p>
    <w:p w14:paraId="69B621E6" w14:textId="77777777" w:rsidR="00435DB4" w:rsidRPr="00FA2706" w:rsidRDefault="00435DB4" w:rsidP="00435DB4">
      <w:pPr>
        <w:spacing w:after="0"/>
        <w:ind w:left="720"/>
        <w:rPr>
          <w:color w:val="156082" w:themeColor="accent1"/>
          <w:sz w:val="22"/>
          <w:szCs w:val="22"/>
        </w:rPr>
      </w:pPr>
    </w:p>
    <w:p w14:paraId="63D51FDD" w14:textId="4B0B94DD" w:rsidR="00435DB4" w:rsidRPr="00FA2706" w:rsidRDefault="006B63A7" w:rsidP="00435DB4">
      <w:pPr>
        <w:pStyle w:val="ListParagraph"/>
        <w:numPr>
          <w:ilvl w:val="0"/>
          <w:numId w:val="4"/>
        </w:numPr>
        <w:spacing w:after="0"/>
        <w:rPr>
          <w:i/>
          <w:iCs/>
          <w:color w:val="156082" w:themeColor="accent1"/>
          <w:sz w:val="22"/>
          <w:szCs w:val="22"/>
        </w:rPr>
      </w:pPr>
      <w:r w:rsidRPr="00FA2706">
        <w:rPr>
          <w:i/>
          <w:iCs/>
          <w:color w:val="156082" w:themeColor="accent1"/>
          <w:sz w:val="22"/>
          <w:szCs w:val="22"/>
        </w:rPr>
        <w:t xml:space="preserve">Key </w:t>
      </w:r>
      <w:r w:rsidR="00435DB4" w:rsidRPr="00FA2706">
        <w:rPr>
          <w:i/>
          <w:iCs/>
          <w:color w:val="156082" w:themeColor="accent1"/>
          <w:sz w:val="22"/>
          <w:szCs w:val="22"/>
        </w:rPr>
        <w:t>outputs:</w:t>
      </w:r>
    </w:p>
    <w:p w14:paraId="023458BA" w14:textId="77777777" w:rsidR="00435DB4" w:rsidRPr="00FA2706" w:rsidRDefault="00435DB4" w:rsidP="00435DB4">
      <w:pPr>
        <w:numPr>
          <w:ilvl w:val="0"/>
          <w:numId w:val="14"/>
        </w:numPr>
        <w:spacing w:after="0"/>
        <w:rPr>
          <w:color w:val="156082" w:themeColor="accent1"/>
          <w:sz w:val="22"/>
          <w:szCs w:val="22"/>
        </w:rPr>
      </w:pPr>
      <w:r w:rsidRPr="00FA2706">
        <w:rPr>
          <w:color w:val="156082" w:themeColor="accent1"/>
          <w:sz w:val="22"/>
          <w:szCs w:val="22"/>
        </w:rPr>
        <w:t>Priority focus on:  Ocean Decade implementation – Decade Coordination Office</w:t>
      </w:r>
    </w:p>
    <w:p w14:paraId="2D3C7937" w14:textId="77777777" w:rsidR="00435DB4" w:rsidRPr="00FA2706" w:rsidRDefault="00435DB4" w:rsidP="00435DB4">
      <w:pPr>
        <w:numPr>
          <w:ilvl w:val="0"/>
          <w:numId w:val="14"/>
        </w:numPr>
        <w:spacing w:after="0"/>
        <w:rPr>
          <w:color w:val="156082" w:themeColor="accent1"/>
          <w:sz w:val="22"/>
          <w:szCs w:val="22"/>
        </w:rPr>
      </w:pPr>
      <w:r w:rsidRPr="00FA2706">
        <w:rPr>
          <w:color w:val="156082" w:themeColor="accent1"/>
          <w:sz w:val="22"/>
          <w:szCs w:val="22"/>
        </w:rPr>
        <w:t>Capacity Development workplan, including Ocean Literacy</w:t>
      </w:r>
    </w:p>
    <w:p w14:paraId="000EE1C1" w14:textId="29C33D67" w:rsidR="006B63A7" w:rsidRPr="00FA2706" w:rsidRDefault="006B63A7">
      <w:pPr>
        <w:rPr>
          <w:color w:val="156082" w:themeColor="accent1"/>
          <w:sz w:val="22"/>
          <w:szCs w:val="22"/>
        </w:rPr>
      </w:pPr>
    </w:p>
    <w:p w14:paraId="30F85956" w14:textId="6DC86EA5" w:rsidR="00435DB4" w:rsidRPr="00FA2706" w:rsidRDefault="006B63A7" w:rsidP="006528FA">
      <w:pPr>
        <w:spacing w:after="0"/>
        <w:rPr>
          <w:b/>
          <w:bCs/>
          <w:color w:val="156082" w:themeColor="accent1"/>
          <w:sz w:val="22"/>
          <w:szCs w:val="22"/>
        </w:rPr>
      </w:pPr>
      <w:r w:rsidRPr="00FA2706">
        <w:rPr>
          <w:b/>
          <w:bCs/>
          <w:color w:val="156082" w:themeColor="accent1"/>
          <w:sz w:val="22"/>
          <w:szCs w:val="22"/>
        </w:rPr>
        <w:t>IOCINDIO</w:t>
      </w:r>
    </w:p>
    <w:p w14:paraId="4E873228" w14:textId="77777777" w:rsidR="006B63A7" w:rsidRPr="00FA2706" w:rsidRDefault="006B63A7" w:rsidP="006528FA">
      <w:pPr>
        <w:spacing w:after="0"/>
        <w:rPr>
          <w:b/>
          <w:bCs/>
          <w:color w:val="156082" w:themeColor="accent1"/>
          <w:sz w:val="22"/>
          <w:szCs w:val="22"/>
        </w:rPr>
      </w:pPr>
    </w:p>
    <w:p w14:paraId="0977E7AA" w14:textId="426F6B83" w:rsidR="006B63A7" w:rsidRPr="00FA2706" w:rsidRDefault="006B63A7" w:rsidP="006B63A7">
      <w:pPr>
        <w:numPr>
          <w:ilvl w:val="0"/>
          <w:numId w:val="15"/>
        </w:numPr>
        <w:spacing w:after="0"/>
        <w:rPr>
          <w:color w:val="156082" w:themeColor="accent1"/>
          <w:sz w:val="22"/>
          <w:szCs w:val="22"/>
        </w:rPr>
      </w:pPr>
      <w:r w:rsidRPr="00FA2706">
        <w:rPr>
          <w:i/>
          <w:iCs/>
          <w:color w:val="156082" w:themeColor="accent1"/>
          <w:sz w:val="22"/>
          <w:szCs w:val="22"/>
        </w:rPr>
        <w:t>Source of Member States Guidance</w:t>
      </w:r>
      <w:r w:rsidRPr="00FA2706">
        <w:rPr>
          <w:color w:val="156082" w:themeColor="accent1"/>
          <w:sz w:val="22"/>
          <w:szCs w:val="22"/>
        </w:rPr>
        <w:t>:</w:t>
      </w:r>
    </w:p>
    <w:p w14:paraId="1C9FFBF5" w14:textId="57FF1ADB" w:rsidR="006B63A7" w:rsidRPr="00FA2706" w:rsidRDefault="006B63A7" w:rsidP="006B63A7">
      <w:pPr>
        <w:spacing w:after="0"/>
        <w:ind w:left="720"/>
        <w:rPr>
          <w:color w:val="156082" w:themeColor="accent1"/>
          <w:sz w:val="22"/>
          <w:szCs w:val="22"/>
        </w:rPr>
      </w:pPr>
      <w:r w:rsidRPr="00FA2706">
        <w:rPr>
          <w:color w:val="156082" w:themeColor="accent1"/>
          <w:sz w:val="22"/>
          <w:szCs w:val="22"/>
        </w:rPr>
        <w:t xml:space="preserve">Strong Member States engagement in transition to Sub-Commission </w:t>
      </w:r>
    </w:p>
    <w:p w14:paraId="4091B1D5" w14:textId="77777777" w:rsidR="006B63A7" w:rsidRPr="00FA2706" w:rsidRDefault="006B63A7" w:rsidP="006B63A7">
      <w:pPr>
        <w:spacing w:after="0"/>
        <w:ind w:left="720"/>
        <w:rPr>
          <w:color w:val="156082" w:themeColor="accent1"/>
          <w:sz w:val="22"/>
          <w:szCs w:val="22"/>
        </w:rPr>
      </w:pPr>
      <w:r w:rsidRPr="00FA2706">
        <w:rPr>
          <w:color w:val="156082" w:themeColor="accent1"/>
          <w:sz w:val="22"/>
          <w:szCs w:val="22"/>
        </w:rPr>
        <w:t>First (Inception) session of IOCINDIO Sub-Commission under preparation</w:t>
      </w:r>
    </w:p>
    <w:p w14:paraId="30600B53" w14:textId="77777777" w:rsidR="006B63A7" w:rsidRPr="00FA2706" w:rsidRDefault="006B63A7" w:rsidP="006B63A7">
      <w:pPr>
        <w:spacing w:after="0"/>
        <w:ind w:left="720"/>
        <w:rPr>
          <w:color w:val="156082" w:themeColor="accent1"/>
          <w:sz w:val="22"/>
          <w:szCs w:val="22"/>
        </w:rPr>
      </w:pPr>
      <w:r w:rsidRPr="00FA2706">
        <w:rPr>
          <w:color w:val="156082" w:themeColor="accent1"/>
          <w:sz w:val="22"/>
          <w:szCs w:val="22"/>
        </w:rPr>
        <w:t>First Indian Ocean Regional Decade Conference, 30 Jan-4 Feb 2024</w:t>
      </w:r>
    </w:p>
    <w:p w14:paraId="6F9F4BE9" w14:textId="77777777" w:rsidR="006B63A7" w:rsidRPr="00FA2706" w:rsidRDefault="006B63A7" w:rsidP="006B63A7">
      <w:pPr>
        <w:spacing w:after="0"/>
        <w:ind w:left="720"/>
        <w:rPr>
          <w:color w:val="156082" w:themeColor="accent1"/>
          <w:sz w:val="22"/>
          <w:szCs w:val="22"/>
        </w:rPr>
      </w:pPr>
      <w:r w:rsidRPr="00FA2706">
        <w:rPr>
          <w:color w:val="156082" w:themeColor="accent1"/>
          <w:sz w:val="22"/>
          <w:szCs w:val="22"/>
        </w:rPr>
        <w:t>Continuous co-design with IOCINDIO Officers, IOC Vice-</w:t>
      </w:r>
      <w:proofErr w:type="gramStart"/>
      <w:r w:rsidRPr="00FA2706">
        <w:rPr>
          <w:color w:val="156082" w:themeColor="accent1"/>
          <w:sz w:val="22"/>
          <w:szCs w:val="22"/>
        </w:rPr>
        <w:t>Chairs  and</w:t>
      </w:r>
      <w:proofErr w:type="gramEnd"/>
      <w:r w:rsidRPr="00FA2706">
        <w:rPr>
          <w:color w:val="156082" w:themeColor="accent1"/>
          <w:sz w:val="22"/>
          <w:szCs w:val="22"/>
        </w:rPr>
        <w:t xml:space="preserve"> leadership of global programmes</w:t>
      </w:r>
    </w:p>
    <w:p w14:paraId="15FA8BDF" w14:textId="77777777" w:rsidR="006B63A7" w:rsidRPr="00FA2706" w:rsidRDefault="006B63A7" w:rsidP="006B63A7">
      <w:pPr>
        <w:spacing w:after="0"/>
        <w:ind w:left="720"/>
        <w:rPr>
          <w:color w:val="156082" w:themeColor="accent1"/>
          <w:sz w:val="22"/>
          <w:szCs w:val="22"/>
        </w:rPr>
      </w:pPr>
    </w:p>
    <w:p w14:paraId="4D3024E7" w14:textId="3AA97258" w:rsidR="006B63A7" w:rsidRPr="00FA2706" w:rsidRDefault="001A019A" w:rsidP="006B63A7">
      <w:pPr>
        <w:pStyle w:val="ListParagraph"/>
        <w:numPr>
          <w:ilvl w:val="0"/>
          <w:numId w:val="4"/>
        </w:numPr>
        <w:spacing w:after="0"/>
        <w:rPr>
          <w:color w:val="156082" w:themeColor="accent1"/>
          <w:sz w:val="22"/>
          <w:szCs w:val="22"/>
        </w:rPr>
      </w:pPr>
      <w:r w:rsidRPr="00FA2706">
        <w:rPr>
          <w:i/>
          <w:iCs/>
          <w:color w:val="156082" w:themeColor="accent1"/>
          <w:sz w:val="22"/>
          <w:szCs w:val="22"/>
        </w:rPr>
        <w:t>Key outputs</w:t>
      </w:r>
      <w:r w:rsidR="006B63A7" w:rsidRPr="00FA2706">
        <w:rPr>
          <w:i/>
          <w:iCs/>
          <w:color w:val="156082" w:themeColor="accent1"/>
          <w:sz w:val="22"/>
          <w:szCs w:val="22"/>
        </w:rPr>
        <w:t>:</w:t>
      </w:r>
    </w:p>
    <w:p w14:paraId="4B04841D" w14:textId="77777777" w:rsidR="006B63A7" w:rsidRPr="00FA2706" w:rsidRDefault="006B63A7" w:rsidP="006B63A7">
      <w:pPr>
        <w:numPr>
          <w:ilvl w:val="0"/>
          <w:numId w:val="16"/>
        </w:numPr>
        <w:spacing w:after="0"/>
        <w:rPr>
          <w:color w:val="156082" w:themeColor="accent1"/>
          <w:sz w:val="22"/>
          <w:szCs w:val="22"/>
        </w:rPr>
      </w:pPr>
      <w:r w:rsidRPr="00FA2706">
        <w:rPr>
          <w:color w:val="156082" w:themeColor="accent1"/>
          <w:sz w:val="22"/>
          <w:szCs w:val="22"/>
        </w:rPr>
        <w:t xml:space="preserve">Establishment of the regional secretariat </w:t>
      </w:r>
    </w:p>
    <w:p w14:paraId="074D3058" w14:textId="77777777" w:rsidR="006B63A7" w:rsidRPr="00FA2706" w:rsidRDefault="006B63A7" w:rsidP="006B63A7">
      <w:pPr>
        <w:numPr>
          <w:ilvl w:val="0"/>
          <w:numId w:val="16"/>
        </w:numPr>
        <w:spacing w:after="0"/>
        <w:rPr>
          <w:color w:val="156082" w:themeColor="accent1"/>
          <w:sz w:val="22"/>
          <w:szCs w:val="22"/>
        </w:rPr>
      </w:pPr>
      <w:r w:rsidRPr="00FA2706">
        <w:rPr>
          <w:color w:val="156082" w:themeColor="accent1"/>
          <w:sz w:val="22"/>
          <w:szCs w:val="22"/>
        </w:rPr>
        <w:t xml:space="preserve">Addressing coastal vulnerability and building resilience </w:t>
      </w:r>
    </w:p>
    <w:p w14:paraId="37445159" w14:textId="77777777" w:rsidR="006B63A7" w:rsidRPr="00FA2706" w:rsidRDefault="006B63A7" w:rsidP="006B63A7">
      <w:pPr>
        <w:numPr>
          <w:ilvl w:val="0"/>
          <w:numId w:val="16"/>
        </w:numPr>
        <w:spacing w:after="0"/>
        <w:rPr>
          <w:color w:val="156082" w:themeColor="accent1"/>
          <w:sz w:val="22"/>
          <w:szCs w:val="22"/>
        </w:rPr>
      </w:pPr>
      <w:r w:rsidRPr="00FA2706">
        <w:rPr>
          <w:color w:val="156082" w:themeColor="accent1"/>
          <w:sz w:val="22"/>
          <w:szCs w:val="22"/>
        </w:rPr>
        <w:t xml:space="preserve">Strengthened cooperation with IIOE-2, SCOR and other regional initiative and </w:t>
      </w:r>
      <w:proofErr w:type="gramStart"/>
      <w:r w:rsidRPr="00FA2706">
        <w:rPr>
          <w:color w:val="156082" w:themeColor="accent1"/>
          <w:sz w:val="22"/>
          <w:szCs w:val="22"/>
        </w:rPr>
        <w:t>networks</w:t>
      </w:r>
      <w:proofErr w:type="gramEnd"/>
    </w:p>
    <w:p w14:paraId="52F191B5" w14:textId="77777777" w:rsidR="006B63A7" w:rsidRPr="00FA2706" w:rsidRDefault="006B63A7" w:rsidP="006B63A7">
      <w:pPr>
        <w:numPr>
          <w:ilvl w:val="0"/>
          <w:numId w:val="16"/>
        </w:numPr>
        <w:spacing w:after="0"/>
        <w:rPr>
          <w:color w:val="156082" w:themeColor="accent1"/>
          <w:sz w:val="22"/>
          <w:szCs w:val="22"/>
        </w:rPr>
      </w:pPr>
      <w:r w:rsidRPr="00FA2706">
        <w:rPr>
          <w:color w:val="156082" w:themeColor="accent1"/>
          <w:sz w:val="22"/>
          <w:szCs w:val="22"/>
        </w:rPr>
        <w:t>Co-design of joint activities with IOCAFRICA (ex. IOGOOS and GOOS Africa)</w:t>
      </w:r>
    </w:p>
    <w:p w14:paraId="15A6021B" w14:textId="77777777" w:rsidR="00931F10" w:rsidRDefault="00931F10" w:rsidP="006528FA">
      <w:pPr>
        <w:spacing w:after="0"/>
        <w:rPr>
          <w:color w:val="156082" w:themeColor="accent1"/>
          <w:sz w:val="22"/>
          <w:szCs w:val="22"/>
        </w:rPr>
        <w:sectPr w:rsidR="00931F10" w:rsidSect="0019506D">
          <w:footerReference w:type="default" r:id="rId11"/>
          <w:pgSz w:w="12240" w:h="15840"/>
          <w:pgMar w:top="720" w:right="720" w:bottom="720" w:left="720" w:header="720" w:footer="720" w:gutter="0"/>
          <w:cols w:space="720"/>
          <w:docGrid w:linePitch="360"/>
        </w:sectPr>
      </w:pPr>
    </w:p>
    <w:p w14:paraId="04195C6B" w14:textId="59C4BAE8" w:rsidR="006B63A7" w:rsidRPr="00FA2706" w:rsidRDefault="00931F10" w:rsidP="006528FA">
      <w:pPr>
        <w:spacing w:after="0"/>
        <w:rPr>
          <w:color w:val="156082" w:themeColor="accent1"/>
          <w:sz w:val="22"/>
          <w:szCs w:val="22"/>
        </w:rPr>
      </w:pPr>
      <w:r w:rsidRPr="007A1A1E">
        <w:rPr>
          <w:noProof/>
        </w:rPr>
        <w:lastRenderedPageBreak/>
        <w:drawing>
          <wp:anchor distT="0" distB="0" distL="114300" distR="114300" simplePos="0" relativeHeight="251658240" behindDoc="0" locked="0" layoutInCell="1" allowOverlap="1" wp14:anchorId="6B434399" wp14:editId="201A644E">
            <wp:simplePos x="0" y="0"/>
            <wp:positionH relativeFrom="column">
              <wp:posOffset>5715</wp:posOffset>
            </wp:positionH>
            <wp:positionV relativeFrom="paragraph">
              <wp:posOffset>-79774</wp:posOffset>
            </wp:positionV>
            <wp:extent cx="9140212" cy="6883603"/>
            <wp:effectExtent l="0" t="0" r="3810" b="0"/>
            <wp:wrapNone/>
            <wp:docPr id="660733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0212" cy="6883603"/>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B63A7" w:rsidRPr="00FA2706" w:rsidSect="00931F10">
      <w:footerReference w:type="default" r:id="rId13"/>
      <w:pgSz w:w="15840" w:h="12240" w:orient="landscape"/>
      <w:pgMar w:top="685" w:right="680" w:bottom="727" w:left="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499EA" w14:textId="77777777" w:rsidR="00815A5E" w:rsidRDefault="00815A5E" w:rsidP="00450946">
      <w:pPr>
        <w:spacing w:after="0" w:line="240" w:lineRule="auto"/>
      </w:pPr>
      <w:r>
        <w:separator/>
      </w:r>
    </w:p>
  </w:endnote>
  <w:endnote w:type="continuationSeparator" w:id="0">
    <w:p w14:paraId="292BC102" w14:textId="77777777" w:rsidR="00815A5E" w:rsidRDefault="00815A5E" w:rsidP="00450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441183163"/>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14:paraId="7B66858D" w14:textId="76E0208C" w:rsidR="00931F10" w:rsidRDefault="00931F10" w:rsidP="00931F10">
            <w:pPr>
              <w:pStyle w:val="Footer"/>
              <w:jc w:val="center"/>
              <w:rPr>
                <w:sz w:val="16"/>
                <w:szCs w:val="16"/>
              </w:rPr>
            </w:pPr>
          </w:p>
          <w:p w14:paraId="5605C977" w14:textId="306C2715" w:rsidR="005F5CC0" w:rsidRPr="005F5CC0" w:rsidRDefault="005F5CC0" w:rsidP="005F5CC0">
            <w:pPr>
              <w:pStyle w:val="Footer"/>
              <w:jc w:val="center"/>
              <w:rPr>
                <w:sz w:val="16"/>
                <w:szCs w:val="16"/>
              </w:rPr>
            </w:pPr>
            <w:r w:rsidRPr="005F5CC0">
              <w:rPr>
                <w:sz w:val="16"/>
                <w:szCs w:val="16"/>
              </w:rPr>
              <w:t xml:space="preserve">Page </w:t>
            </w:r>
            <w:r w:rsidRPr="005F5CC0">
              <w:rPr>
                <w:b/>
                <w:bCs/>
                <w:sz w:val="16"/>
                <w:szCs w:val="16"/>
              </w:rPr>
              <w:fldChar w:fldCharType="begin"/>
            </w:r>
            <w:r w:rsidRPr="005F5CC0">
              <w:rPr>
                <w:b/>
                <w:bCs/>
                <w:sz w:val="16"/>
                <w:szCs w:val="16"/>
              </w:rPr>
              <w:instrText xml:space="preserve"> PAGE </w:instrText>
            </w:r>
            <w:r w:rsidRPr="005F5CC0">
              <w:rPr>
                <w:b/>
                <w:bCs/>
                <w:sz w:val="16"/>
                <w:szCs w:val="16"/>
              </w:rPr>
              <w:fldChar w:fldCharType="separate"/>
            </w:r>
            <w:r w:rsidRPr="005F5CC0">
              <w:rPr>
                <w:b/>
                <w:bCs/>
                <w:noProof/>
                <w:sz w:val="16"/>
                <w:szCs w:val="16"/>
              </w:rPr>
              <w:t>2</w:t>
            </w:r>
            <w:r w:rsidRPr="005F5CC0">
              <w:rPr>
                <w:b/>
                <w:bCs/>
                <w:sz w:val="16"/>
                <w:szCs w:val="16"/>
              </w:rPr>
              <w:fldChar w:fldCharType="end"/>
            </w:r>
            <w:r w:rsidRPr="005F5CC0">
              <w:rPr>
                <w:sz w:val="16"/>
                <w:szCs w:val="16"/>
              </w:rPr>
              <w:t xml:space="preserve"> of </w:t>
            </w:r>
            <w:r w:rsidRPr="005F5CC0">
              <w:rPr>
                <w:b/>
                <w:bCs/>
                <w:sz w:val="16"/>
                <w:szCs w:val="16"/>
              </w:rPr>
              <w:fldChar w:fldCharType="begin"/>
            </w:r>
            <w:r w:rsidRPr="005F5CC0">
              <w:rPr>
                <w:b/>
                <w:bCs/>
                <w:sz w:val="16"/>
                <w:szCs w:val="16"/>
              </w:rPr>
              <w:instrText xml:space="preserve"> NUMPAGES  </w:instrText>
            </w:r>
            <w:r w:rsidRPr="005F5CC0">
              <w:rPr>
                <w:b/>
                <w:bCs/>
                <w:sz w:val="16"/>
                <w:szCs w:val="16"/>
              </w:rPr>
              <w:fldChar w:fldCharType="separate"/>
            </w:r>
            <w:r w:rsidRPr="005F5CC0">
              <w:rPr>
                <w:b/>
                <w:bCs/>
                <w:noProof/>
                <w:sz w:val="16"/>
                <w:szCs w:val="16"/>
              </w:rPr>
              <w:t>2</w:t>
            </w:r>
            <w:r w:rsidRPr="005F5CC0">
              <w:rPr>
                <w:b/>
                <w:bCs/>
                <w:sz w:val="16"/>
                <w:szCs w:val="16"/>
              </w:rPr>
              <w:fldChar w:fldCharType="end"/>
            </w:r>
          </w:p>
        </w:sdtContent>
      </w:sdt>
    </w:sdtContent>
  </w:sdt>
  <w:p w14:paraId="7AEECEF9" w14:textId="77777777" w:rsidR="005F5CC0" w:rsidRPr="005F5CC0" w:rsidRDefault="005F5CC0">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B8FB5" w14:textId="31F2D3BF" w:rsidR="00931F10" w:rsidRDefault="00931F10" w:rsidP="00931F10">
    <w:pPr>
      <w:pStyle w:val="Footer"/>
      <w:jc w:val="center"/>
      <w:rPr>
        <w:sz w:val="16"/>
        <w:szCs w:val="16"/>
        <w:lang w:val="fr-FR"/>
      </w:rPr>
    </w:pPr>
  </w:p>
  <w:p w14:paraId="7D546167" w14:textId="646D0FE1" w:rsidR="000B0F22" w:rsidRPr="000B0F22" w:rsidRDefault="000B0F22" w:rsidP="00931F10">
    <w:pPr>
      <w:pStyle w:val="Footer"/>
      <w:jc w:val="center"/>
      <w:rPr>
        <w:sz w:val="16"/>
        <w:szCs w:val="16"/>
        <w:lang w:val="fr-FR"/>
      </w:rPr>
    </w:pPr>
    <w:r w:rsidRPr="00931F10">
      <w:rPr>
        <w:noProof/>
        <w:sz w:val="16"/>
        <w:szCs w:val="16"/>
      </w:rPr>
      <mc:AlternateContent>
        <mc:Choice Requires="wps">
          <w:drawing>
            <wp:anchor distT="45720" distB="45720" distL="114300" distR="114300" simplePos="0" relativeHeight="251659264" behindDoc="0" locked="0" layoutInCell="1" allowOverlap="1" wp14:anchorId="470710F1" wp14:editId="71D9DBDF">
              <wp:simplePos x="0" y="0"/>
              <wp:positionH relativeFrom="column">
                <wp:posOffset>3489350</wp:posOffset>
              </wp:positionH>
              <wp:positionV relativeFrom="paragraph">
                <wp:posOffset>128193</wp:posOffset>
              </wp:positionV>
              <wp:extent cx="2360930" cy="27051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0510"/>
                      </a:xfrm>
                      <a:prstGeom prst="rect">
                        <a:avLst/>
                      </a:prstGeom>
                      <a:solidFill>
                        <a:srgbClr val="FFFFFF"/>
                      </a:solidFill>
                      <a:ln w="9525">
                        <a:noFill/>
                        <a:miter lim="800000"/>
                        <a:headEnd/>
                        <a:tailEnd/>
                      </a:ln>
                    </wps:spPr>
                    <wps:txbx>
                      <w:txbxContent>
                        <w:p w14:paraId="2768395B" w14:textId="77777777" w:rsidR="000B0F22" w:rsidRDefault="000B0F22" w:rsidP="000B0F22">
                          <w:pPr>
                            <w:jc w:val="center"/>
                          </w:pPr>
                          <w:r w:rsidRPr="005F5CC0">
                            <w:rPr>
                              <w:sz w:val="16"/>
                              <w:szCs w:val="16"/>
                            </w:rPr>
                            <w:t xml:space="preserve">Page </w:t>
                          </w:r>
                          <w:r w:rsidRPr="005F5CC0">
                            <w:rPr>
                              <w:b/>
                              <w:bCs/>
                              <w:sz w:val="16"/>
                              <w:szCs w:val="16"/>
                            </w:rPr>
                            <w:fldChar w:fldCharType="begin"/>
                          </w:r>
                          <w:r w:rsidRPr="005F5CC0">
                            <w:rPr>
                              <w:b/>
                              <w:bCs/>
                              <w:sz w:val="16"/>
                              <w:szCs w:val="16"/>
                            </w:rPr>
                            <w:instrText xml:space="preserve"> PAGE </w:instrText>
                          </w:r>
                          <w:r w:rsidRPr="005F5CC0">
                            <w:rPr>
                              <w:b/>
                              <w:bCs/>
                              <w:sz w:val="16"/>
                              <w:szCs w:val="16"/>
                            </w:rPr>
                            <w:fldChar w:fldCharType="separate"/>
                          </w:r>
                          <w:r>
                            <w:rPr>
                              <w:b/>
                              <w:bCs/>
                              <w:sz w:val="16"/>
                              <w:szCs w:val="16"/>
                            </w:rPr>
                            <w:t>13</w:t>
                          </w:r>
                          <w:r w:rsidRPr="005F5CC0">
                            <w:rPr>
                              <w:b/>
                              <w:bCs/>
                              <w:sz w:val="16"/>
                              <w:szCs w:val="16"/>
                            </w:rPr>
                            <w:fldChar w:fldCharType="end"/>
                          </w:r>
                          <w:r w:rsidRPr="005F5CC0">
                            <w:rPr>
                              <w:sz w:val="16"/>
                              <w:szCs w:val="16"/>
                            </w:rPr>
                            <w:t xml:space="preserve"> of </w:t>
                          </w:r>
                          <w:r w:rsidRPr="005F5CC0">
                            <w:rPr>
                              <w:b/>
                              <w:bCs/>
                              <w:sz w:val="16"/>
                              <w:szCs w:val="16"/>
                            </w:rPr>
                            <w:fldChar w:fldCharType="begin"/>
                          </w:r>
                          <w:r w:rsidRPr="005F5CC0">
                            <w:rPr>
                              <w:b/>
                              <w:bCs/>
                              <w:sz w:val="16"/>
                              <w:szCs w:val="16"/>
                            </w:rPr>
                            <w:instrText xml:space="preserve"> NUMPAGES  </w:instrText>
                          </w:r>
                          <w:r w:rsidRPr="005F5CC0">
                            <w:rPr>
                              <w:b/>
                              <w:bCs/>
                              <w:sz w:val="16"/>
                              <w:szCs w:val="16"/>
                            </w:rPr>
                            <w:fldChar w:fldCharType="separate"/>
                          </w:r>
                          <w:r>
                            <w:rPr>
                              <w:b/>
                              <w:bCs/>
                              <w:sz w:val="16"/>
                              <w:szCs w:val="16"/>
                            </w:rPr>
                            <w:t>13</w:t>
                          </w:r>
                          <w:r w:rsidRPr="005F5CC0">
                            <w:rPr>
                              <w:b/>
                              <w:bCs/>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0710F1" id="_x0000_t202" coordsize="21600,21600" o:spt="202" path="m,l,21600r21600,l21600,xe">
              <v:stroke joinstyle="miter"/>
              <v:path gradientshapeok="t" o:connecttype="rect"/>
            </v:shapetype>
            <v:shape id="_x0000_s1027" type="#_x0000_t202" style="position:absolute;left:0;text-align:left;margin-left:274.75pt;margin-top:10.1pt;width:185.9pt;height:2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9ijDQIAAPYDAAAOAAAAZHJzL2Uyb0RvYy54bWysU9tu2zAMfR+wfxD0vthxk7Yx4hRdugwD&#10;ugvQ7QNkWY6FyaJGKbGzrx+lpGnQvQ3Tg0CK1BF5eLS8G3vD9gq9Blvx6STnTFkJjbbbiv/4vnl3&#10;y5kPwjbCgFUVPyjP71Zv3ywHV6oCOjCNQkYg1peDq3gXgiuzzMtO9cJPwClLwRawF4Fc3GYNioHQ&#10;e5MVeX6dDYCNQ5DKezp9OAb5KuG3rZLha9t6FZipONUW0o5pr+OerZai3KJwnZanMsQ/VNELbenR&#10;M9SDCILtUP8F1WuJ4KENEwl9Bm2rpUo9UDfT/FU3T51wKvVC5Hh3psn/P1j5Zf/kviEL43sYaYCp&#10;Ce8eQf70zMK6E3ar7hFh6JRo6OFppCwbnC9PVyPVvvQRpB4+Q0NDFrsACWhssY+sUJ+M0GkAhzPp&#10;agxM0mFxdZ0vrigkKVbc5PNpmkomyufbDn34qKBn0ag40lATutg/+hCrEeVzSnzMg9HNRhuTHNzW&#10;a4NsL0gAm7RSA6/SjGVDxRfzYp6QLcT7SRu9DiRQo/uK3+ZxHSUT2fhgm5QShDZHmyox9kRPZOTI&#10;TRjrkRIjTTU0ByIK4ShE+jhkdIC/ORtIhBX3v3YCFWfmkyWyF9PZLKo2ObP5TUEOXkbqy4iwkqAq&#10;Hjg7muuQlB55sHBPQ2l14uulklOtJK5E4+kjRPVe+inr5buu/gAAAP//AwBQSwMEFAAGAAgAAAAh&#10;AFB3yaPfAAAACQEAAA8AAABkcnMvZG93bnJldi54bWxMj9FOg0AQRd9N/IfNmPhi7FIstFCWRk00&#10;vrb2AwZ2CqTsLGG3hf6965M+Tu7JvWeK3Wx6caXRdZYVLBcRCOLa6o4bBcfvj+cNCOeRNfaWScGN&#10;HOzK+7sCc20n3tP14BsRStjlqKD1fsildHVLBt3CDsQhO9nRoA/n2Eg94hTKTS/jKEqlwY7DQosD&#10;vbdUnw8Xo+D0NT0l2VR9+uN6v0rfsFtX9qbU48P8ugXhafZ/MPzqB3Uog1NlL6yd6BUkqywJqII4&#10;ikEEIIuXLyAqBWm8AVkW8v8H5Q8AAAD//wMAUEsBAi0AFAAGAAgAAAAhALaDOJL+AAAA4QEAABMA&#10;AAAAAAAAAAAAAAAAAAAAAFtDb250ZW50X1R5cGVzXS54bWxQSwECLQAUAAYACAAAACEAOP0h/9YA&#10;AACUAQAACwAAAAAAAAAAAAAAAAAvAQAAX3JlbHMvLnJlbHNQSwECLQAUAAYACAAAACEAYaPYow0C&#10;AAD2AwAADgAAAAAAAAAAAAAAAAAuAgAAZHJzL2Uyb0RvYy54bWxQSwECLQAUAAYACAAAACEAUHfJ&#10;o98AAAAJAQAADwAAAAAAAAAAAAAAAABnBAAAZHJzL2Rvd25yZXYueG1sUEsFBgAAAAAEAAQA8wAA&#10;AHMFAAAAAA==&#10;" stroked="f">
              <v:textbox>
                <w:txbxContent>
                  <w:p w14:paraId="2768395B" w14:textId="77777777" w:rsidR="000B0F22" w:rsidRDefault="000B0F22" w:rsidP="000B0F22">
                    <w:pPr>
                      <w:jc w:val="center"/>
                    </w:pPr>
                    <w:r w:rsidRPr="005F5CC0">
                      <w:rPr>
                        <w:sz w:val="16"/>
                        <w:szCs w:val="16"/>
                      </w:rPr>
                      <w:t xml:space="preserve">Page </w:t>
                    </w:r>
                    <w:r w:rsidRPr="005F5CC0">
                      <w:rPr>
                        <w:b/>
                        <w:bCs/>
                        <w:sz w:val="16"/>
                        <w:szCs w:val="16"/>
                      </w:rPr>
                      <w:fldChar w:fldCharType="begin"/>
                    </w:r>
                    <w:r w:rsidRPr="005F5CC0">
                      <w:rPr>
                        <w:b/>
                        <w:bCs/>
                        <w:sz w:val="16"/>
                        <w:szCs w:val="16"/>
                      </w:rPr>
                      <w:instrText xml:space="preserve"> PAGE </w:instrText>
                    </w:r>
                    <w:r w:rsidRPr="005F5CC0">
                      <w:rPr>
                        <w:b/>
                        <w:bCs/>
                        <w:sz w:val="16"/>
                        <w:szCs w:val="16"/>
                      </w:rPr>
                      <w:fldChar w:fldCharType="separate"/>
                    </w:r>
                    <w:r>
                      <w:rPr>
                        <w:b/>
                        <w:bCs/>
                        <w:sz w:val="16"/>
                        <w:szCs w:val="16"/>
                      </w:rPr>
                      <w:t>13</w:t>
                    </w:r>
                    <w:r w:rsidRPr="005F5CC0">
                      <w:rPr>
                        <w:b/>
                        <w:bCs/>
                        <w:sz w:val="16"/>
                        <w:szCs w:val="16"/>
                      </w:rPr>
                      <w:fldChar w:fldCharType="end"/>
                    </w:r>
                    <w:r w:rsidRPr="005F5CC0">
                      <w:rPr>
                        <w:sz w:val="16"/>
                        <w:szCs w:val="16"/>
                      </w:rPr>
                      <w:t xml:space="preserve"> of </w:t>
                    </w:r>
                    <w:r w:rsidRPr="005F5CC0">
                      <w:rPr>
                        <w:b/>
                        <w:bCs/>
                        <w:sz w:val="16"/>
                        <w:szCs w:val="16"/>
                      </w:rPr>
                      <w:fldChar w:fldCharType="begin"/>
                    </w:r>
                    <w:r w:rsidRPr="005F5CC0">
                      <w:rPr>
                        <w:b/>
                        <w:bCs/>
                        <w:sz w:val="16"/>
                        <w:szCs w:val="16"/>
                      </w:rPr>
                      <w:instrText xml:space="preserve"> NUMPAGES  </w:instrText>
                    </w:r>
                    <w:r w:rsidRPr="005F5CC0">
                      <w:rPr>
                        <w:b/>
                        <w:bCs/>
                        <w:sz w:val="16"/>
                        <w:szCs w:val="16"/>
                      </w:rPr>
                      <w:fldChar w:fldCharType="separate"/>
                    </w:r>
                    <w:r>
                      <w:rPr>
                        <w:b/>
                        <w:bCs/>
                        <w:sz w:val="16"/>
                        <w:szCs w:val="16"/>
                      </w:rPr>
                      <w:t>13</w:t>
                    </w:r>
                    <w:r w:rsidRPr="005F5CC0">
                      <w:rPr>
                        <w:b/>
                        <w:bCs/>
                        <w:sz w:val="16"/>
                        <w:szCs w:val="16"/>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01F2B" w14:textId="77777777" w:rsidR="00815A5E" w:rsidRDefault="00815A5E" w:rsidP="00450946">
      <w:pPr>
        <w:spacing w:after="0" w:line="240" w:lineRule="auto"/>
      </w:pPr>
      <w:r>
        <w:separator/>
      </w:r>
    </w:p>
  </w:footnote>
  <w:footnote w:type="continuationSeparator" w:id="0">
    <w:p w14:paraId="6267FB86" w14:textId="77777777" w:rsidR="00815A5E" w:rsidRDefault="00815A5E" w:rsidP="00450946">
      <w:pPr>
        <w:spacing w:after="0" w:line="240" w:lineRule="auto"/>
      </w:pPr>
      <w:r>
        <w:continuationSeparator/>
      </w:r>
    </w:p>
  </w:footnote>
  <w:footnote w:id="1">
    <w:p w14:paraId="21A43F7F" w14:textId="43FE7A44" w:rsidR="00C64783" w:rsidRPr="00501D29" w:rsidRDefault="00C64783">
      <w:pPr>
        <w:pStyle w:val="FootnoteText"/>
        <w:rPr>
          <w:sz w:val="16"/>
          <w:szCs w:val="16"/>
        </w:rPr>
      </w:pPr>
      <w:r w:rsidRPr="00501D29">
        <w:rPr>
          <w:rStyle w:val="FootnoteReference"/>
          <w:sz w:val="16"/>
          <w:szCs w:val="16"/>
        </w:rPr>
        <w:footnoteRef/>
      </w:r>
      <w:r w:rsidRPr="00501D29">
        <w:rPr>
          <w:sz w:val="16"/>
          <w:szCs w:val="16"/>
        </w:rPr>
        <w:t xml:space="preserve"> The complete table from p. 16 of IOC</w:t>
      </w:r>
      <w:r w:rsidR="00B90FB3" w:rsidRPr="00501D29">
        <w:rPr>
          <w:sz w:val="16"/>
          <w:szCs w:val="16"/>
        </w:rPr>
        <w:t xml:space="preserve">/EC-57/5.1.Doc(1) with decentralized lines highlighted can be found </w:t>
      </w:r>
      <w:r w:rsidR="00501D29" w:rsidRPr="00501D29">
        <w:rPr>
          <w:sz w:val="16"/>
          <w:szCs w:val="16"/>
        </w:rPr>
        <w:t>at the end of this document</w:t>
      </w:r>
    </w:p>
  </w:footnote>
  <w:footnote w:id="2">
    <w:p w14:paraId="171B0164" w14:textId="77777777" w:rsidR="00A34120" w:rsidRPr="00655104" w:rsidRDefault="00A34120" w:rsidP="00A34120">
      <w:pPr>
        <w:pStyle w:val="FootnoteText"/>
        <w:rPr>
          <w:sz w:val="16"/>
          <w:szCs w:val="16"/>
        </w:rPr>
      </w:pPr>
      <w:r>
        <w:rPr>
          <w:rStyle w:val="FootnoteReference"/>
        </w:rPr>
        <w:footnoteRef/>
      </w:r>
      <w:r>
        <w:t xml:space="preserve"> </w:t>
      </w:r>
      <w:r>
        <w:rPr>
          <w:sz w:val="16"/>
          <w:szCs w:val="16"/>
        </w:rPr>
        <w:t xml:space="preserve">These figures were included in the budgetary presentations in </w:t>
      </w:r>
      <w:r w:rsidRPr="00647793">
        <w:rPr>
          <w:b/>
          <w:bCs/>
          <w:sz w:val="16"/>
          <w:szCs w:val="16"/>
        </w:rPr>
        <w:t>217 EX/15 of 15 September 2023</w:t>
      </w:r>
      <w:r>
        <w:rPr>
          <w:sz w:val="16"/>
          <w:szCs w:val="16"/>
        </w:rPr>
        <w:t xml:space="preserve"> (for the UNESCO Executive Board) and in the 42 C/5 presented to the UNESCO General Conference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C4D6C"/>
    <w:multiLevelType w:val="hybridMultilevel"/>
    <w:tmpl w:val="E708AFBE"/>
    <w:lvl w:ilvl="0" w:tplc="80442658">
      <w:start w:val="1"/>
      <w:numFmt w:val="bullet"/>
      <w:lvlText w:val=""/>
      <w:lvlJc w:val="left"/>
      <w:pPr>
        <w:tabs>
          <w:tab w:val="num" w:pos="720"/>
        </w:tabs>
        <w:ind w:left="720" w:hanging="360"/>
      </w:pPr>
      <w:rPr>
        <w:rFonts w:ascii="Wingdings" w:hAnsi="Wingdings" w:hint="default"/>
      </w:rPr>
    </w:lvl>
    <w:lvl w:ilvl="1" w:tplc="5034510E" w:tentative="1">
      <w:start w:val="1"/>
      <w:numFmt w:val="bullet"/>
      <w:lvlText w:val=""/>
      <w:lvlJc w:val="left"/>
      <w:pPr>
        <w:tabs>
          <w:tab w:val="num" w:pos="1440"/>
        </w:tabs>
        <w:ind w:left="1440" w:hanging="360"/>
      </w:pPr>
      <w:rPr>
        <w:rFonts w:ascii="Wingdings" w:hAnsi="Wingdings" w:hint="default"/>
      </w:rPr>
    </w:lvl>
    <w:lvl w:ilvl="2" w:tplc="D800F704" w:tentative="1">
      <w:start w:val="1"/>
      <w:numFmt w:val="bullet"/>
      <w:lvlText w:val=""/>
      <w:lvlJc w:val="left"/>
      <w:pPr>
        <w:tabs>
          <w:tab w:val="num" w:pos="2160"/>
        </w:tabs>
        <w:ind w:left="2160" w:hanging="360"/>
      </w:pPr>
      <w:rPr>
        <w:rFonts w:ascii="Wingdings" w:hAnsi="Wingdings" w:hint="default"/>
      </w:rPr>
    </w:lvl>
    <w:lvl w:ilvl="3" w:tplc="0B60DB26" w:tentative="1">
      <w:start w:val="1"/>
      <w:numFmt w:val="bullet"/>
      <w:lvlText w:val=""/>
      <w:lvlJc w:val="left"/>
      <w:pPr>
        <w:tabs>
          <w:tab w:val="num" w:pos="2880"/>
        </w:tabs>
        <w:ind w:left="2880" w:hanging="360"/>
      </w:pPr>
      <w:rPr>
        <w:rFonts w:ascii="Wingdings" w:hAnsi="Wingdings" w:hint="default"/>
      </w:rPr>
    </w:lvl>
    <w:lvl w:ilvl="4" w:tplc="D04C75FA" w:tentative="1">
      <w:start w:val="1"/>
      <w:numFmt w:val="bullet"/>
      <w:lvlText w:val=""/>
      <w:lvlJc w:val="left"/>
      <w:pPr>
        <w:tabs>
          <w:tab w:val="num" w:pos="3600"/>
        </w:tabs>
        <w:ind w:left="3600" w:hanging="360"/>
      </w:pPr>
      <w:rPr>
        <w:rFonts w:ascii="Wingdings" w:hAnsi="Wingdings" w:hint="default"/>
      </w:rPr>
    </w:lvl>
    <w:lvl w:ilvl="5" w:tplc="88C6B5A4" w:tentative="1">
      <w:start w:val="1"/>
      <w:numFmt w:val="bullet"/>
      <w:lvlText w:val=""/>
      <w:lvlJc w:val="left"/>
      <w:pPr>
        <w:tabs>
          <w:tab w:val="num" w:pos="4320"/>
        </w:tabs>
        <w:ind w:left="4320" w:hanging="360"/>
      </w:pPr>
      <w:rPr>
        <w:rFonts w:ascii="Wingdings" w:hAnsi="Wingdings" w:hint="default"/>
      </w:rPr>
    </w:lvl>
    <w:lvl w:ilvl="6" w:tplc="E814E8F0" w:tentative="1">
      <w:start w:val="1"/>
      <w:numFmt w:val="bullet"/>
      <w:lvlText w:val=""/>
      <w:lvlJc w:val="left"/>
      <w:pPr>
        <w:tabs>
          <w:tab w:val="num" w:pos="5040"/>
        </w:tabs>
        <w:ind w:left="5040" w:hanging="360"/>
      </w:pPr>
      <w:rPr>
        <w:rFonts w:ascii="Wingdings" w:hAnsi="Wingdings" w:hint="default"/>
      </w:rPr>
    </w:lvl>
    <w:lvl w:ilvl="7" w:tplc="D88C2798" w:tentative="1">
      <w:start w:val="1"/>
      <w:numFmt w:val="bullet"/>
      <w:lvlText w:val=""/>
      <w:lvlJc w:val="left"/>
      <w:pPr>
        <w:tabs>
          <w:tab w:val="num" w:pos="5760"/>
        </w:tabs>
        <w:ind w:left="5760" w:hanging="360"/>
      </w:pPr>
      <w:rPr>
        <w:rFonts w:ascii="Wingdings" w:hAnsi="Wingdings" w:hint="default"/>
      </w:rPr>
    </w:lvl>
    <w:lvl w:ilvl="8" w:tplc="749273E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4D699F"/>
    <w:multiLevelType w:val="hybridMultilevel"/>
    <w:tmpl w:val="969A3264"/>
    <w:lvl w:ilvl="0" w:tplc="9C4233AE">
      <w:start w:val="1"/>
      <w:numFmt w:val="decimal"/>
      <w:lvlText w:val="%1."/>
      <w:lvlJc w:val="left"/>
      <w:pPr>
        <w:tabs>
          <w:tab w:val="num" w:pos="1080"/>
        </w:tabs>
        <w:ind w:left="1080" w:hanging="360"/>
      </w:pPr>
    </w:lvl>
    <w:lvl w:ilvl="1" w:tplc="14A2DADA" w:tentative="1">
      <w:start w:val="1"/>
      <w:numFmt w:val="decimal"/>
      <w:lvlText w:val="%2."/>
      <w:lvlJc w:val="left"/>
      <w:pPr>
        <w:tabs>
          <w:tab w:val="num" w:pos="1800"/>
        </w:tabs>
        <w:ind w:left="1800" w:hanging="360"/>
      </w:pPr>
    </w:lvl>
    <w:lvl w:ilvl="2" w:tplc="65DAE53C" w:tentative="1">
      <w:start w:val="1"/>
      <w:numFmt w:val="decimal"/>
      <w:lvlText w:val="%3."/>
      <w:lvlJc w:val="left"/>
      <w:pPr>
        <w:tabs>
          <w:tab w:val="num" w:pos="2520"/>
        </w:tabs>
        <w:ind w:left="2520" w:hanging="360"/>
      </w:pPr>
    </w:lvl>
    <w:lvl w:ilvl="3" w:tplc="ED74410E" w:tentative="1">
      <w:start w:val="1"/>
      <w:numFmt w:val="decimal"/>
      <w:lvlText w:val="%4."/>
      <w:lvlJc w:val="left"/>
      <w:pPr>
        <w:tabs>
          <w:tab w:val="num" w:pos="3240"/>
        </w:tabs>
        <w:ind w:left="3240" w:hanging="360"/>
      </w:pPr>
    </w:lvl>
    <w:lvl w:ilvl="4" w:tplc="2BF26A1C" w:tentative="1">
      <w:start w:val="1"/>
      <w:numFmt w:val="decimal"/>
      <w:lvlText w:val="%5."/>
      <w:lvlJc w:val="left"/>
      <w:pPr>
        <w:tabs>
          <w:tab w:val="num" w:pos="3960"/>
        </w:tabs>
        <w:ind w:left="3960" w:hanging="360"/>
      </w:pPr>
    </w:lvl>
    <w:lvl w:ilvl="5" w:tplc="0C1835FE" w:tentative="1">
      <w:start w:val="1"/>
      <w:numFmt w:val="decimal"/>
      <w:lvlText w:val="%6."/>
      <w:lvlJc w:val="left"/>
      <w:pPr>
        <w:tabs>
          <w:tab w:val="num" w:pos="4680"/>
        </w:tabs>
        <w:ind w:left="4680" w:hanging="360"/>
      </w:pPr>
    </w:lvl>
    <w:lvl w:ilvl="6" w:tplc="C30AD752" w:tentative="1">
      <w:start w:val="1"/>
      <w:numFmt w:val="decimal"/>
      <w:lvlText w:val="%7."/>
      <w:lvlJc w:val="left"/>
      <w:pPr>
        <w:tabs>
          <w:tab w:val="num" w:pos="5400"/>
        </w:tabs>
        <w:ind w:left="5400" w:hanging="360"/>
      </w:pPr>
    </w:lvl>
    <w:lvl w:ilvl="7" w:tplc="0EA2BDAC" w:tentative="1">
      <w:start w:val="1"/>
      <w:numFmt w:val="decimal"/>
      <w:lvlText w:val="%8."/>
      <w:lvlJc w:val="left"/>
      <w:pPr>
        <w:tabs>
          <w:tab w:val="num" w:pos="6120"/>
        </w:tabs>
        <w:ind w:left="6120" w:hanging="360"/>
      </w:pPr>
    </w:lvl>
    <w:lvl w:ilvl="8" w:tplc="E188DC70" w:tentative="1">
      <w:start w:val="1"/>
      <w:numFmt w:val="decimal"/>
      <w:lvlText w:val="%9."/>
      <w:lvlJc w:val="left"/>
      <w:pPr>
        <w:tabs>
          <w:tab w:val="num" w:pos="6840"/>
        </w:tabs>
        <w:ind w:left="6840" w:hanging="360"/>
      </w:pPr>
    </w:lvl>
  </w:abstractNum>
  <w:abstractNum w:abstractNumId="2" w15:restartNumberingAfterBreak="0">
    <w:nsid w:val="0E0516D7"/>
    <w:multiLevelType w:val="hybridMultilevel"/>
    <w:tmpl w:val="C098F93E"/>
    <w:lvl w:ilvl="0" w:tplc="504C04EE">
      <w:start w:val="1"/>
      <w:numFmt w:val="bullet"/>
      <w:lvlText w:val=""/>
      <w:lvlJc w:val="left"/>
      <w:pPr>
        <w:tabs>
          <w:tab w:val="num" w:pos="720"/>
        </w:tabs>
        <w:ind w:left="720" w:hanging="360"/>
      </w:pPr>
      <w:rPr>
        <w:rFonts w:ascii="Wingdings" w:hAnsi="Wingdings" w:hint="default"/>
      </w:rPr>
    </w:lvl>
    <w:lvl w:ilvl="1" w:tplc="6A6892EE" w:tentative="1">
      <w:start w:val="1"/>
      <w:numFmt w:val="bullet"/>
      <w:lvlText w:val=""/>
      <w:lvlJc w:val="left"/>
      <w:pPr>
        <w:tabs>
          <w:tab w:val="num" w:pos="1440"/>
        </w:tabs>
        <w:ind w:left="1440" w:hanging="360"/>
      </w:pPr>
      <w:rPr>
        <w:rFonts w:ascii="Wingdings" w:hAnsi="Wingdings" w:hint="default"/>
      </w:rPr>
    </w:lvl>
    <w:lvl w:ilvl="2" w:tplc="4E6CD6EC" w:tentative="1">
      <w:start w:val="1"/>
      <w:numFmt w:val="bullet"/>
      <w:lvlText w:val=""/>
      <w:lvlJc w:val="left"/>
      <w:pPr>
        <w:tabs>
          <w:tab w:val="num" w:pos="2160"/>
        </w:tabs>
        <w:ind w:left="2160" w:hanging="360"/>
      </w:pPr>
      <w:rPr>
        <w:rFonts w:ascii="Wingdings" w:hAnsi="Wingdings" w:hint="default"/>
      </w:rPr>
    </w:lvl>
    <w:lvl w:ilvl="3" w:tplc="DD7682EC" w:tentative="1">
      <w:start w:val="1"/>
      <w:numFmt w:val="bullet"/>
      <w:lvlText w:val=""/>
      <w:lvlJc w:val="left"/>
      <w:pPr>
        <w:tabs>
          <w:tab w:val="num" w:pos="2880"/>
        </w:tabs>
        <w:ind w:left="2880" w:hanging="360"/>
      </w:pPr>
      <w:rPr>
        <w:rFonts w:ascii="Wingdings" w:hAnsi="Wingdings" w:hint="default"/>
      </w:rPr>
    </w:lvl>
    <w:lvl w:ilvl="4" w:tplc="17C64E6E" w:tentative="1">
      <w:start w:val="1"/>
      <w:numFmt w:val="bullet"/>
      <w:lvlText w:val=""/>
      <w:lvlJc w:val="left"/>
      <w:pPr>
        <w:tabs>
          <w:tab w:val="num" w:pos="3600"/>
        </w:tabs>
        <w:ind w:left="3600" w:hanging="360"/>
      </w:pPr>
      <w:rPr>
        <w:rFonts w:ascii="Wingdings" w:hAnsi="Wingdings" w:hint="default"/>
      </w:rPr>
    </w:lvl>
    <w:lvl w:ilvl="5" w:tplc="3A10D9C0" w:tentative="1">
      <w:start w:val="1"/>
      <w:numFmt w:val="bullet"/>
      <w:lvlText w:val=""/>
      <w:lvlJc w:val="left"/>
      <w:pPr>
        <w:tabs>
          <w:tab w:val="num" w:pos="4320"/>
        </w:tabs>
        <w:ind w:left="4320" w:hanging="360"/>
      </w:pPr>
      <w:rPr>
        <w:rFonts w:ascii="Wingdings" w:hAnsi="Wingdings" w:hint="default"/>
      </w:rPr>
    </w:lvl>
    <w:lvl w:ilvl="6" w:tplc="31420E28" w:tentative="1">
      <w:start w:val="1"/>
      <w:numFmt w:val="bullet"/>
      <w:lvlText w:val=""/>
      <w:lvlJc w:val="left"/>
      <w:pPr>
        <w:tabs>
          <w:tab w:val="num" w:pos="5040"/>
        </w:tabs>
        <w:ind w:left="5040" w:hanging="360"/>
      </w:pPr>
      <w:rPr>
        <w:rFonts w:ascii="Wingdings" w:hAnsi="Wingdings" w:hint="default"/>
      </w:rPr>
    </w:lvl>
    <w:lvl w:ilvl="7" w:tplc="80780F88" w:tentative="1">
      <w:start w:val="1"/>
      <w:numFmt w:val="bullet"/>
      <w:lvlText w:val=""/>
      <w:lvlJc w:val="left"/>
      <w:pPr>
        <w:tabs>
          <w:tab w:val="num" w:pos="5760"/>
        </w:tabs>
        <w:ind w:left="5760" w:hanging="360"/>
      </w:pPr>
      <w:rPr>
        <w:rFonts w:ascii="Wingdings" w:hAnsi="Wingdings" w:hint="default"/>
      </w:rPr>
    </w:lvl>
    <w:lvl w:ilvl="8" w:tplc="342E380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8B7125"/>
    <w:multiLevelType w:val="hybridMultilevel"/>
    <w:tmpl w:val="B93A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73981"/>
    <w:multiLevelType w:val="multilevel"/>
    <w:tmpl w:val="B322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761C6A"/>
    <w:multiLevelType w:val="hybridMultilevel"/>
    <w:tmpl w:val="D94A986C"/>
    <w:lvl w:ilvl="0" w:tplc="0409000B">
      <w:start w:val="1"/>
      <w:numFmt w:val="bullet"/>
      <w:lvlText w:val=""/>
      <w:lvlJc w:val="left"/>
      <w:pPr>
        <w:ind w:left="720" w:hanging="360"/>
      </w:pPr>
      <w:rPr>
        <w:rFonts w:ascii="Wingdings" w:hAnsi="Wingdings" w:hint="default"/>
      </w:rPr>
    </w:lvl>
    <w:lvl w:ilvl="1" w:tplc="F5D0E1EE">
      <w:start w:val="1"/>
      <w:numFmt w:val="decimal"/>
      <w:lvlText w:val="%2."/>
      <w:lvlJc w:val="left"/>
      <w:pPr>
        <w:ind w:left="1440" w:hanging="360"/>
      </w:pPr>
      <w:rPr>
        <w:rFonts w:asciiTheme="minorHAnsi" w:eastAsiaTheme="minorEastAsia"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B239B"/>
    <w:multiLevelType w:val="hybridMultilevel"/>
    <w:tmpl w:val="6AEA1128"/>
    <w:lvl w:ilvl="0" w:tplc="8B78F71A">
      <w:start w:val="1"/>
      <w:numFmt w:val="decimal"/>
      <w:lvlText w:val="%1."/>
      <w:lvlJc w:val="left"/>
      <w:pPr>
        <w:tabs>
          <w:tab w:val="num" w:pos="720"/>
        </w:tabs>
        <w:ind w:left="720" w:hanging="360"/>
      </w:pPr>
    </w:lvl>
    <w:lvl w:ilvl="1" w:tplc="627A5F04" w:tentative="1">
      <w:start w:val="1"/>
      <w:numFmt w:val="decimal"/>
      <w:lvlText w:val="%2."/>
      <w:lvlJc w:val="left"/>
      <w:pPr>
        <w:tabs>
          <w:tab w:val="num" w:pos="1440"/>
        </w:tabs>
        <w:ind w:left="1440" w:hanging="360"/>
      </w:pPr>
    </w:lvl>
    <w:lvl w:ilvl="2" w:tplc="9D30EA86" w:tentative="1">
      <w:start w:val="1"/>
      <w:numFmt w:val="decimal"/>
      <w:lvlText w:val="%3."/>
      <w:lvlJc w:val="left"/>
      <w:pPr>
        <w:tabs>
          <w:tab w:val="num" w:pos="2160"/>
        </w:tabs>
        <w:ind w:left="2160" w:hanging="360"/>
      </w:pPr>
    </w:lvl>
    <w:lvl w:ilvl="3" w:tplc="D7AA2E6A" w:tentative="1">
      <w:start w:val="1"/>
      <w:numFmt w:val="decimal"/>
      <w:lvlText w:val="%4."/>
      <w:lvlJc w:val="left"/>
      <w:pPr>
        <w:tabs>
          <w:tab w:val="num" w:pos="2880"/>
        </w:tabs>
        <w:ind w:left="2880" w:hanging="360"/>
      </w:pPr>
    </w:lvl>
    <w:lvl w:ilvl="4" w:tplc="F370B334" w:tentative="1">
      <w:start w:val="1"/>
      <w:numFmt w:val="decimal"/>
      <w:lvlText w:val="%5."/>
      <w:lvlJc w:val="left"/>
      <w:pPr>
        <w:tabs>
          <w:tab w:val="num" w:pos="3600"/>
        </w:tabs>
        <w:ind w:left="3600" w:hanging="360"/>
      </w:pPr>
    </w:lvl>
    <w:lvl w:ilvl="5" w:tplc="6C741A5E" w:tentative="1">
      <w:start w:val="1"/>
      <w:numFmt w:val="decimal"/>
      <w:lvlText w:val="%6."/>
      <w:lvlJc w:val="left"/>
      <w:pPr>
        <w:tabs>
          <w:tab w:val="num" w:pos="4320"/>
        </w:tabs>
        <w:ind w:left="4320" w:hanging="360"/>
      </w:pPr>
    </w:lvl>
    <w:lvl w:ilvl="6" w:tplc="E1A865BE" w:tentative="1">
      <w:start w:val="1"/>
      <w:numFmt w:val="decimal"/>
      <w:lvlText w:val="%7."/>
      <w:lvlJc w:val="left"/>
      <w:pPr>
        <w:tabs>
          <w:tab w:val="num" w:pos="5040"/>
        </w:tabs>
        <w:ind w:left="5040" w:hanging="360"/>
      </w:pPr>
    </w:lvl>
    <w:lvl w:ilvl="7" w:tplc="8D162348" w:tentative="1">
      <w:start w:val="1"/>
      <w:numFmt w:val="decimal"/>
      <w:lvlText w:val="%8."/>
      <w:lvlJc w:val="left"/>
      <w:pPr>
        <w:tabs>
          <w:tab w:val="num" w:pos="5760"/>
        </w:tabs>
        <w:ind w:left="5760" w:hanging="360"/>
      </w:pPr>
    </w:lvl>
    <w:lvl w:ilvl="8" w:tplc="EA58EBA2" w:tentative="1">
      <w:start w:val="1"/>
      <w:numFmt w:val="decimal"/>
      <w:lvlText w:val="%9."/>
      <w:lvlJc w:val="left"/>
      <w:pPr>
        <w:tabs>
          <w:tab w:val="num" w:pos="6480"/>
        </w:tabs>
        <w:ind w:left="6480" w:hanging="360"/>
      </w:pPr>
    </w:lvl>
  </w:abstractNum>
  <w:abstractNum w:abstractNumId="7" w15:restartNumberingAfterBreak="0">
    <w:nsid w:val="2A2457AE"/>
    <w:multiLevelType w:val="hybridMultilevel"/>
    <w:tmpl w:val="DA06C7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B11A6"/>
    <w:multiLevelType w:val="hybridMultilevel"/>
    <w:tmpl w:val="F8D2186E"/>
    <w:lvl w:ilvl="0" w:tplc="EA963530">
      <w:start w:val="1"/>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0E5D78"/>
    <w:multiLevelType w:val="hybridMultilevel"/>
    <w:tmpl w:val="2714A444"/>
    <w:lvl w:ilvl="0" w:tplc="7684121C">
      <w:start w:val="1"/>
      <w:numFmt w:val="bullet"/>
      <w:lvlText w:val=""/>
      <w:lvlJc w:val="left"/>
      <w:pPr>
        <w:tabs>
          <w:tab w:val="num" w:pos="720"/>
        </w:tabs>
        <w:ind w:left="720" w:hanging="360"/>
      </w:pPr>
      <w:rPr>
        <w:rFonts w:ascii="Wingdings" w:hAnsi="Wingdings" w:hint="default"/>
      </w:rPr>
    </w:lvl>
    <w:lvl w:ilvl="1" w:tplc="0FE2D69C" w:tentative="1">
      <w:start w:val="1"/>
      <w:numFmt w:val="bullet"/>
      <w:lvlText w:val=""/>
      <w:lvlJc w:val="left"/>
      <w:pPr>
        <w:tabs>
          <w:tab w:val="num" w:pos="1440"/>
        </w:tabs>
        <w:ind w:left="1440" w:hanging="360"/>
      </w:pPr>
      <w:rPr>
        <w:rFonts w:ascii="Wingdings" w:hAnsi="Wingdings" w:hint="default"/>
      </w:rPr>
    </w:lvl>
    <w:lvl w:ilvl="2" w:tplc="AF3C3EAE" w:tentative="1">
      <w:start w:val="1"/>
      <w:numFmt w:val="bullet"/>
      <w:lvlText w:val=""/>
      <w:lvlJc w:val="left"/>
      <w:pPr>
        <w:tabs>
          <w:tab w:val="num" w:pos="2160"/>
        </w:tabs>
        <w:ind w:left="2160" w:hanging="360"/>
      </w:pPr>
      <w:rPr>
        <w:rFonts w:ascii="Wingdings" w:hAnsi="Wingdings" w:hint="default"/>
      </w:rPr>
    </w:lvl>
    <w:lvl w:ilvl="3" w:tplc="2EC0FF00" w:tentative="1">
      <w:start w:val="1"/>
      <w:numFmt w:val="bullet"/>
      <w:lvlText w:val=""/>
      <w:lvlJc w:val="left"/>
      <w:pPr>
        <w:tabs>
          <w:tab w:val="num" w:pos="2880"/>
        </w:tabs>
        <w:ind w:left="2880" w:hanging="360"/>
      </w:pPr>
      <w:rPr>
        <w:rFonts w:ascii="Wingdings" w:hAnsi="Wingdings" w:hint="default"/>
      </w:rPr>
    </w:lvl>
    <w:lvl w:ilvl="4" w:tplc="3880E3F4" w:tentative="1">
      <w:start w:val="1"/>
      <w:numFmt w:val="bullet"/>
      <w:lvlText w:val=""/>
      <w:lvlJc w:val="left"/>
      <w:pPr>
        <w:tabs>
          <w:tab w:val="num" w:pos="3600"/>
        </w:tabs>
        <w:ind w:left="3600" w:hanging="360"/>
      </w:pPr>
      <w:rPr>
        <w:rFonts w:ascii="Wingdings" w:hAnsi="Wingdings" w:hint="default"/>
      </w:rPr>
    </w:lvl>
    <w:lvl w:ilvl="5" w:tplc="AECC5CA8" w:tentative="1">
      <w:start w:val="1"/>
      <w:numFmt w:val="bullet"/>
      <w:lvlText w:val=""/>
      <w:lvlJc w:val="left"/>
      <w:pPr>
        <w:tabs>
          <w:tab w:val="num" w:pos="4320"/>
        </w:tabs>
        <w:ind w:left="4320" w:hanging="360"/>
      </w:pPr>
      <w:rPr>
        <w:rFonts w:ascii="Wingdings" w:hAnsi="Wingdings" w:hint="default"/>
      </w:rPr>
    </w:lvl>
    <w:lvl w:ilvl="6" w:tplc="2DEC0D4C" w:tentative="1">
      <w:start w:val="1"/>
      <w:numFmt w:val="bullet"/>
      <w:lvlText w:val=""/>
      <w:lvlJc w:val="left"/>
      <w:pPr>
        <w:tabs>
          <w:tab w:val="num" w:pos="5040"/>
        </w:tabs>
        <w:ind w:left="5040" w:hanging="360"/>
      </w:pPr>
      <w:rPr>
        <w:rFonts w:ascii="Wingdings" w:hAnsi="Wingdings" w:hint="default"/>
      </w:rPr>
    </w:lvl>
    <w:lvl w:ilvl="7" w:tplc="7990E41A" w:tentative="1">
      <w:start w:val="1"/>
      <w:numFmt w:val="bullet"/>
      <w:lvlText w:val=""/>
      <w:lvlJc w:val="left"/>
      <w:pPr>
        <w:tabs>
          <w:tab w:val="num" w:pos="5760"/>
        </w:tabs>
        <w:ind w:left="5760" w:hanging="360"/>
      </w:pPr>
      <w:rPr>
        <w:rFonts w:ascii="Wingdings" w:hAnsi="Wingdings" w:hint="default"/>
      </w:rPr>
    </w:lvl>
    <w:lvl w:ilvl="8" w:tplc="525638F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0D72EE"/>
    <w:multiLevelType w:val="hybridMultilevel"/>
    <w:tmpl w:val="C6C2A1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E2B6D"/>
    <w:multiLevelType w:val="hybridMultilevel"/>
    <w:tmpl w:val="01EAC4DC"/>
    <w:lvl w:ilvl="0" w:tplc="34FE5228">
      <w:start w:val="1"/>
      <w:numFmt w:val="bullet"/>
      <w:lvlText w:val=""/>
      <w:lvlJc w:val="left"/>
      <w:pPr>
        <w:tabs>
          <w:tab w:val="num" w:pos="720"/>
        </w:tabs>
        <w:ind w:left="720" w:hanging="360"/>
      </w:pPr>
      <w:rPr>
        <w:rFonts w:ascii="Wingdings" w:hAnsi="Wingdings" w:hint="default"/>
      </w:rPr>
    </w:lvl>
    <w:lvl w:ilvl="1" w:tplc="569CF0D0" w:tentative="1">
      <w:start w:val="1"/>
      <w:numFmt w:val="bullet"/>
      <w:lvlText w:val=""/>
      <w:lvlJc w:val="left"/>
      <w:pPr>
        <w:tabs>
          <w:tab w:val="num" w:pos="1440"/>
        </w:tabs>
        <w:ind w:left="1440" w:hanging="360"/>
      </w:pPr>
      <w:rPr>
        <w:rFonts w:ascii="Wingdings" w:hAnsi="Wingdings" w:hint="default"/>
      </w:rPr>
    </w:lvl>
    <w:lvl w:ilvl="2" w:tplc="12128F90" w:tentative="1">
      <w:start w:val="1"/>
      <w:numFmt w:val="bullet"/>
      <w:lvlText w:val=""/>
      <w:lvlJc w:val="left"/>
      <w:pPr>
        <w:tabs>
          <w:tab w:val="num" w:pos="2160"/>
        </w:tabs>
        <w:ind w:left="2160" w:hanging="360"/>
      </w:pPr>
      <w:rPr>
        <w:rFonts w:ascii="Wingdings" w:hAnsi="Wingdings" w:hint="default"/>
      </w:rPr>
    </w:lvl>
    <w:lvl w:ilvl="3" w:tplc="2724F430" w:tentative="1">
      <w:start w:val="1"/>
      <w:numFmt w:val="bullet"/>
      <w:lvlText w:val=""/>
      <w:lvlJc w:val="left"/>
      <w:pPr>
        <w:tabs>
          <w:tab w:val="num" w:pos="2880"/>
        </w:tabs>
        <w:ind w:left="2880" w:hanging="360"/>
      </w:pPr>
      <w:rPr>
        <w:rFonts w:ascii="Wingdings" w:hAnsi="Wingdings" w:hint="default"/>
      </w:rPr>
    </w:lvl>
    <w:lvl w:ilvl="4" w:tplc="6FE637CC" w:tentative="1">
      <w:start w:val="1"/>
      <w:numFmt w:val="bullet"/>
      <w:lvlText w:val=""/>
      <w:lvlJc w:val="left"/>
      <w:pPr>
        <w:tabs>
          <w:tab w:val="num" w:pos="3600"/>
        </w:tabs>
        <w:ind w:left="3600" w:hanging="360"/>
      </w:pPr>
      <w:rPr>
        <w:rFonts w:ascii="Wingdings" w:hAnsi="Wingdings" w:hint="default"/>
      </w:rPr>
    </w:lvl>
    <w:lvl w:ilvl="5" w:tplc="F220371A" w:tentative="1">
      <w:start w:val="1"/>
      <w:numFmt w:val="bullet"/>
      <w:lvlText w:val=""/>
      <w:lvlJc w:val="left"/>
      <w:pPr>
        <w:tabs>
          <w:tab w:val="num" w:pos="4320"/>
        </w:tabs>
        <w:ind w:left="4320" w:hanging="360"/>
      </w:pPr>
      <w:rPr>
        <w:rFonts w:ascii="Wingdings" w:hAnsi="Wingdings" w:hint="default"/>
      </w:rPr>
    </w:lvl>
    <w:lvl w:ilvl="6" w:tplc="38545A58" w:tentative="1">
      <w:start w:val="1"/>
      <w:numFmt w:val="bullet"/>
      <w:lvlText w:val=""/>
      <w:lvlJc w:val="left"/>
      <w:pPr>
        <w:tabs>
          <w:tab w:val="num" w:pos="5040"/>
        </w:tabs>
        <w:ind w:left="5040" w:hanging="360"/>
      </w:pPr>
      <w:rPr>
        <w:rFonts w:ascii="Wingdings" w:hAnsi="Wingdings" w:hint="default"/>
      </w:rPr>
    </w:lvl>
    <w:lvl w:ilvl="7" w:tplc="60FC0DA6" w:tentative="1">
      <w:start w:val="1"/>
      <w:numFmt w:val="bullet"/>
      <w:lvlText w:val=""/>
      <w:lvlJc w:val="left"/>
      <w:pPr>
        <w:tabs>
          <w:tab w:val="num" w:pos="5760"/>
        </w:tabs>
        <w:ind w:left="5760" w:hanging="360"/>
      </w:pPr>
      <w:rPr>
        <w:rFonts w:ascii="Wingdings" w:hAnsi="Wingdings" w:hint="default"/>
      </w:rPr>
    </w:lvl>
    <w:lvl w:ilvl="8" w:tplc="E0F47C8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C323BF"/>
    <w:multiLevelType w:val="hybridMultilevel"/>
    <w:tmpl w:val="2C02C1D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3" w15:restartNumberingAfterBreak="0">
    <w:nsid w:val="54976A32"/>
    <w:multiLevelType w:val="hybridMultilevel"/>
    <w:tmpl w:val="99422340"/>
    <w:lvl w:ilvl="0" w:tplc="AD4AA3EA">
      <w:start w:val="1"/>
      <w:numFmt w:val="decimal"/>
      <w:lvlText w:val="%1."/>
      <w:lvlJc w:val="left"/>
      <w:pPr>
        <w:tabs>
          <w:tab w:val="num" w:pos="720"/>
        </w:tabs>
        <w:ind w:left="720" w:hanging="360"/>
      </w:pPr>
    </w:lvl>
    <w:lvl w:ilvl="1" w:tplc="B300A502" w:tentative="1">
      <w:start w:val="1"/>
      <w:numFmt w:val="decimal"/>
      <w:lvlText w:val="%2."/>
      <w:lvlJc w:val="left"/>
      <w:pPr>
        <w:tabs>
          <w:tab w:val="num" w:pos="1440"/>
        </w:tabs>
        <w:ind w:left="1440" w:hanging="360"/>
      </w:pPr>
    </w:lvl>
    <w:lvl w:ilvl="2" w:tplc="CCFA0BA4" w:tentative="1">
      <w:start w:val="1"/>
      <w:numFmt w:val="decimal"/>
      <w:lvlText w:val="%3."/>
      <w:lvlJc w:val="left"/>
      <w:pPr>
        <w:tabs>
          <w:tab w:val="num" w:pos="2160"/>
        </w:tabs>
        <w:ind w:left="2160" w:hanging="360"/>
      </w:pPr>
    </w:lvl>
    <w:lvl w:ilvl="3" w:tplc="E7B24D80" w:tentative="1">
      <w:start w:val="1"/>
      <w:numFmt w:val="decimal"/>
      <w:lvlText w:val="%4."/>
      <w:lvlJc w:val="left"/>
      <w:pPr>
        <w:tabs>
          <w:tab w:val="num" w:pos="2880"/>
        </w:tabs>
        <w:ind w:left="2880" w:hanging="360"/>
      </w:pPr>
    </w:lvl>
    <w:lvl w:ilvl="4" w:tplc="A3A22820" w:tentative="1">
      <w:start w:val="1"/>
      <w:numFmt w:val="decimal"/>
      <w:lvlText w:val="%5."/>
      <w:lvlJc w:val="left"/>
      <w:pPr>
        <w:tabs>
          <w:tab w:val="num" w:pos="3600"/>
        </w:tabs>
        <w:ind w:left="3600" w:hanging="360"/>
      </w:pPr>
    </w:lvl>
    <w:lvl w:ilvl="5" w:tplc="97565E4E" w:tentative="1">
      <w:start w:val="1"/>
      <w:numFmt w:val="decimal"/>
      <w:lvlText w:val="%6."/>
      <w:lvlJc w:val="left"/>
      <w:pPr>
        <w:tabs>
          <w:tab w:val="num" w:pos="4320"/>
        </w:tabs>
        <w:ind w:left="4320" w:hanging="360"/>
      </w:pPr>
    </w:lvl>
    <w:lvl w:ilvl="6" w:tplc="6FCEBAA2" w:tentative="1">
      <w:start w:val="1"/>
      <w:numFmt w:val="decimal"/>
      <w:lvlText w:val="%7."/>
      <w:lvlJc w:val="left"/>
      <w:pPr>
        <w:tabs>
          <w:tab w:val="num" w:pos="5040"/>
        </w:tabs>
        <w:ind w:left="5040" w:hanging="360"/>
      </w:pPr>
    </w:lvl>
    <w:lvl w:ilvl="7" w:tplc="74124A38" w:tentative="1">
      <w:start w:val="1"/>
      <w:numFmt w:val="decimal"/>
      <w:lvlText w:val="%8."/>
      <w:lvlJc w:val="left"/>
      <w:pPr>
        <w:tabs>
          <w:tab w:val="num" w:pos="5760"/>
        </w:tabs>
        <w:ind w:left="5760" w:hanging="360"/>
      </w:pPr>
    </w:lvl>
    <w:lvl w:ilvl="8" w:tplc="C308BB1E" w:tentative="1">
      <w:start w:val="1"/>
      <w:numFmt w:val="decimal"/>
      <w:lvlText w:val="%9."/>
      <w:lvlJc w:val="left"/>
      <w:pPr>
        <w:tabs>
          <w:tab w:val="num" w:pos="6480"/>
        </w:tabs>
        <w:ind w:left="6480" w:hanging="360"/>
      </w:pPr>
    </w:lvl>
  </w:abstractNum>
  <w:abstractNum w:abstractNumId="14" w15:restartNumberingAfterBreak="0">
    <w:nsid w:val="57A2294F"/>
    <w:multiLevelType w:val="hybridMultilevel"/>
    <w:tmpl w:val="C750EAE4"/>
    <w:lvl w:ilvl="0" w:tplc="DDEE966C">
      <w:start w:val="1"/>
      <w:numFmt w:val="bullet"/>
      <w:lvlText w:val=""/>
      <w:lvlJc w:val="left"/>
      <w:pPr>
        <w:tabs>
          <w:tab w:val="num" w:pos="720"/>
        </w:tabs>
        <w:ind w:left="720" w:hanging="360"/>
      </w:pPr>
      <w:rPr>
        <w:rFonts w:ascii="Wingdings" w:hAnsi="Wingdings" w:hint="default"/>
      </w:rPr>
    </w:lvl>
    <w:lvl w:ilvl="1" w:tplc="2DA6B630" w:tentative="1">
      <w:start w:val="1"/>
      <w:numFmt w:val="bullet"/>
      <w:lvlText w:val=""/>
      <w:lvlJc w:val="left"/>
      <w:pPr>
        <w:tabs>
          <w:tab w:val="num" w:pos="1440"/>
        </w:tabs>
        <w:ind w:left="1440" w:hanging="360"/>
      </w:pPr>
      <w:rPr>
        <w:rFonts w:ascii="Wingdings" w:hAnsi="Wingdings" w:hint="default"/>
      </w:rPr>
    </w:lvl>
    <w:lvl w:ilvl="2" w:tplc="C6FA2108" w:tentative="1">
      <w:start w:val="1"/>
      <w:numFmt w:val="bullet"/>
      <w:lvlText w:val=""/>
      <w:lvlJc w:val="left"/>
      <w:pPr>
        <w:tabs>
          <w:tab w:val="num" w:pos="2160"/>
        </w:tabs>
        <w:ind w:left="2160" w:hanging="360"/>
      </w:pPr>
      <w:rPr>
        <w:rFonts w:ascii="Wingdings" w:hAnsi="Wingdings" w:hint="default"/>
      </w:rPr>
    </w:lvl>
    <w:lvl w:ilvl="3" w:tplc="ABC08CA4" w:tentative="1">
      <w:start w:val="1"/>
      <w:numFmt w:val="bullet"/>
      <w:lvlText w:val=""/>
      <w:lvlJc w:val="left"/>
      <w:pPr>
        <w:tabs>
          <w:tab w:val="num" w:pos="2880"/>
        </w:tabs>
        <w:ind w:left="2880" w:hanging="360"/>
      </w:pPr>
      <w:rPr>
        <w:rFonts w:ascii="Wingdings" w:hAnsi="Wingdings" w:hint="default"/>
      </w:rPr>
    </w:lvl>
    <w:lvl w:ilvl="4" w:tplc="F984D16A" w:tentative="1">
      <w:start w:val="1"/>
      <w:numFmt w:val="bullet"/>
      <w:lvlText w:val=""/>
      <w:lvlJc w:val="left"/>
      <w:pPr>
        <w:tabs>
          <w:tab w:val="num" w:pos="3600"/>
        </w:tabs>
        <w:ind w:left="3600" w:hanging="360"/>
      </w:pPr>
      <w:rPr>
        <w:rFonts w:ascii="Wingdings" w:hAnsi="Wingdings" w:hint="default"/>
      </w:rPr>
    </w:lvl>
    <w:lvl w:ilvl="5" w:tplc="7F288BF6" w:tentative="1">
      <w:start w:val="1"/>
      <w:numFmt w:val="bullet"/>
      <w:lvlText w:val=""/>
      <w:lvlJc w:val="left"/>
      <w:pPr>
        <w:tabs>
          <w:tab w:val="num" w:pos="4320"/>
        </w:tabs>
        <w:ind w:left="4320" w:hanging="360"/>
      </w:pPr>
      <w:rPr>
        <w:rFonts w:ascii="Wingdings" w:hAnsi="Wingdings" w:hint="default"/>
      </w:rPr>
    </w:lvl>
    <w:lvl w:ilvl="6" w:tplc="D78CBC84" w:tentative="1">
      <w:start w:val="1"/>
      <w:numFmt w:val="bullet"/>
      <w:lvlText w:val=""/>
      <w:lvlJc w:val="left"/>
      <w:pPr>
        <w:tabs>
          <w:tab w:val="num" w:pos="5040"/>
        </w:tabs>
        <w:ind w:left="5040" w:hanging="360"/>
      </w:pPr>
      <w:rPr>
        <w:rFonts w:ascii="Wingdings" w:hAnsi="Wingdings" w:hint="default"/>
      </w:rPr>
    </w:lvl>
    <w:lvl w:ilvl="7" w:tplc="9CEC9C98" w:tentative="1">
      <w:start w:val="1"/>
      <w:numFmt w:val="bullet"/>
      <w:lvlText w:val=""/>
      <w:lvlJc w:val="left"/>
      <w:pPr>
        <w:tabs>
          <w:tab w:val="num" w:pos="5760"/>
        </w:tabs>
        <w:ind w:left="5760" w:hanging="360"/>
      </w:pPr>
      <w:rPr>
        <w:rFonts w:ascii="Wingdings" w:hAnsi="Wingdings" w:hint="default"/>
      </w:rPr>
    </w:lvl>
    <w:lvl w:ilvl="8" w:tplc="EDE4C30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E54001"/>
    <w:multiLevelType w:val="hybridMultilevel"/>
    <w:tmpl w:val="2C02C1D6"/>
    <w:lvl w:ilvl="0" w:tplc="BBD8DD3C">
      <w:start w:val="1"/>
      <w:numFmt w:val="decimal"/>
      <w:lvlText w:val="%1."/>
      <w:lvlJc w:val="left"/>
      <w:pPr>
        <w:tabs>
          <w:tab w:val="num" w:pos="1080"/>
        </w:tabs>
        <w:ind w:left="1080" w:hanging="360"/>
      </w:pPr>
    </w:lvl>
    <w:lvl w:ilvl="1" w:tplc="E9364380" w:tentative="1">
      <w:start w:val="1"/>
      <w:numFmt w:val="decimal"/>
      <w:lvlText w:val="%2."/>
      <w:lvlJc w:val="left"/>
      <w:pPr>
        <w:tabs>
          <w:tab w:val="num" w:pos="1800"/>
        </w:tabs>
        <w:ind w:left="1800" w:hanging="360"/>
      </w:pPr>
    </w:lvl>
    <w:lvl w:ilvl="2" w:tplc="FC90AB94" w:tentative="1">
      <w:start w:val="1"/>
      <w:numFmt w:val="decimal"/>
      <w:lvlText w:val="%3."/>
      <w:lvlJc w:val="left"/>
      <w:pPr>
        <w:tabs>
          <w:tab w:val="num" w:pos="2520"/>
        </w:tabs>
        <w:ind w:left="2520" w:hanging="360"/>
      </w:pPr>
    </w:lvl>
    <w:lvl w:ilvl="3" w:tplc="E648E882" w:tentative="1">
      <w:start w:val="1"/>
      <w:numFmt w:val="decimal"/>
      <w:lvlText w:val="%4."/>
      <w:lvlJc w:val="left"/>
      <w:pPr>
        <w:tabs>
          <w:tab w:val="num" w:pos="3240"/>
        </w:tabs>
        <w:ind w:left="3240" w:hanging="360"/>
      </w:pPr>
    </w:lvl>
    <w:lvl w:ilvl="4" w:tplc="5C7468CA" w:tentative="1">
      <w:start w:val="1"/>
      <w:numFmt w:val="decimal"/>
      <w:lvlText w:val="%5."/>
      <w:lvlJc w:val="left"/>
      <w:pPr>
        <w:tabs>
          <w:tab w:val="num" w:pos="3960"/>
        </w:tabs>
        <w:ind w:left="3960" w:hanging="360"/>
      </w:pPr>
    </w:lvl>
    <w:lvl w:ilvl="5" w:tplc="63E856EE" w:tentative="1">
      <w:start w:val="1"/>
      <w:numFmt w:val="decimal"/>
      <w:lvlText w:val="%6."/>
      <w:lvlJc w:val="left"/>
      <w:pPr>
        <w:tabs>
          <w:tab w:val="num" w:pos="4680"/>
        </w:tabs>
        <w:ind w:left="4680" w:hanging="360"/>
      </w:pPr>
    </w:lvl>
    <w:lvl w:ilvl="6" w:tplc="70DE7952" w:tentative="1">
      <w:start w:val="1"/>
      <w:numFmt w:val="decimal"/>
      <w:lvlText w:val="%7."/>
      <w:lvlJc w:val="left"/>
      <w:pPr>
        <w:tabs>
          <w:tab w:val="num" w:pos="5400"/>
        </w:tabs>
        <w:ind w:left="5400" w:hanging="360"/>
      </w:pPr>
    </w:lvl>
    <w:lvl w:ilvl="7" w:tplc="B6D6C924" w:tentative="1">
      <w:start w:val="1"/>
      <w:numFmt w:val="decimal"/>
      <w:lvlText w:val="%8."/>
      <w:lvlJc w:val="left"/>
      <w:pPr>
        <w:tabs>
          <w:tab w:val="num" w:pos="6120"/>
        </w:tabs>
        <w:ind w:left="6120" w:hanging="360"/>
      </w:pPr>
    </w:lvl>
    <w:lvl w:ilvl="8" w:tplc="09DEC642" w:tentative="1">
      <w:start w:val="1"/>
      <w:numFmt w:val="decimal"/>
      <w:lvlText w:val="%9."/>
      <w:lvlJc w:val="left"/>
      <w:pPr>
        <w:tabs>
          <w:tab w:val="num" w:pos="6840"/>
        </w:tabs>
        <w:ind w:left="6840" w:hanging="360"/>
      </w:pPr>
    </w:lvl>
  </w:abstractNum>
  <w:abstractNum w:abstractNumId="16" w15:restartNumberingAfterBreak="0">
    <w:nsid w:val="611779CB"/>
    <w:multiLevelType w:val="hybridMultilevel"/>
    <w:tmpl w:val="8806E920"/>
    <w:lvl w:ilvl="0" w:tplc="1960CB9A">
      <w:start w:val="1"/>
      <w:numFmt w:val="decimal"/>
      <w:lvlText w:val="%1."/>
      <w:lvlJc w:val="left"/>
      <w:pPr>
        <w:tabs>
          <w:tab w:val="num" w:pos="1080"/>
        </w:tabs>
        <w:ind w:left="1080" w:hanging="360"/>
      </w:pPr>
    </w:lvl>
    <w:lvl w:ilvl="1" w:tplc="5CB86EF8" w:tentative="1">
      <w:start w:val="1"/>
      <w:numFmt w:val="decimal"/>
      <w:lvlText w:val="%2."/>
      <w:lvlJc w:val="left"/>
      <w:pPr>
        <w:tabs>
          <w:tab w:val="num" w:pos="1800"/>
        </w:tabs>
        <w:ind w:left="1800" w:hanging="360"/>
      </w:pPr>
    </w:lvl>
    <w:lvl w:ilvl="2" w:tplc="7E4C8592" w:tentative="1">
      <w:start w:val="1"/>
      <w:numFmt w:val="decimal"/>
      <w:lvlText w:val="%3."/>
      <w:lvlJc w:val="left"/>
      <w:pPr>
        <w:tabs>
          <w:tab w:val="num" w:pos="2520"/>
        </w:tabs>
        <w:ind w:left="2520" w:hanging="360"/>
      </w:pPr>
    </w:lvl>
    <w:lvl w:ilvl="3" w:tplc="9656DC68" w:tentative="1">
      <w:start w:val="1"/>
      <w:numFmt w:val="decimal"/>
      <w:lvlText w:val="%4."/>
      <w:lvlJc w:val="left"/>
      <w:pPr>
        <w:tabs>
          <w:tab w:val="num" w:pos="3240"/>
        </w:tabs>
        <w:ind w:left="3240" w:hanging="360"/>
      </w:pPr>
    </w:lvl>
    <w:lvl w:ilvl="4" w:tplc="21483270" w:tentative="1">
      <w:start w:val="1"/>
      <w:numFmt w:val="decimal"/>
      <w:lvlText w:val="%5."/>
      <w:lvlJc w:val="left"/>
      <w:pPr>
        <w:tabs>
          <w:tab w:val="num" w:pos="3960"/>
        </w:tabs>
        <w:ind w:left="3960" w:hanging="360"/>
      </w:pPr>
    </w:lvl>
    <w:lvl w:ilvl="5" w:tplc="6CF6ADC2" w:tentative="1">
      <w:start w:val="1"/>
      <w:numFmt w:val="decimal"/>
      <w:lvlText w:val="%6."/>
      <w:lvlJc w:val="left"/>
      <w:pPr>
        <w:tabs>
          <w:tab w:val="num" w:pos="4680"/>
        </w:tabs>
        <w:ind w:left="4680" w:hanging="360"/>
      </w:pPr>
    </w:lvl>
    <w:lvl w:ilvl="6" w:tplc="748EC4E0" w:tentative="1">
      <w:start w:val="1"/>
      <w:numFmt w:val="decimal"/>
      <w:lvlText w:val="%7."/>
      <w:lvlJc w:val="left"/>
      <w:pPr>
        <w:tabs>
          <w:tab w:val="num" w:pos="5400"/>
        </w:tabs>
        <w:ind w:left="5400" w:hanging="360"/>
      </w:pPr>
    </w:lvl>
    <w:lvl w:ilvl="7" w:tplc="66E013EA" w:tentative="1">
      <w:start w:val="1"/>
      <w:numFmt w:val="decimal"/>
      <w:lvlText w:val="%8."/>
      <w:lvlJc w:val="left"/>
      <w:pPr>
        <w:tabs>
          <w:tab w:val="num" w:pos="6120"/>
        </w:tabs>
        <w:ind w:left="6120" w:hanging="360"/>
      </w:pPr>
    </w:lvl>
    <w:lvl w:ilvl="8" w:tplc="80A0F196" w:tentative="1">
      <w:start w:val="1"/>
      <w:numFmt w:val="decimal"/>
      <w:lvlText w:val="%9."/>
      <w:lvlJc w:val="left"/>
      <w:pPr>
        <w:tabs>
          <w:tab w:val="num" w:pos="6840"/>
        </w:tabs>
        <w:ind w:left="6840" w:hanging="360"/>
      </w:pPr>
    </w:lvl>
  </w:abstractNum>
  <w:abstractNum w:abstractNumId="17" w15:restartNumberingAfterBreak="0">
    <w:nsid w:val="63A04C75"/>
    <w:multiLevelType w:val="hybridMultilevel"/>
    <w:tmpl w:val="DFA68994"/>
    <w:lvl w:ilvl="0" w:tplc="56289942">
      <w:start w:val="1"/>
      <w:numFmt w:val="bullet"/>
      <w:lvlText w:val=""/>
      <w:lvlJc w:val="left"/>
      <w:pPr>
        <w:tabs>
          <w:tab w:val="num" w:pos="720"/>
        </w:tabs>
        <w:ind w:left="720" w:hanging="360"/>
      </w:pPr>
      <w:rPr>
        <w:rFonts w:ascii="Wingdings" w:hAnsi="Wingdings" w:hint="default"/>
      </w:rPr>
    </w:lvl>
    <w:lvl w:ilvl="1" w:tplc="1A68779E" w:tentative="1">
      <w:start w:val="1"/>
      <w:numFmt w:val="bullet"/>
      <w:lvlText w:val=""/>
      <w:lvlJc w:val="left"/>
      <w:pPr>
        <w:tabs>
          <w:tab w:val="num" w:pos="1440"/>
        </w:tabs>
        <w:ind w:left="1440" w:hanging="360"/>
      </w:pPr>
      <w:rPr>
        <w:rFonts w:ascii="Wingdings" w:hAnsi="Wingdings" w:hint="default"/>
      </w:rPr>
    </w:lvl>
    <w:lvl w:ilvl="2" w:tplc="4BCA0FEA" w:tentative="1">
      <w:start w:val="1"/>
      <w:numFmt w:val="bullet"/>
      <w:lvlText w:val=""/>
      <w:lvlJc w:val="left"/>
      <w:pPr>
        <w:tabs>
          <w:tab w:val="num" w:pos="2160"/>
        </w:tabs>
        <w:ind w:left="2160" w:hanging="360"/>
      </w:pPr>
      <w:rPr>
        <w:rFonts w:ascii="Wingdings" w:hAnsi="Wingdings" w:hint="default"/>
      </w:rPr>
    </w:lvl>
    <w:lvl w:ilvl="3" w:tplc="FB048640" w:tentative="1">
      <w:start w:val="1"/>
      <w:numFmt w:val="bullet"/>
      <w:lvlText w:val=""/>
      <w:lvlJc w:val="left"/>
      <w:pPr>
        <w:tabs>
          <w:tab w:val="num" w:pos="2880"/>
        </w:tabs>
        <w:ind w:left="2880" w:hanging="360"/>
      </w:pPr>
      <w:rPr>
        <w:rFonts w:ascii="Wingdings" w:hAnsi="Wingdings" w:hint="default"/>
      </w:rPr>
    </w:lvl>
    <w:lvl w:ilvl="4" w:tplc="EDBE2FE2" w:tentative="1">
      <w:start w:val="1"/>
      <w:numFmt w:val="bullet"/>
      <w:lvlText w:val=""/>
      <w:lvlJc w:val="left"/>
      <w:pPr>
        <w:tabs>
          <w:tab w:val="num" w:pos="3600"/>
        </w:tabs>
        <w:ind w:left="3600" w:hanging="360"/>
      </w:pPr>
      <w:rPr>
        <w:rFonts w:ascii="Wingdings" w:hAnsi="Wingdings" w:hint="default"/>
      </w:rPr>
    </w:lvl>
    <w:lvl w:ilvl="5" w:tplc="3ACACEFE" w:tentative="1">
      <w:start w:val="1"/>
      <w:numFmt w:val="bullet"/>
      <w:lvlText w:val=""/>
      <w:lvlJc w:val="left"/>
      <w:pPr>
        <w:tabs>
          <w:tab w:val="num" w:pos="4320"/>
        </w:tabs>
        <w:ind w:left="4320" w:hanging="360"/>
      </w:pPr>
      <w:rPr>
        <w:rFonts w:ascii="Wingdings" w:hAnsi="Wingdings" w:hint="default"/>
      </w:rPr>
    </w:lvl>
    <w:lvl w:ilvl="6" w:tplc="94BA5152" w:tentative="1">
      <w:start w:val="1"/>
      <w:numFmt w:val="bullet"/>
      <w:lvlText w:val=""/>
      <w:lvlJc w:val="left"/>
      <w:pPr>
        <w:tabs>
          <w:tab w:val="num" w:pos="5040"/>
        </w:tabs>
        <w:ind w:left="5040" w:hanging="360"/>
      </w:pPr>
      <w:rPr>
        <w:rFonts w:ascii="Wingdings" w:hAnsi="Wingdings" w:hint="default"/>
      </w:rPr>
    </w:lvl>
    <w:lvl w:ilvl="7" w:tplc="49FA6D6A" w:tentative="1">
      <w:start w:val="1"/>
      <w:numFmt w:val="bullet"/>
      <w:lvlText w:val=""/>
      <w:lvlJc w:val="left"/>
      <w:pPr>
        <w:tabs>
          <w:tab w:val="num" w:pos="5760"/>
        </w:tabs>
        <w:ind w:left="5760" w:hanging="360"/>
      </w:pPr>
      <w:rPr>
        <w:rFonts w:ascii="Wingdings" w:hAnsi="Wingdings" w:hint="default"/>
      </w:rPr>
    </w:lvl>
    <w:lvl w:ilvl="8" w:tplc="016AC16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9201CB"/>
    <w:multiLevelType w:val="hybridMultilevel"/>
    <w:tmpl w:val="CB88C67E"/>
    <w:lvl w:ilvl="0" w:tplc="6AE8DD46">
      <w:start w:val="1"/>
      <w:numFmt w:val="bullet"/>
      <w:lvlText w:val=""/>
      <w:lvlJc w:val="left"/>
      <w:pPr>
        <w:tabs>
          <w:tab w:val="num" w:pos="720"/>
        </w:tabs>
        <w:ind w:left="720" w:hanging="360"/>
      </w:pPr>
      <w:rPr>
        <w:rFonts w:ascii="Wingdings" w:hAnsi="Wingdings" w:hint="default"/>
      </w:rPr>
    </w:lvl>
    <w:lvl w:ilvl="1" w:tplc="650014A8" w:tentative="1">
      <w:start w:val="1"/>
      <w:numFmt w:val="bullet"/>
      <w:lvlText w:val=""/>
      <w:lvlJc w:val="left"/>
      <w:pPr>
        <w:tabs>
          <w:tab w:val="num" w:pos="1440"/>
        </w:tabs>
        <w:ind w:left="1440" w:hanging="360"/>
      </w:pPr>
      <w:rPr>
        <w:rFonts w:ascii="Wingdings" w:hAnsi="Wingdings" w:hint="default"/>
      </w:rPr>
    </w:lvl>
    <w:lvl w:ilvl="2" w:tplc="E6B8D5CE" w:tentative="1">
      <w:start w:val="1"/>
      <w:numFmt w:val="bullet"/>
      <w:lvlText w:val=""/>
      <w:lvlJc w:val="left"/>
      <w:pPr>
        <w:tabs>
          <w:tab w:val="num" w:pos="2160"/>
        </w:tabs>
        <w:ind w:left="2160" w:hanging="360"/>
      </w:pPr>
      <w:rPr>
        <w:rFonts w:ascii="Wingdings" w:hAnsi="Wingdings" w:hint="default"/>
      </w:rPr>
    </w:lvl>
    <w:lvl w:ilvl="3" w:tplc="D674B498" w:tentative="1">
      <w:start w:val="1"/>
      <w:numFmt w:val="bullet"/>
      <w:lvlText w:val=""/>
      <w:lvlJc w:val="left"/>
      <w:pPr>
        <w:tabs>
          <w:tab w:val="num" w:pos="2880"/>
        </w:tabs>
        <w:ind w:left="2880" w:hanging="360"/>
      </w:pPr>
      <w:rPr>
        <w:rFonts w:ascii="Wingdings" w:hAnsi="Wingdings" w:hint="default"/>
      </w:rPr>
    </w:lvl>
    <w:lvl w:ilvl="4" w:tplc="D7CC5E24" w:tentative="1">
      <w:start w:val="1"/>
      <w:numFmt w:val="bullet"/>
      <w:lvlText w:val=""/>
      <w:lvlJc w:val="left"/>
      <w:pPr>
        <w:tabs>
          <w:tab w:val="num" w:pos="3600"/>
        </w:tabs>
        <w:ind w:left="3600" w:hanging="360"/>
      </w:pPr>
      <w:rPr>
        <w:rFonts w:ascii="Wingdings" w:hAnsi="Wingdings" w:hint="default"/>
      </w:rPr>
    </w:lvl>
    <w:lvl w:ilvl="5" w:tplc="17C090BE" w:tentative="1">
      <w:start w:val="1"/>
      <w:numFmt w:val="bullet"/>
      <w:lvlText w:val=""/>
      <w:lvlJc w:val="left"/>
      <w:pPr>
        <w:tabs>
          <w:tab w:val="num" w:pos="4320"/>
        </w:tabs>
        <w:ind w:left="4320" w:hanging="360"/>
      </w:pPr>
      <w:rPr>
        <w:rFonts w:ascii="Wingdings" w:hAnsi="Wingdings" w:hint="default"/>
      </w:rPr>
    </w:lvl>
    <w:lvl w:ilvl="6" w:tplc="502AF446" w:tentative="1">
      <w:start w:val="1"/>
      <w:numFmt w:val="bullet"/>
      <w:lvlText w:val=""/>
      <w:lvlJc w:val="left"/>
      <w:pPr>
        <w:tabs>
          <w:tab w:val="num" w:pos="5040"/>
        </w:tabs>
        <w:ind w:left="5040" w:hanging="360"/>
      </w:pPr>
      <w:rPr>
        <w:rFonts w:ascii="Wingdings" w:hAnsi="Wingdings" w:hint="default"/>
      </w:rPr>
    </w:lvl>
    <w:lvl w:ilvl="7" w:tplc="E862994C" w:tentative="1">
      <w:start w:val="1"/>
      <w:numFmt w:val="bullet"/>
      <w:lvlText w:val=""/>
      <w:lvlJc w:val="left"/>
      <w:pPr>
        <w:tabs>
          <w:tab w:val="num" w:pos="5760"/>
        </w:tabs>
        <w:ind w:left="5760" w:hanging="360"/>
      </w:pPr>
      <w:rPr>
        <w:rFonts w:ascii="Wingdings" w:hAnsi="Wingdings" w:hint="default"/>
      </w:rPr>
    </w:lvl>
    <w:lvl w:ilvl="8" w:tplc="A2D2DC4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C82486"/>
    <w:multiLevelType w:val="multilevel"/>
    <w:tmpl w:val="D0CE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F47094"/>
    <w:multiLevelType w:val="hybridMultilevel"/>
    <w:tmpl w:val="5F0E09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54608B"/>
    <w:multiLevelType w:val="hybridMultilevel"/>
    <w:tmpl w:val="DC10DE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8F6BFD"/>
    <w:multiLevelType w:val="hybridMultilevel"/>
    <w:tmpl w:val="1D48D8E8"/>
    <w:lvl w:ilvl="0" w:tplc="ECDA2A1C">
      <w:start w:val="1"/>
      <w:numFmt w:val="bullet"/>
      <w:lvlText w:val=""/>
      <w:lvlJc w:val="left"/>
      <w:pPr>
        <w:tabs>
          <w:tab w:val="num" w:pos="720"/>
        </w:tabs>
        <w:ind w:left="720" w:hanging="360"/>
      </w:pPr>
      <w:rPr>
        <w:rFonts w:ascii="Wingdings" w:hAnsi="Wingdings" w:hint="default"/>
      </w:rPr>
    </w:lvl>
    <w:lvl w:ilvl="1" w:tplc="ECDEBEF2" w:tentative="1">
      <w:start w:val="1"/>
      <w:numFmt w:val="bullet"/>
      <w:lvlText w:val=""/>
      <w:lvlJc w:val="left"/>
      <w:pPr>
        <w:tabs>
          <w:tab w:val="num" w:pos="1440"/>
        </w:tabs>
        <w:ind w:left="1440" w:hanging="360"/>
      </w:pPr>
      <w:rPr>
        <w:rFonts w:ascii="Wingdings" w:hAnsi="Wingdings" w:hint="default"/>
      </w:rPr>
    </w:lvl>
    <w:lvl w:ilvl="2" w:tplc="FFBC7F4A" w:tentative="1">
      <w:start w:val="1"/>
      <w:numFmt w:val="bullet"/>
      <w:lvlText w:val=""/>
      <w:lvlJc w:val="left"/>
      <w:pPr>
        <w:tabs>
          <w:tab w:val="num" w:pos="2160"/>
        </w:tabs>
        <w:ind w:left="2160" w:hanging="360"/>
      </w:pPr>
      <w:rPr>
        <w:rFonts w:ascii="Wingdings" w:hAnsi="Wingdings" w:hint="default"/>
      </w:rPr>
    </w:lvl>
    <w:lvl w:ilvl="3" w:tplc="D3AAA4E2" w:tentative="1">
      <w:start w:val="1"/>
      <w:numFmt w:val="bullet"/>
      <w:lvlText w:val=""/>
      <w:lvlJc w:val="left"/>
      <w:pPr>
        <w:tabs>
          <w:tab w:val="num" w:pos="2880"/>
        </w:tabs>
        <w:ind w:left="2880" w:hanging="360"/>
      </w:pPr>
      <w:rPr>
        <w:rFonts w:ascii="Wingdings" w:hAnsi="Wingdings" w:hint="default"/>
      </w:rPr>
    </w:lvl>
    <w:lvl w:ilvl="4" w:tplc="125496B0" w:tentative="1">
      <w:start w:val="1"/>
      <w:numFmt w:val="bullet"/>
      <w:lvlText w:val=""/>
      <w:lvlJc w:val="left"/>
      <w:pPr>
        <w:tabs>
          <w:tab w:val="num" w:pos="3600"/>
        </w:tabs>
        <w:ind w:left="3600" w:hanging="360"/>
      </w:pPr>
      <w:rPr>
        <w:rFonts w:ascii="Wingdings" w:hAnsi="Wingdings" w:hint="default"/>
      </w:rPr>
    </w:lvl>
    <w:lvl w:ilvl="5" w:tplc="87320CBA" w:tentative="1">
      <w:start w:val="1"/>
      <w:numFmt w:val="bullet"/>
      <w:lvlText w:val=""/>
      <w:lvlJc w:val="left"/>
      <w:pPr>
        <w:tabs>
          <w:tab w:val="num" w:pos="4320"/>
        </w:tabs>
        <w:ind w:left="4320" w:hanging="360"/>
      </w:pPr>
      <w:rPr>
        <w:rFonts w:ascii="Wingdings" w:hAnsi="Wingdings" w:hint="default"/>
      </w:rPr>
    </w:lvl>
    <w:lvl w:ilvl="6" w:tplc="A752674C" w:tentative="1">
      <w:start w:val="1"/>
      <w:numFmt w:val="bullet"/>
      <w:lvlText w:val=""/>
      <w:lvlJc w:val="left"/>
      <w:pPr>
        <w:tabs>
          <w:tab w:val="num" w:pos="5040"/>
        </w:tabs>
        <w:ind w:left="5040" w:hanging="360"/>
      </w:pPr>
      <w:rPr>
        <w:rFonts w:ascii="Wingdings" w:hAnsi="Wingdings" w:hint="default"/>
      </w:rPr>
    </w:lvl>
    <w:lvl w:ilvl="7" w:tplc="324AA276" w:tentative="1">
      <w:start w:val="1"/>
      <w:numFmt w:val="bullet"/>
      <w:lvlText w:val=""/>
      <w:lvlJc w:val="left"/>
      <w:pPr>
        <w:tabs>
          <w:tab w:val="num" w:pos="5760"/>
        </w:tabs>
        <w:ind w:left="5760" w:hanging="360"/>
      </w:pPr>
      <w:rPr>
        <w:rFonts w:ascii="Wingdings" w:hAnsi="Wingdings" w:hint="default"/>
      </w:rPr>
    </w:lvl>
    <w:lvl w:ilvl="8" w:tplc="F2FC4F56" w:tentative="1">
      <w:start w:val="1"/>
      <w:numFmt w:val="bullet"/>
      <w:lvlText w:val=""/>
      <w:lvlJc w:val="left"/>
      <w:pPr>
        <w:tabs>
          <w:tab w:val="num" w:pos="6480"/>
        </w:tabs>
        <w:ind w:left="6480" w:hanging="360"/>
      </w:pPr>
      <w:rPr>
        <w:rFonts w:ascii="Wingdings" w:hAnsi="Wingdings" w:hint="default"/>
      </w:rPr>
    </w:lvl>
  </w:abstractNum>
  <w:num w:numId="1" w16cid:durableId="940142895">
    <w:abstractNumId w:val="3"/>
  </w:num>
  <w:num w:numId="2" w16cid:durableId="75169910">
    <w:abstractNumId w:val="11"/>
  </w:num>
  <w:num w:numId="3" w16cid:durableId="1462454923">
    <w:abstractNumId w:val="15"/>
  </w:num>
  <w:num w:numId="4" w16cid:durableId="1322275725">
    <w:abstractNumId w:val="21"/>
  </w:num>
  <w:num w:numId="5" w16cid:durableId="1770467413">
    <w:abstractNumId w:val="5"/>
  </w:num>
  <w:num w:numId="6" w16cid:durableId="420373201">
    <w:abstractNumId w:val="14"/>
  </w:num>
  <w:num w:numId="7" w16cid:durableId="1068453565">
    <w:abstractNumId w:val="6"/>
  </w:num>
  <w:num w:numId="8" w16cid:durableId="783235268">
    <w:abstractNumId w:val="2"/>
  </w:num>
  <w:num w:numId="9" w16cid:durableId="836728202">
    <w:abstractNumId w:val="22"/>
  </w:num>
  <w:num w:numId="10" w16cid:durableId="1440875092">
    <w:abstractNumId w:val="9"/>
  </w:num>
  <w:num w:numId="11" w16cid:durableId="517549448">
    <w:abstractNumId w:val="17"/>
  </w:num>
  <w:num w:numId="12" w16cid:durableId="77678107">
    <w:abstractNumId w:val="16"/>
  </w:num>
  <w:num w:numId="13" w16cid:durableId="433945181">
    <w:abstractNumId w:val="0"/>
  </w:num>
  <w:num w:numId="14" w16cid:durableId="1654211593">
    <w:abstractNumId w:val="13"/>
  </w:num>
  <w:num w:numId="15" w16cid:durableId="2020036396">
    <w:abstractNumId w:val="18"/>
  </w:num>
  <w:num w:numId="16" w16cid:durableId="767195130">
    <w:abstractNumId w:val="1"/>
  </w:num>
  <w:num w:numId="17" w16cid:durableId="913703666">
    <w:abstractNumId w:val="12"/>
  </w:num>
  <w:num w:numId="18" w16cid:durableId="991445806">
    <w:abstractNumId w:val="5"/>
  </w:num>
  <w:num w:numId="19" w16cid:durableId="396588809">
    <w:abstractNumId w:val="8"/>
  </w:num>
  <w:num w:numId="20" w16cid:durableId="6031971">
    <w:abstractNumId w:val="7"/>
  </w:num>
  <w:num w:numId="21" w16cid:durableId="2136167685">
    <w:abstractNumId w:val="20"/>
  </w:num>
  <w:num w:numId="22" w16cid:durableId="399139798">
    <w:abstractNumId w:val="10"/>
  </w:num>
  <w:num w:numId="23" w16cid:durableId="1827936760">
    <w:abstractNumId w:val="4"/>
  </w:num>
  <w:num w:numId="24" w16cid:durableId="19925639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47B"/>
    <w:rsid w:val="000040B9"/>
    <w:rsid w:val="00010F0B"/>
    <w:rsid w:val="00012885"/>
    <w:rsid w:val="00021579"/>
    <w:rsid w:val="00027E0E"/>
    <w:rsid w:val="00030E40"/>
    <w:rsid w:val="00031B7B"/>
    <w:rsid w:val="00047246"/>
    <w:rsid w:val="000517BE"/>
    <w:rsid w:val="00073519"/>
    <w:rsid w:val="000914C2"/>
    <w:rsid w:val="000916F5"/>
    <w:rsid w:val="000A60C5"/>
    <w:rsid w:val="000B0F22"/>
    <w:rsid w:val="000E53EB"/>
    <w:rsid w:val="000E5F92"/>
    <w:rsid w:val="000F75FB"/>
    <w:rsid w:val="00107E95"/>
    <w:rsid w:val="00110901"/>
    <w:rsid w:val="00110A74"/>
    <w:rsid w:val="0011547B"/>
    <w:rsid w:val="001221E4"/>
    <w:rsid w:val="00133976"/>
    <w:rsid w:val="0019153A"/>
    <w:rsid w:val="001943D1"/>
    <w:rsid w:val="0019506D"/>
    <w:rsid w:val="001A019A"/>
    <w:rsid w:val="001A3083"/>
    <w:rsid w:val="001A7135"/>
    <w:rsid w:val="001C14D1"/>
    <w:rsid w:val="001E25A6"/>
    <w:rsid w:val="001E3579"/>
    <w:rsid w:val="00203291"/>
    <w:rsid w:val="00212D25"/>
    <w:rsid w:val="002200E5"/>
    <w:rsid w:val="0023575E"/>
    <w:rsid w:val="002460E3"/>
    <w:rsid w:val="00273E45"/>
    <w:rsid w:val="002A4667"/>
    <w:rsid w:val="002D2040"/>
    <w:rsid w:val="002F31FB"/>
    <w:rsid w:val="003114DA"/>
    <w:rsid w:val="003148E7"/>
    <w:rsid w:val="0032623B"/>
    <w:rsid w:val="00373BEF"/>
    <w:rsid w:val="00375908"/>
    <w:rsid w:val="00375BD0"/>
    <w:rsid w:val="0038721F"/>
    <w:rsid w:val="00392FA5"/>
    <w:rsid w:val="003A5BD0"/>
    <w:rsid w:val="003B727B"/>
    <w:rsid w:val="003C3B2D"/>
    <w:rsid w:val="003D2CFA"/>
    <w:rsid w:val="003E0F24"/>
    <w:rsid w:val="003F224E"/>
    <w:rsid w:val="003F2B07"/>
    <w:rsid w:val="00425E1D"/>
    <w:rsid w:val="00430D3D"/>
    <w:rsid w:val="00435DB4"/>
    <w:rsid w:val="00450946"/>
    <w:rsid w:val="00460148"/>
    <w:rsid w:val="00464AE0"/>
    <w:rsid w:val="004659C9"/>
    <w:rsid w:val="00474888"/>
    <w:rsid w:val="00485A38"/>
    <w:rsid w:val="004963D5"/>
    <w:rsid w:val="00497306"/>
    <w:rsid w:val="004C025B"/>
    <w:rsid w:val="004C2381"/>
    <w:rsid w:val="004F0DF2"/>
    <w:rsid w:val="00501D29"/>
    <w:rsid w:val="00520D0C"/>
    <w:rsid w:val="00540C31"/>
    <w:rsid w:val="005707D9"/>
    <w:rsid w:val="0057310E"/>
    <w:rsid w:val="00581155"/>
    <w:rsid w:val="0059549B"/>
    <w:rsid w:val="005A0757"/>
    <w:rsid w:val="005A3C7B"/>
    <w:rsid w:val="005C14E1"/>
    <w:rsid w:val="005D1DED"/>
    <w:rsid w:val="005E1853"/>
    <w:rsid w:val="005F5CC0"/>
    <w:rsid w:val="006028BE"/>
    <w:rsid w:val="00611916"/>
    <w:rsid w:val="00621269"/>
    <w:rsid w:val="00647793"/>
    <w:rsid w:val="006528FA"/>
    <w:rsid w:val="006B63A7"/>
    <w:rsid w:val="006D4861"/>
    <w:rsid w:val="006F4D84"/>
    <w:rsid w:val="006F6A5D"/>
    <w:rsid w:val="00710039"/>
    <w:rsid w:val="00721B1B"/>
    <w:rsid w:val="007361B4"/>
    <w:rsid w:val="00746EF1"/>
    <w:rsid w:val="00773D6C"/>
    <w:rsid w:val="00773E18"/>
    <w:rsid w:val="00775231"/>
    <w:rsid w:val="007A0489"/>
    <w:rsid w:val="007A5721"/>
    <w:rsid w:val="007A7EA1"/>
    <w:rsid w:val="007B1CC5"/>
    <w:rsid w:val="007C136F"/>
    <w:rsid w:val="007F7AFC"/>
    <w:rsid w:val="00814AF3"/>
    <w:rsid w:val="008159B1"/>
    <w:rsid w:val="00815A5E"/>
    <w:rsid w:val="00821B0F"/>
    <w:rsid w:val="00833584"/>
    <w:rsid w:val="008339AC"/>
    <w:rsid w:val="008503C0"/>
    <w:rsid w:val="00856173"/>
    <w:rsid w:val="0087713E"/>
    <w:rsid w:val="008853F5"/>
    <w:rsid w:val="00890632"/>
    <w:rsid w:val="008922EA"/>
    <w:rsid w:val="00897AA7"/>
    <w:rsid w:val="008D2303"/>
    <w:rsid w:val="008D4FBE"/>
    <w:rsid w:val="008E06BF"/>
    <w:rsid w:val="008E6853"/>
    <w:rsid w:val="008E69D0"/>
    <w:rsid w:val="00903541"/>
    <w:rsid w:val="009044E9"/>
    <w:rsid w:val="00921CB0"/>
    <w:rsid w:val="00927CD6"/>
    <w:rsid w:val="0093103C"/>
    <w:rsid w:val="00931F10"/>
    <w:rsid w:val="009336A3"/>
    <w:rsid w:val="00941B75"/>
    <w:rsid w:val="00946034"/>
    <w:rsid w:val="0096344F"/>
    <w:rsid w:val="009A1683"/>
    <w:rsid w:val="009B73B3"/>
    <w:rsid w:val="009C371F"/>
    <w:rsid w:val="009E4400"/>
    <w:rsid w:val="00A12A1C"/>
    <w:rsid w:val="00A167AE"/>
    <w:rsid w:val="00A2290B"/>
    <w:rsid w:val="00A34120"/>
    <w:rsid w:val="00A37CBB"/>
    <w:rsid w:val="00A42E2D"/>
    <w:rsid w:val="00A51567"/>
    <w:rsid w:val="00A553D7"/>
    <w:rsid w:val="00A602B5"/>
    <w:rsid w:val="00A6510D"/>
    <w:rsid w:val="00A71FA3"/>
    <w:rsid w:val="00A84E5D"/>
    <w:rsid w:val="00A9559D"/>
    <w:rsid w:val="00AA2B2E"/>
    <w:rsid w:val="00AA2D0E"/>
    <w:rsid w:val="00AB3AAC"/>
    <w:rsid w:val="00AC657F"/>
    <w:rsid w:val="00AF3133"/>
    <w:rsid w:val="00B0740B"/>
    <w:rsid w:val="00B11032"/>
    <w:rsid w:val="00B168DE"/>
    <w:rsid w:val="00B60534"/>
    <w:rsid w:val="00B60AF7"/>
    <w:rsid w:val="00B822A1"/>
    <w:rsid w:val="00B90FB3"/>
    <w:rsid w:val="00B92382"/>
    <w:rsid w:val="00B95B34"/>
    <w:rsid w:val="00B968B9"/>
    <w:rsid w:val="00BA6030"/>
    <w:rsid w:val="00BC4166"/>
    <w:rsid w:val="00BD06A9"/>
    <w:rsid w:val="00BD5F50"/>
    <w:rsid w:val="00BE780C"/>
    <w:rsid w:val="00C10242"/>
    <w:rsid w:val="00C13450"/>
    <w:rsid w:val="00C1580C"/>
    <w:rsid w:val="00C15950"/>
    <w:rsid w:val="00C20BFE"/>
    <w:rsid w:val="00C20D70"/>
    <w:rsid w:val="00C22A59"/>
    <w:rsid w:val="00C2604C"/>
    <w:rsid w:val="00C45BCF"/>
    <w:rsid w:val="00C547BE"/>
    <w:rsid w:val="00C63401"/>
    <w:rsid w:val="00C64783"/>
    <w:rsid w:val="00CA316D"/>
    <w:rsid w:val="00CB4AF7"/>
    <w:rsid w:val="00CC7BD3"/>
    <w:rsid w:val="00CD6FAF"/>
    <w:rsid w:val="00D00B19"/>
    <w:rsid w:val="00D062B9"/>
    <w:rsid w:val="00D171F5"/>
    <w:rsid w:val="00D17FB7"/>
    <w:rsid w:val="00D3120B"/>
    <w:rsid w:val="00D41940"/>
    <w:rsid w:val="00D53A11"/>
    <w:rsid w:val="00D6120A"/>
    <w:rsid w:val="00D750FD"/>
    <w:rsid w:val="00D81F5C"/>
    <w:rsid w:val="00DC0791"/>
    <w:rsid w:val="00DC5259"/>
    <w:rsid w:val="00DF3863"/>
    <w:rsid w:val="00E05056"/>
    <w:rsid w:val="00E211AC"/>
    <w:rsid w:val="00E26DF1"/>
    <w:rsid w:val="00E46277"/>
    <w:rsid w:val="00E5664B"/>
    <w:rsid w:val="00E56E28"/>
    <w:rsid w:val="00E60510"/>
    <w:rsid w:val="00E61D9B"/>
    <w:rsid w:val="00E71C5E"/>
    <w:rsid w:val="00E96D97"/>
    <w:rsid w:val="00EA114B"/>
    <w:rsid w:val="00EA73C7"/>
    <w:rsid w:val="00EA79AE"/>
    <w:rsid w:val="00EB32FE"/>
    <w:rsid w:val="00EB7772"/>
    <w:rsid w:val="00EC7ACA"/>
    <w:rsid w:val="00EE0635"/>
    <w:rsid w:val="00EE5D7A"/>
    <w:rsid w:val="00EF159B"/>
    <w:rsid w:val="00F17836"/>
    <w:rsid w:val="00F208CC"/>
    <w:rsid w:val="00F22A4A"/>
    <w:rsid w:val="00F32198"/>
    <w:rsid w:val="00F3717E"/>
    <w:rsid w:val="00F94E68"/>
    <w:rsid w:val="00FA2706"/>
    <w:rsid w:val="00FB05F3"/>
    <w:rsid w:val="00FB26B3"/>
    <w:rsid w:val="00FC39BA"/>
    <w:rsid w:val="00FE1AD8"/>
    <w:rsid w:val="00FE2024"/>
    <w:rsid w:val="00FF7B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7F357"/>
  <w15:chartTrackingRefBased/>
  <w15:docId w15:val="{706FD332-A359-4E3D-B01C-1864F6FA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BE"/>
  </w:style>
  <w:style w:type="paragraph" w:styleId="Heading1">
    <w:name w:val="heading 1"/>
    <w:basedOn w:val="Normal"/>
    <w:next w:val="Normal"/>
    <w:link w:val="Heading1Char"/>
    <w:uiPriority w:val="9"/>
    <w:qFormat/>
    <w:rsid w:val="001154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54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54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54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54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54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54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54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54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4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54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4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4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4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4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4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4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47B"/>
    <w:rPr>
      <w:rFonts w:eastAsiaTheme="majorEastAsia" w:cstheme="majorBidi"/>
      <w:color w:val="272727" w:themeColor="text1" w:themeTint="D8"/>
    </w:rPr>
  </w:style>
  <w:style w:type="paragraph" w:styleId="Title">
    <w:name w:val="Title"/>
    <w:basedOn w:val="Normal"/>
    <w:next w:val="Normal"/>
    <w:link w:val="TitleChar"/>
    <w:uiPriority w:val="10"/>
    <w:qFormat/>
    <w:rsid w:val="001154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4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4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4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47B"/>
    <w:pPr>
      <w:spacing w:before="160"/>
      <w:jc w:val="center"/>
    </w:pPr>
    <w:rPr>
      <w:i/>
      <w:iCs/>
      <w:color w:val="404040" w:themeColor="text1" w:themeTint="BF"/>
    </w:rPr>
  </w:style>
  <w:style w:type="character" w:customStyle="1" w:styleId="QuoteChar">
    <w:name w:val="Quote Char"/>
    <w:basedOn w:val="DefaultParagraphFont"/>
    <w:link w:val="Quote"/>
    <w:uiPriority w:val="29"/>
    <w:rsid w:val="0011547B"/>
    <w:rPr>
      <w:i/>
      <w:iCs/>
      <w:color w:val="404040" w:themeColor="text1" w:themeTint="BF"/>
    </w:rPr>
  </w:style>
  <w:style w:type="paragraph" w:styleId="ListParagraph">
    <w:name w:val="List Paragraph"/>
    <w:basedOn w:val="Normal"/>
    <w:uiPriority w:val="34"/>
    <w:qFormat/>
    <w:rsid w:val="0011547B"/>
    <w:pPr>
      <w:ind w:left="720"/>
      <w:contextualSpacing/>
    </w:pPr>
  </w:style>
  <w:style w:type="character" w:styleId="IntenseEmphasis">
    <w:name w:val="Intense Emphasis"/>
    <w:basedOn w:val="DefaultParagraphFont"/>
    <w:uiPriority w:val="21"/>
    <w:qFormat/>
    <w:rsid w:val="0011547B"/>
    <w:rPr>
      <w:i/>
      <w:iCs/>
      <w:color w:val="0F4761" w:themeColor="accent1" w:themeShade="BF"/>
    </w:rPr>
  </w:style>
  <w:style w:type="paragraph" w:styleId="IntenseQuote">
    <w:name w:val="Intense Quote"/>
    <w:basedOn w:val="Normal"/>
    <w:next w:val="Normal"/>
    <w:link w:val="IntenseQuoteChar"/>
    <w:uiPriority w:val="30"/>
    <w:qFormat/>
    <w:rsid w:val="001154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547B"/>
    <w:rPr>
      <w:i/>
      <w:iCs/>
      <w:color w:val="0F4761" w:themeColor="accent1" w:themeShade="BF"/>
    </w:rPr>
  </w:style>
  <w:style w:type="character" w:styleId="IntenseReference">
    <w:name w:val="Intense Reference"/>
    <w:basedOn w:val="DefaultParagraphFont"/>
    <w:uiPriority w:val="32"/>
    <w:qFormat/>
    <w:rsid w:val="0011547B"/>
    <w:rPr>
      <w:b/>
      <w:bCs/>
      <w:smallCaps/>
      <w:color w:val="0F4761" w:themeColor="accent1" w:themeShade="BF"/>
      <w:spacing w:val="5"/>
    </w:rPr>
  </w:style>
  <w:style w:type="paragraph" w:styleId="NormalWeb">
    <w:name w:val="Normal (Web)"/>
    <w:basedOn w:val="Normal"/>
    <w:uiPriority w:val="99"/>
    <w:semiHidden/>
    <w:unhideWhenUsed/>
    <w:rsid w:val="006528F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efault">
    <w:name w:val="Default"/>
    <w:basedOn w:val="Normal"/>
    <w:rsid w:val="00E5664B"/>
    <w:pPr>
      <w:autoSpaceDE w:val="0"/>
      <w:autoSpaceDN w:val="0"/>
      <w:spacing w:after="0" w:line="240" w:lineRule="auto"/>
    </w:pPr>
    <w:rPr>
      <w:rFonts w:ascii="Arial" w:hAnsi="Arial" w:cs="Arial"/>
      <w:color w:val="000000"/>
      <w:kern w:val="0"/>
      <w14:ligatures w14:val="none"/>
    </w:rPr>
  </w:style>
  <w:style w:type="paragraph" w:styleId="Header">
    <w:name w:val="header"/>
    <w:basedOn w:val="Normal"/>
    <w:link w:val="HeaderChar"/>
    <w:uiPriority w:val="99"/>
    <w:unhideWhenUsed/>
    <w:rsid w:val="00450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946"/>
  </w:style>
  <w:style w:type="paragraph" w:styleId="Footer">
    <w:name w:val="footer"/>
    <w:basedOn w:val="Normal"/>
    <w:link w:val="FooterChar"/>
    <w:uiPriority w:val="99"/>
    <w:unhideWhenUsed/>
    <w:rsid w:val="00450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946"/>
  </w:style>
  <w:style w:type="paragraph" w:styleId="NoSpacing">
    <w:name w:val="No Spacing"/>
    <w:link w:val="NoSpacingChar"/>
    <w:uiPriority w:val="1"/>
    <w:qFormat/>
    <w:rsid w:val="004963D5"/>
    <w:pPr>
      <w:spacing w:after="0" w:line="240" w:lineRule="auto"/>
    </w:pPr>
    <w:rPr>
      <w:kern w:val="0"/>
      <w:sz w:val="22"/>
      <w:szCs w:val="22"/>
      <w:lang w:eastAsia="en-US"/>
      <w14:ligatures w14:val="none"/>
    </w:rPr>
  </w:style>
  <w:style w:type="character" w:customStyle="1" w:styleId="NoSpacingChar">
    <w:name w:val="No Spacing Char"/>
    <w:basedOn w:val="DefaultParagraphFont"/>
    <w:link w:val="NoSpacing"/>
    <w:uiPriority w:val="1"/>
    <w:rsid w:val="004963D5"/>
    <w:rPr>
      <w:kern w:val="0"/>
      <w:sz w:val="22"/>
      <w:szCs w:val="22"/>
      <w:lang w:eastAsia="en-US"/>
      <w14:ligatures w14:val="none"/>
    </w:rPr>
  </w:style>
  <w:style w:type="table" w:styleId="TableGrid">
    <w:name w:val="Table Grid"/>
    <w:basedOn w:val="TableNormal"/>
    <w:uiPriority w:val="39"/>
    <w:rsid w:val="003A5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647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4783"/>
    <w:rPr>
      <w:sz w:val="20"/>
      <w:szCs w:val="20"/>
    </w:rPr>
  </w:style>
  <w:style w:type="character" w:styleId="FootnoteReference">
    <w:name w:val="footnote reference"/>
    <w:basedOn w:val="DefaultParagraphFont"/>
    <w:uiPriority w:val="99"/>
    <w:semiHidden/>
    <w:unhideWhenUsed/>
    <w:rsid w:val="00C647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145">
      <w:bodyDiv w:val="1"/>
      <w:marLeft w:val="0"/>
      <w:marRight w:val="0"/>
      <w:marTop w:val="0"/>
      <w:marBottom w:val="0"/>
      <w:divBdr>
        <w:top w:val="none" w:sz="0" w:space="0" w:color="auto"/>
        <w:left w:val="none" w:sz="0" w:space="0" w:color="auto"/>
        <w:bottom w:val="none" w:sz="0" w:space="0" w:color="auto"/>
        <w:right w:val="none" w:sz="0" w:space="0" w:color="auto"/>
      </w:divBdr>
    </w:div>
    <w:div w:id="95516501">
      <w:bodyDiv w:val="1"/>
      <w:marLeft w:val="0"/>
      <w:marRight w:val="0"/>
      <w:marTop w:val="0"/>
      <w:marBottom w:val="0"/>
      <w:divBdr>
        <w:top w:val="none" w:sz="0" w:space="0" w:color="auto"/>
        <w:left w:val="none" w:sz="0" w:space="0" w:color="auto"/>
        <w:bottom w:val="none" w:sz="0" w:space="0" w:color="auto"/>
        <w:right w:val="none" w:sz="0" w:space="0" w:color="auto"/>
      </w:divBdr>
      <w:divsChild>
        <w:div w:id="1369524678">
          <w:marLeft w:val="446"/>
          <w:marRight w:val="0"/>
          <w:marTop w:val="0"/>
          <w:marBottom w:val="0"/>
          <w:divBdr>
            <w:top w:val="none" w:sz="0" w:space="0" w:color="auto"/>
            <w:left w:val="none" w:sz="0" w:space="0" w:color="auto"/>
            <w:bottom w:val="none" w:sz="0" w:space="0" w:color="auto"/>
            <w:right w:val="none" w:sz="0" w:space="0" w:color="auto"/>
          </w:divBdr>
        </w:div>
        <w:div w:id="656883115">
          <w:marLeft w:val="446"/>
          <w:marRight w:val="0"/>
          <w:marTop w:val="0"/>
          <w:marBottom w:val="0"/>
          <w:divBdr>
            <w:top w:val="none" w:sz="0" w:space="0" w:color="auto"/>
            <w:left w:val="none" w:sz="0" w:space="0" w:color="auto"/>
            <w:bottom w:val="none" w:sz="0" w:space="0" w:color="auto"/>
            <w:right w:val="none" w:sz="0" w:space="0" w:color="auto"/>
          </w:divBdr>
        </w:div>
        <w:div w:id="86269904">
          <w:marLeft w:val="446"/>
          <w:marRight w:val="0"/>
          <w:marTop w:val="0"/>
          <w:marBottom w:val="0"/>
          <w:divBdr>
            <w:top w:val="none" w:sz="0" w:space="0" w:color="auto"/>
            <w:left w:val="none" w:sz="0" w:space="0" w:color="auto"/>
            <w:bottom w:val="none" w:sz="0" w:space="0" w:color="auto"/>
            <w:right w:val="none" w:sz="0" w:space="0" w:color="auto"/>
          </w:divBdr>
        </w:div>
        <w:div w:id="1073510966">
          <w:marLeft w:val="547"/>
          <w:marRight w:val="0"/>
          <w:marTop w:val="0"/>
          <w:marBottom w:val="120"/>
          <w:divBdr>
            <w:top w:val="none" w:sz="0" w:space="0" w:color="auto"/>
            <w:left w:val="none" w:sz="0" w:space="0" w:color="auto"/>
            <w:bottom w:val="none" w:sz="0" w:space="0" w:color="auto"/>
            <w:right w:val="none" w:sz="0" w:space="0" w:color="auto"/>
          </w:divBdr>
        </w:div>
        <w:div w:id="1185637036">
          <w:marLeft w:val="547"/>
          <w:marRight w:val="0"/>
          <w:marTop w:val="0"/>
          <w:marBottom w:val="120"/>
          <w:divBdr>
            <w:top w:val="none" w:sz="0" w:space="0" w:color="auto"/>
            <w:left w:val="none" w:sz="0" w:space="0" w:color="auto"/>
            <w:bottom w:val="none" w:sz="0" w:space="0" w:color="auto"/>
            <w:right w:val="none" w:sz="0" w:space="0" w:color="auto"/>
          </w:divBdr>
        </w:div>
      </w:divsChild>
    </w:div>
    <w:div w:id="972249217">
      <w:bodyDiv w:val="1"/>
      <w:marLeft w:val="0"/>
      <w:marRight w:val="0"/>
      <w:marTop w:val="0"/>
      <w:marBottom w:val="0"/>
      <w:divBdr>
        <w:top w:val="none" w:sz="0" w:space="0" w:color="auto"/>
        <w:left w:val="none" w:sz="0" w:space="0" w:color="auto"/>
        <w:bottom w:val="none" w:sz="0" w:space="0" w:color="auto"/>
        <w:right w:val="none" w:sz="0" w:space="0" w:color="auto"/>
      </w:divBdr>
    </w:div>
    <w:div w:id="994407737">
      <w:bodyDiv w:val="1"/>
      <w:marLeft w:val="0"/>
      <w:marRight w:val="0"/>
      <w:marTop w:val="0"/>
      <w:marBottom w:val="0"/>
      <w:divBdr>
        <w:top w:val="none" w:sz="0" w:space="0" w:color="auto"/>
        <w:left w:val="none" w:sz="0" w:space="0" w:color="auto"/>
        <w:bottom w:val="none" w:sz="0" w:space="0" w:color="auto"/>
        <w:right w:val="none" w:sz="0" w:space="0" w:color="auto"/>
      </w:divBdr>
      <w:divsChild>
        <w:div w:id="889654906">
          <w:marLeft w:val="446"/>
          <w:marRight w:val="0"/>
          <w:marTop w:val="0"/>
          <w:marBottom w:val="0"/>
          <w:divBdr>
            <w:top w:val="none" w:sz="0" w:space="0" w:color="auto"/>
            <w:left w:val="none" w:sz="0" w:space="0" w:color="auto"/>
            <w:bottom w:val="none" w:sz="0" w:space="0" w:color="auto"/>
            <w:right w:val="none" w:sz="0" w:space="0" w:color="auto"/>
          </w:divBdr>
        </w:div>
        <w:div w:id="983702130">
          <w:marLeft w:val="446"/>
          <w:marRight w:val="0"/>
          <w:marTop w:val="0"/>
          <w:marBottom w:val="0"/>
          <w:divBdr>
            <w:top w:val="none" w:sz="0" w:space="0" w:color="auto"/>
            <w:left w:val="none" w:sz="0" w:space="0" w:color="auto"/>
            <w:bottom w:val="none" w:sz="0" w:space="0" w:color="auto"/>
            <w:right w:val="none" w:sz="0" w:space="0" w:color="auto"/>
          </w:divBdr>
        </w:div>
        <w:div w:id="1809083459">
          <w:marLeft w:val="446"/>
          <w:marRight w:val="0"/>
          <w:marTop w:val="0"/>
          <w:marBottom w:val="0"/>
          <w:divBdr>
            <w:top w:val="none" w:sz="0" w:space="0" w:color="auto"/>
            <w:left w:val="none" w:sz="0" w:space="0" w:color="auto"/>
            <w:bottom w:val="none" w:sz="0" w:space="0" w:color="auto"/>
            <w:right w:val="none" w:sz="0" w:space="0" w:color="auto"/>
          </w:divBdr>
        </w:div>
        <w:div w:id="804271302">
          <w:marLeft w:val="547"/>
          <w:marRight w:val="0"/>
          <w:marTop w:val="0"/>
          <w:marBottom w:val="120"/>
          <w:divBdr>
            <w:top w:val="none" w:sz="0" w:space="0" w:color="auto"/>
            <w:left w:val="none" w:sz="0" w:space="0" w:color="auto"/>
            <w:bottom w:val="none" w:sz="0" w:space="0" w:color="auto"/>
            <w:right w:val="none" w:sz="0" w:space="0" w:color="auto"/>
          </w:divBdr>
        </w:div>
        <w:div w:id="569967918">
          <w:marLeft w:val="547"/>
          <w:marRight w:val="0"/>
          <w:marTop w:val="0"/>
          <w:marBottom w:val="120"/>
          <w:divBdr>
            <w:top w:val="none" w:sz="0" w:space="0" w:color="auto"/>
            <w:left w:val="none" w:sz="0" w:space="0" w:color="auto"/>
            <w:bottom w:val="none" w:sz="0" w:space="0" w:color="auto"/>
            <w:right w:val="none" w:sz="0" w:space="0" w:color="auto"/>
          </w:divBdr>
        </w:div>
      </w:divsChild>
    </w:div>
    <w:div w:id="1245922001">
      <w:bodyDiv w:val="1"/>
      <w:marLeft w:val="0"/>
      <w:marRight w:val="0"/>
      <w:marTop w:val="0"/>
      <w:marBottom w:val="0"/>
      <w:divBdr>
        <w:top w:val="none" w:sz="0" w:space="0" w:color="auto"/>
        <w:left w:val="none" w:sz="0" w:space="0" w:color="auto"/>
        <w:bottom w:val="none" w:sz="0" w:space="0" w:color="auto"/>
        <w:right w:val="none" w:sz="0" w:space="0" w:color="auto"/>
      </w:divBdr>
    </w:div>
    <w:div w:id="1583760235">
      <w:bodyDiv w:val="1"/>
      <w:marLeft w:val="0"/>
      <w:marRight w:val="0"/>
      <w:marTop w:val="0"/>
      <w:marBottom w:val="0"/>
      <w:divBdr>
        <w:top w:val="none" w:sz="0" w:space="0" w:color="auto"/>
        <w:left w:val="none" w:sz="0" w:space="0" w:color="auto"/>
        <w:bottom w:val="none" w:sz="0" w:space="0" w:color="auto"/>
        <w:right w:val="none" w:sz="0" w:space="0" w:color="auto"/>
      </w:divBdr>
      <w:divsChild>
        <w:div w:id="460534162">
          <w:marLeft w:val="446"/>
          <w:marRight w:val="0"/>
          <w:marTop w:val="0"/>
          <w:marBottom w:val="0"/>
          <w:divBdr>
            <w:top w:val="none" w:sz="0" w:space="0" w:color="auto"/>
            <w:left w:val="none" w:sz="0" w:space="0" w:color="auto"/>
            <w:bottom w:val="none" w:sz="0" w:space="0" w:color="auto"/>
            <w:right w:val="none" w:sz="0" w:space="0" w:color="auto"/>
          </w:divBdr>
        </w:div>
        <w:div w:id="460345561">
          <w:marLeft w:val="547"/>
          <w:marRight w:val="0"/>
          <w:marTop w:val="0"/>
          <w:marBottom w:val="120"/>
          <w:divBdr>
            <w:top w:val="none" w:sz="0" w:space="0" w:color="auto"/>
            <w:left w:val="none" w:sz="0" w:space="0" w:color="auto"/>
            <w:bottom w:val="none" w:sz="0" w:space="0" w:color="auto"/>
            <w:right w:val="none" w:sz="0" w:space="0" w:color="auto"/>
          </w:divBdr>
        </w:div>
        <w:div w:id="151338524">
          <w:marLeft w:val="547"/>
          <w:marRight w:val="0"/>
          <w:marTop w:val="0"/>
          <w:marBottom w:val="120"/>
          <w:divBdr>
            <w:top w:val="none" w:sz="0" w:space="0" w:color="auto"/>
            <w:left w:val="none" w:sz="0" w:space="0" w:color="auto"/>
            <w:bottom w:val="none" w:sz="0" w:space="0" w:color="auto"/>
            <w:right w:val="none" w:sz="0" w:space="0" w:color="auto"/>
          </w:divBdr>
        </w:div>
        <w:div w:id="1457286169">
          <w:marLeft w:val="547"/>
          <w:marRight w:val="0"/>
          <w:marTop w:val="0"/>
          <w:marBottom w:val="120"/>
          <w:divBdr>
            <w:top w:val="none" w:sz="0" w:space="0" w:color="auto"/>
            <w:left w:val="none" w:sz="0" w:space="0" w:color="auto"/>
            <w:bottom w:val="none" w:sz="0" w:space="0" w:color="auto"/>
            <w:right w:val="none" w:sz="0" w:space="0" w:color="auto"/>
          </w:divBdr>
        </w:div>
        <w:div w:id="131018732">
          <w:marLeft w:val="547"/>
          <w:marRight w:val="0"/>
          <w:marTop w:val="0"/>
          <w:marBottom w:val="120"/>
          <w:divBdr>
            <w:top w:val="none" w:sz="0" w:space="0" w:color="auto"/>
            <w:left w:val="none" w:sz="0" w:space="0" w:color="auto"/>
            <w:bottom w:val="none" w:sz="0" w:space="0" w:color="auto"/>
            <w:right w:val="none" w:sz="0" w:space="0" w:color="auto"/>
          </w:divBdr>
        </w:div>
        <w:div w:id="232279251">
          <w:marLeft w:val="547"/>
          <w:marRight w:val="0"/>
          <w:marTop w:val="0"/>
          <w:marBottom w:val="120"/>
          <w:divBdr>
            <w:top w:val="none" w:sz="0" w:space="0" w:color="auto"/>
            <w:left w:val="none" w:sz="0" w:space="0" w:color="auto"/>
            <w:bottom w:val="none" w:sz="0" w:space="0" w:color="auto"/>
            <w:right w:val="none" w:sz="0" w:space="0" w:color="auto"/>
          </w:divBdr>
        </w:div>
      </w:divsChild>
    </w:div>
    <w:div w:id="1588151589">
      <w:bodyDiv w:val="1"/>
      <w:marLeft w:val="0"/>
      <w:marRight w:val="0"/>
      <w:marTop w:val="0"/>
      <w:marBottom w:val="0"/>
      <w:divBdr>
        <w:top w:val="none" w:sz="0" w:space="0" w:color="auto"/>
        <w:left w:val="none" w:sz="0" w:space="0" w:color="auto"/>
        <w:bottom w:val="none" w:sz="0" w:space="0" w:color="auto"/>
        <w:right w:val="none" w:sz="0" w:space="0" w:color="auto"/>
      </w:divBdr>
    </w:div>
    <w:div w:id="1603495786">
      <w:bodyDiv w:val="1"/>
      <w:marLeft w:val="0"/>
      <w:marRight w:val="0"/>
      <w:marTop w:val="0"/>
      <w:marBottom w:val="0"/>
      <w:divBdr>
        <w:top w:val="none" w:sz="0" w:space="0" w:color="auto"/>
        <w:left w:val="none" w:sz="0" w:space="0" w:color="auto"/>
        <w:bottom w:val="none" w:sz="0" w:space="0" w:color="auto"/>
        <w:right w:val="none" w:sz="0" w:space="0" w:color="auto"/>
      </w:divBdr>
      <w:divsChild>
        <w:div w:id="1514762213">
          <w:marLeft w:val="446"/>
          <w:marRight w:val="0"/>
          <w:marTop w:val="0"/>
          <w:marBottom w:val="0"/>
          <w:divBdr>
            <w:top w:val="none" w:sz="0" w:space="0" w:color="auto"/>
            <w:left w:val="none" w:sz="0" w:space="0" w:color="auto"/>
            <w:bottom w:val="none" w:sz="0" w:space="0" w:color="auto"/>
            <w:right w:val="none" w:sz="0" w:space="0" w:color="auto"/>
          </w:divBdr>
        </w:div>
        <w:div w:id="423382242">
          <w:marLeft w:val="446"/>
          <w:marRight w:val="0"/>
          <w:marTop w:val="0"/>
          <w:marBottom w:val="0"/>
          <w:divBdr>
            <w:top w:val="none" w:sz="0" w:space="0" w:color="auto"/>
            <w:left w:val="none" w:sz="0" w:space="0" w:color="auto"/>
            <w:bottom w:val="none" w:sz="0" w:space="0" w:color="auto"/>
            <w:right w:val="none" w:sz="0" w:space="0" w:color="auto"/>
          </w:divBdr>
        </w:div>
        <w:div w:id="1994673246">
          <w:marLeft w:val="446"/>
          <w:marRight w:val="0"/>
          <w:marTop w:val="0"/>
          <w:marBottom w:val="0"/>
          <w:divBdr>
            <w:top w:val="none" w:sz="0" w:space="0" w:color="auto"/>
            <w:left w:val="none" w:sz="0" w:space="0" w:color="auto"/>
            <w:bottom w:val="none" w:sz="0" w:space="0" w:color="auto"/>
            <w:right w:val="none" w:sz="0" w:space="0" w:color="auto"/>
          </w:divBdr>
        </w:div>
      </w:divsChild>
    </w:div>
    <w:div w:id="1646736025">
      <w:bodyDiv w:val="1"/>
      <w:marLeft w:val="0"/>
      <w:marRight w:val="0"/>
      <w:marTop w:val="0"/>
      <w:marBottom w:val="0"/>
      <w:divBdr>
        <w:top w:val="none" w:sz="0" w:space="0" w:color="auto"/>
        <w:left w:val="none" w:sz="0" w:space="0" w:color="auto"/>
        <w:bottom w:val="none" w:sz="0" w:space="0" w:color="auto"/>
        <w:right w:val="none" w:sz="0" w:space="0" w:color="auto"/>
      </w:divBdr>
      <w:divsChild>
        <w:div w:id="1092970656">
          <w:marLeft w:val="446"/>
          <w:marRight w:val="0"/>
          <w:marTop w:val="0"/>
          <w:marBottom w:val="0"/>
          <w:divBdr>
            <w:top w:val="none" w:sz="0" w:space="0" w:color="auto"/>
            <w:left w:val="none" w:sz="0" w:space="0" w:color="auto"/>
            <w:bottom w:val="none" w:sz="0" w:space="0" w:color="auto"/>
            <w:right w:val="none" w:sz="0" w:space="0" w:color="auto"/>
          </w:divBdr>
        </w:div>
        <w:div w:id="1691640231">
          <w:marLeft w:val="446"/>
          <w:marRight w:val="0"/>
          <w:marTop w:val="0"/>
          <w:marBottom w:val="0"/>
          <w:divBdr>
            <w:top w:val="none" w:sz="0" w:space="0" w:color="auto"/>
            <w:left w:val="none" w:sz="0" w:space="0" w:color="auto"/>
            <w:bottom w:val="none" w:sz="0" w:space="0" w:color="auto"/>
            <w:right w:val="none" w:sz="0" w:space="0" w:color="auto"/>
          </w:divBdr>
        </w:div>
        <w:div w:id="1831485990">
          <w:marLeft w:val="446"/>
          <w:marRight w:val="0"/>
          <w:marTop w:val="0"/>
          <w:marBottom w:val="0"/>
          <w:divBdr>
            <w:top w:val="none" w:sz="0" w:space="0" w:color="auto"/>
            <w:left w:val="none" w:sz="0" w:space="0" w:color="auto"/>
            <w:bottom w:val="none" w:sz="0" w:space="0" w:color="auto"/>
            <w:right w:val="none" w:sz="0" w:space="0" w:color="auto"/>
          </w:divBdr>
        </w:div>
        <w:div w:id="1721441459">
          <w:marLeft w:val="446"/>
          <w:marRight w:val="0"/>
          <w:marTop w:val="0"/>
          <w:marBottom w:val="0"/>
          <w:divBdr>
            <w:top w:val="none" w:sz="0" w:space="0" w:color="auto"/>
            <w:left w:val="none" w:sz="0" w:space="0" w:color="auto"/>
            <w:bottom w:val="none" w:sz="0" w:space="0" w:color="auto"/>
            <w:right w:val="none" w:sz="0" w:space="0" w:color="auto"/>
          </w:divBdr>
        </w:div>
        <w:div w:id="241380149">
          <w:marLeft w:val="547"/>
          <w:marRight w:val="0"/>
          <w:marTop w:val="0"/>
          <w:marBottom w:val="120"/>
          <w:divBdr>
            <w:top w:val="none" w:sz="0" w:space="0" w:color="auto"/>
            <w:left w:val="none" w:sz="0" w:space="0" w:color="auto"/>
            <w:bottom w:val="none" w:sz="0" w:space="0" w:color="auto"/>
            <w:right w:val="none" w:sz="0" w:space="0" w:color="auto"/>
          </w:divBdr>
        </w:div>
        <w:div w:id="463230598">
          <w:marLeft w:val="547"/>
          <w:marRight w:val="0"/>
          <w:marTop w:val="0"/>
          <w:marBottom w:val="120"/>
          <w:divBdr>
            <w:top w:val="none" w:sz="0" w:space="0" w:color="auto"/>
            <w:left w:val="none" w:sz="0" w:space="0" w:color="auto"/>
            <w:bottom w:val="none" w:sz="0" w:space="0" w:color="auto"/>
            <w:right w:val="none" w:sz="0" w:space="0" w:color="auto"/>
          </w:divBdr>
        </w:div>
        <w:div w:id="1509565738">
          <w:marLeft w:val="547"/>
          <w:marRight w:val="0"/>
          <w:marTop w:val="0"/>
          <w:marBottom w:val="120"/>
          <w:divBdr>
            <w:top w:val="none" w:sz="0" w:space="0" w:color="auto"/>
            <w:left w:val="none" w:sz="0" w:space="0" w:color="auto"/>
            <w:bottom w:val="none" w:sz="0" w:space="0" w:color="auto"/>
            <w:right w:val="none" w:sz="0" w:space="0" w:color="auto"/>
          </w:divBdr>
        </w:div>
        <w:div w:id="1830828465">
          <w:marLeft w:val="547"/>
          <w:marRight w:val="0"/>
          <w:marTop w:val="0"/>
          <w:marBottom w:val="120"/>
          <w:divBdr>
            <w:top w:val="none" w:sz="0" w:space="0" w:color="auto"/>
            <w:left w:val="none" w:sz="0" w:space="0" w:color="auto"/>
            <w:bottom w:val="none" w:sz="0" w:space="0" w:color="auto"/>
            <w:right w:val="none" w:sz="0" w:space="0" w:color="auto"/>
          </w:divBdr>
        </w:div>
      </w:divsChild>
    </w:div>
    <w:div w:id="1836218009">
      <w:bodyDiv w:val="1"/>
      <w:marLeft w:val="0"/>
      <w:marRight w:val="0"/>
      <w:marTop w:val="0"/>
      <w:marBottom w:val="0"/>
      <w:divBdr>
        <w:top w:val="none" w:sz="0" w:space="0" w:color="auto"/>
        <w:left w:val="none" w:sz="0" w:space="0" w:color="auto"/>
        <w:bottom w:val="none" w:sz="0" w:space="0" w:color="auto"/>
        <w:right w:val="none" w:sz="0" w:space="0" w:color="auto"/>
      </w:divBdr>
      <w:divsChild>
        <w:div w:id="704335338">
          <w:marLeft w:val="446"/>
          <w:marRight w:val="0"/>
          <w:marTop w:val="0"/>
          <w:marBottom w:val="0"/>
          <w:divBdr>
            <w:top w:val="none" w:sz="0" w:space="0" w:color="auto"/>
            <w:left w:val="none" w:sz="0" w:space="0" w:color="auto"/>
            <w:bottom w:val="none" w:sz="0" w:space="0" w:color="auto"/>
            <w:right w:val="none" w:sz="0" w:space="0" w:color="auto"/>
          </w:divBdr>
        </w:div>
        <w:div w:id="1279337764">
          <w:marLeft w:val="446"/>
          <w:marRight w:val="0"/>
          <w:marTop w:val="0"/>
          <w:marBottom w:val="0"/>
          <w:divBdr>
            <w:top w:val="none" w:sz="0" w:space="0" w:color="auto"/>
            <w:left w:val="none" w:sz="0" w:space="0" w:color="auto"/>
            <w:bottom w:val="none" w:sz="0" w:space="0" w:color="auto"/>
            <w:right w:val="none" w:sz="0" w:space="0" w:color="auto"/>
          </w:divBdr>
        </w:div>
      </w:divsChild>
    </w:div>
    <w:div w:id="1989094895">
      <w:bodyDiv w:val="1"/>
      <w:marLeft w:val="0"/>
      <w:marRight w:val="0"/>
      <w:marTop w:val="0"/>
      <w:marBottom w:val="0"/>
      <w:divBdr>
        <w:top w:val="none" w:sz="0" w:space="0" w:color="auto"/>
        <w:left w:val="none" w:sz="0" w:space="0" w:color="auto"/>
        <w:bottom w:val="none" w:sz="0" w:space="0" w:color="auto"/>
        <w:right w:val="none" w:sz="0" w:space="0" w:color="auto"/>
      </w:divBdr>
      <w:divsChild>
        <w:div w:id="1538346517">
          <w:marLeft w:val="446"/>
          <w:marRight w:val="0"/>
          <w:marTop w:val="0"/>
          <w:marBottom w:val="0"/>
          <w:divBdr>
            <w:top w:val="none" w:sz="0" w:space="0" w:color="auto"/>
            <w:left w:val="none" w:sz="0" w:space="0" w:color="auto"/>
            <w:bottom w:val="none" w:sz="0" w:space="0" w:color="auto"/>
            <w:right w:val="none" w:sz="0" w:space="0" w:color="auto"/>
          </w:divBdr>
        </w:div>
        <w:div w:id="1049458599">
          <w:marLeft w:val="446"/>
          <w:marRight w:val="0"/>
          <w:marTop w:val="0"/>
          <w:marBottom w:val="0"/>
          <w:divBdr>
            <w:top w:val="none" w:sz="0" w:space="0" w:color="auto"/>
            <w:left w:val="none" w:sz="0" w:space="0" w:color="auto"/>
            <w:bottom w:val="none" w:sz="0" w:space="0" w:color="auto"/>
            <w:right w:val="none" w:sz="0" w:space="0" w:color="auto"/>
          </w:divBdr>
        </w:div>
      </w:divsChild>
    </w:div>
    <w:div w:id="2011830455">
      <w:bodyDiv w:val="1"/>
      <w:marLeft w:val="0"/>
      <w:marRight w:val="0"/>
      <w:marTop w:val="0"/>
      <w:marBottom w:val="0"/>
      <w:divBdr>
        <w:top w:val="none" w:sz="0" w:space="0" w:color="auto"/>
        <w:left w:val="none" w:sz="0" w:space="0" w:color="auto"/>
        <w:bottom w:val="none" w:sz="0" w:space="0" w:color="auto"/>
        <w:right w:val="none" w:sz="0" w:space="0" w:color="auto"/>
      </w:divBdr>
    </w:div>
    <w:div w:id="2110810116">
      <w:bodyDiv w:val="1"/>
      <w:marLeft w:val="0"/>
      <w:marRight w:val="0"/>
      <w:marTop w:val="0"/>
      <w:marBottom w:val="0"/>
      <w:divBdr>
        <w:top w:val="none" w:sz="0" w:space="0" w:color="auto"/>
        <w:left w:val="none" w:sz="0" w:space="0" w:color="auto"/>
        <w:bottom w:val="none" w:sz="0" w:space="0" w:color="auto"/>
        <w:right w:val="none" w:sz="0" w:space="0" w:color="auto"/>
      </w:divBdr>
      <w:divsChild>
        <w:div w:id="1707369478">
          <w:marLeft w:val="446"/>
          <w:marRight w:val="0"/>
          <w:marTop w:val="0"/>
          <w:marBottom w:val="0"/>
          <w:divBdr>
            <w:top w:val="none" w:sz="0" w:space="0" w:color="auto"/>
            <w:left w:val="none" w:sz="0" w:space="0" w:color="auto"/>
            <w:bottom w:val="none" w:sz="0" w:space="0" w:color="auto"/>
            <w:right w:val="none" w:sz="0" w:space="0" w:color="auto"/>
          </w:divBdr>
        </w:div>
        <w:div w:id="1930113775">
          <w:marLeft w:val="446"/>
          <w:marRight w:val="0"/>
          <w:marTop w:val="0"/>
          <w:marBottom w:val="0"/>
          <w:divBdr>
            <w:top w:val="none" w:sz="0" w:space="0" w:color="auto"/>
            <w:left w:val="none" w:sz="0" w:space="0" w:color="auto"/>
            <w:bottom w:val="none" w:sz="0" w:space="0" w:color="auto"/>
            <w:right w:val="none" w:sz="0" w:space="0" w:color="auto"/>
          </w:divBdr>
        </w:div>
        <w:div w:id="143592313">
          <w:marLeft w:val="446"/>
          <w:marRight w:val="0"/>
          <w:marTop w:val="0"/>
          <w:marBottom w:val="0"/>
          <w:divBdr>
            <w:top w:val="none" w:sz="0" w:space="0" w:color="auto"/>
            <w:left w:val="none" w:sz="0" w:space="0" w:color="auto"/>
            <w:bottom w:val="none" w:sz="0" w:space="0" w:color="auto"/>
            <w:right w:val="none" w:sz="0" w:space="0" w:color="auto"/>
          </w:divBdr>
        </w:div>
        <w:div w:id="1697467501">
          <w:marLeft w:val="547"/>
          <w:marRight w:val="0"/>
          <w:marTop w:val="0"/>
          <w:marBottom w:val="120"/>
          <w:divBdr>
            <w:top w:val="none" w:sz="0" w:space="0" w:color="auto"/>
            <w:left w:val="none" w:sz="0" w:space="0" w:color="auto"/>
            <w:bottom w:val="none" w:sz="0" w:space="0" w:color="auto"/>
            <w:right w:val="none" w:sz="0" w:space="0" w:color="auto"/>
          </w:divBdr>
        </w:div>
        <w:div w:id="1419865088">
          <w:marLeft w:val="547"/>
          <w:marRight w:val="0"/>
          <w:marTop w:val="0"/>
          <w:marBottom w:val="120"/>
          <w:divBdr>
            <w:top w:val="none" w:sz="0" w:space="0" w:color="auto"/>
            <w:left w:val="none" w:sz="0" w:space="0" w:color="auto"/>
            <w:bottom w:val="none" w:sz="0" w:space="0" w:color="auto"/>
            <w:right w:val="none" w:sz="0" w:space="0" w:color="auto"/>
          </w:divBdr>
        </w:div>
        <w:div w:id="1302732263">
          <w:marLeft w:val="547"/>
          <w:marRight w:val="0"/>
          <w:marTop w:val="0"/>
          <w:marBottom w:val="120"/>
          <w:divBdr>
            <w:top w:val="none" w:sz="0" w:space="0" w:color="auto"/>
            <w:left w:val="none" w:sz="0" w:space="0" w:color="auto"/>
            <w:bottom w:val="none" w:sz="0" w:space="0" w:color="auto"/>
            <w:right w:val="none" w:sz="0" w:space="0" w:color="auto"/>
          </w:divBdr>
        </w:div>
        <w:div w:id="1040126527">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70C72-4FEF-4CDA-B4EE-DC38CD402F4A}">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2</TotalTime>
  <Pages>13</Pages>
  <Words>2937</Words>
  <Characters>16741</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Yvinec, Ksenia</dc:creator>
  <cp:keywords/>
  <dc:description/>
  <cp:lastModifiedBy>Boned, Patrice</cp:lastModifiedBy>
  <cp:revision>2</cp:revision>
  <cp:lastPrinted>2024-06-18T10:07:00Z</cp:lastPrinted>
  <dcterms:created xsi:type="dcterms:W3CDTF">2024-06-20T09:37:00Z</dcterms:created>
  <dcterms:modified xsi:type="dcterms:W3CDTF">2024-06-20T09:37:00Z</dcterms:modified>
</cp:coreProperties>
</file>