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341E9" w14:textId="77777777" w:rsidR="008D23A7" w:rsidRPr="007A3407" w:rsidRDefault="008D23A7" w:rsidP="00417BC8">
      <w:pPr>
        <w:pStyle w:val="Footer"/>
        <w:tabs>
          <w:tab w:val="clear" w:pos="4153"/>
          <w:tab w:val="clear" w:pos="8306"/>
        </w:tabs>
        <w:spacing w:before="360"/>
        <w:jc w:val="center"/>
        <w:rPr>
          <w:rFonts w:ascii="Arial" w:hAnsi="Arial" w:cs="Arial"/>
          <w:b/>
          <w:bCs/>
          <w:sz w:val="20"/>
          <w:szCs w:val="20"/>
          <w:lang w:val="fr-BE"/>
        </w:rPr>
      </w:pPr>
      <w:r w:rsidRPr="007A3407">
        <w:rPr>
          <w:rFonts w:ascii="Arial" w:hAnsi="Arial" w:cs="Arial"/>
          <w:b/>
          <w:bCs/>
          <w:sz w:val="22"/>
          <w:szCs w:val="22"/>
          <w:lang w:val="fr-FR"/>
        </w:rPr>
        <w:t>COMMISSION OCÉANOGRAPHIQUE INTERGOUVERNEMENTALE</w:t>
      </w:r>
    </w:p>
    <w:p w14:paraId="2B647BDC" w14:textId="57E1E188" w:rsidR="008D23A7" w:rsidRPr="007A3407" w:rsidRDefault="008D23A7" w:rsidP="00417BC8">
      <w:pPr>
        <w:pStyle w:val="Footer"/>
        <w:tabs>
          <w:tab w:val="clear" w:pos="4153"/>
          <w:tab w:val="clear" w:pos="8306"/>
        </w:tabs>
        <w:spacing w:after="360"/>
        <w:jc w:val="center"/>
        <w:rPr>
          <w:rFonts w:ascii="Arial" w:hAnsi="Arial" w:cs="Arial"/>
          <w:sz w:val="20"/>
          <w:szCs w:val="20"/>
          <w:lang w:val="fr-BE"/>
        </w:rPr>
      </w:pPr>
      <w:r w:rsidRPr="007A3407">
        <w:rPr>
          <w:rFonts w:ascii="Arial" w:hAnsi="Arial" w:cs="Arial"/>
          <w:b/>
          <w:bCs/>
          <w:sz w:val="22"/>
          <w:szCs w:val="22"/>
          <w:lang w:val="fr-FR"/>
        </w:rPr>
        <w:t>(</w:t>
      </w:r>
      <w:proofErr w:type="gramStart"/>
      <w:r w:rsidRPr="007A3407">
        <w:rPr>
          <w:rFonts w:ascii="Arial" w:hAnsi="Arial" w:cs="Arial"/>
          <w:b/>
          <w:bCs/>
          <w:sz w:val="22"/>
          <w:szCs w:val="22"/>
          <w:lang w:val="fr-FR"/>
        </w:rPr>
        <w:t>de</w:t>
      </w:r>
      <w:proofErr w:type="gramEnd"/>
      <w:r w:rsidRPr="007A3407">
        <w:rPr>
          <w:rFonts w:ascii="Arial" w:hAnsi="Arial" w:cs="Arial"/>
          <w:b/>
          <w:bCs/>
          <w:sz w:val="22"/>
          <w:szCs w:val="22"/>
          <w:lang w:val="fr-FR"/>
        </w:rPr>
        <w:t xml:space="preserve"> l</w:t>
      </w:r>
      <w:r w:rsidR="002D74E2" w:rsidRPr="007A3407">
        <w:rPr>
          <w:rFonts w:ascii="Arial" w:hAnsi="Arial" w:cs="Arial"/>
          <w:b/>
          <w:bCs/>
          <w:sz w:val="22"/>
          <w:szCs w:val="22"/>
          <w:lang w:val="fr-FR"/>
        </w:rPr>
        <w:t>’</w:t>
      </w:r>
      <w:r w:rsidRPr="007A3407">
        <w:rPr>
          <w:rFonts w:ascii="Arial" w:hAnsi="Arial" w:cs="Arial"/>
          <w:b/>
          <w:bCs/>
          <w:sz w:val="22"/>
          <w:szCs w:val="22"/>
          <w:lang w:val="fr-FR"/>
        </w:rPr>
        <w:t>UNESCO)</w:t>
      </w:r>
    </w:p>
    <w:p w14:paraId="3BB4B449" w14:textId="06754E31" w:rsidR="008D23A7" w:rsidRPr="007A3407" w:rsidRDefault="00A452B6" w:rsidP="00417BC8">
      <w:pPr>
        <w:pStyle w:val="Footer"/>
        <w:spacing w:after="240"/>
        <w:jc w:val="center"/>
        <w:rPr>
          <w:rFonts w:ascii="Arial" w:hAnsi="Arial" w:cs="Arial"/>
          <w:b/>
          <w:sz w:val="20"/>
          <w:szCs w:val="20"/>
          <w:lang w:val="fr-BE"/>
        </w:rPr>
      </w:pPr>
      <w:r w:rsidRPr="007A3407">
        <w:rPr>
          <w:rFonts w:ascii="Arial" w:hAnsi="Arial" w:cs="Arial"/>
          <w:b/>
          <w:bCs/>
          <w:sz w:val="22"/>
          <w:szCs w:val="22"/>
          <w:lang w:val="fr-FR"/>
        </w:rPr>
        <w:t>TRENTIÈME SESSION DU GROUPE INTERGOUVERNEMENTAL DE COORDINATION DU SYSTÈME D</w:t>
      </w:r>
      <w:r w:rsidR="002D74E2" w:rsidRPr="007A3407">
        <w:rPr>
          <w:rFonts w:ascii="Arial" w:hAnsi="Arial" w:cs="Arial"/>
          <w:b/>
          <w:bCs/>
          <w:sz w:val="22"/>
          <w:szCs w:val="22"/>
          <w:lang w:val="fr-FR"/>
        </w:rPr>
        <w:t>’</w:t>
      </w:r>
      <w:r w:rsidRPr="007A3407">
        <w:rPr>
          <w:rFonts w:ascii="Arial" w:hAnsi="Arial" w:cs="Arial"/>
          <w:b/>
          <w:bCs/>
          <w:sz w:val="22"/>
          <w:szCs w:val="22"/>
          <w:lang w:val="fr-FR"/>
        </w:rPr>
        <w:t>ALERTE AUX TSUNAMIS ET DE MITIGATION DANS LE PACIFIQUE</w:t>
      </w:r>
      <w:r w:rsidRPr="007A3407">
        <w:rPr>
          <w:rFonts w:ascii="Arial" w:hAnsi="Arial" w:cs="Arial"/>
          <w:sz w:val="22"/>
          <w:szCs w:val="22"/>
          <w:lang w:val="fr-FR"/>
        </w:rPr>
        <w:t xml:space="preserve"> </w:t>
      </w:r>
    </w:p>
    <w:p w14:paraId="12661B3E" w14:textId="489ADF02" w:rsidR="0099215A" w:rsidRPr="002D74E2" w:rsidRDefault="0099215A" w:rsidP="00417BC8">
      <w:pPr>
        <w:pStyle w:val="Footer"/>
        <w:spacing w:after="240"/>
        <w:jc w:val="center"/>
        <w:rPr>
          <w:rFonts w:ascii="Arial" w:hAnsi="Arial" w:cs="Arial"/>
          <w:bCs/>
          <w:sz w:val="22"/>
          <w:szCs w:val="22"/>
        </w:rPr>
      </w:pPr>
      <w:r w:rsidRPr="007A3407">
        <w:rPr>
          <w:rFonts w:ascii="Arial" w:hAnsi="Arial" w:cs="Arial"/>
          <w:b/>
          <w:bCs/>
          <w:sz w:val="22"/>
          <w:szCs w:val="22"/>
          <w:lang w:val="fr-FR"/>
        </w:rPr>
        <w:t xml:space="preserve">11–15 septembre 2023, </w:t>
      </w:r>
      <w:proofErr w:type="spellStart"/>
      <w:r w:rsidRPr="007A3407">
        <w:rPr>
          <w:rFonts w:ascii="Arial" w:hAnsi="Arial" w:cs="Arial"/>
          <w:b/>
          <w:bCs/>
          <w:sz w:val="22"/>
          <w:szCs w:val="22"/>
          <w:lang w:val="fr-FR"/>
        </w:rPr>
        <w:t>Nuku</w:t>
      </w:r>
      <w:r w:rsidR="002D74E2" w:rsidRPr="007A3407">
        <w:rPr>
          <w:rFonts w:ascii="Arial" w:hAnsi="Arial" w:cs="Arial"/>
          <w:b/>
          <w:bCs/>
          <w:sz w:val="22"/>
          <w:szCs w:val="22"/>
          <w:lang w:val="fr-FR"/>
        </w:rPr>
        <w:t>’</w:t>
      </w:r>
      <w:r w:rsidRPr="007A3407">
        <w:rPr>
          <w:rFonts w:ascii="Arial" w:hAnsi="Arial" w:cs="Arial"/>
          <w:b/>
          <w:bCs/>
          <w:sz w:val="22"/>
          <w:szCs w:val="22"/>
          <w:lang w:val="fr-FR"/>
        </w:rPr>
        <w:t>alofa</w:t>
      </w:r>
      <w:proofErr w:type="spellEnd"/>
      <w:r w:rsidRPr="007A3407">
        <w:rPr>
          <w:rFonts w:ascii="Arial" w:hAnsi="Arial" w:cs="Arial"/>
          <w:b/>
          <w:bCs/>
          <w:sz w:val="22"/>
          <w:szCs w:val="22"/>
          <w:lang w:val="fr-FR"/>
        </w:rPr>
        <w:t>, Tonga</w:t>
      </w:r>
    </w:p>
    <w:tbl>
      <w:tblPr>
        <w:tblStyle w:val="TableGrid"/>
        <w:tblW w:w="0" w:type="auto"/>
        <w:tblInd w:w="1271" w:type="dxa"/>
        <w:tblLayout w:type="fixed"/>
        <w:tblLook w:val="04A0" w:firstRow="1" w:lastRow="0" w:firstColumn="1" w:lastColumn="0" w:noHBand="0" w:noVBand="1"/>
      </w:tblPr>
      <w:tblGrid>
        <w:gridCol w:w="7229"/>
      </w:tblGrid>
      <w:tr w:rsidR="00076C2C" w:rsidRPr="002E77B1" w14:paraId="6FB49339" w14:textId="77777777" w:rsidTr="00495A97">
        <w:tc>
          <w:tcPr>
            <w:tcW w:w="7229" w:type="dxa"/>
          </w:tcPr>
          <w:p w14:paraId="2DE3F5AA" w14:textId="77777777" w:rsidR="00076C2C" w:rsidRPr="007A3407" w:rsidRDefault="00076C2C" w:rsidP="00076C2C">
            <w:pPr>
              <w:pStyle w:val="Footer"/>
              <w:tabs>
                <w:tab w:val="clear" w:pos="4153"/>
                <w:tab w:val="clear" w:pos="8306"/>
              </w:tabs>
              <w:spacing w:before="240" w:after="240"/>
              <w:jc w:val="center"/>
              <w:rPr>
                <w:rFonts w:asciiTheme="minorBidi" w:hAnsiTheme="minorBidi" w:cstheme="minorBidi"/>
                <w:b/>
                <w:bCs/>
                <w:sz w:val="22"/>
                <w:szCs w:val="22"/>
                <w:lang w:val="fr-BE"/>
              </w:rPr>
            </w:pPr>
            <w:r w:rsidRPr="007A3407">
              <w:rPr>
                <w:rFonts w:asciiTheme="minorBidi" w:hAnsiTheme="minorBidi" w:cstheme="minorBidi"/>
                <w:b/>
                <w:bCs/>
                <w:sz w:val="22"/>
                <w:szCs w:val="22"/>
                <w:lang w:val="fr-FR"/>
              </w:rPr>
              <w:t>RÉSUMÉ EXÉCUTIF</w:t>
            </w:r>
          </w:p>
          <w:p w14:paraId="1D54593F" w14:textId="2986B316" w:rsidR="00076C2C" w:rsidRPr="007A3407" w:rsidRDefault="00076C2C" w:rsidP="00495A97">
            <w:pPr>
              <w:pStyle w:val="BodyText"/>
              <w:spacing w:after="200" w:line="239" w:lineRule="auto"/>
              <w:ind w:left="283" w:right="283"/>
              <w:jc w:val="both"/>
              <w:rPr>
                <w:rFonts w:asciiTheme="minorBidi" w:hAnsiTheme="minorBidi" w:cstheme="minorBidi"/>
                <w:sz w:val="22"/>
                <w:szCs w:val="22"/>
                <w:lang w:val="fr-BE"/>
              </w:rPr>
            </w:pPr>
            <w:r w:rsidRPr="007A3407">
              <w:rPr>
                <w:rFonts w:asciiTheme="minorBidi" w:hAnsiTheme="minorBidi" w:cstheme="minorBidi"/>
                <w:sz w:val="22"/>
                <w:szCs w:val="22"/>
                <w:lang w:val="fr-FR"/>
              </w:rPr>
              <w:t>Conformément à l</w:t>
            </w:r>
            <w:r w:rsidR="002D74E2" w:rsidRPr="007A3407">
              <w:rPr>
                <w:rFonts w:asciiTheme="minorBidi" w:hAnsiTheme="minorBidi" w:cstheme="minorBidi"/>
                <w:sz w:val="22"/>
                <w:szCs w:val="22"/>
                <w:lang w:val="fr-FR"/>
              </w:rPr>
              <w:t>’</w:t>
            </w:r>
            <w:r w:rsidRPr="007A3407">
              <w:rPr>
                <w:rFonts w:asciiTheme="minorBidi" w:hAnsiTheme="minorBidi" w:cstheme="minorBidi"/>
                <w:sz w:val="22"/>
                <w:szCs w:val="22"/>
                <w:lang w:val="fr-FR"/>
              </w:rPr>
              <w:t>article 48.3 du Règlement intérieur des organes subsidiaires principaux de la Commission, le Groupe intergouvernemental de coordination du Système d</w:t>
            </w:r>
            <w:r w:rsidR="002D74E2" w:rsidRPr="007A3407">
              <w:rPr>
                <w:rFonts w:asciiTheme="minorBidi" w:hAnsiTheme="minorBidi" w:cstheme="minorBidi"/>
                <w:sz w:val="22"/>
                <w:szCs w:val="22"/>
                <w:lang w:val="fr-FR"/>
              </w:rPr>
              <w:t>’</w:t>
            </w:r>
            <w:r w:rsidRPr="007A3407">
              <w:rPr>
                <w:rFonts w:asciiTheme="minorBidi" w:hAnsiTheme="minorBidi" w:cstheme="minorBidi"/>
                <w:sz w:val="22"/>
                <w:szCs w:val="22"/>
                <w:lang w:val="fr-FR"/>
              </w:rPr>
              <w:t xml:space="preserve">alerte aux tsunamis et de mitigation dans le Pacifique est tenu de faire rapport sur ses sessions à un organe directeur. Les documents et les informations relatifs à la session sont disponibles </w:t>
            </w:r>
            <w:r w:rsidR="002E77B1">
              <w:fldChar w:fldCharType="begin"/>
            </w:r>
            <w:r w:rsidR="002E77B1" w:rsidRPr="002E77B1">
              <w:rPr>
                <w:lang w:val="fr-FR"/>
              </w:rPr>
              <w:instrText>HYPERLINK "https://oceanexpert.org/event/3920"</w:instrText>
            </w:r>
            <w:r w:rsidR="002E77B1">
              <w:fldChar w:fldCharType="separate"/>
            </w:r>
            <w:r w:rsidRPr="007A3407">
              <w:rPr>
                <w:rStyle w:val="Hyperlink"/>
                <w:rFonts w:asciiTheme="minorBidi" w:hAnsiTheme="minorBidi" w:cstheme="minorBidi"/>
                <w:sz w:val="22"/>
                <w:szCs w:val="22"/>
                <w:lang w:val="fr-FR"/>
              </w:rPr>
              <w:t>en ligne</w:t>
            </w:r>
            <w:r w:rsidR="002E77B1">
              <w:rPr>
                <w:rStyle w:val="Hyperlink"/>
                <w:rFonts w:asciiTheme="minorBidi" w:hAnsiTheme="minorBidi" w:cstheme="minorBidi"/>
                <w:sz w:val="22"/>
                <w:szCs w:val="22"/>
                <w:lang w:val="fr-FR"/>
              </w:rPr>
              <w:fldChar w:fldCharType="end"/>
            </w:r>
            <w:r w:rsidRPr="007A3407">
              <w:rPr>
                <w:rFonts w:asciiTheme="minorBidi" w:hAnsiTheme="minorBidi" w:cstheme="minorBidi"/>
                <w:sz w:val="22"/>
                <w:szCs w:val="22"/>
                <w:lang w:val="fr-FR"/>
              </w:rPr>
              <w:t>.</w:t>
            </w:r>
          </w:p>
          <w:p w14:paraId="47F07B3C" w14:textId="7E81DBE3" w:rsidR="00076C2C" w:rsidRPr="007A3407" w:rsidRDefault="00076C2C" w:rsidP="00495A97">
            <w:pPr>
              <w:pStyle w:val="BodyText"/>
              <w:spacing w:after="200" w:line="239" w:lineRule="auto"/>
              <w:ind w:left="283" w:right="283"/>
              <w:jc w:val="both"/>
              <w:rPr>
                <w:rFonts w:asciiTheme="minorBidi" w:hAnsiTheme="minorBidi" w:cstheme="minorBidi"/>
                <w:bCs/>
                <w:sz w:val="22"/>
                <w:szCs w:val="22"/>
                <w:lang w:val="fr-BE"/>
              </w:rPr>
            </w:pPr>
            <w:r w:rsidRPr="007A3407">
              <w:rPr>
                <w:rFonts w:asciiTheme="minorBidi" w:hAnsiTheme="minorBidi" w:cstheme="minorBidi"/>
                <w:sz w:val="22"/>
                <w:szCs w:val="22"/>
                <w:lang w:val="fr-FR"/>
              </w:rPr>
              <w:t>À sa cinquante-septième session, le Conseil exécutif de la COI sera invité à examiner le présent résumé exécutif et les recommandations qu</w:t>
            </w:r>
            <w:r w:rsidR="002D74E2" w:rsidRPr="007A3407">
              <w:rPr>
                <w:rFonts w:asciiTheme="minorBidi" w:hAnsiTheme="minorBidi" w:cstheme="minorBidi"/>
                <w:sz w:val="22"/>
                <w:szCs w:val="22"/>
                <w:lang w:val="fr-FR"/>
              </w:rPr>
              <w:t>’</w:t>
            </w:r>
            <w:r w:rsidRPr="007A3407">
              <w:rPr>
                <w:rFonts w:asciiTheme="minorBidi" w:hAnsiTheme="minorBidi" w:cstheme="minorBidi"/>
                <w:sz w:val="22"/>
                <w:szCs w:val="22"/>
                <w:lang w:val="fr-FR"/>
              </w:rPr>
              <w:t>il contient.</w:t>
            </w:r>
          </w:p>
        </w:tc>
      </w:tr>
    </w:tbl>
    <w:p w14:paraId="545696AA" w14:textId="53DE883A" w:rsidR="00790D2A" w:rsidRPr="008231E2" w:rsidRDefault="00417BC8" w:rsidP="00417BC8">
      <w:pPr>
        <w:tabs>
          <w:tab w:val="left" w:pos="567"/>
        </w:tabs>
        <w:autoSpaceDE w:val="0"/>
        <w:autoSpaceDN w:val="0"/>
        <w:adjustRightInd w:val="0"/>
        <w:spacing w:before="240" w:after="240"/>
        <w:jc w:val="both"/>
        <w:rPr>
          <w:rFonts w:asciiTheme="minorBidi" w:hAnsiTheme="minorBidi" w:cstheme="minorBidi"/>
          <w:sz w:val="22"/>
          <w:szCs w:val="22"/>
          <w:lang w:val="fr-FR"/>
        </w:rPr>
      </w:pPr>
      <w:r w:rsidRPr="008231E2">
        <w:rPr>
          <w:rFonts w:asciiTheme="minorBidi" w:hAnsiTheme="minorBidi" w:cstheme="minorBidi"/>
          <w:sz w:val="22"/>
          <w:szCs w:val="22"/>
          <w:lang w:val="fr-FR"/>
        </w:rPr>
        <w:t>1.</w:t>
      </w:r>
      <w:r w:rsidRPr="008231E2">
        <w:rPr>
          <w:rFonts w:asciiTheme="minorBidi" w:hAnsiTheme="minorBidi" w:cstheme="minorBidi"/>
          <w:sz w:val="22"/>
          <w:szCs w:val="22"/>
          <w:lang w:val="fr-FR"/>
        </w:rPr>
        <w:tab/>
      </w:r>
      <w:r w:rsidR="00097219" w:rsidRPr="008231E2">
        <w:rPr>
          <w:rFonts w:asciiTheme="minorBidi" w:hAnsiTheme="minorBidi" w:cstheme="minorBidi"/>
          <w:sz w:val="22"/>
          <w:szCs w:val="22"/>
          <w:lang w:val="fr-FR"/>
        </w:rPr>
        <w:t>La trentième session du Groupe intergouvernemental de coordination du Système d</w:t>
      </w:r>
      <w:r w:rsidR="002D74E2" w:rsidRPr="008231E2">
        <w:rPr>
          <w:rFonts w:asciiTheme="minorBidi" w:hAnsiTheme="minorBidi" w:cstheme="minorBidi"/>
          <w:sz w:val="22"/>
          <w:szCs w:val="22"/>
          <w:lang w:val="fr-FR"/>
        </w:rPr>
        <w:t>’</w:t>
      </w:r>
      <w:r w:rsidR="00097219" w:rsidRPr="008231E2">
        <w:rPr>
          <w:rFonts w:asciiTheme="minorBidi" w:hAnsiTheme="minorBidi" w:cstheme="minorBidi"/>
          <w:sz w:val="22"/>
          <w:szCs w:val="22"/>
          <w:lang w:val="fr-FR"/>
        </w:rPr>
        <w:t>alerte aux tsunamis et de mitigation dans le Pacifique (GIC/PTWS) de la COI de l</w:t>
      </w:r>
      <w:r w:rsidR="002D74E2" w:rsidRPr="008231E2">
        <w:rPr>
          <w:rFonts w:asciiTheme="minorBidi" w:hAnsiTheme="minorBidi" w:cstheme="minorBidi"/>
          <w:sz w:val="22"/>
          <w:szCs w:val="22"/>
          <w:lang w:val="fr-FR"/>
        </w:rPr>
        <w:t>’</w:t>
      </w:r>
      <w:r w:rsidR="00097219" w:rsidRPr="008231E2">
        <w:rPr>
          <w:rFonts w:asciiTheme="minorBidi" w:hAnsiTheme="minorBidi" w:cstheme="minorBidi"/>
          <w:sz w:val="22"/>
          <w:szCs w:val="22"/>
          <w:lang w:val="fr-FR"/>
        </w:rPr>
        <w:t>UNESCO s</w:t>
      </w:r>
      <w:r w:rsidR="002D74E2" w:rsidRPr="008231E2">
        <w:rPr>
          <w:rFonts w:asciiTheme="minorBidi" w:hAnsiTheme="minorBidi" w:cstheme="minorBidi"/>
          <w:sz w:val="22"/>
          <w:szCs w:val="22"/>
          <w:lang w:val="fr-FR"/>
        </w:rPr>
        <w:t>’</w:t>
      </w:r>
      <w:r w:rsidR="00097219" w:rsidRPr="008231E2">
        <w:rPr>
          <w:rFonts w:asciiTheme="minorBidi" w:hAnsiTheme="minorBidi" w:cstheme="minorBidi"/>
          <w:sz w:val="22"/>
          <w:szCs w:val="22"/>
          <w:lang w:val="fr-FR"/>
        </w:rPr>
        <w:t xml:space="preserve">est tenue du 11 au 15 septembre 2023, à </w:t>
      </w:r>
      <w:proofErr w:type="spellStart"/>
      <w:r w:rsidR="00097219" w:rsidRPr="008231E2">
        <w:rPr>
          <w:rFonts w:asciiTheme="minorBidi" w:hAnsiTheme="minorBidi" w:cstheme="minorBidi"/>
          <w:sz w:val="22"/>
          <w:szCs w:val="22"/>
          <w:lang w:val="fr-FR"/>
        </w:rPr>
        <w:t>Nuku</w:t>
      </w:r>
      <w:r w:rsidR="002D74E2" w:rsidRPr="008231E2">
        <w:rPr>
          <w:rFonts w:asciiTheme="minorBidi" w:hAnsiTheme="minorBidi" w:cstheme="minorBidi"/>
          <w:sz w:val="22"/>
          <w:szCs w:val="22"/>
          <w:lang w:val="fr-FR"/>
        </w:rPr>
        <w:t>’</w:t>
      </w:r>
      <w:r w:rsidR="00097219" w:rsidRPr="008231E2">
        <w:rPr>
          <w:rFonts w:asciiTheme="minorBidi" w:hAnsiTheme="minorBidi" w:cstheme="minorBidi"/>
          <w:sz w:val="22"/>
          <w:szCs w:val="22"/>
          <w:lang w:val="fr-FR"/>
        </w:rPr>
        <w:t>alofa</w:t>
      </w:r>
      <w:proofErr w:type="spellEnd"/>
      <w:r w:rsidR="00097219" w:rsidRPr="008231E2">
        <w:rPr>
          <w:rFonts w:asciiTheme="minorBidi" w:hAnsiTheme="minorBidi" w:cstheme="minorBidi"/>
          <w:sz w:val="22"/>
          <w:szCs w:val="22"/>
          <w:lang w:val="fr-FR"/>
        </w:rPr>
        <w:t xml:space="preserve"> (Tonga). La session s</w:t>
      </w:r>
      <w:r w:rsidR="002D74E2" w:rsidRPr="008231E2">
        <w:rPr>
          <w:rFonts w:asciiTheme="minorBidi" w:hAnsiTheme="minorBidi" w:cstheme="minorBidi"/>
          <w:sz w:val="22"/>
          <w:szCs w:val="22"/>
          <w:lang w:val="fr-FR"/>
        </w:rPr>
        <w:t>’</w:t>
      </w:r>
      <w:r w:rsidR="00097219" w:rsidRPr="008231E2">
        <w:rPr>
          <w:rFonts w:asciiTheme="minorBidi" w:hAnsiTheme="minorBidi" w:cstheme="minorBidi"/>
          <w:sz w:val="22"/>
          <w:szCs w:val="22"/>
          <w:lang w:val="fr-FR"/>
        </w:rPr>
        <w:t>est tenue en format hybride (en présentiel et en ligne) et 62 délégués de 17 États membres de la région de l</w:t>
      </w:r>
      <w:r w:rsidR="002D74E2" w:rsidRPr="008231E2">
        <w:rPr>
          <w:rFonts w:asciiTheme="minorBidi" w:hAnsiTheme="minorBidi" w:cstheme="minorBidi"/>
          <w:sz w:val="22"/>
          <w:szCs w:val="22"/>
          <w:lang w:val="fr-FR"/>
        </w:rPr>
        <w:t>’</w:t>
      </w:r>
      <w:r w:rsidR="00097219" w:rsidRPr="008231E2">
        <w:rPr>
          <w:rFonts w:asciiTheme="minorBidi" w:hAnsiTheme="minorBidi" w:cstheme="minorBidi"/>
          <w:sz w:val="22"/>
          <w:szCs w:val="22"/>
          <w:lang w:val="fr-FR"/>
        </w:rPr>
        <w:t>océan Pacifique y ont participé (Australie, Canada, Chili, Chine, Équateur, États-Unis d</w:t>
      </w:r>
      <w:r w:rsidR="002D74E2" w:rsidRPr="008231E2">
        <w:rPr>
          <w:rFonts w:asciiTheme="minorBidi" w:hAnsiTheme="minorBidi" w:cstheme="minorBidi"/>
          <w:sz w:val="22"/>
          <w:szCs w:val="22"/>
          <w:lang w:val="fr-FR"/>
        </w:rPr>
        <w:t>’</w:t>
      </w:r>
      <w:r w:rsidR="00097219" w:rsidRPr="008231E2">
        <w:rPr>
          <w:rFonts w:asciiTheme="minorBidi" w:hAnsiTheme="minorBidi" w:cstheme="minorBidi"/>
          <w:sz w:val="22"/>
          <w:szCs w:val="22"/>
          <w:lang w:val="fr-FR"/>
        </w:rPr>
        <w:t xml:space="preserve">Amérique, Fidji, France, Îles Salomon, Indonésie, Japon, Malaisie, Nicaragua, Nouvelle-Zélande, République de Corée, </w:t>
      </w:r>
      <w:proofErr w:type="spellStart"/>
      <w:r w:rsidR="00097219" w:rsidRPr="008231E2">
        <w:rPr>
          <w:rFonts w:asciiTheme="minorBidi" w:hAnsiTheme="minorBidi" w:cstheme="minorBidi"/>
          <w:sz w:val="22"/>
          <w:szCs w:val="22"/>
          <w:lang w:val="fr-FR"/>
        </w:rPr>
        <w:t>Tokélaou</w:t>
      </w:r>
      <w:proofErr w:type="spellEnd"/>
      <w:r w:rsidR="00097219" w:rsidRPr="008231E2">
        <w:rPr>
          <w:rFonts w:asciiTheme="minorBidi" w:hAnsiTheme="minorBidi" w:cstheme="minorBidi"/>
          <w:sz w:val="22"/>
          <w:szCs w:val="22"/>
          <w:lang w:val="fr-FR"/>
        </w:rPr>
        <w:t xml:space="preserve"> et Tonga). Quinze</w:t>
      </w:r>
      <w:r w:rsidR="00DA2E43" w:rsidRPr="008231E2">
        <w:rPr>
          <w:rFonts w:asciiTheme="minorBidi" w:hAnsiTheme="minorBidi" w:cstheme="minorBidi"/>
          <w:sz w:val="22"/>
          <w:szCs w:val="22"/>
          <w:lang w:val="fr-FR"/>
        </w:rPr>
        <w:t> </w:t>
      </w:r>
      <w:r w:rsidR="00097219" w:rsidRPr="008231E2">
        <w:rPr>
          <w:rFonts w:asciiTheme="minorBidi" w:hAnsiTheme="minorBidi" w:cstheme="minorBidi"/>
          <w:sz w:val="22"/>
          <w:szCs w:val="22"/>
          <w:lang w:val="fr-FR"/>
        </w:rPr>
        <w:t>observateurs de six</w:t>
      </w:r>
      <w:r w:rsidR="00DA2E43" w:rsidRPr="008231E2">
        <w:rPr>
          <w:rFonts w:asciiTheme="minorBidi" w:hAnsiTheme="minorBidi" w:cstheme="minorBidi"/>
          <w:sz w:val="22"/>
          <w:szCs w:val="22"/>
          <w:lang w:val="fr-FR"/>
        </w:rPr>
        <w:t> </w:t>
      </w:r>
      <w:r w:rsidR="00097219" w:rsidRPr="008231E2">
        <w:rPr>
          <w:rFonts w:asciiTheme="minorBidi" w:hAnsiTheme="minorBidi" w:cstheme="minorBidi"/>
          <w:sz w:val="22"/>
          <w:szCs w:val="22"/>
          <w:lang w:val="fr-FR"/>
        </w:rPr>
        <w:t>pays (Bangladesh, États-Unis d</w:t>
      </w:r>
      <w:r w:rsidR="002D74E2" w:rsidRPr="008231E2">
        <w:rPr>
          <w:rFonts w:asciiTheme="minorBidi" w:hAnsiTheme="minorBidi" w:cstheme="minorBidi"/>
          <w:sz w:val="22"/>
          <w:szCs w:val="22"/>
          <w:lang w:val="fr-FR"/>
        </w:rPr>
        <w:t>’</w:t>
      </w:r>
      <w:r w:rsidR="00097219" w:rsidRPr="008231E2">
        <w:rPr>
          <w:rFonts w:asciiTheme="minorBidi" w:hAnsiTheme="minorBidi" w:cstheme="minorBidi"/>
          <w:sz w:val="22"/>
          <w:szCs w:val="22"/>
          <w:lang w:val="fr-FR"/>
        </w:rPr>
        <w:t>Amérique, Fédération de Russie, Fidji, France et Inde) ont également assisté à la session. La session était la première session du GIC/PTWS tenue en présentiel depuis 2021 et a ainsi constitué une occasion essentielle pour catalyser les activités existantes et les nouvelles activités. Parmi les principales conclusions de la session figuraient notamment :</w:t>
      </w:r>
    </w:p>
    <w:p w14:paraId="18DED86B" w14:textId="5ACB82EE" w:rsidR="00790D2A" w:rsidRPr="008231E2" w:rsidRDefault="00790D2A" w:rsidP="00495A97">
      <w:pPr>
        <w:autoSpaceDE w:val="0"/>
        <w:autoSpaceDN w:val="0"/>
        <w:adjustRightInd w:val="0"/>
        <w:spacing w:before="120" w:after="240"/>
        <w:ind w:left="1134" w:hanging="567"/>
        <w:jc w:val="both"/>
        <w:rPr>
          <w:rFonts w:asciiTheme="minorBidi" w:hAnsiTheme="minorBidi" w:cstheme="minorBidi"/>
          <w:sz w:val="22"/>
          <w:szCs w:val="22"/>
          <w:lang w:val="fr-BE"/>
        </w:rPr>
      </w:pPr>
      <w:r w:rsidRPr="008231E2">
        <w:rPr>
          <w:rFonts w:asciiTheme="minorBidi" w:hAnsiTheme="minorBidi" w:cstheme="minorBidi"/>
          <w:sz w:val="22"/>
          <w:szCs w:val="22"/>
          <w:lang w:val="fr-FR"/>
        </w:rPr>
        <w:t>(i)</w:t>
      </w:r>
      <w:r w:rsidRPr="008231E2">
        <w:rPr>
          <w:rFonts w:asciiTheme="minorBidi" w:hAnsiTheme="minorBidi" w:cstheme="minorBidi"/>
          <w:sz w:val="22"/>
          <w:szCs w:val="22"/>
          <w:lang w:val="fr-FR"/>
        </w:rPr>
        <w:tab/>
        <w:t>le renforcement du mandat et de la capacité du Comité directeur afin d</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 xml:space="preserve">atteindre les objectifs de la Décennie des Nations Unies pour les sciences océaniques au service du développement durable ; </w:t>
      </w:r>
    </w:p>
    <w:p w14:paraId="3821407C" w14:textId="0B95B1A5" w:rsidR="00790D2A" w:rsidRPr="008231E2" w:rsidRDefault="00790D2A" w:rsidP="00495A97">
      <w:pPr>
        <w:autoSpaceDE w:val="0"/>
        <w:autoSpaceDN w:val="0"/>
        <w:adjustRightInd w:val="0"/>
        <w:spacing w:before="120" w:after="240"/>
        <w:ind w:left="1134" w:hanging="567"/>
        <w:jc w:val="both"/>
        <w:rPr>
          <w:rFonts w:asciiTheme="minorBidi" w:hAnsiTheme="minorBidi" w:cstheme="minorBidi"/>
          <w:sz w:val="22"/>
          <w:szCs w:val="22"/>
          <w:lang w:val="fr-BE"/>
        </w:rPr>
      </w:pPr>
      <w:r w:rsidRPr="008231E2">
        <w:rPr>
          <w:rFonts w:asciiTheme="minorBidi" w:hAnsiTheme="minorBidi" w:cstheme="minorBidi"/>
          <w:sz w:val="22"/>
          <w:szCs w:val="22"/>
          <w:lang w:val="fr-FR"/>
        </w:rPr>
        <w:t>(ii)</w:t>
      </w:r>
      <w:r w:rsidRPr="008231E2">
        <w:rPr>
          <w:rFonts w:asciiTheme="minorBidi" w:hAnsiTheme="minorBidi" w:cstheme="minorBidi"/>
          <w:sz w:val="22"/>
          <w:szCs w:val="22"/>
          <w:lang w:val="fr-FR"/>
        </w:rPr>
        <w:tab/>
        <w:t>la création de 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 xml:space="preserve">Équipe spéciale sur les </w:t>
      </w:r>
      <w:r w:rsidR="00BF531B" w:rsidRPr="008231E2">
        <w:rPr>
          <w:rFonts w:asciiTheme="minorBidi" w:hAnsiTheme="minorBidi" w:cstheme="minorBidi"/>
          <w:sz w:val="22"/>
          <w:szCs w:val="22"/>
          <w:lang w:val="fr-FR"/>
        </w:rPr>
        <w:t>t</w:t>
      </w:r>
      <w:r w:rsidRPr="008231E2">
        <w:rPr>
          <w:rFonts w:asciiTheme="minorBidi" w:hAnsiTheme="minorBidi" w:cstheme="minorBidi"/>
          <w:sz w:val="22"/>
          <w:szCs w:val="22"/>
          <w:lang w:val="fr-FR"/>
        </w:rPr>
        <w:t>sunamis d</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origine volcanique, sous 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égide du Groupe de travail 2 ; de 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Équipe spéciale sur la planification sur la base des observations océaniques, également sous 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égide du Groupe de travail 2 ; de 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Équipe spéciale sur le programme de certification Tsunami Ready de 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UNESCO/COI, sous 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égide du Groupe de travail 3 ; et de 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Équipe spéciale sur les plates-formes d</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échange d</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informations, sous 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égide du Groupe de travail des pays et territoires insulaires du Pacifique ;</w:t>
      </w:r>
    </w:p>
    <w:p w14:paraId="6EB3B70D" w14:textId="3C6D8841" w:rsidR="00790D2A" w:rsidRPr="008231E2" w:rsidRDefault="00790D2A" w:rsidP="00495A97">
      <w:pPr>
        <w:autoSpaceDE w:val="0"/>
        <w:autoSpaceDN w:val="0"/>
        <w:adjustRightInd w:val="0"/>
        <w:spacing w:before="120" w:after="240"/>
        <w:ind w:left="1134" w:hanging="567"/>
        <w:jc w:val="both"/>
        <w:rPr>
          <w:rFonts w:asciiTheme="minorBidi" w:hAnsiTheme="minorBidi" w:cstheme="minorBidi"/>
          <w:sz w:val="22"/>
          <w:szCs w:val="22"/>
          <w:lang w:val="fr-BE"/>
        </w:rPr>
      </w:pPr>
      <w:r w:rsidRPr="008231E2">
        <w:rPr>
          <w:rFonts w:asciiTheme="minorBidi" w:hAnsiTheme="minorBidi" w:cstheme="minorBidi"/>
          <w:sz w:val="22"/>
          <w:szCs w:val="22"/>
          <w:lang w:val="fr-FR"/>
        </w:rPr>
        <w:t>(iii)</w:t>
      </w:r>
      <w:r w:rsidRPr="008231E2">
        <w:rPr>
          <w:rFonts w:asciiTheme="minorBidi" w:hAnsiTheme="minorBidi" w:cstheme="minorBidi"/>
          <w:sz w:val="22"/>
          <w:szCs w:val="22"/>
          <w:lang w:val="fr-FR"/>
        </w:rPr>
        <w:tab/>
        <w:t>la conception de procédures de suivi et d</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 xml:space="preserve">alerte </w:t>
      </w:r>
      <w:proofErr w:type="spellStart"/>
      <w:r w:rsidRPr="008231E2">
        <w:rPr>
          <w:rFonts w:asciiTheme="minorBidi" w:hAnsiTheme="minorBidi" w:cstheme="minorBidi"/>
          <w:sz w:val="22"/>
          <w:szCs w:val="22"/>
          <w:lang w:val="fr-FR"/>
        </w:rPr>
        <w:t>Hunga</w:t>
      </w:r>
      <w:proofErr w:type="spellEnd"/>
      <w:r w:rsidRPr="008231E2">
        <w:rPr>
          <w:rFonts w:asciiTheme="minorBidi" w:hAnsiTheme="minorBidi" w:cstheme="minorBidi"/>
          <w:sz w:val="22"/>
          <w:szCs w:val="22"/>
          <w:lang w:val="fr-FR"/>
        </w:rPr>
        <w:t xml:space="preserve"> Tonga-</w:t>
      </w:r>
      <w:proofErr w:type="spellStart"/>
      <w:r w:rsidRPr="008231E2">
        <w:rPr>
          <w:rFonts w:asciiTheme="minorBidi" w:hAnsiTheme="minorBidi" w:cstheme="minorBidi"/>
          <w:sz w:val="22"/>
          <w:szCs w:val="22"/>
          <w:lang w:val="fr-FR"/>
        </w:rPr>
        <w:t>Hunga</w:t>
      </w:r>
      <w:proofErr w:type="spellEnd"/>
      <w:r w:rsidRPr="008231E2">
        <w:rPr>
          <w:rFonts w:asciiTheme="minorBidi" w:hAnsiTheme="minorBidi" w:cstheme="minorBidi"/>
          <w:sz w:val="22"/>
          <w:szCs w:val="22"/>
          <w:lang w:val="fr-FR"/>
        </w:rPr>
        <w:t xml:space="preserve"> </w:t>
      </w:r>
      <w:proofErr w:type="spellStart"/>
      <w:r w:rsidRPr="008231E2">
        <w:rPr>
          <w:rFonts w:asciiTheme="minorBidi" w:hAnsiTheme="minorBidi" w:cstheme="minorBidi"/>
          <w:sz w:val="22"/>
          <w:szCs w:val="22"/>
          <w:lang w:val="fr-FR"/>
        </w:rPr>
        <w:t>Ha</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apai</w:t>
      </w:r>
      <w:proofErr w:type="spellEnd"/>
      <w:r w:rsidRPr="008231E2">
        <w:rPr>
          <w:rFonts w:asciiTheme="minorBidi" w:hAnsiTheme="minorBidi" w:cstheme="minorBidi"/>
          <w:sz w:val="22"/>
          <w:szCs w:val="22"/>
          <w:lang w:val="fr-FR"/>
        </w:rPr>
        <w:t> (HTHH), fondées sur les produits et les méthodes utilisés par le Centre d</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alerte aux tsunamis dans le Pacifique depuis mars 2022 ;</w:t>
      </w:r>
    </w:p>
    <w:p w14:paraId="7F825E09" w14:textId="5110EAC5" w:rsidR="00790D2A" w:rsidRPr="008231E2" w:rsidRDefault="00790D2A" w:rsidP="00495A97">
      <w:pPr>
        <w:autoSpaceDE w:val="0"/>
        <w:autoSpaceDN w:val="0"/>
        <w:adjustRightInd w:val="0"/>
        <w:spacing w:before="120" w:after="240"/>
        <w:ind w:left="1134" w:hanging="567"/>
        <w:jc w:val="both"/>
        <w:rPr>
          <w:rFonts w:asciiTheme="minorBidi" w:hAnsiTheme="minorBidi" w:cstheme="minorBidi"/>
          <w:sz w:val="22"/>
          <w:szCs w:val="22"/>
          <w:lang w:val="fr-BE"/>
        </w:rPr>
      </w:pPr>
      <w:r w:rsidRPr="008231E2">
        <w:rPr>
          <w:rFonts w:asciiTheme="minorBidi" w:hAnsiTheme="minorBidi" w:cstheme="minorBidi"/>
          <w:sz w:val="22"/>
          <w:szCs w:val="22"/>
          <w:lang w:val="fr-FR"/>
        </w:rPr>
        <w:lastRenderedPageBreak/>
        <w:t>(iv)</w:t>
      </w:r>
      <w:r w:rsidRPr="008231E2">
        <w:rPr>
          <w:rFonts w:asciiTheme="minorBidi" w:hAnsiTheme="minorBidi" w:cstheme="minorBidi"/>
          <w:sz w:val="22"/>
          <w:szCs w:val="22"/>
          <w:lang w:val="fr-FR"/>
        </w:rPr>
        <w:tab/>
        <w:t>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élargissement des foyers de séismes du PTWS pour inclure une région comprise entre 63° et 52° de latitude sud et entre 72° et 18° de longitude ouest, y compris 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arc de la Scotia et ses zones sismiques adjacentes, et la révision en découlant de la carte des foyers de séismes du PTWS ; et</w:t>
      </w:r>
    </w:p>
    <w:p w14:paraId="475E8A43" w14:textId="29B3C88C" w:rsidR="003E75F3" w:rsidRPr="008231E2" w:rsidRDefault="00790D2A" w:rsidP="00495A97">
      <w:pPr>
        <w:autoSpaceDE w:val="0"/>
        <w:autoSpaceDN w:val="0"/>
        <w:adjustRightInd w:val="0"/>
        <w:spacing w:before="120" w:after="240"/>
        <w:ind w:left="1134" w:hanging="567"/>
        <w:jc w:val="both"/>
        <w:rPr>
          <w:rFonts w:asciiTheme="minorBidi" w:hAnsiTheme="minorBidi" w:cstheme="minorBidi"/>
          <w:sz w:val="22"/>
          <w:szCs w:val="22"/>
          <w:lang w:val="fr-BE"/>
        </w:rPr>
      </w:pPr>
      <w:r w:rsidRPr="008231E2">
        <w:rPr>
          <w:rFonts w:asciiTheme="minorBidi" w:hAnsiTheme="minorBidi" w:cstheme="minorBidi"/>
          <w:sz w:val="22"/>
          <w:szCs w:val="22"/>
          <w:lang w:val="fr-FR"/>
        </w:rPr>
        <w:t>(v)</w:t>
      </w:r>
      <w:r w:rsidRPr="008231E2">
        <w:rPr>
          <w:rFonts w:asciiTheme="minorBidi" w:hAnsiTheme="minorBidi" w:cstheme="minorBidi"/>
          <w:sz w:val="22"/>
          <w:szCs w:val="22"/>
          <w:lang w:val="fr-FR"/>
        </w:rPr>
        <w:tab/>
        <w:t>la décision d</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admettre le lancement de l</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ensemble des fonctionnalités du Centre consultatif sur les tsunamis en Amérique centrale (CATAC) à compter d</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une date qui devra être déterminée en coopération avec le Groupe intergouvernemental de coordination du Système d</w:t>
      </w:r>
      <w:r w:rsidR="002D74E2" w:rsidRPr="008231E2">
        <w:rPr>
          <w:rFonts w:asciiTheme="minorBidi" w:hAnsiTheme="minorBidi" w:cstheme="minorBidi"/>
          <w:sz w:val="22"/>
          <w:szCs w:val="22"/>
          <w:lang w:val="fr-FR"/>
        </w:rPr>
        <w:t>’</w:t>
      </w:r>
      <w:r w:rsidRPr="008231E2">
        <w:rPr>
          <w:rFonts w:asciiTheme="minorBidi" w:hAnsiTheme="minorBidi" w:cstheme="minorBidi"/>
          <w:sz w:val="22"/>
          <w:szCs w:val="22"/>
          <w:lang w:val="fr-FR"/>
        </w:rPr>
        <w:t>alerte aux tsunamis et autres risques côtiers dans la mer des Caraïbes et les régions adjacentes (GIC/CARIBE-EWS), qui sera présentée au Conseil exécutif de la COI pour approbation en juin 2024.</w:t>
      </w:r>
    </w:p>
    <w:p w14:paraId="10EB0416" w14:textId="32797812" w:rsidR="008A56CD"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2.</w:t>
      </w:r>
      <w:r w:rsidRPr="008231E2">
        <w:rPr>
          <w:rFonts w:asciiTheme="minorBidi" w:hAnsiTheme="minorBidi" w:cstheme="minorBidi"/>
          <w:sz w:val="22"/>
          <w:szCs w:val="22"/>
          <w:lang w:val="fr-FR"/>
        </w:rPr>
        <w:tab/>
      </w:r>
      <w:r w:rsidR="00E617DC" w:rsidRPr="008231E2">
        <w:rPr>
          <w:rFonts w:asciiTheme="minorBidi" w:hAnsiTheme="minorBidi" w:cstheme="minorBidi"/>
          <w:b/>
          <w:bCs/>
          <w:sz w:val="22"/>
          <w:szCs w:val="22"/>
          <w:lang w:val="fr-FR"/>
        </w:rPr>
        <w:t xml:space="preserve">Le GIC a décidé </w:t>
      </w:r>
      <w:r w:rsidR="00E617DC" w:rsidRPr="008231E2">
        <w:rPr>
          <w:rFonts w:asciiTheme="minorBidi" w:hAnsiTheme="minorBidi" w:cstheme="minorBidi"/>
          <w:sz w:val="22"/>
          <w:szCs w:val="22"/>
          <w:lang w:val="fr-FR"/>
        </w:rPr>
        <w:t>de proroger : le Groupe de travail 1, Comprendre le risque de tsunami ; le Groupe de travail 2, Détection des tsunamis, alerte et diffusion ;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Équipe spéciale du Groupe de travail 2 sur les réseaux intégrés de capteurs du PTWS pour la détection et la caractérisation des tsunamis ;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Équipe spéciale sur la mise en commun des données sismiques dans le Pacifique Sud</w:t>
      </w:r>
      <w:r w:rsidR="00672380">
        <w:rPr>
          <w:rFonts w:asciiTheme="minorBidi" w:hAnsiTheme="minorBidi" w:cstheme="minorBidi"/>
          <w:sz w:val="22"/>
          <w:szCs w:val="22"/>
          <w:lang w:val="fr-FR"/>
        </w:rPr>
        <w:noBreakHyphen/>
      </w:r>
      <w:r w:rsidR="00E617DC" w:rsidRPr="008231E2">
        <w:rPr>
          <w:rFonts w:asciiTheme="minorBidi" w:hAnsiTheme="minorBidi" w:cstheme="minorBidi"/>
          <w:sz w:val="22"/>
          <w:szCs w:val="22"/>
          <w:lang w:val="fr-FR"/>
        </w:rPr>
        <w:t>Ouest, sous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 xml:space="preserve">égide des pays et territoires insulaires du Pacifique ; le </w:t>
      </w:r>
      <w:r w:rsidR="00E617DC" w:rsidRPr="00672380">
        <w:rPr>
          <w:rFonts w:asciiTheme="minorBidi" w:hAnsiTheme="minorBidi" w:cstheme="minorBidi"/>
          <w:sz w:val="22"/>
          <w:szCs w:val="22"/>
          <w:lang w:val="fr-FR"/>
        </w:rPr>
        <w:t>Groupe de travail sur le Système d</w:t>
      </w:r>
      <w:r w:rsidR="002D74E2" w:rsidRPr="00672380">
        <w:rPr>
          <w:rFonts w:asciiTheme="minorBidi" w:hAnsiTheme="minorBidi" w:cstheme="minorBidi"/>
          <w:sz w:val="22"/>
          <w:szCs w:val="22"/>
          <w:lang w:val="fr-FR"/>
        </w:rPr>
        <w:t>’</w:t>
      </w:r>
      <w:r w:rsidR="00E617DC" w:rsidRPr="00672380">
        <w:rPr>
          <w:rFonts w:asciiTheme="minorBidi" w:hAnsiTheme="minorBidi" w:cstheme="minorBidi"/>
          <w:sz w:val="22"/>
          <w:szCs w:val="22"/>
          <w:lang w:val="fr-FR"/>
        </w:rPr>
        <w:t>alerte aux tsunamis et de mitigation</w:t>
      </w:r>
      <w:r w:rsidR="00E617DC" w:rsidRPr="008231E2">
        <w:rPr>
          <w:rFonts w:asciiTheme="minorBidi" w:hAnsiTheme="minorBidi" w:cstheme="minorBidi"/>
          <w:sz w:val="22"/>
          <w:szCs w:val="22"/>
          <w:lang w:val="fr-FR"/>
        </w:rPr>
        <w:t> ; le Groupe de travail 3 sur la gestion des risques de catastrophe et la préparation aux catastrophes ; et les Groupes de travail sous-régionaux (Groupe de travail régional sur le système d</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alerte aux tsunamis et de mitigation dans la région de la mer de Chine méridionale ; le Groupe de travail régional sur les systèmes d</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alerte aux tsunamis et de mitigation sur la côte Pacifique de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Amérique centrale </w:t>
      </w:r>
      <w:r w:rsidR="00E617DC" w:rsidRPr="00F20E1B">
        <w:rPr>
          <w:rFonts w:asciiTheme="minorBidi" w:hAnsiTheme="minorBidi" w:cstheme="minorBidi"/>
          <w:sz w:val="22"/>
          <w:szCs w:val="22"/>
          <w:lang w:val="fr-FR"/>
        </w:rPr>
        <w:t>; le Groupe de travail régional sur les systèmes d</w:t>
      </w:r>
      <w:r w:rsidR="002D74E2" w:rsidRPr="00F20E1B">
        <w:rPr>
          <w:rFonts w:asciiTheme="minorBidi" w:hAnsiTheme="minorBidi" w:cstheme="minorBidi"/>
          <w:sz w:val="22"/>
          <w:szCs w:val="22"/>
          <w:lang w:val="fr-FR"/>
        </w:rPr>
        <w:t>’</w:t>
      </w:r>
      <w:r w:rsidR="00E617DC" w:rsidRPr="00F20E1B">
        <w:rPr>
          <w:rFonts w:asciiTheme="minorBidi" w:hAnsiTheme="minorBidi" w:cstheme="minorBidi"/>
          <w:sz w:val="22"/>
          <w:szCs w:val="22"/>
          <w:lang w:val="fr-FR"/>
        </w:rPr>
        <w:t>alerte aux tsunamis et de mitigation dans la région du Pacifique du Sud-Est ; le G</w:t>
      </w:r>
      <w:r w:rsidR="00E617DC" w:rsidRPr="008231E2">
        <w:rPr>
          <w:rFonts w:asciiTheme="minorBidi" w:hAnsiTheme="minorBidi" w:cstheme="minorBidi"/>
          <w:sz w:val="22"/>
          <w:szCs w:val="22"/>
          <w:lang w:val="fr-FR"/>
        </w:rPr>
        <w:t>roupe de travail des pays et territoires insulaires du Pacifique sur les systèmes d</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alerte aux tsunamis et de mitigation)</w:t>
      </w:r>
      <w:r w:rsidR="00DA2E43" w:rsidRPr="008231E2">
        <w:rPr>
          <w:rFonts w:asciiTheme="minorBidi" w:hAnsiTheme="minorBidi" w:cstheme="minorBidi"/>
          <w:sz w:val="22"/>
          <w:szCs w:val="22"/>
          <w:lang w:val="fr-FR"/>
        </w:rPr>
        <w:t> </w:t>
      </w:r>
      <w:r w:rsidR="00E617DC" w:rsidRPr="008231E2">
        <w:rPr>
          <w:rFonts w:asciiTheme="minorBidi" w:hAnsiTheme="minorBidi" w:cstheme="minorBidi"/>
          <w:sz w:val="22"/>
          <w:szCs w:val="22"/>
          <w:lang w:val="fr-FR"/>
        </w:rPr>
        <w:t>; et les équipes spéciales (Équipe spéciale sur le renforcement des capacités et les services, sous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égide du Groupe de travail régional sur le système d</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 xml:space="preserve">alerte aux tsunamis et de mitigation dans la région de la mer de Chine méridionale et des pays et territoires insulaires du Pacifique ; </w:t>
      </w:r>
      <w:r w:rsidR="00BF531B" w:rsidRPr="008231E2">
        <w:rPr>
          <w:rFonts w:asciiTheme="minorBidi" w:hAnsiTheme="minorBidi" w:cstheme="minorBidi"/>
          <w:sz w:val="22"/>
          <w:szCs w:val="22"/>
          <w:lang w:val="fr-FR"/>
        </w:rPr>
        <w:t>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Équipe spéciale du Groupe de travail sur le renforcement des capacités) (Voir</w:t>
      </w:r>
      <w:r w:rsidR="00E617DC" w:rsidRPr="008231E2">
        <w:rPr>
          <w:rFonts w:asciiTheme="minorBidi" w:hAnsiTheme="minorBidi" w:cstheme="minorBidi"/>
          <w:i/>
          <w:iCs/>
          <w:sz w:val="22"/>
          <w:szCs w:val="22"/>
          <w:lang w:val="fr-FR"/>
        </w:rPr>
        <w:t xml:space="preserve"> </w:t>
      </w:r>
      <w:r w:rsidR="002E77B1">
        <w:fldChar w:fldCharType="begin"/>
      </w:r>
      <w:r w:rsidR="002E77B1" w:rsidRPr="002E77B1">
        <w:rPr>
          <w:lang w:val="fr-FR"/>
        </w:rPr>
        <w:instrText>HYPERLINK "https://oceanexpert.org/document/34493"</w:instrText>
      </w:r>
      <w:r w:rsidR="002E77B1">
        <w:fldChar w:fldCharType="separate"/>
      </w:r>
      <w:r w:rsidR="00E617DC" w:rsidRPr="008231E2">
        <w:rPr>
          <w:rStyle w:val="Hyperlink"/>
          <w:rFonts w:asciiTheme="minorBidi" w:hAnsiTheme="minorBidi" w:cstheme="minorBidi"/>
          <w:i/>
          <w:iCs/>
          <w:sz w:val="22"/>
          <w:szCs w:val="22"/>
          <w:lang w:val="fr-FR"/>
        </w:rPr>
        <w:t xml:space="preserve">ICG/PTWS </w:t>
      </w:r>
      <w:proofErr w:type="spellStart"/>
      <w:r w:rsidR="00E617DC" w:rsidRPr="008231E2">
        <w:rPr>
          <w:rStyle w:val="Hyperlink"/>
          <w:rFonts w:asciiTheme="minorBidi" w:hAnsiTheme="minorBidi" w:cstheme="minorBidi"/>
          <w:i/>
          <w:iCs/>
          <w:sz w:val="22"/>
          <w:szCs w:val="22"/>
          <w:lang w:val="fr-FR"/>
        </w:rPr>
        <w:t>Organisational</w:t>
      </w:r>
      <w:proofErr w:type="spellEnd"/>
      <w:r w:rsidR="00E617DC" w:rsidRPr="008231E2">
        <w:rPr>
          <w:rStyle w:val="Hyperlink"/>
          <w:rFonts w:asciiTheme="minorBidi" w:hAnsiTheme="minorBidi" w:cstheme="minorBidi"/>
          <w:i/>
          <w:iCs/>
          <w:sz w:val="22"/>
          <w:szCs w:val="22"/>
          <w:lang w:val="fr-FR"/>
        </w:rPr>
        <w:t xml:space="preserve"> Structure</w:t>
      </w:r>
      <w:r w:rsidR="002E77B1">
        <w:rPr>
          <w:rStyle w:val="Hyperlink"/>
          <w:rFonts w:asciiTheme="minorBidi" w:hAnsiTheme="minorBidi" w:cstheme="minorBidi"/>
          <w:i/>
          <w:iCs/>
          <w:sz w:val="22"/>
          <w:szCs w:val="22"/>
          <w:lang w:val="fr-FR"/>
        </w:rPr>
        <w:fldChar w:fldCharType="end"/>
      </w:r>
      <w:r w:rsidR="00E617DC" w:rsidRPr="008231E2">
        <w:rPr>
          <w:rFonts w:asciiTheme="minorBidi" w:hAnsiTheme="minorBidi" w:cstheme="minorBidi"/>
          <w:i/>
          <w:iCs/>
          <w:sz w:val="22"/>
          <w:szCs w:val="22"/>
          <w:lang w:val="fr-FR"/>
        </w:rPr>
        <w:t xml:space="preserve"> </w:t>
      </w:r>
      <w:r w:rsidR="00E617DC" w:rsidRPr="008231E2">
        <w:rPr>
          <w:rFonts w:asciiTheme="minorBidi" w:hAnsiTheme="minorBidi" w:cstheme="minorBidi"/>
          <w:sz w:val="22"/>
          <w:szCs w:val="22"/>
          <w:lang w:val="fr-FR"/>
        </w:rPr>
        <w:t>(15 septembre 2023))</w:t>
      </w:r>
      <w:r w:rsidR="00DA2E43" w:rsidRPr="008231E2">
        <w:rPr>
          <w:rFonts w:asciiTheme="minorBidi" w:hAnsiTheme="minorBidi" w:cstheme="minorBidi"/>
          <w:sz w:val="22"/>
          <w:szCs w:val="22"/>
          <w:lang w:val="fr-FR"/>
        </w:rPr>
        <w:t>.</w:t>
      </w:r>
    </w:p>
    <w:p w14:paraId="23086802" w14:textId="00181891" w:rsidR="00E617DC"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3.</w:t>
      </w:r>
      <w:r w:rsidRPr="008231E2">
        <w:rPr>
          <w:rFonts w:asciiTheme="minorBidi" w:hAnsiTheme="minorBidi" w:cstheme="minorBidi"/>
          <w:sz w:val="22"/>
          <w:szCs w:val="22"/>
          <w:lang w:val="fr-FR"/>
        </w:rPr>
        <w:tab/>
      </w:r>
      <w:r w:rsidR="00E617DC" w:rsidRPr="008231E2">
        <w:rPr>
          <w:rFonts w:asciiTheme="minorBidi" w:hAnsiTheme="minorBidi" w:cstheme="minorBidi"/>
          <w:b/>
          <w:bCs/>
          <w:sz w:val="22"/>
          <w:szCs w:val="22"/>
          <w:lang w:val="fr-FR"/>
        </w:rPr>
        <w:t>Le GIC a décidé</w:t>
      </w:r>
      <w:r w:rsidR="00E617DC" w:rsidRPr="008231E2">
        <w:rPr>
          <w:rFonts w:asciiTheme="minorBidi" w:hAnsiTheme="minorBidi" w:cstheme="minorBidi"/>
          <w:sz w:val="22"/>
          <w:szCs w:val="22"/>
          <w:lang w:val="fr-FR"/>
        </w:rPr>
        <w:t xml:space="preserve"> de proroger le Comité directeur du PTWS avec un mandat révisé afin de renforcer son mandat et sa capacité pour atteindre les objectifs de la Décennie des Nations Unies pour les sciences océaniques au service du développement durable.</w:t>
      </w:r>
    </w:p>
    <w:p w14:paraId="148AC80E" w14:textId="25FE8AA1" w:rsidR="00E617DC"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4.</w:t>
      </w:r>
      <w:r w:rsidRPr="008231E2">
        <w:rPr>
          <w:rFonts w:asciiTheme="minorBidi" w:hAnsiTheme="minorBidi" w:cstheme="minorBidi"/>
          <w:sz w:val="22"/>
          <w:szCs w:val="22"/>
          <w:lang w:val="fr-FR"/>
        </w:rPr>
        <w:tab/>
      </w:r>
      <w:r w:rsidR="00E617DC" w:rsidRPr="008231E2">
        <w:rPr>
          <w:rFonts w:asciiTheme="minorBidi" w:hAnsiTheme="minorBidi" w:cstheme="minorBidi"/>
          <w:b/>
          <w:bCs/>
          <w:sz w:val="22"/>
          <w:szCs w:val="22"/>
          <w:lang w:val="fr-FR"/>
        </w:rPr>
        <w:t>Le GIC a décidé</w:t>
      </w:r>
      <w:r w:rsidR="00E617DC" w:rsidRPr="008231E2">
        <w:rPr>
          <w:rFonts w:asciiTheme="minorBidi" w:hAnsiTheme="minorBidi" w:cstheme="minorBidi"/>
          <w:sz w:val="22"/>
          <w:szCs w:val="22"/>
          <w:lang w:val="fr-FR"/>
        </w:rPr>
        <w:t xml:space="preserve"> de proroger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 xml:space="preserve">Équipe spéciale sur les exercices Vague du Pacifique </w:t>
      </w:r>
      <w:r w:rsidR="008231E2" w:rsidRPr="008231E2">
        <w:rPr>
          <w:rFonts w:asciiTheme="minorBidi" w:hAnsiTheme="minorBidi" w:cstheme="minorBidi"/>
          <w:sz w:val="22"/>
          <w:szCs w:val="22"/>
          <w:lang w:val="fr-FR"/>
        </w:rPr>
        <w:t>(</w:t>
      </w:r>
      <w:proofErr w:type="spellStart"/>
      <w:r w:rsidR="008231E2" w:rsidRPr="008231E2">
        <w:rPr>
          <w:rFonts w:asciiTheme="minorBidi" w:hAnsiTheme="minorBidi" w:cstheme="minorBidi"/>
          <w:color w:val="000000"/>
          <w:sz w:val="22"/>
          <w:szCs w:val="22"/>
          <w:lang w:val="fr-FR"/>
        </w:rPr>
        <w:t>PacWave</w:t>
      </w:r>
      <w:proofErr w:type="spellEnd"/>
      <w:r w:rsidR="008231E2" w:rsidRPr="008231E2">
        <w:rPr>
          <w:rFonts w:asciiTheme="minorBidi" w:hAnsiTheme="minorBidi" w:cstheme="minorBidi"/>
          <w:sz w:val="22"/>
          <w:szCs w:val="22"/>
          <w:lang w:val="fr-FR"/>
        </w:rPr>
        <w:t xml:space="preserve">) </w:t>
      </w:r>
      <w:r w:rsidR="00E617DC" w:rsidRPr="008231E2">
        <w:rPr>
          <w:rFonts w:asciiTheme="minorBidi" w:hAnsiTheme="minorBidi" w:cstheme="minorBidi"/>
          <w:sz w:val="22"/>
          <w:szCs w:val="22"/>
          <w:lang w:val="fr-FR"/>
        </w:rPr>
        <w:t>et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Équipe spéciale des prestataires de services relatifs aux tsunamis (TSP), placée sous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égide du Groupe de travail 2.</w:t>
      </w:r>
    </w:p>
    <w:p w14:paraId="2B2984D3" w14:textId="1B1CEE6B" w:rsidR="00E617DC"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5.</w:t>
      </w:r>
      <w:r w:rsidRPr="008231E2">
        <w:rPr>
          <w:rFonts w:asciiTheme="minorBidi" w:hAnsiTheme="minorBidi" w:cstheme="minorBidi"/>
          <w:sz w:val="22"/>
          <w:szCs w:val="22"/>
          <w:lang w:val="fr-FR"/>
        </w:rPr>
        <w:tab/>
      </w:r>
      <w:r w:rsidR="00E617DC" w:rsidRPr="008231E2">
        <w:rPr>
          <w:rFonts w:asciiTheme="minorBidi" w:hAnsiTheme="minorBidi" w:cstheme="minorBidi"/>
          <w:sz w:val="22"/>
          <w:szCs w:val="22"/>
          <w:lang w:val="fr-FR"/>
        </w:rPr>
        <w:t xml:space="preserve">Le </w:t>
      </w:r>
      <w:r w:rsidR="00E617DC" w:rsidRPr="008231E2">
        <w:rPr>
          <w:rFonts w:asciiTheme="minorBidi" w:hAnsiTheme="minorBidi" w:cstheme="minorBidi"/>
          <w:b/>
          <w:bCs/>
          <w:sz w:val="22"/>
          <w:szCs w:val="22"/>
          <w:lang w:val="fr-FR"/>
        </w:rPr>
        <w:t>GIC a décidé</w:t>
      </w:r>
      <w:r w:rsidR="00E617DC" w:rsidRPr="008231E2">
        <w:rPr>
          <w:rFonts w:asciiTheme="minorBidi" w:hAnsiTheme="minorBidi" w:cstheme="minorBidi"/>
          <w:sz w:val="22"/>
          <w:szCs w:val="22"/>
          <w:lang w:val="fr-FR"/>
        </w:rPr>
        <w:t xml:space="preserve"> de dissoudre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Équipe spéciale sur la Décennie des Nations Unies pour les sciences océaniques au service du développement durable,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Équipe spéciale sur les objectifs futurs et le suivi des résultats</w:t>
      </w:r>
      <w:r w:rsidR="00837D40">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 xml:space="preserve"> et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Équipe spéciale du Groupe de travail 2 sur les niveaux de compétence minimum pour le personnel opérationnel du Centre national d</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alerte aux tsunamis (NTWC).</w:t>
      </w:r>
    </w:p>
    <w:p w14:paraId="72D94DEB" w14:textId="5ECE260D" w:rsidR="00E617DC"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6.</w:t>
      </w:r>
      <w:r w:rsidRPr="008231E2">
        <w:rPr>
          <w:rFonts w:asciiTheme="minorBidi" w:hAnsiTheme="minorBidi" w:cstheme="minorBidi"/>
          <w:sz w:val="22"/>
          <w:szCs w:val="22"/>
          <w:lang w:val="fr-FR"/>
        </w:rPr>
        <w:tab/>
      </w:r>
      <w:r w:rsidR="00E617DC" w:rsidRPr="008231E2">
        <w:rPr>
          <w:rFonts w:asciiTheme="minorBidi" w:hAnsiTheme="minorBidi" w:cstheme="minorBidi"/>
          <w:b/>
          <w:bCs/>
          <w:sz w:val="22"/>
          <w:szCs w:val="22"/>
          <w:lang w:val="fr-FR"/>
        </w:rPr>
        <w:t>Le GIC a décidé</w:t>
      </w:r>
      <w:r w:rsidR="00E617DC" w:rsidRPr="008231E2">
        <w:rPr>
          <w:rFonts w:asciiTheme="minorBidi" w:hAnsiTheme="minorBidi" w:cstheme="minorBidi"/>
          <w:sz w:val="22"/>
          <w:szCs w:val="22"/>
          <w:lang w:val="fr-FR"/>
        </w:rPr>
        <w:t xml:space="preserve"> de créer une équipe spéciale sur les Tsunamis d</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origine volcanique, placée sous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égide du Groupe de travail 2 ; une équipe spéciale sur la planification au départ des observations océaniques, également placée sous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égide du Groupe de travail 2 ; une équipe spéciale sur le programme de certification Tsunami Ready de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UNESCO/COI, placée sous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égide du Groupe de travail 3 ; et une équipe spéciale sur les plates-formes d</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échange d</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informations, placée sous l</w:t>
      </w:r>
      <w:r w:rsidR="002D74E2" w:rsidRPr="008231E2">
        <w:rPr>
          <w:rFonts w:asciiTheme="minorBidi" w:hAnsiTheme="minorBidi" w:cstheme="minorBidi"/>
          <w:sz w:val="22"/>
          <w:szCs w:val="22"/>
          <w:lang w:val="fr-FR"/>
        </w:rPr>
        <w:t>’</w:t>
      </w:r>
      <w:r w:rsidR="00E617DC" w:rsidRPr="008231E2">
        <w:rPr>
          <w:rFonts w:asciiTheme="minorBidi" w:hAnsiTheme="minorBidi" w:cstheme="minorBidi"/>
          <w:sz w:val="22"/>
          <w:szCs w:val="22"/>
          <w:lang w:val="fr-FR"/>
        </w:rPr>
        <w:t>égide du Groupe de travail des pays et territoires insulaires du Pacifique.</w:t>
      </w:r>
    </w:p>
    <w:p w14:paraId="158F2437" w14:textId="459E0827" w:rsidR="00610465" w:rsidRPr="008231E2" w:rsidRDefault="00417BC8" w:rsidP="00795282">
      <w:pPr>
        <w:keepNext/>
        <w:keepLines/>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7.</w:t>
      </w:r>
      <w:r w:rsidRPr="008231E2">
        <w:rPr>
          <w:rFonts w:asciiTheme="minorBidi" w:hAnsiTheme="minorBidi" w:cstheme="minorBidi"/>
          <w:sz w:val="22"/>
          <w:szCs w:val="22"/>
          <w:lang w:val="fr-FR"/>
        </w:rPr>
        <w:tab/>
      </w:r>
      <w:r w:rsidR="00610465" w:rsidRPr="008231E2">
        <w:rPr>
          <w:rFonts w:asciiTheme="minorBidi" w:hAnsiTheme="minorBidi" w:cstheme="minorBidi"/>
          <w:b/>
          <w:bCs/>
          <w:sz w:val="22"/>
          <w:szCs w:val="22"/>
          <w:lang w:val="fr-FR"/>
        </w:rPr>
        <w:t>Le GIC a décidé</w:t>
      </w:r>
      <w:r w:rsidR="00610465" w:rsidRPr="008231E2">
        <w:rPr>
          <w:rFonts w:asciiTheme="minorBidi" w:hAnsiTheme="minorBidi" w:cstheme="minorBidi"/>
          <w:sz w:val="22"/>
          <w:szCs w:val="22"/>
          <w:lang w:val="fr-FR"/>
        </w:rPr>
        <w:t xml:space="preserve">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effectuer un onzième exercice Vague du Pacifique en</w:t>
      </w:r>
      <w:r w:rsidR="00DA2E43" w:rsidRPr="008231E2">
        <w:rPr>
          <w:rFonts w:asciiTheme="minorBidi" w:hAnsiTheme="minorBidi" w:cstheme="minorBidi"/>
          <w:sz w:val="22"/>
          <w:szCs w:val="22"/>
          <w:lang w:val="fr-FR"/>
        </w:rPr>
        <w:t> </w:t>
      </w:r>
      <w:r w:rsidR="00610465" w:rsidRPr="008231E2">
        <w:rPr>
          <w:rFonts w:asciiTheme="minorBidi" w:hAnsiTheme="minorBidi" w:cstheme="minorBidi"/>
          <w:sz w:val="22"/>
          <w:szCs w:val="22"/>
          <w:lang w:val="fr-FR"/>
        </w:rPr>
        <w:t>2024 (</w:t>
      </w:r>
      <w:proofErr w:type="spellStart"/>
      <w:r w:rsidR="00610465" w:rsidRPr="008231E2">
        <w:rPr>
          <w:rFonts w:asciiTheme="minorBidi" w:hAnsiTheme="minorBidi" w:cstheme="minorBidi"/>
          <w:sz w:val="22"/>
          <w:szCs w:val="22"/>
          <w:lang w:val="fr-FR"/>
        </w:rPr>
        <w:t>PacWave</w:t>
      </w:r>
      <w:proofErr w:type="spellEnd"/>
      <w:r w:rsidR="00610465" w:rsidRPr="008231E2">
        <w:rPr>
          <w:rFonts w:asciiTheme="minorBidi" w:hAnsiTheme="minorBidi" w:cstheme="minorBidi"/>
          <w:sz w:val="22"/>
          <w:szCs w:val="22"/>
          <w:lang w:val="fr-FR"/>
        </w:rPr>
        <w:t xml:space="preserve"> 24) entre septembre et novembre 2024, pour marquer la Journée internationale pour la réduction des risques de catastrophe (13 octobre) et la Journée mondiale de sensibilisation aux tsunamis (5 novembre).</w:t>
      </w:r>
    </w:p>
    <w:p w14:paraId="2F6CFE90" w14:textId="44998E68" w:rsidR="00610465"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8.</w:t>
      </w:r>
      <w:r w:rsidRPr="008231E2">
        <w:rPr>
          <w:rFonts w:asciiTheme="minorBidi" w:hAnsiTheme="minorBidi" w:cstheme="minorBidi"/>
          <w:sz w:val="22"/>
          <w:szCs w:val="22"/>
          <w:lang w:val="fr-FR"/>
        </w:rPr>
        <w:tab/>
      </w:r>
      <w:r w:rsidR="00610465" w:rsidRPr="008231E2">
        <w:rPr>
          <w:rFonts w:asciiTheme="minorBidi" w:hAnsiTheme="minorBidi" w:cstheme="minorBidi"/>
          <w:b/>
          <w:bCs/>
          <w:sz w:val="22"/>
          <w:szCs w:val="22"/>
          <w:lang w:val="fr-FR"/>
        </w:rPr>
        <w:t xml:space="preserve">Le GIC a accepté avec gratitude </w:t>
      </w:r>
      <w:r w:rsidR="00610465" w:rsidRPr="008231E2">
        <w:rPr>
          <w:rFonts w:asciiTheme="minorBidi" w:hAnsiTheme="minorBidi" w:cstheme="minorBidi"/>
          <w:sz w:val="22"/>
          <w:szCs w:val="22"/>
          <w:lang w:val="fr-FR"/>
        </w:rPr>
        <w:t>la généreuse proposition de la Chine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accueillir la 31</w:t>
      </w:r>
      <w:r w:rsidR="00610465" w:rsidRPr="008231E2">
        <w:rPr>
          <w:rFonts w:asciiTheme="minorBidi" w:hAnsiTheme="minorBidi" w:cstheme="minorBidi"/>
          <w:sz w:val="22"/>
          <w:szCs w:val="22"/>
          <w:vertAlign w:val="superscript"/>
          <w:lang w:val="fr-FR"/>
        </w:rPr>
        <w:t>e</w:t>
      </w:r>
      <w:r w:rsidR="00610465" w:rsidRPr="008231E2">
        <w:rPr>
          <w:rFonts w:asciiTheme="minorBidi" w:hAnsiTheme="minorBidi" w:cstheme="minorBidi"/>
          <w:sz w:val="22"/>
          <w:szCs w:val="22"/>
          <w:lang w:val="fr-FR"/>
        </w:rPr>
        <w:t> session du GIC/PTWS à Beijing, en avril 2025.</w:t>
      </w:r>
    </w:p>
    <w:p w14:paraId="036EB714" w14:textId="59D1BA73" w:rsidR="00610465"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lastRenderedPageBreak/>
        <w:t>9.</w:t>
      </w:r>
      <w:r w:rsidRPr="008231E2">
        <w:rPr>
          <w:rFonts w:asciiTheme="minorBidi" w:hAnsiTheme="minorBidi" w:cstheme="minorBidi"/>
          <w:sz w:val="22"/>
          <w:szCs w:val="22"/>
          <w:lang w:val="fr-FR"/>
        </w:rPr>
        <w:tab/>
      </w:r>
      <w:r w:rsidR="00610465" w:rsidRPr="008231E2">
        <w:rPr>
          <w:rFonts w:asciiTheme="minorBidi" w:hAnsiTheme="minorBidi" w:cstheme="minorBidi"/>
          <w:b/>
          <w:bCs/>
          <w:sz w:val="22"/>
          <w:szCs w:val="22"/>
          <w:lang w:val="fr-FR"/>
        </w:rPr>
        <w:t xml:space="preserve">Le GIC a accepté </w:t>
      </w:r>
      <w:r w:rsidR="00610465" w:rsidRPr="008231E2">
        <w:rPr>
          <w:rFonts w:asciiTheme="minorBidi" w:hAnsiTheme="minorBidi" w:cstheme="minorBidi"/>
          <w:sz w:val="22"/>
          <w:szCs w:val="22"/>
          <w:lang w:val="fr-FR"/>
        </w:rPr>
        <w:t>de soutenir une réunion scientifique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experts sur la fosse des Nouvelles</w:t>
      </w:r>
      <w:r w:rsidR="007E10D4">
        <w:rPr>
          <w:rFonts w:asciiTheme="minorBidi" w:hAnsiTheme="minorBidi" w:cstheme="minorBidi"/>
          <w:sz w:val="22"/>
          <w:szCs w:val="22"/>
          <w:lang w:val="fr-FR"/>
        </w:rPr>
        <w:noBreakHyphen/>
      </w:r>
      <w:r w:rsidR="00610465" w:rsidRPr="008231E2">
        <w:rPr>
          <w:rFonts w:asciiTheme="minorBidi" w:hAnsiTheme="minorBidi" w:cstheme="minorBidi"/>
          <w:sz w:val="22"/>
          <w:szCs w:val="22"/>
          <w:lang w:val="fr-FR"/>
        </w:rPr>
        <w:t>Hébrides ; une réunion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experts scientifiques sur la fosse des Nouvelles-Hébrides permettrait une meilleure évaluation des incertitudes relatives au risque de tsunami lié à cette zone de subduction et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arrière-arc.</w:t>
      </w:r>
    </w:p>
    <w:p w14:paraId="497228CC" w14:textId="043ADEEF" w:rsidR="00610465"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10.</w:t>
      </w:r>
      <w:r w:rsidRPr="008231E2">
        <w:rPr>
          <w:rFonts w:asciiTheme="minorBidi" w:hAnsiTheme="minorBidi" w:cstheme="minorBidi"/>
          <w:sz w:val="22"/>
          <w:szCs w:val="22"/>
          <w:lang w:val="fr-FR"/>
        </w:rPr>
        <w:tab/>
      </w:r>
      <w:r w:rsidR="00610465" w:rsidRPr="008231E2">
        <w:rPr>
          <w:rFonts w:asciiTheme="minorBidi" w:hAnsiTheme="minorBidi" w:cstheme="minorBidi"/>
          <w:b/>
          <w:bCs/>
          <w:sz w:val="22"/>
          <w:szCs w:val="22"/>
          <w:lang w:val="fr-FR"/>
        </w:rPr>
        <w:t>Le GIC a demandé</w:t>
      </w:r>
      <w:r w:rsidR="00610465" w:rsidRPr="008231E2">
        <w:rPr>
          <w:rFonts w:asciiTheme="minorBidi" w:hAnsiTheme="minorBidi" w:cstheme="minorBidi"/>
          <w:sz w:val="22"/>
          <w:szCs w:val="22"/>
          <w:lang w:val="fr-FR"/>
        </w:rPr>
        <w:t xml:space="preserve"> au Groupe de travail 1 de poursuivre son soutien aux études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évaluation du risque de tsunami dans le Pacifique, dans le cadre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 xml:space="preserve">une évaluation globale des risques, conformément au premier objectif du Programme relatif aux tsunamis de la Décennie des Nations Unies pour les sciences océaniques, afin de parvenir à une pleine couverture des côtes exposées à un risque de tsunami, et </w:t>
      </w:r>
      <w:r w:rsidR="00610465" w:rsidRPr="008231E2">
        <w:rPr>
          <w:rFonts w:asciiTheme="minorBidi" w:hAnsiTheme="minorBidi" w:cstheme="minorBidi"/>
          <w:b/>
          <w:bCs/>
          <w:sz w:val="22"/>
          <w:szCs w:val="22"/>
          <w:lang w:val="fr-FR"/>
        </w:rPr>
        <w:t>a encouragé</w:t>
      </w:r>
      <w:r w:rsidR="00610465" w:rsidRPr="008231E2">
        <w:rPr>
          <w:rFonts w:asciiTheme="minorBidi" w:hAnsiTheme="minorBidi" w:cstheme="minorBidi"/>
          <w:sz w:val="22"/>
          <w:szCs w:val="22"/>
          <w:lang w:val="fr-FR"/>
        </w:rPr>
        <w:t xml:space="preserve">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utilisation de ces études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évaluation du risque de tsunami dans divers programmes, tels que la formation du Centre international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information sur les tsunamis, le programme de certification Tsunami Ready de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UNESCO/COI, les activités des groupes de travail 2 et 3 du GIC/PTWS de la COI, et le Programme relatif aux tsunamis de la Décennie des Nations Unies pour les sciences océaniques.</w:t>
      </w:r>
    </w:p>
    <w:p w14:paraId="3B93EC3B" w14:textId="618729C6" w:rsidR="00610465"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11.</w:t>
      </w:r>
      <w:r w:rsidRPr="008231E2">
        <w:rPr>
          <w:rFonts w:asciiTheme="minorBidi" w:hAnsiTheme="minorBidi" w:cstheme="minorBidi"/>
          <w:sz w:val="22"/>
          <w:szCs w:val="22"/>
          <w:lang w:val="fr-FR"/>
        </w:rPr>
        <w:tab/>
      </w:r>
      <w:r w:rsidR="00610465" w:rsidRPr="008231E2">
        <w:rPr>
          <w:rFonts w:asciiTheme="minorBidi" w:hAnsiTheme="minorBidi" w:cstheme="minorBidi"/>
          <w:b/>
          <w:bCs/>
          <w:sz w:val="22"/>
          <w:szCs w:val="22"/>
          <w:lang w:val="fr-FR"/>
        </w:rPr>
        <w:t>Le GIC a pris la décision</w:t>
      </w:r>
      <w:r w:rsidR="00610465" w:rsidRPr="008231E2">
        <w:rPr>
          <w:rFonts w:asciiTheme="minorBidi" w:hAnsiTheme="minorBidi" w:cstheme="minorBidi"/>
          <w:sz w:val="22"/>
          <w:szCs w:val="22"/>
          <w:lang w:val="fr-FR"/>
        </w:rPr>
        <w:t xml:space="preserve"> de créer les procédures permanentes de suivi et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 xml:space="preserve">alerte </w:t>
      </w:r>
      <w:proofErr w:type="spellStart"/>
      <w:r w:rsidR="00610465" w:rsidRPr="008231E2">
        <w:rPr>
          <w:rFonts w:asciiTheme="minorBidi" w:hAnsiTheme="minorBidi" w:cstheme="minorBidi"/>
          <w:sz w:val="22"/>
          <w:szCs w:val="22"/>
          <w:lang w:val="fr-FR"/>
        </w:rPr>
        <w:t>Hunga</w:t>
      </w:r>
      <w:proofErr w:type="spellEnd"/>
      <w:r w:rsidR="00610465" w:rsidRPr="008231E2">
        <w:rPr>
          <w:rFonts w:asciiTheme="minorBidi" w:hAnsiTheme="minorBidi" w:cstheme="minorBidi"/>
          <w:sz w:val="22"/>
          <w:szCs w:val="22"/>
          <w:lang w:val="fr-FR"/>
        </w:rPr>
        <w:t xml:space="preserve"> Tonga-</w:t>
      </w:r>
      <w:proofErr w:type="spellStart"/>
      <w:r w:rsidR="00610465" w:rsidRPr="008231E2">
        <w:rPr>
          <w:rFonts w:asciiTheme="minorBidi" w:hAnsiTheme="minorBidi" w:cstheme="minorBidi"/>
          <w:sz w:val="22"/>
          <w:szCs w:val="22"/>
          <w:lang w:val="fr-FR"/>
        </w:rPr>
        <w:t>Hunga</w:t>
      </w:r>
      <w:proofErr w:type="spellEnd"/>
      <w:r w:rsidR="00610465" w:rsidRPr="008231E2">
        <w:rPr>
          <w:rFonts w:asciiTheme="minorBidi" w:hAnsiTheme="minorBidi" w:cstheme="minorBidi"/>
          <w:sz w:val="22"/>
          <w:szCs w:val="22"/>
          <w:lang w:val="fr-FR"/>
        </w:rPr>
        <w:t xml:space="preserve"> </w:t>
      </w:r>
      <w:proofErr w:type="spellStart"/>
      <w:r w:rsidR="00610465" w:rsidRPr="008231E2">
        <w:rPr>
          <w:rFonts w:asciiTheme="minorBidi" w:hAnsiTheme="minorBidi" w:cstheme="minorBidi"/>
          <w:sz w:val="22"/>
          <w:szCs w:val="22"/>
          <w:lang w:val="fr-FR"/>
        </w:rPr>
        <w:t>Ha</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apai</w:t>
      </w:r>
      <w:proofErr w:type="spellEnd"/>
      <w:r w:rsidR="00610465" w:rsidRPr="008231E2">
        <w:rPr>
          <w:rFonts w:asciiTheme="minorBidi" w:hAnsiTheme="minorBidi" w:cstheme="minorBidi"/>
          <w:sz w:val="22"/>
          <w:szCs w:val="22"/>
          <w:lang w:val="fr-FR"/>
        </w:rPr>
        <w:t> (HTHH), fondées sur les produits et les méthodes utilisées par le Centre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alerte aux tsunamis dans le Pacifique depuis mars 2022 et présentées dans les lettres circulaires de la COI n°</w:t>
      </w:r>
      <w:r w:rsidR="00F60CFF">
        <w:rPr>
          <w:rFonts w:asciiTheme="minorBidi" w:hAnsiTheme="minorBidi" w:cstheme="minorBidi"/>
          <w:sz w:val="22"/>
          <w:szCs w:val="22"/>
          <w:lang w:val="fr-FR"/>
        </w:rPr>
        <w:t> </w:t>
      </w:r>
      <w:r w:rsidR="002E77B1">
        <w:fldChar w:fldCharType="begin"/>
      </w:r>
      <w:r w:rsidR="002E77B1" w:rsidRPr="002E77B1">
        <w:rPr>
          <w:lang w:val="fr-FR"/>
        </w:rPr>
        <w:instrText>HYPERLINK "https://oceanexpert.org/document/30136"</w:instrText>
      </w:r>
      <w:r w:rsidR="002E77B1">
        <w:fldChar w:fldCharType="separate"/>
      </w:r>
      <w:r w:rsidR="00610465" w:rsidRPr="008231E2">
        <w:rPr>
          <w:rStyle w:val="Hyperlink"/>
          <w:rFonts w:asciiTheme="minorBidi" w:hAnsiTheme="minorBidi" w:cstheme="minorBidi"/>
          <w:sz w:val="22"/>
          <w:szCs w:val="22"/>
          <w:lang w:val="fr-FR"/>
        </w:rPr>
        <w:t>2882</w:t>
      </w:r>
      <w:r w:rsidR="002E77B1">
        <w:rPr>
          <w:rStyle w:val="Hyperlink"/>
          <w:rFonts w:asciiTheme="minorBidi" w:hAnsiTheme="minorBidi" w:cstheme="minorBidi"/>
          <w:sz w:val="22"/>
          <w:szCs w:val="22"/>
          <w:lang w:val="fr-FR"/>
        </w:rPr>
        <w:fldChar w:fldCharType="end"/>
      </w:r>
      <w:r w:rsidR="00610465" w:rsidRPr="008231E2">
        <w:rPr>
          <w:rFonts w:asciiTheme="minorBidi" w:hAnsiTheme="minorBidi" w:cstheme="minorBidi"/>
          <w:sz w:val="22"/>
          <w:szCs w:val="22"/>
          <w:lang w:val="fr-FR"/>
        </w:rPr>
        <w:t xml:space="preserve"> et </w:t>
      </w:r>
      <w:r w:rsidR="002E77B1">
        <w:fldChar w:fldCharType="begin"/>
      </w:r>
      <w:r w:rsidR="002E77B1" w:rsidRPr="002E77B1">
        <w:rPr>
          <w:lang w:val="fr-FR"/>
        </w:rPr>
        <w:instrText>HYPERLINK "https://oceanexpert.org/document/30759"</w:instrText>
      </w:r>
      <w:r w:rsidR="002E77B1">
        <w:fldChar w:fldCharType="separate"/>
      </w:r>
      <w:r w:rsidR="00610465" w:rsidRPr="008231E2">
        <w:rPr>
          <w:rStyle w:val="Hyperlink"/>
          <w:rFonts w:asciiTheme="minorBidi" w:hAnsiTheme="minorBidi" w:cstheme="minorBidi"/>
          <w:sz w:val="22"/>
          <w:szCs w:val="22"/>
          <w:lang w:val="fr-FR"/>
        </w:rPr>
        <w:t>2902</w:t>
      </w:r>
      <w:r w:rsidR="002E77B1">
        <w:rPr>
          <w:rStyle w:val="Hyperlink"/>
          <w:rFonts w:asciiTheme="minorBidi" w:hAnsiTheme="minorBidi" w:cstheme="minorBidi"/>
          <w:sz w:val="22"/>
          <w:szCs w:val="22"/>
          <w:lang w:val="fr-FR"/>
        </w:rPr>
        <w:fldChar w:fldCharType="end"/>
      </w:r>
      <w:r w:rsidR="00610465" w:rsidRPr="008231E2">
        <w:rPr>
          <w:rFonts w:asciiTheme="minorBidi" w:hAnsiTheme="minorBidi" w:cstheme="minorBidi"/>
          <w:sz w:val="22"/>
          <w:szCs w:val="22"/>
          <w:lang w:val="fr-FR"/>
        </w:rPr>
        <w:t>.</w:t>
      </w:r>
    </w:p>
    <w:p w14:paraId="34DA7045" w14:textId="61614273" w:rsidR="00610465"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12.</w:t>
      </w:r>
      <w:r w:rsidRPr="008231E2">
        <w:rPr>
          <w:rFonts w:asciiTheme="minorBidi" w:hAnsiTheme="minorBidi" w:cstheme="minorBidi"/>
          <w:sz w:val="22"/>
          <w:szCs w:val="22"/>
          <w:lang w:val="fr-FR"/>
        </w:rPr>
        <w:tab/>
      </w:r>
      <w:r w:rsidR="00610465" w:rsidRPr="008231E2">
        <w:rPr>
          <w:rFonts w:asciiTheme="minorBidi" w:hAnsiTheme="minorBidi" w:cstheme="minorBidi"/>
          <w:b/>
          <w:bCs/>
          <w:sz w:val="22"/>
          <w:szCs w:val="22"/>
          <w:lang w:val="fr-FR"/>
        </w:rPr>
        <w:t xml:space="preserve">Le GIC a considéré </w:t>
      </w:r>
      <w:r w:rsidR="00610465" w:rsidRPr="008231E2">
        <w:rPr>
          <w:rFonts w:asciiTheme="minorBidi" w:hAnsiTheme="minorBidi" w:cstheme="minorBidi"/>
          <w:sz w:val="22"/>
          <w:szCs w:val="22"/>
          <w:lang w:val="fr-FR"/>
        </w:rPr>
        <w:t>que la zone sismique dans la région de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arc de la Scotia est très active et a provoqué 33 séismes de magnitude 6.5 ou plus depuis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an 2000, parmi lesquels 13 étaient de magnitude 7.0 ou plus. Il</w:t>
      </w:r>
      <w:r w:rsidR="00610465" w:rsidRPr="008231E2">
        <w:rPr>
          <w:rFonts w:asciiTheme="minorBidi" w:hAnsiTheme="minorBidi" w:cstheme="minorBidi"/>
          <w:b/>
          <w:bCs/>
          <w:sz w:val="22"/>
          <w:szCs w:val="22"/>
          <w:lang w:val="fr-FR"/>
        </w:rPr>
        <w:t xml:space="preserve"> a décidé</w:t>
      </w:r>
      <w:r w:rsidR="00610465" w:rsidRPr="008231E2">
        <w:rPr>
          <w:rFonts w:asciiTheme="minorBidi" w:hAnsiTheme="minorBidi" w:cstheme="minorBidi"/>
          <w:sz w:val="22"/>
          <w:szCs w:val="22"/>
          <w:lang w:val="fr-FR"/>
        </w:rPr>
        <w:t xml:space="preserve">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élargir les foyers de séismes du PTWS pour inclure une région comprise entre 63° et 52° de latitude sud et entre 72° et 18° de longitude ouest, y compris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arc de la Scotia et ses zones sismiques adjacentes, et</w:t>
      </w:r>
      <w:r w:rsidR="00610465" w:rsidRPr="008231E2">
        <w:rPr>
          <w:rFonts w:asciiTheme="minorBidi" w:hAnsiTheme="minorBidi" w:cstheme="minorBidi"/>
          <w:b/>
          <w:bCs/>
          <w:sz w:val="22"/>
          <w:szCs w:val="22"/>
          <w:lang w:val="fr-FR"/>
        </w:rPr>
        <w:t xml:space="preserve"> a prié</w:t>
      </w:r>
      <w:r w:rsidR="00610465" w:rsidRPr="008231E2">
        <w:rPr>
          <w:rFonts w:asciiTheme="minorBidi" w:hAnsiTheme="minorBidi" w:cstheme="minorBidi"/>
          <w:sz w:val="22"/>
          <w:szCs w:val="22"/>
          <w:lang w:val="fr-FR"/>
        </w:rPr>
        <w:t xml:space="preserve"> la COI de réviser en conséquence la carte des foyers de séismes du PTWS dans le n°</w:t>
      </w:r>
      <w:r w:rsidR="006C3D18">
        <w:rPr>
          <w:rFonts w:asciiTheme="minorBidi" w:hAnsiTheme="minorBidi" w:cstheme="minorBidi"/>
          <w:sz w:val="22"/>
          <w:szCs w:val="22"/>
          <w:lang w:val="fr-FR"/>
        </w:rPr>
        <w:t> </w:t>
      </w:r>
      <w:r w:rsidR="002E77B1">
        <w:fldChar w:fldCharType="begin"/>
      </w:r>
      <w:r w:rsidR="002E77B1" w:rsidRPr="002E77B1">
        <w:rPr>
          <w:lang w:val="fr-FR"/>
        </w:rPr>
        <w:instrText>HYPERLINK "https://unesdoc.unesco.org/ark:/48223/pf0000246931.locale=en"</w:instrText>
      </w:r>
      <w:r w:rsidR="002E77B1">
        <w:fldChar w:fldCharType="separate"/>
      </w:r>
      <w:r w:rsidR="00610465" w:rsidRPr="008231E2">
        <w:rPr>
          <w:rStyle w:val="Hyperlink"/>
          <w:rFonts w:asciiTheme="minorBidi" w:hAnsiTheme="minorBidi" w:cstheme="minorBidi"/>
          <w:sz w:val="22"/>
          <w:szCs w:val="22"/>
          <w:lang w:val="fr-FR"/>
        </w:rPr>
        <w:t>130</w:t>
      </w:r>
      <w:r w:rsidR="002E77B1">
        <w:rPr>
          <w:rStyle w:val="Hyperlink"/>
          <w:rFonts w:asciiTheme="minorBidi" w:hAnsiTheme="minorBidi" w:cstheme="minorBidi"/>
          <w:sz w:val="22"/>
          <w:szCs w:val="22"/>
          <w:lang w:val="fr-FR"/>
        </w:rPr>
        <w:fldChar w:fldCharType="end"/>
      </w:r>
      <w:r w:rsidR="00610465" w:rsidRPr="008231E2">
        <w:rPr>
          <w:rFonts w:asciiTheme="minorBidi" w:hAnsiTheme="minorBidi" w:cstheme="minorBidi"/>
          <w:sz w:val="22"/>
          <w:szCs w:val="22"/>
          <w:lang w:val="fr-FR"/>
        </w:rPr>
        <w:t xml:space="preserve"> de la Série technique de la COI (</w:t>
      </w:r>
      <w:r w:rsidR="00610465" w:rsidRPr="008231E2">
        <w:rPr>
          <w:rFonts w:asciiTheme="minorBidi" w:hAnsiTheme="minorBidi" w:cstheme="minorBidi"/>
          <w:i/>
          <w:iCs/>
          <w:sz w:val="22"/>
          <w:szCs w:val="22"/>
          <w:lang w:val="fr-FR"/>
        </w:rPr>
        <w:t xml:space="preserve">Tsunami </w:t>
      </w:r>
      <w:proofErr w:type="spellStart"/>
      <w:r w:rsidR="00610465" w:rsidRPr="008231E2">
        <w:rPr>
          <w:rFonts w:asciiTheme="minorBidi" w:hAnsiTheme="minorBidi" w:cstheme="minorBidi"/>
          <w:i/>
          <w:iCs/>
          <w:sz w:val="22"/>
          <w:szCs w:val="22"/>
          <w:lang w:val="fr-FR"/>
        </w:rPr>
        <w:t>watch</w:t>
      </w:r>
      <w:proofErr w:type="spellEnd"/>
      <w:r w:rsidR="00610465" w:rsidRPr="008231E2">
        <w:rPr>
          <w:rFonts w:asciiTheme="minorBidi" w:hAnsiTheme="minorBidi" w:cstheme="minorBidi"/>
          <w:i/>
          <w:iCs/>
          <w:sz w:val="22"/>
          <w:szCs w:val="22"/>
          <w:lang w:val="fr-FR"/>
        </w:rPr>
        <w:t xml:space="preserve"> </w:t>
      </w:r>
      <w:proofErr w:type="spellStart"/>
      <w:proofErr w:type="gramStart"/>
      <w:r w:rsidR="00610465" w:rsidRPr="008231E2">
        <w:rPr>
          <w:rFonts w:asciiTheme="minorBidi" w:hAnsiTheme="minorBidi" w:cstheme="minorBidi"/>
          <w:i/>
          <w:iCs/>
          <w:sz w:val="22"/>
          <w:szCs w:val="22"/>
          <w:lang w:val="fr-FR"/>
        </w:rPr>
        <w:t>operations</w:t>
      </w:r>
      <w:proofErr w:type="spellEnd"/>
      <w:r w:rsidR="00610465" w:rsidRPr="008231E2">
        <w:rPr>
          <w:rFonts w:asciiTheme="minorBidi" w:hAnsiTheme="minorBidi" w:cstheme="minorBidi"/>
          <w:i/>
          <w:iCs/>
          <w:sz w:val="22"/>
          <w:szCs w:val="22"/>
          <w:lang w:val="fr-FR"/>
        </w:rPr>
        <w:t>:</w:t>
      </w:r>
      <w:proofErr w:type="gramEnd"/>
      <w:r w:rsidR="00610465" w:rsidRPr="008231E2">
        <w:rPr>
          <w:rFonts w:asciiTheme="minorBidi" w:hAnsiTheme="minorBidi" w:cstheme="minorBidi"/>
          <w:i/>
          <w:iCs/>
          <w:sz w:val="22"/>
          <w:szCs w:val="22"/>
          <w:lang w:val="fr-FR"/>
        </w:rPr>
        <w:t xml:space="preserve"> global service </w:t>
      </w:r>
      <w:proofErr w:type="spellStart"/>
      <w:r w:rsidR="00610465" w:rsidRPr="008231E2">
        <w:rPr>
          <w:rFonts w:asciiTheme="minorBidi" w:hAnsiTheme="minorBidi" w:cstheme="minorBidi"/>
          <w:i/>
          <w:iCs/>
          <w:sz w:val="22"/>
          <w:szCs w:val="22"/>
          <w:lang w:val="fr-FR"/>
        </w:rPr>
        <w:t>definition</w:t>
      </w:r>
      <w:proofErr w:type="spellEnd"/>
      <w:r w:rsidR="00610465" w:rsidRPr="008231E2">
        <w:rPr>
          <w:rFonts w:asciiTheme="minorBidi" w:hAnsiTheme="minorBidi" w:cstheme="minorBidi"/>
          <w:i/>
          <w:iCs/>
          <w:sz w:val="22"/>
          <w:szCs w:val="22"/>
          <w:lang w:val="fr-FR"/>
        </w:rPr>
        <w:t xml:space="preserve"> document</w:t>
      </w:r>
      <w:r w:rsidR="00610465" w:rsidRPr="008231E2">
        <w:rPr>
          <w:rFonts w:asciiTheme="minorBidi" w:hAnsiTheme="minorBidi" w:cstheme="minorBidi"/>
          <w:sz w:val="22"/>
          <w:szCs w:val="22"/>
          <w:lang w:val="fr-FR"/>
        </w:rPr>
        <w:t>).</w:t>
      </w:r>
    </w:p>
    <w:p w14:paraId="3B11E2EE" w14:textId="4DFDC59B" w:rsidR="00610465"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13.</w:t>
      </w:r>
      <w:r w:rsidRPr="008231E2">
        <w:rPr>
          <w:rFonts w:asciiTheme="minorBidi" w:hAnsiTheme="minorBidi" w:cstheme="minorBidi"/>
          <w:sz w:val="22"/>
          <w:szCs w:val="22"/>
          <w:lang w:val="fr-FR"/>
        </w:rPr>
        <w:tab/>
      </w:r>
      <w:r w:rsidR="00610465" w:rsidRPr="008231E2">
        <w:rPr>
          <w:rFonts w:asciiTheme="minorBidi" w:hAnsiTheme="minorBidi" w:cstheme="minorBidi"/>
          <w:b/>
          <w:bCs/>
          <w:sz w:val="22"/>
          <w:szCs w:val="22"/>
          <w:lang w:val="fr-FR"/>
        </w:rPr>
        <w:t>Le GIC a pris note</w:t>
      </w:r>
      <w:r w:rsidR="00610465" w:rsidRPr="008231E2">
        <w:rPr>
          <w:rFonts w:asciiTheme="minorBidi" w:hAnsiTheme="minorBidi" w:cstheme="minorBidi"/>
          <w:sz w:val="22"/>
          <w:szCs w:val="22"/>
          <w:lang w:val="fr-FR"/>
        </w:rPr>
        <w:t xml:space="preserve"> des progrès accomplis en ce qui concerne les câbles SMART dans le Pacifique et à travers le monde ; </w:t>
      </w:r>
      <w:r w:rsidR="00610465" w:rsidRPr="008231E2">
        <w:rPr>
          <w:rFonts w:asciiTheme="minorBidi" w:hAnsiTheme="minorBidi" w:cstheme="minorBidi"/>
          <w:b/>
          <w:bCs/>
          <w:sz w:val="22"/>
          <w:szCs w:val="22"/>
          <w:lang w:val="fr-FR"/>
        </w:rPr>
        <w:t>a également pris note</w:t>
      </w:r>
      <w:r w:rsidR="00610465" w:rsidRPr="008231E2">
        <w:rPr>
          <w:rFonts w:asciiTheme="minorBidi" w:hAnsiTheme="minorBidi" w:cstheme="minorBidi"/>
          <w:sz w:val="22"/>
          <w:szCs w:val="22"/>
          <w:lang w:val="fr-FR"/>
        </w:rPr>
        <w:t xml:space="preserve"> des avancées en ce qui concerne les instruments du Système mondial de navigation par satellite (GNSS) et le traitement en temps réel, ainsi que la capacité de celles-ci à contribuer aux objectifs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 xml:space="preserve">alerte rapide aux tsunamis du PTWS ; </w:t>
      </w:r>
      <w:r w:rsidR="00610465" w:rsidRPr="008231E2">
        <w:rPr>
          <w:rFonts w:asciiTheme="minorBidi" w:hAnsiTheme="minorBidi" w:cstheme="minorBidi"/>
          <w:b/>
          <w:bCs/>
          <w:sz w:val="22"/>
          <w:szCs w:val="22"/>
          <w:lang w:val="fr-FR"/>
        </w:rPr>
        <w:t xml:space="preserve">a recommandé </w:t>
      </w:r>
      <w:r w:rsidR="00610465" w:rsidRPr="008231E2">
        <w:rPr>
          <w:rFonts w:asciiTheme="minorBidi" w:hAnsiTheme="minorBidi" w:cstheme="minorBidi"/>
          <w:sz w:val="22"/>
          <w:szCs w:val="22"/>
          <w:lang w:val="fr-FR"/>
        </w:rPr>
        <w:t>au Groupe de travail 2 de poursuivre son étroite collaboration avec le Groupe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action mixte UIT/OMM/UNESCO-COI pour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initiative des câbles SMART et le projet GTEWS Oceania de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Union géodésique et géophysique internationale (UGGI), afin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utiliser les données de suivi issues de ces actions lorsqu</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elles seront disponibles.</w:t>
      </w:r>
    </w:p>
    <w:p w14:paraId="383B9276" w14:textId="65FF0EA1" w:rsidR="00610465"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14.</w:t>
      </w:r>
      <w:r w:rsidRPr="008231E2">
        <w:rPr>
          <w:rFonts w:asciiTheme="minorBidi" w:hAnsiTheme="minorBidi" w:cstheme="minorBidi"/>
          <w:sz w:val="22"/>
          <w:szCs w:val="22"/>
          <w:lang w:val="fr-FR"/>
        </w:rPr>
        <w:tab/>
      </w:r>
      <w:r w:rsidR="00610465" w:rsidRPr="008231E2">
        <w:rPr>
          <w:rFonts w:asciiTheme="minorBidi" w:hAnsiTheme="minorBidi" w:cstheme="minorBidi"/>
          <w:b/>
          <w:bCs/>
          <w:sz w:val="22"/>
          <w:szCs w:val="22"/>
          <w:lang w:val="fr-FR"/>
        </w:rPr>
        <w:t>Le GIC a observé</w:t>
      </w:r>
      <w:r w:rsidR="00610465" w:rsidRPr="008231E2">
        <w:rPr>
          <w:rFonts w:asciiTheme="minorBidi" w:hAnsiTheme="minorBidi" w:cstheme="minorBidi"/>
          <w:sz w:val="22"/>
          <w:szCs w:val="22"/>
          <w:lang w:val="fr-FR"/>
        </w:rPr>
        <w:t xml:space="preserve"> les difficultés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envoi de messages par télécopieur et a noté la demande de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 xml:space="preserve">Équipe spéciale des prestataires de services relatifs aux tsunamis présentée dans le rapport du Groupe de travail 2 lors du GIC/PTWS-XXX ; </w:t>
      </w:r>
      <w:r w:rsidR="00610465" w:rsidRPr="008231E2">
        <w:rPr>
          <w:rFonts w:asciiTheme="minorBidi" w:hAnsiTheme="minorBidi" w:cstheme="minorBidi"/>
          <w:b/>
          <w:bCs/>
          <w:sz w:val="22"/>
          <w:szCs w:val="22"/>
          <w:lang w:val="fr-FR"/>
        </w:rPr>
        <w:t>a prié</w:t>
      </w:r>
      <w:r w:rsidR="00610465" w:rsidRPr="008231E2">
        <w:rPr>
          <w:rFonts w:asciiTheme="minorBidi" w:hAnsiTheme="minorBidi" w:cstheme="minorBidi"/>
          <w:sz w:val="22"/>
          <w:szCs w:val="22"/>
          <w:lang w:val="fr-FR"/>
        </w:rPr>
        <w:t xml:space="preserve"> le Secrétariat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écrire aux États membres afin de leur demander un retour sur les propositions de modifications concernant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envoi de messages par télécopieur, ainsi que de demander aux États membres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indiquer si les propositions de modification représentaient un risque inacceptable pour leur centre national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alerte aux tsunamis respectif et, le cas échéant, de recommander à ces États membres de coopérer avec leur prestataire de services relatifs aux tsunamis (TSP) afin de recenser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autres méthodes pour recevoir les messages du TSP.</w:t>
      </w:r>
    </w:p>
    <w:p w14:paraId="606E9614" w14:textId="607CD4C3" w:rsidR="008165A7" w:rsidRPr="008231E2" w:rsidRDefault="00417BC8" w:rsidP="007A3407">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15.</w:t>
      </w:r>
      <w:r w:rsidRPr="008231E2">
        <w:rPr>
          <w:rFonts w:asciiTheme="minorBidi" w:hAnsiTheme="minorBidi" w:cstheme="minorBidi"/>
          <w:sz w:val="22"/>
          <w:szCs w:val="22"/>
          <w:lang w:val="fr-FR"/>
        </w:rPr>
        <w:tab/>
      </w:r>
      <w:r w:rsidR="00610465" w:rsidRPr="008231E2">
        <w:rPr>
          <w:rFonts w:asciiTheme="minorBidi" w:hAnsiTheme="minorBidi" w:cstheme="minorBidi"/>
          <w:b/>
          <w:bCs/>
          <w:sz w:val="22"/>
          <w:szCs w:val="22"/>
          <w:lang w:val="fr-FR"/>
        </w:rPr>
        <w:t>Le GIC a pris note</w:t>
      </w:r>
      <w:r w:rsidR="00610465" w:rsidRPr="008231E2">
        <w:rPr>
          <w:rFonts w:asciiTheme="minorBidi" w:hAnsiTheme="minorBidi" w:cstheme="minorBidi"/>
          <w:sz w:val="22"/>
          <w:szCs w:val="22"/>
          <w:lang w:val="fr-FR"/>
        </w:rPr>
        <w:t xml:space="preserve"> des recommandations formulées par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Équipe spéciale sur les niveaux de compétences minimum, ainsi que de la soumission à la COI, pour examen,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un cadre de compétences minimum, et dans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attente que les conditions relatives à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évaluation de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 xml:space="preserve">efficacité soient remplies, et </w:t>
      </w:r>
      <w:r w:rsidR="00610465" w:rsidRPr="008231E2">
        <w:rPr>
          <w:rFonts w:asciiTheme="minorBidi" w:hAnsiTheme="minorBidi" w:cstheme="minorBidi"/>
          <w:b/>
          <w:bCs/>
          <w:sz w:val="22"/>
          <w:szCs w:val="22"/>
          <w:lang w:val="fr-FR"/>
        </w:rPr>
        <w:t>a en outre pris note</w:t>
      </w:r>
      <w:r w:rsidR="00610465" w:rsidRPr="008231E2">
        <w:rPr>
          <w:rFonts w:asciiTheme="minorBidi" w:hAnsiTheme="minorBidi" w:cstheme="minorBidi"/>
          <w:sz w:val="22"/>
          <w:szCs w:val="22"/>
          <w:lang w:val="fr-FR"/>
        </w:rPr>
        <w:t xml:space="preserve"> des instructions données par le Groupe de travail sur les systèmes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alerte aux tsunamis et autres aléas liés au niveau de la mer, et de mitigation (TOWS</w:t>
      </w:r>
      <w:r w:rsidR="00777FCD">
        <w:rPr>
          <w:rFonts w:asciiTheme="minorBidi" w:hAnsiTheme="minorBidi" w:cstheme="minorBidi"/>
          <w:sz w:val="22"/>
          <w:szCs w:val="22"/>
          <w:lang w:val="fr-FR"/>
        </w:rPr>
        <w:noBreakHyphen/>
      </w:r>
      <w:r w:rsidR="00610465" w:rsidRPr="008231E2">
        <w:rPr>
          <w:rFonts w:asciiTheme="minorBidi" w:hAnsiTheme="minorBidi" w:cstheme="minorBidi"/>
          <w:sz w:val="22"/>
          <w:szCs w:val="22"/>
          <w:lang w:val="fr-FR"/>
        </w:rPr>
        <w:t>WG) à sa 16</w:t>
      </w:r>
      <w:r w:rsidR="00610465" w:rsidRPr="008231E2">
        <w:rPr>
          <w:rFonts w:asciiTheme="minorBidi" w:hAnsiTheme="minorBidi" w:cstheme="minorBidi"/>
          <w:sz w:val="22"/>
          <w:szCs w:val="22"/>
          <w:vertAlign w:val="superscript"/>
          <w:lang w:val="fr-FR"/>
        </w:rPr>
        <w:t>e</w:t>
      </w:r>
      <w:r w:rsidR="00610465" w:rsidRPr="008231E2">
        <w:rPr>
          <w:rFonts w:asciiTheme="minorBidi" w:hAnsiTheme="minorBidi" w:cstheme="minorBidi"/>
          <w:sz w:val="22"/>
          <w:szCs w:val="22"/>
          <w:lang w:val="fr-FR"/>
        </w:rPr>
        <w:t> réunion en 2023 aux GIC régionaux, notamment du PTWS, et au CIIT pour piloter le cadre de compétences du Centre national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alerte aux tsunamis (NTWC) du PTWS en vue de son approbation par le GIC/PTWS,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objectif étant d</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élaborer un cadre mondial à l</w:t>
      </w:r>
      <w:r w:rsidR="002D74E2" w:rsidRPr="008231E2">
        <w:rPr>
          <w:rFonts w:asciiTheme="minorBidi" w:hAnsiTheme="minorBidi" w:cstheme="minorBidi"/>
          <w:sz w:val="22"/>
          <w:szCs w:val="22"/>
          <w:lang w:val="fr-FR"/>
        </w:rPr>
        <w:t>’</w:t>
      </w:r>
      <w:r w:rsidR="00610465" w:rsidRPr="008231E2">
        <w:rPr>
          <w:rFonts w:asciiTheme="minorBidi" w:hAnsiTheme="minorBidi" w:cstheme="minorBidi"/>
          <w:sz w:val="22"/>
          <w:szCs w:val="22"/>
          <w:lang w:val="fr-FR"/>
        </w:rPr>
        <w:t>usage de tous les GIC.</w:t>
      </w:r>
    </w:p>
    <w:p w14:paraId="0D80559C" w14:textId="7C1C74D7" w:rsidR="008C344E"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lastRenderedPageBreak/>
        <w:t>16.</w:t>
      </w:r>
      <w:r w:rsidRPr="008231E2">
        <w:rPr>
          <w:rFonts w:asciiTheme="minorBidi" w:hAnsiTheme="minorBidi" w:cstheme="minorBidi"/>
          <w:sz w:val="22"/>
          <w:szCs w:val="22"/>
          <w:lang w:val="fr-FR"/>
        </w:rPr>
        <w:tab/>
      </w:r>
      <w:r w:rsidR="008165A7" w:rsidRPr="008231E2">
        <w:rPr>
          <w:rFonts w:asciiTheme="minorBidi" w:hAnsiTheme="minorBidi" w:cstheme="minorBidi"/>
          <w:b/>
          <w:bCs/>
          <w:sz w:val="22"/>
          <w:szCs w:val="22"/>
          <w:lang w:val="fr-FR"/>
        </w:rPr>
        <w:t>Le GIC a approuvé</w:t>
      </w:r>
      <w:r w:rsidR="008165A7" w:rsidRPr="008231E2">
        <w:rPr>
          <w:rFonts w:asciiTheme="minorBidi" w:hAnsiTheme="minorBidi" w:cstheme="minorBidi"/>
          <w:sz w:val="22"/>
          <w:szCs w:val="22"/>
          <w:lang w:val="fr-FR"/>
        </w:rPr>
        <w:t xml:space="preserve"> le cadre de compétences et les exigences de formation du PTWS pour les centres nationaux d</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 xml:space="preserve">alerte aux tsunamis, et </w:t>
      </w:r>
      <w:r w:rsidR="008165A7" w:rsidRPr="008231E2">
        <w:rPr>
          <w:rFonts w:asciiTheme="minorBidi" w:hAnsiTheme="minorBidi" w:cstheme="minorBidi"/>
          <w:b/>
          <w:bCs/>
          <w:sz w:val="22"/>
          <w:szCs w:val="22"/>
          <w:lang w:val="fr-FR"/>
        </w:rPr>
        <w:t>s</w:t>
      </w:r>
      <w:r w:rsidR="002D74E2" w:rsidRPr="008231E2">
        <w:rPr>
          <w:rFonts w:asciiTheme="minorBidi" w:hAnsiTheme="minorBidi" w:cstheme="minorBidi"/>
          <w:b/>
          <w:bCs/>
          <w:sz w:val="22"/>
          <w:szCs w:val="22"/>
          <w:lang w:val="fr-FR"/>
        </w:rPr>
        <w:t>’</w:t>
      </w:r>
      <w:r w:rsidR="008165A7" w:rsidRPr="008231E2">
        <w:rPr>
          <w:rFonts w:asciiTheme="minorBidi" w:hAnsiTheme="minorBidi" w:cstheme="minorBidi"/>
          <w:b/>
          <w:bCs/>
          <w:sz w:val="22"/>
          <w:szCs w:val="22"/>
          <w:lang w:val="fr-FR"/>
        </w:rPr>
        <w:t>est félicité</w:t>
      </w:r>
      <w:r w:rsidR="008165A7" w:rsidRPr="008231E2">
        <w:rPr>
          <w:rFonts w:asciiTheme="minorBidi" w:hAnsiTheme="minorBidi" w:cstheme="minorBidi"/>
          <w:sz w:val="22"/>
          <w:szCs w:val="22"/>
          <w:lang w:val="fr-FR"/>
        </w:rPr>
        <w:t xml:space="preserve"> de la proposition du CIIT de mettre à l</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essai le cadre de compétences minimum du PTWS pour les centres nationaux d</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alerte aux tsunamis au cours de la période intersessions, et d</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en exposer les conclusions au GIC/PTWS, à sa 31</w:t>
      </w:r>
      <w:r w:rsidR="008165A7" w:rsidRPr="008231E2">
        <w:rPr>
          <w:rFonts w:asciiTheme="minorBidi" w:hAnsiTheme="minorBidi" w:cstheme="minorBidi"/>
          <w:sz w:val="22"/>
          <w:szCs w:val="22"/>
          <w:vertAlign w:val="superscript"/>
          <w:lang w:val="fr-FR"/>
        </w:rPr>
        <w:t>e</w:t>
      </w:r>
      <w:r w:rsidR="008165A7" w:rsidRPr="008231E2">
        <w:rPr>
          <w:rFonts w:asciiTheme="minorBidi" w:hAnsiTheme="minorBidi" w:cstheme="minorBidi"/>
          <w:sz w:val="22"/>
          <w:szCs w:val="22"/>
          <w:lang w:val="fr-FR"/>
        </w:rPr>
        <w:t> session.</w:t>
      </w:r>
    </w:p>
    <w:p w14:paraId="0F60FB12" w14:textId="7895FB8B" w:rsidR="008C344E"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17.</w:t>
      </w:r>
      <w:r w:rsidRPr="008231E2">
        <w:rPr>
          <w:rFonts w:asciiTheme="minorBidi" w:hAnsiTheme="minorBidi" w:cstheme="minorBidi"/>
          <w:sz w:val="22"/>
          <w:szCs w:val="22"/>
          <w:lang w:val="fr-FR"/>
        </w:rPr>
        <w:tab/>
      </w:r>
      <w:r w:rsidR="008C344E" w:rsidRPr="008231E2">
        <w:rPr>
          <w:rFonts w:asciiTheme="minorBidi" w:hAnsiTheme="minorBidi" w:cstheme="minorBidi"/>
          <w:b/>
          <w:bCs/>
          <w:sz w:val="22"/>
          <w:szCs w:val="22"/>
          <w:lang w:val="fr-FR"/>
        </w:rPr>
        <w:t>Le GIC a pris note</w:t>
      </w:r>
      <w:r w:rsidR="008C344E" w:rsidRPr="008231E2">
        <w:rPr>
          <w:rFonts w:asciiTheme="minorBidi" w:hAnsiTheme="minorBidi" w:cstheme="minorBidi"/>
          <w:sz w:val="22"/>
          <w:szCs w:val="22"/>
          <w:lang w:val="fr-FR"/>
        </w:rPr>
        <w:t xml:space="preserve"> de la grande quantité des sources de tsunamis non sismiques et de leur nature variable dans les données historiques, ainsi que de la difficulté de prévoir la plupart des tsunamis non sismiques ; et </w:t>
      </w:r>
      <w:r w:rsidR="008C344E" w:rsidRPr="008231E2">
        <w:rPr>
          <w:rFonts w:asciiTheme="minorBidi" w:hAnsiTheme="minorBidi" w:cstheme="minorBidi"/>
          <w:b/>
          <w:bCs/>
          <w:sz w:val="22"/>
          <w:szCs w:val="22"/>
          <w:lang w:val="fr-FR"/>
        </w:rPr>
        <w:t>a décidé</w:t>
      </w:r>
      <w:r w:rsidR="008C344E" w:rsidRPr="008231E2">
        <w:rPr>
          <w:rFonts w:asciiTheme="minorBidi" w:hAnsiTheme="minorBidi" w:cstheme="minorBidi"/>
          <w:sz w:val="22"/>
          <w:szCs w:val="22"/>
          <w:lang w:val="fr-FR"/>
        </w:rPr>
        <w:t xml:space="preserve"> de créer : (i) une équipe spéciale sur la planification au départ des observations océaniques, placée sous l</w:t>
      </w:r>
      <w:r w:rsidR="002D74E2" w:rsidRPr="008231E2">
        <w:rPr>
          <w:rFonts w:asciiTheme="minorBidi" w:hAnsiTheme="minorBidi" w:cstheme="minorBidi"/>
          <w:sz w:val="22"/>
          <w:szCs w:val="22"/>
          <w:lang w:val="fr-FR"/>
        </w:rPr>
        <w:t>’</w:t>
      </w:r>
      <w:r w:rsidR="008C344E" w:rsidRPr="008231E2">
        <w:rPr>
          <w:rFonts w:asciiTheme="minorBidi" w:hAnsiTheme="minorBidi" w:cstheme="minorBidi"/>
          <w:sz w:val="22"/>
          <w:szCs w:val="22"/>
          <w:lang w:val="fr-FR"/>
        </w:rPr>
        <w:t>égide du Groupe de travail 2, afin d</w:t>
      </w:r>
      <w:r w:rsidR="002D74E2" w:rsidRPr="008231E2">
        <w:rPr>
          <w:rFonts w:asciiTheme="minorBidi" w:hAnsiTheme="minorBidi" w:cstheme="minorBidi"/>
          <w:sz w:val="22"/>
          <w:szCs w:val="22"/>
          <w:lang w:val="fr-FR"/>
        </w:rPr>
        <w:t>’</w:t>
      </w:r>
      <w:r w:rsidR="008C344E" w:rsidRPr="008231E2">
        <w:rPr>
          <w:rFonts w:asciiTheme="minorBidi" w:hAnsiTheme="minorBidi" w:cstheme="minorBidi"/>
          <w:sz w:val="22"/>
          <w:szCs w:val="22"/>
          <w:lang w:val="fr-FR"/>
        </w:rPr>
        <w:t>examiner l</w:t>
      </w:r>
      <w:r w:rsidR="002D74E2" w:rsidRPr="008231E2">
        <w:rPr>
          <w:rFonts w:asciiTheme="minorBidi" w:hAnsiTheme="minorBidi" w:cstheme="minorBidi"/>
          <w:sz w:val="22"/>
          <w:szCs w:val="22"/>
          <w:lang w:val="fr-FR"/>
        </w:rPr>
        <w:t>’</w:t>
      </w:r>
      <w:r w:rsidR="008C344E" w:rsidRPr="008231E2">
        <w:rPr>
          <w:rFonts w:asciiTheme="minorBidi" w:hAnsiTheme="minorBidi" w:cstheme="minorBidi"/>
          <w:sz w:val="22"/>
          <w:szCs w:val="22"/>
          <w:lang w:val="fr-FR"/>
        </w:rPr>
        <w:t>utilisation des stratégies d</w:t>
      </w:r>
      <w:r w:rsidR="002D74E2" w:rsidRPr="008231E2">
        <w:rPr>
          <w:rFonts w:asciiTheme="minorBidi" w:hAnsiTheme="minorBidi" w:cstheme="minorBidi"/>
          <w:sz w:val="22"/>
          <w:szCs w:val="22"/>
          <w:lang w:val="fr-FR"/>
        </w:rPr>
        <w:t>’</w:t>
      </w:r>
      <w:r w:rsidR="008C344E" w:rsidRPr="008231E2">
        <w:rPr>
          <w:rFonts w:asciiTheme="minorBidi" w:hAnsiTheme="minorBidi" w:cstheme="minorBidi"/>
          <w:sz w:val="22"/>
          <w:szCs w:val="22"/>
          <w:lang w:val="fr-FR"/>
        </w:rPr>
        <w:t>alertes rapides aux tsunamis en s</w:t>
      </w:r>
      <w:r w:rsidR="002D74E2" w:rsidRPr="008231E2">
        <w:rPr>
          <w:rFonts w:asciiTheme="minorBidi" w:hAnsiTheme="minorBidi" w:cstheme="minorBidi"/>
          <w:sz w:val="22"/>
          <w:szCs w:val="22"/>
          <w:lang w:val="fr-FR"/>
        </w:rPr>
        <w:t>’</w:t>
      </w:r>
      <w:r w:rsidR="008C344E" w:rsidRPr="008231E2">
        <w:rPr>
          <w:rFonts w:asciiTheme="minorBidi" w:hAnsiTheme="minorBidi" w:cstheme="minorBidi"/>
          <w:sz w:val="22"/>
          <w:szCs w:val="22"/>
          <w:lang w:val="fr-FR"/>
        </w:rPr>
        <w:t>appuyant sur les observation</w:t>
      </w:r>
      <w:r w:rsidR="00377F16" w:rsidRPr="008231E2">
        <w:rPr>
          <w:rFonts w:asciiTheme="minorBidi" w:hAnsiTheme="minorBidi" w:cstheme="minorBidi"/>
          <w:sz w:val="22"/>
          <w:szCs w:val="22"/>
          <w:lang w:val="fr-FR"/>
        </w:rPr>
        <w:t xml:space="preserve">s </w:t>
      </w:r>
      <w:r w:rsidR="008C344E" w:rsidRPr="008231E2">
        <w:rPr>
          <w:rFonts w:asciiTheme="minorBidi" w:hAnsiTheme="minorBidi" w:cstheme="minorBidi"/>
          <w:sz w:val="22"/>
          <w:szCs w:val="22"/>
          <w:lang w:val="fr-FR"/>
        </w:rPr>
        <w:t>océaniques direct</w:t>
      </w:r>
      <w:r w:rsidR="00377F16" w:rsidRPr="008231E2">
        <w:rPr>
          <w:rFonts w:asciiTheme="minorBidi" w:hAnsiTheme="minorBidi" w:cstheme="minorBidi"/>
          <w:sz w:val="22"/>
          <w:szCs w:val="22"/>
          <w:lang w:val="fr-FR"/>
        </w:rPr>
        <w:t>es</w:t>
      </w:r>
      <w:r w:rsidR="008C344E" w:rsidRPr="008231E2">
        <w:rPr>
          <w:rFonts w:asciiTheme="minorBidi" w:hAnsiTheme="minorBidi" w:cstheme="minorBidi"/>
          <w:sz w:val="22"/>
          <w:szCs w:val="22"/>
          <w:lang w:val="fr-FR"/>
        </w:rPr>
        <w:t xml:space="preserve"> obtenues à l</w:t>
      </w:r>
      <w:r w:rsidR="002D74E2" w:rsidRPr="008231E2">
        <w:rPr>
          <w:rFonts w:asciiTheme="minorBidi" w:hAnsiTheme="minorBidi" w:cstheme="minorBidi"/>
          <w:sz w:val="22"/>
          <w:szCs w:val="22"/>
          <w:lang w:val="fr-FR"/>
        </w:rPr>
        <w:t>’</w:t>
      </w:r>
      <w:r w:rsidR="008C344E" w:rsidRPr="008231E2">
        <w:rPr>
          <w:rFonts w:asciiTheme="minorBidi" w:hAnsiTheme="minorBidi" w:cstheme="minorBidi"/>
          <w:sz w:val="22"/>
          <w:szCs w:val="22"/>
          <w:lang w:val="fr-FR"/>
        </w:rPr>
        <w:t>aide des technologies disponibles et émergentes ; (ii) une équipe spéciale placée sous l</w:t>
      </w:r>
      <w:r w:rsidR="002D74E2" w:rsidRPr="008231E2">
        <w:rPr>
          <w:rFonts w:asciiTheme="minorBidi" w:hAnsiTheme="minorBidi" w:cstheme="minorBidi"/>
          <w:sz w:val="22"/>
          <w:szCs w:val="22"/>
          <w:lang w:val="fr-FR"/>
        </w:rPr>
        <w:t>’</w:t>
      </w:r>
      <w:r w:rsidR="008C344E" w:rsidRPr="008231E2">
        <w:rPr>
          <w:rFonts w:asciiTheme="minorBidi" w:hAnsiTheme="minorBidi" w:cstheme="minorBidi"/>
          <w:sz w:val="22"/>
          <w:szCs w:val="22"/>
          <w:lang w:val="fr-FR"/>
        </w:rPr>
        <w:t>égide du Groupe de travail 2 pour étudier les possibilité</w:t>
      </w:r>
      <w:r w:rsidR="00377F16" w:rsidRPr="008231E2">
        <w:rPr>
          <w:rFonts w:asciiTheme="minorBidi" w:hAnsiTheme="minorBidi" w:cstheme="minorBidi"/>
          <w:sz w:val="22"/>
          <w:szCs w:val="22"/>
          <w:lang w:val="fr-FR"/>
        </w:rPr>
        <w:t xml:space="preserve">s </w:t>
      </w:r>
      <w:r w:rsidR="008C344E" w:rsidRPr="008231E2">
        <w:rPr>
          <w:rFonts w:asciiTheme="minorBidi" w:hAnsiTheme="minorBidi" w:cstheme="minorBidi"/>
          <w:sz w:val="22"/>
          <w:szCs w:val="22"/>
          <w:lang w:val="fr-FR"/>
        </w:rPr>
        <w:t>de concevoir d</w:t>
      </w:r>
      <w:r w:rsidR="002D74E2" w:rsidRPr="008231E2">
        <w:rPr>
          <w:rFonts w:asciiTheme="minorBidi" w:hAnsiTheme="minorBidi" w:cstheme="minorBidi"/>
          <w:sz w:val="22"/>
          <w:szCs w:val="22"/>
          <w:lang w:val="fr-FR"/>
        </w:rPr>
        <w:t>’</w:t>
      </w:r>
      <w:r w:rsidR="008C344E" w:rsidRPr="008231E2">
        <w:rPr>
          <w:rFonts w:asciiTheme="minorBidi" w:hAnsiTheme="minorBidi" w:cstheme="minorBidi"/>
          <w:sz w:val="22"/>
          <w:szCs w:val="22"/>
          <w:lang w:val="fr-FR"/>
        </w:rPr>
        <w:t>autre</w:t>
      </w:r>
      <w:r w:rsidR="00377F16" w:rsidRPr="008231E2">
        <w:rPr>
          <w:rFonts w:asciiTheme="minorBidi" w:hAnsiTheme="minorBidi" w:cstheme="minorBidi"/>
          <w:sz w:val="22"/>
          <w:szCs w:val="22"/>
          <w:lang w:val="fr-FR"/>
        </w:rPr>
        <w:t xml:space="preserve">s </w:t>
      </w:r>
      <w:r w:rsidR="008C344E" w:rsidRPr="008231E2">
        <w:rPr>
          <w:rFonts w:asciiTheme="minorBidi" w:hAnsiTheme="minorBidi" w:cstheme="minorBidi"/>
          <w:sz w:val="22"/>
          <w:szCs w:val="22"/>
          <w:lang w:val="fr-FR"/>
        </w:rPr>
        <w:t>stratégies d</w:t>
      </w:r>
      <w:r w:rsidR="002D74E2" w:rsidRPr="008231E2">
        <w:rPr>
          <w:rFonts w:asciiTheme="minorBidi" w:hAnsiTheme="minorBidi" w:cstheme="minorBidi"/>
          <w:sz w:val="22"/>
          <w:szCs w:val="22"/>
          <w:lang w:val="fr-FR"/>
        </w:rPr>
        <w:t>’</w:t>
      </w:r>
      <w:r w:rsidR="008C344E" w:rsidRPr="008231E2">
        <w:rPr>
          <w:rFonts w:asciiTheme="minorBidi" w:hAnsiTheme="minorBidi" w:cstheme="minorBidi"/>
          <w:sz w:val="22"/>
          <w:szCs w:val="22"/>
          <w:lang w:val="fr-FR"/>
        </w:rPr>
        <w:t>alerte pour les tsunamis d</w:t>
      </w:r>
      <w:r w:rsidR="002D74E2" w:rsidRPr="008231E2">
        <w:rPr>
          <w:rFonts w:asciiTheme="minorBidi" w:hAnsiTheme="minorBidi" w:cstheme="minorBidi"/>
          <w:sz w:val="22"/>
          <w:szCs w:val="22"/>
          <w:lang w:val="fr-FR"/>
        </w:rPr>
        <w:t>’</w:t>
      </w:r>
      <w:r w:rsidR="008C344E" w:rsidRPr="008231E2">
        <w:rPr>
          <w:rFonts w:asciiTheme="minorBidi" w:hAnsiTheme="minorBidi" w:cstheme="minorBidi"/>
          <w:sz w:val="22"/>
          <w:szCs w:val="22"/>
          <w:lang w:val="fr-FR"/>
        </w:rPr>
        <w:t>origine volcanique.</w:t>
      </w:r>
    </w:p>
    <w:p w14:paraId="168C9A43" w14:textId="5BCDB52F" w:rsidR="004155D4"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18.</w:t>
      </w:r>
      <w:r w:rsidRPr="008231E2">
        <w:rPr>
          <w:rFonts w:asciiTheme="minorBidi" w:hAnsiTheme="minorBidi" w:cstheme="minorBidi"/>
          <w:sz w:val="22"/>
          <w:szCs w:val="22"/>
          <w:lang w:val="fr-FR"/>
        </w:rPr>
        <w:tab/>
      </w:r>
      <w:r w:rsidR="00C61DEA" w:rsidRPr="008231E2">
        <w:rPr>
          <w:rFonts w:asciiTheme="minorBidi" w:hAnsiTheme="minorBidi" w:cstheme="minorBidi"/>
          <w:b/>
          <w:bCs/>
          <w:sz w:val="22"/>
          <w:szCs w:val="22"/>
          <w:lang w:val="fr-FR"/>
        </w:rPr>
        <w:t>Le GIC a noté</w:t>
      </w:r>
      <w:r w:rsidR="00C61DEA" w:rsidRPr="008231E2">
        <w:rPr>
          <w:rFonts w:asciiTheme="minorBidi" w:hAnsiTheme="minorBidi" w:cstheme="minorBidi"/>
          <w:sz w:val="22"/>
          <w:szCs w:val="22"/>
          <w:lang w:val="fr-FR"/>
        </w:rPr>
        <w:t xml:space="preserve"> que le Centre d</w:t>
      </w:r>
      <w:r w:rsidR="002D74E2" w:rsidRPr="008231E2">
        <w:rPr>
          <w:rFonts w:asciiTheme="minorBidi" w:hAnsiTheme="minorBidi" w:cstheme="minorBidi"/>
          <w:sz w:val="22"/>
          <w:szCs w:val="22"/>
          <w:lang w:val="fr-FR"/>
        </w:rPr>
        <w:t>’</w:t>
      </w:r>
      <w:r w:rsidR="00C61DEA" w:rsidRPr="008231E2">
        <w:rPr>
          <w:rFonts w:asciiTheme="minorBidi" w:hAnsiTheme="minorBidi" w:cstheme="minorBidi"/>
          <w:sz w:val="22"/>
          <w:szCs w:val="22"/>
          <w:lang w:val="fr-FR"/>
        </w:rPr>
        <w:t xml:space="preserve">alerte aux tsunamis dans le Pacifique avait proposé quelques modifications à son texte et </w:t>
      </w:r>
      <w:r w:rsidR="00C61DEA" w:rsidRPr="008231E2">
        <w:rPr>
          <w:rFonts w:asciiTheme="minorBidi" w:hAnsiTheme="minorBidi" w:cstheme="minorBidi"/>
          <w:b/>
          <w:bCs/>
          <w:sz w:val="22"/>
          <w:szCs w:val="22"/>
          <w:lang w:val="fr-FR"/>
        </w:rPr>
        <w:t xml:space="preserve">a convenu </w:t>
      </w:r>
      <w:r w:rsidR="00C61DEA" w:rsidRPr="008231E2">
        <w:rPr>
          <w:rFonts w:asciiTheme="minorBidi" w:hAnsiTheme="minorBidi" w:cstheme="minorBidi"/>
          <w:sz w:val="22"/>
          <w:szCs w:val="22"/>
          <w:lang w:val="fr-FR"/>
        </w:rPr>
        <w:t>que ce dernier mettrait en application ces changements après en avoir averti les États membres par voie de lettre circulaire, trois mois au préalable, conformément au processus de changement mis en place par le GIC/PTWS en 2015.</w:t>
      </w:r>
    </w:p>
    <w:p w14:paraId="2B06C313" w14:textId="214A746B" w:rsidR="004155D4"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19.</w:t>
      </w:r>
      <w:r w:rsidRPr="008231E2">
        <w:rPr>
          <w:rFonts w:asciiTheme="minorBidi" w:hAnsiTheme="minorBidi" w:cstheme="minorBidi"/>
          <w:sz w:val="22"/>
          <w:szCs w:val="22"/>
          <w:lang w:val="fr-FR"/>
        </w:rPr>
        <w:tab/>
      </w:r>
      <w:r w:rsidR="004155D4" w:rsidRPr="008231E2">
        <w:rPr>
          <w:rFonts w:asciiTheme="minorBidi" w:hAnsiTheme="minorBidi" w:cstheme="minorBidi"/>
          <w:b/>
          <w:bCs/>
          <w:sz w:val="22"/>
          <w:szCs w:val="22"/>
          <w:lang w:val="fr-FR"/>
        </w:rPr>
        <w:t>Le GIC a rappelé</w:t>
      </w:r>
      <w:r w:rsidR="004155D4" w:rsidRPr="008231E2">
        <w:rPr>
          <w:rFonts w:asciiTheme="minorBidi" w:hAnsiTheme="minorBidi" w:cstheme="minorBidi"/>
          <w:sz w:val="22"/>
          <w:szCs w:val="22"/>
          <w:lang w:val="fr-FR"/>
        </w:rPr>
        <w:t xml:space="preserve"> que le TOWS-WG avait approuvé la proposition concernant les messages des TSP à la communauté maritime, et demandé aux Groupes de coordination intergouvernementale d</w:t>
      </w:r>
      <w:r w:rsidR="002D74E2" w:rsidRPr="008231E2">
        <w:rPr>
          <w:rFonts w:asciiTheme="minorBidi" w:hAnsiTheme="minorBidi" w:cstheme="minorBidi"/>
          <w:sz w:val="22"/>
          <w:szCs w:val="22"/>
          <w:lang w:val="fr-FR"/>
        </w:rPr>
        <w:t>’</w:t>
      </w:r>
      <w:r w:rsidR="004155D4" w:rsidRPr="008231E2">
        <w:rPr>
          <w:rFonts w:asciiTheme="minorBidi" w:hAnsiTheme="minorBidi" w:cstheme="minorBidi"/>
          <w:sz w:val="22"/>
          <w:szCs w:val="22"/>
          <w:lang w:val="fr-FR"/>
        </w:rPr>
        <w:t>examiner cette proposition en vue de la mettre en œuvre dans leurs bassins respectifs, lors de la 12</w:t>
      </w:r>
      <w:r w:rsidR="004155D4" w:rsidRPr="008231E2">
        <w:rPr>
          <w:rFonts w:asciiTheme="minorBidi" w:hAnsiTheme="minorBidi" w:cstheme="minorBidi"/>
          <w:sz w:val="22"/>
          <w:szCs w:val="22"/>
          <w:vertAlign w:val="superscript"/>
          <w:lang w:val="fr-FR"/>
        </w:rPr>
        <w:t>e</w:t>
      </w:r>
      <w:r w:rsidR="004155D4" w:rsidRPr="008231E2">
        <w:rPr>
          <w:rFonts w:asciiTheme="minorBidi" w:hAnsiTheme="minorBidi" w:cstheme="minorBidi"/>
          <w:sz w:val="22"/>
          <w:szCs w:val="22"/>
          <w:lang w:val="fr-FR"/>
        </w:rPr>
        <w:t> réunion de ce dernier (TOWS-WG-XII).</w:t>
      </w:r>
    </w:p>
    <w:p w14:paraId="3D76755D" w14:textId="41A6BA25" w:rsidR="004155D4"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20.</w:t>
      </w:r>
      <w:r w:rsidRPr="008231E2">
        <w:rPr>
          <w:rFonts w:asciiTheme="minorBidi" w:hAnsiTheme="minorBidi" w:cstheme="minorBidi"/>
          <w:sz w:val="22"/>
          <w:szCs w:val="22"/>
          <w:lang w:val="fr-FR"/>
        </w:rPr>
        <w:tab/>
      </w:r>
      <w:r w:rsidR="004155D4" w:rsidRPr="008231E2">
        <w:rPr>
          <w:rFonts w:asciiTheme="minorBidi" w:hAnsiTheme="minorBidi" w:cstheme="minorBidi"/>
          <w:b/>
          <w:bCs/>
          <w:sz w:val="22"/>
          <w:szCs w:val="22"/>
          <w:lang w:val="fr-FR"/>
        </w:rPr>
        <w:t>Le GIC a également rappelé</w:t>
      </w:r>
      <w:r w:rsidR="004155D4" w:rsidRPr="008231E2">
        <w:rPr>
          <w:rFonts w:asciiTheme="minorBidi" w:hAnsiTheme="minorBidi" w:cstheme="minorBidi"/>
          <w:sz w:val="22"/>
          <w:szCs w:val="22"/>
          <w:lang w:val="fr-FR"/>
        </w:rPr>
        <w:t xml:space="preserve"> que l</w:t>
      </w:r>
      <w:r w:rsidR="002D74E2" w:rsidRPr="008231E2">
        <w:rPr>
          <w:rFonts w:asciiTheme="minorBidi" w:hAnsiTheme="minorBidi" w:cstheme="minorBidi"/>
          <w:sz w:val="22"/>
          <w:szCs w:val="22"/>
          <w:lang w:val="fr-FR"/>
        </w:rPr>
        <w:t>’</w:t>
      </w:r>
      <w:r w:rsidR="004155D4" w:rsidRPr="008231E2">
        <w:rPr>
          <w:rFonts w:asciiTheme="minorBidi" w:hAnsiTheme="minorBidi" w:cstheme="minorBidi"/>
          <w:sz w:val="22"/>
          <w:szCs w:val="22"/>
          <w:lang w:val="fr-FR"/>
        </w:rPr>
        <w:t>Assemblée de la COI avait chargé les TSP des groupes de coordination intergouvernementale régionaux, en collaboration avec les coordinateurs NAVAREA de l</w:t>
      </w:r>
      <w:r w:rsidR="002D74E2" w:rsidRPr="008231E2">
        <w:rPr>
          <w:rFonts w:asciiTheme="minorBidi" w:hAnsiTheme="minorBidi" w:cstheme="minorBidi"/>
          <w:sz w:val="22"/>
          <w:szCs w:val="22"/>
          <w:lang w:val="fr-FR"/>
        </w:rPr>
        <w:t>’</w:t>
      </w:r>
      <w:r w:rsidR="004155D4" w:rsidRPr="008231E2">
        <w:rPr>
          <w:rFonts w:asciiTheme="minorBidi" w:hAnsiTheme="minorBidi" w:cstheme="minorBidi"/>
          <w:sz w:val="22"/>
          <w:szCs w:val="22"/>
          <w:lang w:val="fr-FR"/>
        </w:rPr>
        <w:t>Organisation hydrographique internationale</w:t>
      </w:r>
      <w:r w:rsidR="00DA2E43" w:rsidRPr="008231E2">
        <w:rPr>
          <w:rFonts w:asciiTheme="minorBidi" w:hAnsiTheme="minorBidi" w:cstheme="minorBidi"/>
          <w:sz w:val="22"/>
          <w:szCs w:val="22"/>
          <w:lang w:val="fr-FR"/>
        </w:rPr>
        <w:t> </w:t>
      </w:r>
      <w:r w:rsidR="004155D4" w:rsidRPr="008231E2">
        <w:rPr>
          <w:rFonts w:asciiTheme="minorBidi" w:hAnsiTheme="minorBidi" w:cstheme="minorBidi"/>
          <w:sz w:val="22"/>
          <w:szCs w:val="22"/>
          <w:lang w:val="fr-FR"/>
        </w:rPr>
        <w:t>(OHI), de tester les produits de sécurité maritime relatifs aux tsunamis en</w:t>
      </w:r>
      <w:r w:rsidR="005E5438">
        <w:rPr>
          <w:rFonts w:asciiTheme="minorBidi" w:hAnsiTheme="minorBidi" w:cstheme="minorBidi"/>
          <w:sz w:val="22"/>
          <w:szCs w:val="22"/>
          <w:lang w:val="fr-FR"/>
        </w:rPr>
        <w:t xml:space="preserve"> </w:t>
      </w:r>
      <w:r w:rsidR="004155D4" w:rsidRPr="008231E2">
        <w:rPr>
          <w:rFonts w:asciiTheme="minorBidi" w:hAnsiTheme="minorBidi" w:cstheme="minorBidi"/>
          <w:sz w:val="22"/>
          <w:szCs w:val="22"/>
          <w:lang w:val="fr-FR"/>
        </w:rPr>
        <w:t>2023-2024, en vue de les rendre opérationnels en</w:t>
      </w:r>
      <w:r w:rsidR="005E5438">
        <w:rPr>
          <w:rFonts w:asciiTheme="minorBidi" w:hAnsiTheme="minorBidi" w:cstheme="minorBidi"/>
          <w:sz w:val="22"/>
          <w:szCs w:val="22"/>
          <w:lang w:val="fr-FR"/>
        </w:rPr>
        <w:t xml:space="preserve"> </w:t>
      </w:r>
      <w:r w:rsidR="004155D4" w:rsidRPr="008231E2">
        <w:rPr>
          <w:rFonts w:asciiTheme="minorBidi" w:hAnsiTheme="minorBidi" w:cstheme="minorBidi"/>
          <w:sz w:val="22"/>
          <w:szCs w:val="22"/>
          <w:lang w:val="fr-FR"/>
        </w:rPr>
        <w:t>2024-2025 (Décision A</w:t>
      </w:r>
      <w:r w:rsidR="00777FCD">
        <w:rPr>
          <w:rFonts w:asciiTheme="minorBidi" w:hAnsiTheme="minorBidi" w:cstheme="minorBidi"/>
          <w:sz w:val="22"/>
          <w:szCs w:val="22"/>
          <w:lang w:val="fr-FR"/>
        </w:rPr>
        <w:noBreakHyphen/>
      </w:r>
      <w:r w:rsidR="004155D4" w:rsidRPr="008231E2">
        <w:rPr>
          <w:rFonts w:asciiTheme="minorBidi" w:hAnsiTheme="minorBidi" w:cstheme="minorBidi"/>
          <w:sz w:val="22"/>
          <w:szCs w:val="22"/>
          <w:lang w:val="fr-FR"/>
        </w:rPr>
        <w:t>32/3.4.1).</w:t>
      </w:r>
    </w:p>
    <w:p w14:paraId="048132E0" w14:textId="64CDBA4B" w:rsidR="004155D4"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21.</w:t>
      </w:r>
      <w:r w:rsidRPr="008231E2">
        <w:rPr>
          <w:rFonts w:asciiTheme="minorBidi" w:hAnsiTheme="minorBidi" w:cstheme="minorBidi"/>
          <w:sz w:val="22"/>
          <w:szCs w:val="22"/>
          <w:lang w:val="fr-FR"/>
        </w:rPr>
        <w:tab/>
      </w:r>
      <w:r w:rsidR="004155D4" w:rsidRPr="008231E2">
        <w:rPr>
          <w:rFonts w:asciiTheme="minorBidi" w:hAnsiTheme="minorBidi" w:cstheme="minorBidi"/>
          <w:b/>
          <w:bCs/>
          <w:sz w:val="22"/>
          <w:szCs w:val="22"/>
          <w:lang w:val="fr-FR"/>
        </w:rPr>
        <w:t>Le GIC a recommandé</w:t>
      </w:r>
      <w:r w:rsidR="004155D4" w:rsidRPr="008231E2">
        <w:rPr>
          <w:rFonts w:asciiTheme="minorBidi" w:hAnsiTheme="minorBidi" w:cstheme="minorBidi"/>
          <w:sz w:val="22"/>
          <w:szCs w:val="22"/>
          <w:lang w:val="fr-FR"/>
        </w:rPr>
        <w:t xml:space="preserve"> au Centre d</w:t>
      </w:r>
      <w:r w:rsidR="002D74E2" w:rsidRPr="008231E2">
        <w:rPr>
          <w:rFonts w:asciiTheme="minorBidi" w:hAnsiTheme="minorBidi" w:cstheme="minorBidi"/>
          <w:sz w:val="22"/>
          <w:szCs w:val="22"/>
          <w:lang w:val="fr-FR"/>
        </w:rPr>
        <w:t>’</w:t>
      </w:r>
      <w:r w:rsidR="004155D4" w:rsidRPr="008231E2">
        <w:rPr>
          <w:rFonts w:asciiTheme="minorBidi" w:hAnsiTheme="minorBidi" w:cstheme="minorBidi"/>
          <w:sz w:val="22"/>
          <w:szCs w:val="22"/>
          <w:lang w:val="fr-FR"/>
        </w:rPr>
        <w:t>alerte aux tsunamis dans le Pacifique</w:t>
      </w:r>
      <w:r w:rsidR="00DA2E43" w:rsidRPr="008231E2">
        <w:rPr>
          <w:rFonts w:asciiTheme="minorBidi" w:hAnsiTheme="minorBidi" w:cstheme="minorBidi"/>
          <w:sz w:val="22"/>
          <w:szCs w:val="22"/>
          <w:lang w:val="fr-FR"/>
        </w:rPr>
        <w:t> </w:t>
      </w:r>
      <w:r w:rsidR="004155D4" w:rsidRPr="008231E2">
        <w:rPr>
          <w:rFonts w:asciiTheme="minorBidi" w:hAnsiTheme="minorBidi" w:cstheme="minorBidi"/>
          <w:sz w:val="22"/>
          <w:szCs w:val="22"/>
          <w:lang w:val="fr-FR"/>
        </w:rPr>
        <w:t>(PTWC) d</w:t>
      </w:r>
      <w:r w:rsidR="002D74E2" w:rsidRPr="008231E2">
        <w:rPr>
          <w:rFonts w:asciiTheme="minorBidi" w:hAnsiTheme="minorBidi" w:cstheme="minorBidi"/>
          <w:sz w:val="22"/>
          <w:szCs w:val="22"/>
          <w:lang w:val="fr-FR"/>
        </w:rPr>
        <w:t>’</w:t>
      </w:r>
      <w:r w:rsidR="004155D4" w:rsidRPr="008231E2">
        <w:rPr>
          <w:rFonts w:asciiTheme="minorBidi" w:hAnsiTheme="minorBidi" w:cstheme="minorBidi"/>
          <w:sz w:val="22"/>
          <w:szCs w:val="22"/>
          <w:lang w:val="fr-FR"/>
        </w:rPr>
        <w:t>achever les préparatifs nécessaires pour fournir des produits spéciaux de sécurité maritime relatifs aux tsunamis spécialement destinés aux navires, à tous les coordinateurs NAVAREA du Pacifique et de l</w:t>
      </w:r>
      <w:r w:rsidR="002D74E2" w:rsidRPr="008231E2">
        <w:rPr>
          <w:rFonts w:asciiTheme="minorBidi" w:hAnsiTheme="minorBidi" w:cstheme="minorBidi"/>
          <w:sz w:val="22"/>
          <w:szCs w:val="22"/>
          <w:lang w:val="fr-FR"/>
        </w:rPr>
        <w:t>’</w:t>
      </w:r>
      <w:r w:rsidR="004155D4" w:rsidRPr="008231E2">
        <w:rPr>
          <w:rFonts w:asciiTheme="minorBidi" w:hAnsiTheme="minorBidi" w:cstheme="minorBidi"/>
          <w:sz w:val="22"/>
          <w:szCs w:val="22"/>
          <w:lang w:val="fr-FR"/>
        </w:rPr>
        <w:t>Atlantique du Sud-Ouest (par exemple NAVAREA</w:t>
      </w:r>
      <w:r w:rsidR="00DA2E43" w:rsidRPr="008231E2">
        <w:rPr>
          <w:rFonts w:asciiTheme="minorBidi" w:hAnsiTheme="minorBidi" w:cstheme="minorBidi"/>
          <w:sz w:val="22"/>
          <w:szCs w:val="22"/>
          <w:lang w:val="fr-FR"/>
        </w:rPr>
        <w:t> </w:t>
      </w:r>
      <w:r w:rsidR="004155D4" w:rsidRPr="008231E2">
        <w:rPr>
          <w:rFonts w:asciiTheme="minorBidi" w:hAnsiTheme="minorBidi" w:cstheme="minorBidi"/>
          <w:sz w:val="22"/>
          <w:szCs w:val="22"/>
          <w:lang w:val="fr-FR"/>
        </w:rPr>
        <w:t>VI, X, XI, XII, XIII, XIV, XV et XVI), afin qu</w:t>
      </w:r>
      <w:r w:rsidR="002D74E2" w:rsidRPr="008231E2">
        <w:rPr>
          <w:rFonts w:asciiTheme="minorBidi" w:hAnsiTheme="minorBidi" w:cstheme="minorBidi"/>
          <w:sz w:val="22"/>
          <w:szCs w:val="22"/>
          <w:lang w:val="fr-FR"/>
        </w:rPr>
        <w:t>’</w:t>
      </w:r>
      <w:r w:rsidR="004155D4" w:rsidRPr="008231E2">
        <w:rPr>
          <w:rFonts w:asciiTheme="minorBidi" w:hAnsiTheme="minorBidi" w:cstheme="minorBidi"/>
          <w:sz w:val="22"/>
          <w:szCs w:val="22"/>
          <w:lang w:val="fr-FR"/>
        </w:rPr>
        <w:t>ils les transmettent aux NTWC qui les feront suivre aux coordinateurs NAVAREA de leurs pays, ou, à leur demande, directement aux coordinateurs NAVAREA en l</w:t>
      </w:r>
      <w:r w:rsidR="002D74E2" w:rsidRPr="008231E2">
        <w:rPr>
          <w:rFonts w:asciiTheme="minorBidi" w:hAnsiTheme="minorBidi" w:cstheme="minorBidi"/>
          <w:sz w:val="22"/>
          <w:szCs w:val="22"/>
          <w:lang w:val="fr-FR"/>
        </w:rPr>
        <w:t>’</w:t>
      </w:r>
      <w:r w:rsidR="004155D4" w:rsidRPr="008231E2">
        <w:rPr>
          <w:rFonts w:asciiTheme="minorBidi" w:hAnsiTheme="minorBidi" w:cstheme="minorBidi"/>
          <w:sz w:val="22"/>
          <w:szCs w:val="22"/>
          <w:lang w:val="fr-FR"/>
        </w:rPr>
        <w:t>absence d</w:t>
      </w:r>
      <w:r w:rsidR="002D74E2" w:rsidRPr="008231E2">
        <w:rPr>
          <w:rFonts w:asciiTheme="minorBidi" w:hAnsiTheme="minorBidi" w:cstheme="minorBidi"/>
          <w:sz w:val="22"/>
          <w:szCs w:val="22"/>
          <w:lang w:val="fr-FR"/>
        </w:rPr>
        <w:t>’</w:t>
      </w:r>
      <w:r w:rsidR="004155D4" w:rsidRPr="008231E2">
        <w:rPr>
          <w:rFonts w:asciiTheme="minorBidi" w:hAnsiTheme="minorBidi" w:cstheme="minorBidi"/>
          <w:sz w:val="22"/>
          <w:szCs w:val="22"/>
          <w:lang w:val="fr-FR"/>
        </w:rPr>
        <w:t>un NTWC.</w:t>
      </w:r>
    </w:p>
    <w:p w14:paraId="6B8976CA" w14:textId="264641F9" w:rsidR="00193AF4"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22.</w:t>
      </w:r>
      <w:r w:rsidRPr="008231E2">
        <w:rPr>
          <w:rFonts w:asciiTheme="minorBidi" w:hAnsiTheme="minorBidi" w:cstheme="minorBidi"/>
          <w:sz w:val="22"/>
          <w:szCs w:val="22"/>
          <w:lang w:val="fr-FR"/>
        </w:rPr>
        <w:tab/>
      </w:r>
      <w:r w:rsidR="004155D4" w:rsidRPr="008231E2">
        <w:rPr>
          <w:rFonts w:asciiTheme="minorBidi" w:hAnsiTheme="minorBidi" w:cstheme="minorBidi"/>
          <w:b/>
          <w:bCs/>
          <w:sz w:val="22"/>
          <w:szCs w:val="22"/>
          <w:lang w:val="fr-FR"/>
        </w:rPr>
        <w:t>Le GIC a prié</w:t>
      </w:r>
      <w:r w:rsidR="004155D4" w:rsidRPr="008231E2">
        <w:rPr>
          <w:rFonts w:asciiTheme="minorBidi" w:hAnsiTheme="minorBidi" w:cstheme="minorBidi"/>
          <w:sz w:val="22"/>
          <w:szCs w:val="22"/>
          <w:lang w:val="fr-FR"/>
        </w:rPr>
        <w:t xml:space="preserve"> le Comité directeur du PTWS de finaliser sa décision à sa prochaine réunion en fournissant ces produits pour une période de test qui devra être suivie par une pleine mise en œuvre opérationnelle par le Centre en</w:t>
      </w:r>
      <w:r w:rsidR="00DA2E43" w:rsidRPr="008231E2">
        <w:rPr>
          <w:rFonts w:asciiTheme="minorBidi" w:hAnsiTheme="minorBidi" w:cstheme="minorBidi"/>
          <w:sz w:val="22"/>
          <w:szCs w:val="22"/>
          <w:lang w:val="fr-FR"/>
        </w:rPr>
        <w:t> </w:t>
      </w:r>
      <w:r w:rsidR="004155D4" w:rsidRPr="008231E2">
        <w:rPr>
          <w:rFonts w:asciiTheme="minorBidi" w:hAnsiTheme="minorBidi" w:cstheme="minorBidi"/>
          <w:sz w:val="22"/>
          <w:szCs w:val="22"/>
          <w:lang w:val="fr-FR"/>
        </w:rPr>
        <w:t>2024-2025.</w:t>
      </w:r>
    </w:p>
    <w:p w14:paraId="139F2529" w14:textId="47E6CB9F" w:rsidR="00193AF4"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23.</w:t>
      </w:r>
      <w:r w:rsidRPr="008231E2">
        <w:rPr>
          <w:rFonts w:asciiTheme="minorBidi" w:hAnsiTheme="minorBidi" w:cstheme="minorBidi"/>
          <w:sz w:val="22"/>
          <w:szCs w:val="22"/>
          <w:lang w:val="fr-FR"/>
        </w:rPr>
        <w:tab/>
      </w:r>
      <w:r w:rsidR="00193AF4" w:rsidRPr="00A93902">
        <w:rPr>
          <w:rFonts w:asciiTheme="minorBidi" w:hAnsiTheme="minorBidi" w:cstheme="minorBidi"/>
          <w:b/>
          <w:bCs/>
          <w:spacing w:val="-2"/>
          <w:sz w:val="22"/>
          <w:szCs w:val="22"/>
          <w:lang w:val="fr-FR"/>
        </w:rPr>
        <w:t xml:space="preserve">Le GIC encourage </w:t>
      </w:r>
      <w:r w:rsidR="00193AF4" w:rsidRPr="00A93902">
        <w:rPr>
          <w:rFonts w:asciiTheme="minorBidi" w:hAnsiTheme="minorBidi" w:cstheme="minorBidi"/>
          <w:spacing w:val="-2"/>
          <w:sz w:val="22"/>
          <w:szCs w:val="22"/>
          <w:lang w:val="fr-FR"/>
        </w:rPr>
        <w:t>les États membre</w:t>
      </w:r>
      <w:r w:rsidR="00377F16" w:rsidRPr="00A93902">
        <w:rPr>
          <w:rFonts w:asciiTheme="minorBidi" w:hAnsiTheme="minorBidi" w:cstheme="minorBidi"/>
          <w:spacing w:val="-2"/>
          <w:sz w:val="22"/>
          <w:szCs w:val="22"/>
          <w:lang w:val="fr-FR"/>
        </w:rPr>
        <w:t xml:space="preserve">s </w:t>
      </w:r>
      <w:r w:rsidR="00193AF4" w:rsidRPr="00A93902">
        <w:rPr>
          <w:rFonts w:asciiTheme="minorBidi" w:hAnsiTheme="minorBidi" w:cstheme="minorBidi"/>
          <w:spacing w:val="-2"/>
          <w:sz w:val="22"/>
          <w:szCs w:val="22"/>
          <w:lang w:val="fr-FR"/>
        </w:rPr>
        <w:t>à continuer de partager, avec le Groupe de travail 3, les conclusions et la progression vers l</w:t>
      </w:r>
      <w:r w:rsidR="002D74E2" w:rsidRPr="00A93902">
        <w:rPr>
          <w:rFonts w:asciiTheme="minorBidi" w:hAnsiTheme="minorBidi" w:cstheme="minorBidi"/>
          <w:spacing w:val="-2"/>
          <w:sz w:val="22"/>
          <w:szCs w:val="22"/>
          <w:lang w:val="fr-FR"/>
        </w:rPr>
        <w:t>’</w:t>
      </w:r>
      <w:r w:rsidR="00193AF4" w:rsidRPr="00A93902">
        <w:rPr>
          <w:rFonts w:asciiTheme="minorBidi" w:hAnsiTheme="minorBidi" w:cstheme="minorBidi"/>
          <w:spacing w:val="-2"/>
          <w:sz w:val="22"/>
          <w:szCs w:val="22"/>
          <w:lang w:val="fr-FR"/>
        </w:rPr>
        <w:t>objectif d</w:t>
      </w:r>
      <w:r w:rsidR="002D74E2" w:rsidRPr="00A93902">
        <w:rPr>
          <w:rFonts w:asciiTheme="minorBidi" w:hAnsiTheme="minorBidi" w:cstheme="minorBidi"/>
          <w:spacing w:val="-2"/>
          <w:sz w:val="22"/>
          <w:szCs w:val="22"/>
          <w:lang w:val="fr-FR"/>
        </w:rPr>
        <w:t>’</w:t>
      </w:r>
      <w:r w:rsidR="00193AF4" w:rsidRPr="00A93902">
        <w:rPr>
          <w:rFonts w:asciiTheme="minorBidi" w:hAnsiTheme="minorBidi" w:cstheme="minorBidi"/>
          <w:spacing w:val="-2"/>
          <w:sz w:val="22"/>
          <w:szCs w:val="22"/>
          <w:lang w:val="fr-FR"/>
        </w:rPr>
        <w:t>une certification Tsunami Ready pour 100</w:t>
      </w:r>
      <w:r w:rsidR="00DA2E43" w:rsidRPr="00A93902">
        <w:rPr>
          <w:rFonts w:asciiTheme="minorBidi" w:hAnsiTheme="minorBidi" w:cstheme="minorBidi"/>
          <w:spacing w:val="-2"/>
          <w:sz w:val="22"/>
          <w:szCs w:val="22"/>
          <w:lang w:val="fr-FR"/>
        </w:rPr>
        <w:t> </w:t>
      </w:r>
      <w:r w:rsidR="00193AF4" w:rsidRPr="00A93902">
        <w:rPr>
          <w:rFonts w:asciiTheme="minorBidi" w:hAnsiTheme="minorBidi" w:cstheme="minorBidi"/>
          <w:spacing w:val="-2"/>
          <w:sz w:val="22"/>
          <w:szCs w:val="22"/>
          <w:lang w:val="fr-FR"/>
        </w:rPr>
        <w:t xml:space="preserve">% des communautés, y compris les communautés qui sont déjà considérées conformes par le biais de normes nationales, et </w:t>
      </w:r>
      <w:r w:rsidR="00193AF4" w:rsidRPr="00A93902">
        <w:rPr>
          <w:rFonts w:asciiTheme="minorBidi" w:hAnsiTheme="minorBidi" w:cstheme="minorBidi"/>
          <w:b/>
          <w:bCs/>
          <w:spacing w:val="-2"/>
          <w:sz w:val="22"/>
          <w:szCs w:val="22"/>
          <w:lang w:val="fr-FR"/>
        </w:rPr>
        <w:t xml:space="preserve">a chargé </w:t>
      </w:r>
      <w:r w:rsidR="00193AF4" w:rsidRPr="00A93902">
        <w:rPr>
          <w:rFonts w:asciiTheme="minorBidi" w:hAnsiTheme="minorBidi" w:cstheme="minorBidi"/>
          <w:spacing w:val="-2"/>
          <w:sz w:val="22"/>
          <w:szCs w:val="22"/>
          <w:lang w:val="fr-FR"/>
        </w:rPr>
        <w:t>le CIIT de continuer à faciliter la mise en oeuvre et la collecte de données en ce qui concerne la conformité avec la certification Tsunami Ready dans la zone du PTWS.</w:t>
      </w:r>
    </w:p>
    <w:p w14:paraId="5B616072" w14:textId="16C27BB0" w:rsidR="00193AF4"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24.</w:t>
      </w:r>
      <w:r w:rsidRPr="008231E2">
        <w:rPr>
          <w:rFonts w:asciiTheme="minorBidi" w:hAnsiTheme="minorBidi" w:cstheme="minorBidi"/>
          <w:sz w:val="22"/>
          <w:szCs w:val="22"/>
          <w:lang w:val="fr-FR"/>
        </w:rPr>
        <w:tab/>
      </w:r>
      <w:r w:rsidR="00193AF4" w:rsidRPr="008231E2">
        <w:rPr>
          <w:rFonts w:asciiTheme="minorBidi" w:hAnsiTheme="minorBidi" w:cstheme="minorBidi"/>
          <w:b/>
          <w:bCs/>
          <w:sz w:val="22"/>
          <w:szCs w:val="22"/>
          <w:lang w:val="fr-FR"/>
        </w:rPr>
        <w:t>Le GIC a rappelé</w:t>
      </w:r>
      <w:r w:rsidR="00193AF4" w:rsidRPr="008231E2">
        <w:rPr>
          <w:rFonts w:asciiTheme="minorBidi" w:hAnsiTheme="minorBidi" w:cstheme="minorBidi"/>
          <w:sz w:val="22"/>
          <w:szCs w:val="22"/>
          <w:lang w:val="fr-FR"/>
        </w:rPr>
        <w:t xml:space="preserve"> la </w:t>
      </w:r>
      <w:r w:rsidR="00C95E2F">
        <w:rPr>
          <w:rFonts w:asciiTheme="minorBidi" w:hAnsiTheme="minorBidi" w:cstheme="minorBidi"/>
          <w:sz w:val="22"/>
          <w:szCs w:val="22"/>
          <w:lang w:val="fr-FR"/>
        </w:rPr>
        <w:t>R</w:t>
      </w:r>
      <w:r w:rsidR="00193AF4" w:rsidRPr="008231E2">
        <w:rPr>
          <w:rFonts w:asciiTheme="minorBidi" w:hAnsiTheme="minorBidi" w:cstheme="minorBidi"/>
          <w:sz w:val="22"/>
          <w:szCs w:val="22"/>
          <w:lang w:val="fr-FR"/>
        </w:rPr>
        <w:t>ecommandation ICG/PTWS-XXIX.1 de faire en sorte que le Groupe de travail 3 puisse étudier des façons de reconnaître les communautés qui choisissent de ne pas mettre en œuvre le programme de certification Tsunami Ready de l</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 xml:space="preserve">UNESCO/COI, conformément aux indicateurs Tsunami Ready, et </w:t>
      </w:r>
      <w:r w:rsidR="00193AF4" w:rsidRPr="008231E2">
        <w:rPr>
          <w:rFonts w:asciiTheme="minorBidi" w:hAnsiTheme="minorBidi" w:cstheme="minorBidi"/>
          <w:b/>
          <w:bCs/>
          <w:sz w:val="22"/>
          <w:szCs w:val="22"/>
          <w:lang w:val="fr-FR"/>
        </w:rPr>
        <w:t>a pris note avec satisfaction</w:t>
      </w:r>
      <w:r w:rsidR="00193AF4" w:rsidRPr="008231E2">
        <w:rPr>
          <w:rFonts w:asciiTheme="minorBidi" w:hAnsiTheme="minorBidi" w:cstheme="minorBidi"/>
          <w:sz w:val="22"/>
          <w:szCs w:val="22"/>
          <w:lang w:val="fr-FR"/>
        </w:rPr>
        <w:t xml:space="preserve"> des travaux du Groupe de travail 3, au moyen de son document d</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 xml:space="preserve">information </w:t>
      </w:r>
      <w:r w:rsidR="002E77B1">
        <w:fldChar w:fldCharType="begin"/>
      </w:r>
      <w:r w:rsidR="002E77B1" w:rsidRPr="002E77B1">
        <w:rPr>
          <w:lang w:val="fr-FR"/>
        </w:rPr>
        <w:instrText>HYPERLINK "https://oceanexpert.org/document/33205"</w:instrText>
      </w:r>
      <w:r w:rsidR="002E77B1">
        <w:fldChar w:fldCharType="separate"/>
      </w:r>
      <w:r w:rsidR="00193AF4" w:rsidRPr="008231E2">
        <w:rPr>
          <w:rStyle w:val="Hyperlink"/>
          <w:rFonts w:asciiTheme="minorBidi" w:hAnsiTheme="minorBidi" w:cstheme="minorBidi"/>
          <w:i/>
          <w:iCs/>
          <w:sz w:val="22"/>
          <w:szCs w:val="22"/>
          <w:lang w:val="fr-FR"/>
        </w:rPr>
        <w:t xml:space="preserve">Recognition in Countries with </w:t>
      </w:r>
      <w:proofErr w:type="spellStart"/>
      <w:r w:rsidR="00193AF4" w:rsidRPr="008231E2">
        <w:rPr>
          <w:rStyle w:val="Hyperlink"/>
          <w:rFonts w:asciiTheme="minorBidi" w:hAnsiTheme="minorBidi" w:cstheme="minorBidi"/>
          <w:i/>
          <w:iCs/>
          <w:sz w:val="22"/>
          <w:szCs w:val="22"/>
          <w:lang w:val="fr-FR"/>
        </w:rPr>
        <w:t>existing</w:t>
      </w:r>
      <w:proofErr w:type="spellEnd"/>
      <w:r w:rsidR="00193AF4" w:rsidRPr="008231E2">
        <w:rPr>
          <w:rStyle w:val="Hyperlink"/>
          <w:rFonts w:asciiTheme="minorBidi" w:hAnsiTheme="minorBidi" w:cstheme="minorBidi"/>
          <w:i/>
          <w:iCs/>
          <w:sz w:val="22"/>
          <w:szCs w:val="22"/>
          <w:lang w:val="fr-FR"/>
        </w:rPr>
        <w:t xml:space="preserve"> Tsunami DRR Programmes</w:t>
      </w:r>
      <w:r w:rsidR="002E77B1">
        <w:rPr>
          <w:rStyle w:val="Hyperlink"/>
          <w:rFonts w:asciiTheme="minorBidi" w:hAnsiTheme="minorBidi" w:cstheme="minorBidi"/>
          <w:i/>
          <w:iCs/>
          <w:sz w:val="22"/>
          <w:szCs w:val="22"/>
          <w:lang w:val="fr-FR"/>
        </w:rPr>
        <w:fldChar w:fldCharType="end"/>
      </w:r>
      <w:r w:rsidR="00193AF4" w:rsidRPr="008231E2">
        <w:rPr>
          <w:rFonts w:asciiTheme="minorBidi" w:hAnsiTheme="minorBidi" w:cstheme="minorBidi"/>
          <w:sz w:val="22"/>
          <w:szCs w:val="22"/>
          <w:lang w:val="fr-FR"/>
        </w:rPr>
        <w:t>, qui propose une méthode d</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équivalence Tsunami Ready visant à permettre l</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établissement de rapports sur la préparation aux tsunamis d</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une manière compatible avec Tsunami Ready, en s</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appuyant sur les exigences de rapport et les cadres administratifs nationaux existants, sans qu</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une reconnaissance formelle par la COI ne soit nécessaire.</w:t>
      </w:r>
    </w:p>
    <w:p w14:paraId="41BDEB5A" w14:textId="59AC3078" w:rsidR="008165A7"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lastRenderedPageBreak/>
        <w:t>25.</w:t>
      </w:r>
      <w:r w:rsidRPr="008231E2">
        <w:rPr>
          <w:rFonts w:asciiTheme="minorBidi" w:hAnsiTheme="minorBidi" w:cstheme="minorBidi"/>
          <w:sz w:val="22"/>
          <w:szCs w:val="22"/>
          <w:lang w:val="fr-FR"/>
        </w:rPr>
        <w:tab/>
      </w:r>
      <w:r w:rsidR="00193AF4" w:rsidRPr="008231E2">
        <w:rPr>
          <w:rFonts w:asciiTheme="minorBidi" w:hAnsiTheme="minorBidi" w:cstheme="minorBidi"/>
          <w:b/>
          <w:bCs/>
          <w:sz w:val="22"/>
          <w:szCs w:val="22"/>
          <w:lang w:val="fr-FR"/>
        </w:rPr>
        <w:t xml:space="preserve">Le GIC a approuvé </w:t>
      </w:r>
      <w:r w:rsidR="00193AF4" w:rsidRPr="008231E2">
        <w:rPr>
          <w:rFonts w:asciiTheme="minorBidi" w:hAnsiTheme="minorBidi" w:cstheme="minorBidi"/>
          <w:sz w:val="22"/>
          <w:szCs w:val="22"/>
          <w:lang w:val="fr-FR"/>
        </w:rPr>
        <w:t>l</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 xml:space="preserve">approche proposée, </w:t>
      </w:r>
      <w:r w:rsidR="000A3EC9" w:rsidRPr="000A3EC9">
        <w:rPr>
          <w:rFonts w:asciiTheme="minorBidi" w:hAnsiTheme="minorBidi" w:cstheme="minorBidi"/>
          <w:b/>
          <w:bCs/>
          <w:sz w:val="22"/>
          <w:szCs w:val="22"/>
          <w:lang w:val="fr-FR"/>
        </w:rPr>
        <w:t>a</w:t>
      </w:r>
      <w:r w:rsidR="000A3EC9">
        <w:rPr>
          <w:rFonts w:asciiTheme="minorBidi" w:hAnsiTheme="minorBidi" w:cstheme="minorBidi"/>
          <w:sz w:val="22"/>
          <w:szCs w:val="22"/>
          <w:lang w:val="fr-FR"/>
        </w:rPr>
        <w:t xml:space="preserve"> </w:t>
      </w:r>
      <w:r w:rsidR="00193AF4" w:rsidRPr="008231E2">
        <w:rPr>
          <w:rFonts w:asciiTheme="minorBidi" w:hAnsiTheme="minorBidi" w:cstheme="minorBidi"/>
          <w:b/>
          <w:bCs/>
          <w:sz w:val="22"/>
          <w:szCs w:val="22"/>
          <w:lang w:val="fr-FR"/>
        </w:rPr>
        <w:t xml:space="preserve">créé </w:t>
      </w:r>
      <w:r w:rsidR="00193AF4" w:rsidRPr="008231E2">
        <w:rPr>
          <w:rFonts w:asciiTheme="minorBidi" w:hAnsiTheme="minorBidi" w:cstheme="minorBidi"/>
          <w:sz w:val="22"/>
          <w:szCs w:val="22"/>
          <w:lang w:val="fr-FR"/>
        </w:rPr>
        <w:t xml:space="preserve">une équipe spéciale pour Tsunami Ready et </w:t>
      </w:r>
      <w:r w:rsidR="000A3EC9" w:rsidRPr="000A3EC9">
        <w:rPr>
          <w:rFonts w:asciiTheme="minorBidi" w:hAnsiTheme="minorBidi" w:cstheme="minorBidi"/>
          <w:b/>
          <w:bCs/>
          <w:sz w:val="22"/>
          <w:szCs w:val="22"/>
          <w:lang w:val="fr-FR"/>
        </w:rPr>
        <w:t xml:space="preserve">a </w:t>
      </w:r>
      <w:r w:rsidR="00193AF4" w:rsidRPr="008231E2">
        <w:rPr>
          <w:rFonts w:asciiTheme="minorBidi" w:hAnsiTheme="minorBidi" w:cstheme="minorBidi"/>
          <w:b/>
          <w:bCs/>
          <w:sz w:val="22"/>
          <w:szCs w:val="22"/>
          <w:lang w:val="fr-FR"/>
        </w:rPr>
        <w:t>recommandé</w:t>
      </w:r>
      <w:r w:rsidR="00193AF4" w:rsidRPr="008231E2">
        <w:rPr>
          <w:rFonts w:asciiTheme="minorBidi" w:hAnsiTheme="minorBidi" w:cstheme="minorBidi"/>
          <w:sz w:val="22"/>
          <w:szCs w:val="22"/>
          <w:lang w:val="fr-FR"/>
        </w:rPr>
        <w:t xml:space="preserve"> au Groupe de travail 3 d</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élaborer une orientation formelle destinée au GIC/PTWS portant sur l</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application de la méthode d</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équivalence Tsunami Ready proposée, qui serait menée pa</w:t>
      </w:r>
      <w:r w:rsidR="000A3EC9">
        <w:rPr>
          <w:rFonts w:asciiTheme="minorBidi" w:hAnsiTheme="minorBidi" w:cstheme="minorBidi"/>
          <w:sz w:val="22"/>
          <w:szCs w:val="22"/>
          <w:lang w:val="fr-FR"/>
        </w:rPr>
        <w:t>r</w:t>
      </w:r>
      <w:r w:rsidR="00193AF4" w:rsidRPr="008231E2">
        <w:rPr>
          <w:rFonts w:asciiTheme="minorBidi" w:hAnsiTheme="minorBidi" w:cstheme="minorBidi"/>
          <w:sz w:val="22"/>
          <w:szCs w:val="22"/>
          <w:lang w:val="fr-FR"/>
        </w:rPr>
        <w:t xml:space="preserve"> l</w:t>
      </w:r>
      <w:r w:rsidR="002D74E2" w:rsidRPr="008231E2">
        <w:rPr>
          <w:rFonts w:asciiTheme="minorBidi" w:hAnsiTheme="minorBidi" w:cstheme="minorBidi"/>
          <w:sz w:val="22"/>
          <w:szCs w:val="22"/>
          <w:lang w:val="fr-FR"/>
        </w:rPr>
        <w:t>’</w:t>
      </w:r>
      <w:r w:rsidR="00193AF4" w:rsidRPr="008231E2">
        <w:rPr>
          <w:rFonts w:asciiTheme="minorBidi" w:hAnsiTheme="minorBidi" w:cstheme="minorBidi"/>
          <w:sz w:val="22"/>
          <w:szCs w:val="22"/>
          <w:lang w:val="fr-FR"/>
        </w:rPr>
        <w:t>Équipe spéciale du Groupe de travail 3 sur Tsunami Ready, avec le concours des groupes de travail régionaux.</w:t>
      </w:r>
    </w:p>
    <w:p w14:paraId="2DFAB1CA" w14:textId="351FC32B" w:rsidR="008165A7"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26.</w:t>
      </w:r>
      <w:r w:rsidRPr="008231E2">
        <w:rPr>
          <w:rFonts w:asciiTheme="minorBidi" w:hAnsiTheme="minorBidi" w:cstheme="minorBidi"/>
          <w:sz w:val="22"/>
          <w:szCs w:val="22"/>
          <w:lang w:val="fr-FR"/>
        </w:rPr>
        <w:tab/>
      </w:r>
      <w:r w:rsidR="008165A7" w:rsidRPr="008231E2">
        <w:rPr>
          <w:rFonts w:asciiTheme="minorBidi" w:hAnsiTheme="minorBidi" w:cstheme="minorBidi"/>
          <w:b/>
          <w:bCs/>
          <w:sz w:val="22"/>
          <w:szCs w:val="22"/>
          <w:lang w:val="fr-FR"/>
        </w:rPr>
        <w:t xml:space="preserve">Le GIC a décidé </w:t>
      </w:r>
      <w:r w:rsidR="008165A7" w:rsidRPr="008231E2">
        <w:rPr>
          <w:rFonts w:asciiTheme="minorBidi" w:hAnsiTheme="minorBidi" w:cstheme="minorBidi"/>
          <w:sz w:val="22"/>
          <w:szCs w:val="22"/>
          <w:lang w:val="fr-FR"/>
        </w:rPr>
        <w:t>d</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 xml:space="preserve">appuyer les efforts et les progrès accomplis par le Nicaragua dans la création du Centre consultatif sur les tsunamis en Amérique centrale (CATAC), en tant que prestataire de services relatifs aux tsunamis (TSP), dans le cadre du GIC/PTWS, et </w:t>
      </w:r>
      <w:r w:rsidR="008165A7" w:rsidRPr="008231E2">
        <w:rPr>
          <w:rFonts w:asciiTheme="minorBidi" w:hAnsiTheme="minorBidi" w:cstheme="minorBidi"/>
          <w:b/>
          <w:bCs/>
          <w:sz w:val="22"/>
          <w:szCs w:val="22"/>
          <w:lang w:val="fr-FR"/>
        </w:rPr>
        <w:t>a rappelé</w:t>
      </w:r>
      <w:r w:rsidR="008165A7" w:rsidRPr="008231E2">
        <w:rPr>
          <w:rFonts w:asciiTheme="minorBidi" w:hAnsiTheme="minorBidi" w:cstheme="minorBidi"/>
          <w:sz w:val="22"/>
          <w:szCs w:val="22"/>
          <w:lang w:val="fr-FR"/>
        </w:rPr>
        <w:t xml:space="preserve"> la Recommandation ICG/PTWS-XXIX.5, qui indiquait que l</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approbation du GIC/CARIBE-EWS et de la COI étaient nécessaires pour lancer pleinement et officiellement les opérations du CATAC.</w:t>
      </w:r>
    </w:p>
    <w:p w14:paraId="058360E9" w14:textId="5D479A5B" w:rsidR="008165A7"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27.</w:t>
      </w:r>
      <w:r w:rsidRPr="008231E2">
        <w:rPr>
          <w:rFonts w:asciiTheme="minorBidi" w:hAnsiTheme="minorBidi" w:cstheme="minorBidi"/>
          <w:sz w:val="22"/>
          <w:szCs w:val="22"/>
          <w:lang w:val="fr-FR"/>
        </w:rPr>
        <w:tab/>
      </w:r>
      <w:r w:rsidR="008165A7" w:rsidRPr="008231E2">
        <w:rPr>
          <w:rFonts w:asciiTheme="minorBidi" w:hAnsiTheme="minorBidi" w:cstheme="minorBidi"/>
          <w:b/>
          <w:bCs/>
          <w:sz w:val="22"/>
          <w:szCs w:val="22"/>
          <w:lang w:val="fr-FR"/>
        </w:rPr>
        <w:t>Le GIC a décidé</w:t>
      </w:r>
      <w:r w:rsidR="008165A7" w:rsidRPr="008231E2">
        <w:rPr>
          <w:rFonts w:asciiTheme="minorBidi" w:hAnsiTheme="minorBidi" w:cstheme="minorBidi"/>
          <w:sz w:val="22"/>
          <w:szCs w:val="22"/>
          <w:lang w:val="fr-FR"/>
        </w:rPr>
        <w:t xml:space="preserve"> de lancer officiellement et pleinement les opérations du CATAC, après la session de</w:t>
      </w:r>
      <w:r w:rsidR="001E0C89" w:rsidRPr="008231E2">
        <w:rPr>
          <w:rFonts w:asciiTheme="minorBidi" w:hAnsiTheme="minorBidi" w:cstheme="minorBidi"/>
          <w:sz w:val="22"/>
          <w:szCs w:val="22"/>
          <w:lang w:val="fr-FR"/>
        </w:rPr>
        <w:t> </w:t>
      </w:r>
      <w:r w:rsidR="008165A7" w:rsidRPr="008231E2">
        <w:rPr>
          <w:rFonts w:asciiTheme="minorBidi" w:hAnsiTheme="minorBidi" w:cstheme="minorBidi"/>
          <w:sz w:val="22"/>
          <w:szCs w:val="22"/>
          <w:lang w:val="fr-FR"/>
        </w:rPr>
        <w:t xml:space="preserve">2024 du Conseil exécutif de la COI, la date précise de démarrage devant être </w:t>
      </w:r>
      <w:r w:rsidR="008165A7" w:rsidRPr="008231E2">
        <w:rPr>
          <w:rFonts w:asciiTheme="minorBidi" w:hAnsiTheme="minorBidi" w:cstheme="minorBidi"/>
          <w:b/>
          <w:bCs/>
          <w:sz w:val="22"/>
          <w:szCs w:val="22"/>
          <w:lang w:val="fr-FR"/>
        </w:rPr>
        <w:t xml:space="preserve">décidée </w:t>
      </w:r>
      <w:r w:rsidR="008165A7" w:rsidRPr="008231E2">
        <w:rPr>
          <w:rFonts w:asciiTheme="minorBidi" w:hAnsiTheme="minorBidi" w:cstheme="minorBidi"/>
          <w:sz w:val="22"/>
          <w:szCs w:val="22"/>
          <w:lang w:val="fr-FR"/>
        </w:rPr>
        <w:t>après coordination avec le GIC/CARIBE-EWS.</w:t>
      </w:r>
    </w:p>
    <w:p w14:paraId="1C298BE9" w14:textId="56E2E316" w:rsidR="008165A7"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28.</w:t>
      </w:r>
      <w:r w:rsidRPr="008231E2">
        <w:rPr>
          <w:rFonts w:asciiTheme="minorBidi" w:hAnsiTheme="minorBidi" w:cstheme="minorBidi"/>
          <w:sz w:val="22"/>
          <w:szCs w:val="22"/>
          <w:lang w:val="fr-FR"/>
        </w:rPr>
        <w:tab/>
      </w:r>
      <w:r w:rsidR="008165A7" w:rsidRPr="008231E2">
        <w:rPr>
          <w:rFonts w:asciiTheme="minorBidi" w:hAnsiTheme="minorBidi" w:cstheme="minorBidi"/>
          <w:b/>
          <w:bCs/>
          <w:sz w:val="22"/>
          <w:szCs w:val="22"/>
          <w:lang w:val="fr-FR"/>
        </w:rPr>
        <w:t>Le GIC a pris note</w:t>
      </w:r>
      <w:r w:rsidR="008165A7" w:rsidRPr="008231E2">
        <w:rPr>
          <w:rFonts w:asciiTheme="minorBidi" w:hAnsiTheme="minorBidi" w:cstheme="minorBidi"/>
          <w:sz w:val="22"/>
          <w:szCs w:val="22"/>
          <w:lang w:val="fr-FR"/>
        </w:rPr>
        <w:t xml:space="preserve"> de la nécessité d</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une coordination entre le GIC/PTWS et ses groupes de travail afin d</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atteindre les objectifs du Programme relatif aux tsunamis de la Décennie des Nations Unies pour les sciences océaniques, et</w:t>
      </w:r>
      <w:r w:rsidR="008165A7" w:rsidRPr="008231E2">
        <w:rPr>
          <w:rFonts w:asciiTheme="minorBidi" w:hAnsiTheme="minorBidi" w:cstheme="minorBidi"/>
          <w:b/>
          <w:bCs/>
          <w:sz w:val="22"/>
          <w:szCs w:val="22"/>
          <w:lang w:val="fr-FR"/>
        </w:rPr>
        <w:t xml:space="preserve"> a également pris note</w:t>
      </w:r>
      <w:r w:rsidR="008165A7" w:rsidRPr="008231E2">
        <w:rPr>
          <w:rFonts w:asciiTheme="minorBidi" w:hAnsiTheme="minorBidi" w:cstheme="minorBidi"/>
          <w:sz w:val="22"/>
          <w:szCs w:val="22"/>
          <w:lang w:val="fr-FR"/>
        </w:rPr>
        <w:t xml:space="preserve"> de la direction ferme et de la supervision stratégique nécessaire pour concrétiser ces objectifs.</w:t>
      </w:r>
    </w:p>
    <w:p w14:paraId="00E92524" w14:textId="164FCF7D" w:rsidR="00BC245D" w:rsidRPr="008231E2" w:rsidRDefault="00417BC8" w:rsidP="00417BC8">
      <w:pPr>
        <w:tabs>
          <w:tab w:val="left" w:pos="567"/>
        </w:tabs>
        <w:autoSpaceDE w:val="0"/>
        <w:autoSpaceDN w:val="0"/>
        <w:adjustRightInd w:val="0"/>
        <w:spacing w:after="240"/>
        <w:jc w:val="both"/>
        <w:rPr>
          <w:rFonts w:asciiTheme="minorBidi" w:hAnsiTheme="minorBidi" w:cstheme="minorBidi"/>
          <w:sz w:val="22"/>
          <w:szCs w:val="22"/>
          <w:lang w:val="fr-BE"/>
        </w:rPr>
      </w:pPr>
      <w:r w:rsidRPr="008231E2">
        <w:rPr>
          <w:rFonts w:asciiTheme="minorBidi" w:hAnsiTheme="minorBidi" w:cstheme="minorBidi"/>
          <w:sz w:val="22"/>
          <w:szCs w:val="22"/>
          <w:lang w:val="fr-FR"/>
        </w:rPr>
        <w:t>29.</w:t>
      </w:r>
      <w:r w:rsidRPr="008231E2">
        <w:rPr>
          <w:rFonts w:asciiTheme="minorBidi" w:hAnsiTheme="minorBidi" w:cstheme="minorBidi"/>
          <w:sz w:val="22"/>
          <w:szCs w:val="22"/>
          <w:lang w:val="fr-FR"/>
        </w:rPr>
        <w:tab/>
      </w:r>
      <w:r w:rsidR="008165A7" w:rsidRPr="008231E2">
        <w:rPr>
          <w:rFonts w:asciiTheme="minorBidi" w:hAnsiTheme="minorBidi" w:cstheme="minorBidi"/>
          <w:b/>
          <w:bCs/>
          <w:sz w:val="22"/>
          <w:szCs w:val="22"/>
          <w:lang w:val="fr-FR"/>
        </w:rPr>
        <w:t xml:space="preserve">Le GIC a reconnu </w:t>
      </w:r>
      <w:r w:rsidR="008165A7" w:rsidRPr="008231E2">
        <w:rPr>
          <w:rFonts w:asciiTheme="minorBidi" w:hAnsiTheme="minorBidi" w:cstheme="minorBidi"/>
          <w:sz w:val="22"/>
          <w:szCs w:val="22"/>
          <w:lang w:val="fr-FR"/>
        </w:rPr>
        <w:t>que le Comité directeur avait pour responsabilités la coordination et la direction stratégiques dans l</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ensemble des activités du PTWS, y compris la Décennie de l</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Océan, et</w:t>
      </w:r>
      <w:r w:rsidR="008165A7" w:rsidRPr="008231E2">
        <w:rPr>
          <w:rFonts w:asciiTheme="minorBidi" w:hAnsiTheme="minorBidi" w:cstheme="minorBidi"/>
          <w:b/>
          <w:bCs/>
          <w:sz w:val="22"/>
          <w:szCs w:val="22"/>
          <w:lang w:val="fr-FR"/>
        </w:rPr>
        <w:t xml:space="preserve"> a recommandé</w:t>
      </w:r>
      <w:r w:rsidR="008165A7" w:rsidRPr="008231E2">
        <w:rPr>
          <w:rFonts w:asciiTheme="minorBidi" w:hAnsiTheme="minorBidi" w:cstheme="minorBidi"/>
          <w:sz w:val="22"/>
          <w:szCs w:val="22"/>
          <w:lang w:val="fr-FR"/>
        </w:rPr>
        <w:t xml:space="preserve"> le renforcement du mandat et des capacités du Comité directeur afin d</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atteindre les objectifs de la Décennie en modifiant le mandat, tel qu</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énoncé à l</w:t>
      </w:r>
      <w:r w:rsidR="002D74E2" w:rsidRPr="008231E2">
        <w:rPr>
          <w:rFonts w:asciiTheme="minorBidi" w:hAnsiTheme="minorBidi" w:cstheme="minorBidi"/>
          <w:sz w:val="22"/>
          <w:szCs w:val="22"/>
          <w:lang w:val="fr-FR"/>
        </w:rPr>
        <w:t>’</w:t>
      </w:r>
      <w:r w:rsidR="00245C80">
        <w:rPr>
          <w:rFonts w:asciiTheme="minorBidi" w:hAnsiTheme="minorBidi" w:cstheme="minorBidi"/>
          <w:sz w:val="22"/>
          <w:szCs w:val="22"/>
          <w:lang w:val="fr-FR"/>
        </w:rPr>
        <w:t>a</w:t>
      </w:r>
      <w:r w:rsidR="008165A7" w:rsidRPr="008231E2">
        <w:rPr>
          <w:rFonts w:asciiTheme="minorBidi" w:hAnsiTheme="minorBidi" w:cstheme="minorBidi"/>
          <w:sz w:val="22"/>
          <w:szCs w:val="22"/>
          <w:lang w:val="fr-FR"/>
        </w:rPr>
        <w:t xml:space="preserve">ppendice 1 de la </w:t>
      </w:r>
      <w:r w:rsidR="002E77B1">
        <w:fldChar w:fldCharType="begin"/>
      </w:r>
      <w:r w:rsidR="002E77B1" w:rsidRPr="002E77B1">
        <w:rPr>
          <w:lang w:val="fr-FR"/>
        </w:rPr>
        <w:instrText>HYPERLINK "https://oceanexpert.org/document/33418"</w:instrText>
      </w:r>
      <w:r w:rsidR="002E77B1">
        <w:fldChar w:fldCharType="separate"/>
      </w:r>
      <w:r w:rsidR="008165A7" w:rsidRPr="008231E2">
        <w:rPr>
          <w:rStyle w:val="Hyperlink"/>
          <w:rFonts w:asciiTheme="minorBidi" w:hAnsiTheme="minorBidi" w:cstheme="minorBidi"/>
          <w:sz w:val="22"/>
          <w:szCs w:val="22"/>
          <w:lang w:val="fr-FR"/>
        </w:rPr>
        <w:t>Recommandation ICG/PTWS-XXX.1</w:t>
      </w:r>
      <w:r w:rsidR="002E77B1">
        <w:rPr>
          <w:rStyle w:val="Hyperlink"/>
          <w:rFonts w:asciiTheme="minorBidi" w:hAnsiTheme="minorBidi" w:cstheme="minorBidi"/>
          <w:sz w:val="22"/>
          <w:szCs w:val="22"/>
          <w:lang w:val="fr-FR"/>
        </w:rPr>
        <w:fldChar w:fldCharType="end"/>
      </w:r>
      <w:r w:rsidR="008165A7" w:rsidRPr="008231E2">
        <w:rPr>
          <w:rFonts w:asciiTheme="minorBidi" w:hAnsiTheme="minorBidi" w:cstheme="minorBidi"/>
          <w:sz w:val="22"/>
          <w:szCs w:val="22"/>
          <w:lang w:val="fr-FR"/>
        </w:rPr>
        <w:t>.</w:t>
      </w:r>
    </w:p>
    <w:p w14:paraId="0B429219" w14:textId="38BA8105" w:rsidR="003B6D4C" w:rsidRPr="002D74E2" w:rsidRDefault="00417BC8" w:rsidP="00417BC8">
      <w:pPr>
        <w:tabs>
          <w:tab w:val="left" w:pos="567"/>
        </w:tabs>
        <w:autoSpaceDE w:val="0"/>
        <w:autoSpaceDN w:val="0"/>
        <w:adjustRightInd w:val="0"/>
        <w:spacing w:after="240"/>
        <w:jc w:val="both"/>
        <w:rPr>
          <w:rFonts w:ascii="Arial" w:eastAsia="Arial" w:hAnsi="Arial" w:cs="Arial"/>
          <w:b/>
          <w:sz w:val="22"/>
          <w:szCs w:val="22"/>
          <w:lang w:val="fr-BE"/>
        </w:rPr>
      </w:pPr>
      <w:r w:rsidRPr="008231E2">
        <w:rPr>
          <w:rFonts w:asciiTheme="minorBidi" w:hAnsiTheme="minorBidi" w:cstheme="minorBidi"/>
          <w:sz w:val="22"/>
          <w:szCs w:val="22"/>
          <w:lang w:val="fr-FR"/>
        </w:rPr>
        <w:t>30.</w:t>
      </w:r>
      <w:r w:rsidRPr="008231E2">
        <w:rPr>
          <w:rFonts w:asciiTheme="minorBidi" w:hAnsiTheme="minorBidi" w:cstheme="minorBidi"/>
          <w:sz w:val="22"/>
          <w:szCs w:val="22"/>
          <w:lang w:val="fr-FR"/>
        </w:rPr>
        <w:tab/>
      </w:r>
      <w:r w:rsidR="008165A7" w:rsidRPr="008231E2">
        <w:rPr>
          <w:rFonts w:asciiTheme="minorBidi" w:hAnsiTheme="minorBidi" w:cstheme="minorBidi"/>
          <w:b/>
          <w:bCs/>
          <w:sz w:val="22"/>
          <w:szCs w:val="22"/>
          <w:lang w:val="fr-FR"/>
        </w:rPr>
        <w:t>Le GIC a reconnu</w:t>
      </w:r>
      <w:r w:rsidR="008165A7" w:rsidRPr="008231E2">
        <w:rPr>
          <w:rFonts w:asciiTheme="minorBidi" w:hAnsiTheme="minorBidi" w:cstheme="minorBidi"/>
          <w:sz w:val="22"/>
          <w:szCs w:val="22"/>
          <w:lang w:val="fr-FR"/>
        </w:rPr>
        <w:t xml:space="preserve"> la portée et l</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 xml:space="preserve">ampleur des tâches à venir ; </w:t>
      </w:r>
      <w:r w:rsidR="008165A7" w:rsidRPr="008231E2">
        <w:rPr>
          <w:rFonts w:asciiTheme="minorBidi" w:hAnsiTheme="minorBidi" w:cstheme="minorBidi"/>
          <w:b/>
          <w:bCs/>
          <w:sz w:val="22"/>
          <w:szCs w:val="22"/>
          <w:lang w:val="fr-FR"/>
        </w:rPr>
        <w:t>a décidé</w:t>
      </w:r>
      <w:r w:rsidR="008165A7" w:rsidRPr="008231E2">
        <w:rPr>
          <w:rFonts w:asciiTheme="minorBidi" w:hAnsiTheme="minorBidi" w:cstheme="minorBidi"/>
          <w:sz w:val="22"/>
          <w:szCs w:val="22"/>
          <w:lang w:val="fr-FR"/>
        </w:rPr>
        <w:t xml:space="preserve"> d</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 xml:space="preserve">augmenter le nombre de postes de vice-président du GIC/PTWS, le faisant passer à trois ; et </w:t>
      </w:r>
      <w:r w:rsidR="008165A7" w:rsidRPr="008231E2">
        <w:rPr>
          <w:rFonts w:asciiTheme="minorBidi" w:hAnsiTheme="minorBidi" w:cstheme="minorBidi"/>
          <w:b/>
          <w:bCs/>
          <w:sz w:val="22"/>
          <w:szCs w:val="22"/>
          <w:lang w:val="fr-FR"/>
        </w:rPr>
        <w:t>a élu</w:t>
      </w:r>
      <w:r w:rsidR="008165A7" w:rsidRPr="008231E2">
        <w:rPr>
          <w:rFonts w:asciiTheme="minorBidi" w:hAnsiTheme="minorBidi" w:cstheme="minorBidi"/>
          <w:sz w:val="22"/>
          <w:szCs w:val="22"/>
          <w:lang w:val="fr-FR"/>
        </w:rPr>
        <w:t xml:space="preserve"> M.</w:t>
      </w:r>
      <w:r w:rsidR="001E0C89" w:rsidRPr="008231E2">
        <w:rPr>
          <w:rFonts w:asciiTheme="minorBidi" w:hAnsiTheme="minorBidi" w:cstheme="minorBidi"/>
          <w:sz w:val="22"/>
          <w:szCs w:val="22"/>
          <w:lang w:val="fr-FR"/>
        </w:rPr>
        <w:t> </w:t>
      </w:r>
      <w:proofErr w:type="spellStart"/>
      <w:r w:rsidR="008165A7" w:rsidRPr="008231E2">
        <w:rPr>
          <w:rFonts w:asciiTheme="minorBidi" w:hAnsiTheme="minorBidi" w:cstheme="minorBidi"/>
          <w:sz w:val="22"/>
          <w:szCs w:val="22"/>
          <w:lang w:val="fr-FR"/>
        </w:rPr>
        <w:t>Yuji</w:t>
      </w:r>
      <w:proofErr w:type="spellEnd"/>
      <w:r w:rsidR="008165A7" w:rsidRPr="008231E2">
        <w:rPr>
          <w:rFonts w:asciiTheme="minorBidi" w:hAnsiTheme="minorBidi" w:cstheme="minorBidi"/>
          <w:sz w:val="22"/>
          <w:szCs w:val="22"/>
          <w:lang w:val="fr-FR"/>
        </w:rPr>
        <w:t xml:space="preserve"> </w:t>
      </w:r>
      <w:proofErr w:type="spellStart"/>
      <w:r w:rsidR="008165A7" w:rsidRPr="008231E2">
        <w:rPr>
          <w:rFonts w:asciiTheme="minorBidi" w:hAnsiTheme="minorBidi" w:cstheme="minorBidi"/>
          <w:sz w:val="22"/>
          <w:szCs w:val="22"/>
          <w:lang w:val="fr-FR"/>
        </w:rPr>
        <w:t>Nishimae</w:t>
      </w:r>
      <w:proofErr w:type="spellEnd"/>
      <w:r w:rsidR="008165A7" w:rsidRPr="008231E2">
        <w:rPr>
          <w:rFonts w:asciiTheme="minorBidi" w:hAnsiTheme="minorBidi" w:cstheme="minorBidi"/>
          <w:sz w:val="22"/>
          <w:szCs w:val="22"/>
          <w:lang w:val="fr-FR"/>
        </w:rPr>
        <w:t xml:space="preserve"> (Japon) Président, ainsi que M. Dakui Wang (Chine), M. Wilfried </w:t>
      </w:r>
      <w:proofErr w:type="spellStart"/>
      <w:r w:rsidR="008165A7" w:rsidRPr="008231E2">
        <w:rPr>
          <w:rFonts w:asciiTheme="minorBidi" w:hAnsiTheme="minorBidi" w:cstheme="minorBidi"/>
          <w:sz w:val="22"/>
          <w:szCs w:val="22"/>
          <w:lang w:val="fr-FR"/>
        </w:rPr>
        <w:t>Strauch</w:t>
      </w:r>
      <w:proofErr w:type="spellEnd"/>
      <w:r w:rsidR="008165A7" w:rsidRPr="008231E2">
        <w:rPr>
          <w:rFonts w:asciiTheme="minorBidi" w:hAnsiTheme="minorBidi" w:cstheme="minorBidi"/>
          <w:sz w:val="22"/>
          <w:szCs w:val="22"/>
          <w:lang w:val="fr-FR"/>
        </w:rPr>
        <w:t xml:space="preserve"> (Nicaragua) et M.</w:t>
      </w:r>
      <w:r w:rsidR="001E0C89" w:rsidRPr="008231E2">
        <w:rPr>
          <w:rFonts w:asciiTheme="minorBidi" w:hAnsiTheme="minorBidi" w:cstheme="minorBidi"/>
          <w:sz w:val="22"/>
          <w:szCs w:val="22"/>
          <w:lang w:val="fr-FR"/>
        </w:rPr>
        <w:t> </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 xml:space="preserve">Ofa </w:t>
      </w:r>
      <w:proofErr w:type="spellStart"/>
      <w:r w:rsidR="008165A7" w:rsidRPr="008231E2">
        <w:rPr>
          <w:rFonts w:asciiTheme="minorBidi" w:hAnsiTheme="minorBidi" w:cstheme="minorBidi"/>
          <w:sz w:val="22"/>
          <w:szCs w:val="22"/>
          <w:lang w:val="fr-FR"/>
        </w:rPr>
        <w:t>Fa</w:t>
      </w:r>
      <w:r w:rsidR="002D74E2" w:rsidRPr="008231E2">
        <w:rPr>
          <w:rFonts w:asciiTheme="minorBidi" w:hAnsiTheme="minorBidi" w:cstheme="minorBidi"/>
          <w:sz w:val="22"/>
          <w:szCs w:val="22"/>
          <w:lang w:val="fr-FR"/>
        </w:rPr>
        <w:t>’</w:t>
      </w:r>
      <w:r w:rsidR="008165A7" w:rsidRPr="008231E2">
        <w:rPr>
          <w:rFonts w:asciiTheme="minorBidi" w:hAnsiTheme="minorBidi" w:cstheme="minorBidi"/>
          <w:sz w:val="22"/>
          <w:szCs w:val="22"/>
          <w:lang w:val="fr-FR"/>
        </w:rPr>
        <w:t>anunu</w:t>
      </w:r>
      <w:proofErr w:type="spellEnd"/>
      <w:r w:rsidR="008165A7" w:rsidRPr="008231E2">
        <w:rPr>
          <w:rFonts w:asciiTheme="minorBidi" w:hAnsiTheme="minorBidi" w:cstheme="minorBidi"/>
          <w:sz w:val="22"/>
          <w:szCs w:val="22"/>
          <w:lang w:val="fr-FR"/>
        </w:rPr>
        <w:t xml:space="preserve"> (Tonga) </w:t>
      </w:r>
      <w:r w:rsidR="000A3EC9">
        <w:rPr>
          <w:rFonts w:asciiTheme="minorBidi" w:hAnsiTheme="minorBidi" w:cstheme="minorBidi"/>
          <w:sz w:val="22"/>
          <w:szCs w:val="22"/>
          <w:lang w:val="fr-FR"/>
        </w:rPr>
        <w:t>V</w:t>
      </w:r>
      <w:r w:rsidR="008165A7" w:rsidRPr="008231E2">
        <w:rPr>
          <w:rFonts w:asciiTheme="minorBidi" w:hAnsiTheme="minorBidi" w:cstheme="minorBidi"/>
          <w:sz w:val="22"/>
          <w:szCs w:val="22"/>
          <w:lang w:val="fr-FR"/>
        </w:rPr>
        <w:t>ice-</w:t>
      </w:r>
      <w:r w:rsidR="000A3EC9">
        <w:rPr>
          <w:rFonts w:asciiTheme="minorBidi" w:hAnsiTheme="minorBidi" w:cstheme="minorBidi"/>
          <w:sz w:val="22"/>
          <w:szCs w:val="22"/>
          <w:lang w:val="fr-FR"/>
        </w:rPr>
        <w:t>P</w:t>
      </w:r>
      <w:r w:rsidR="008165A7" w:rsidRPr="008231E2">
        <w:rPr>
          <w:rFonts w:asciiTheme="minorBidi" w:hAnsiTheme="minorBidi" w:cstheme="minorBidi"/>
          <w:sz w:val="22"/>
          <w:szCs w:val="22"/>
          <w:lang w:val="fr-FR"/>
        </w:rPr>
        <w:t>résidents du GIC/PTWS.</w:t>
      </w:r>
    </w:p>
    <w:sectPr w:rsidR="003B6D4C" w:rsidRPr="002D74E2" w:rsidSect="00B96458">
      <w:headerReference w:type="even" r:id="rId11"/>
      <w:headerReference w:type="default" r:id="rId12"/>
      <w:headerReference w:type="first" r:id="rId13"/>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99A96" w14:textId="77777777" w:rsidR="00A55DEF" w:rsidRDefault="00A55DEF">
      <w:r>
        <w:separator/>
      </w:r>
    </w:p>
  </w:endnote>
  <w:endnote w:type="continuationSeparator" w:id="0">
    <w:p w14:paraId="49A75C09" w14:textId="77777777" w:rsidR="00A55DEF" w:rsidRDefault="00A5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23BA7" w14:textId="77777777" w:rsidR="00A55DEF" w:rsidRDefault="00A55DEF">
      <w:r>
        <w:separator/>
      </w:r>
    </w:p>
  </w:footnote>
  <w:footnote w:type="continuationSeparator" w:id="0">
    <w:p w14:paraId="1E459C8A" w14:textId="77777777" w:rsidR="00A55DEF" w:rsidRDefault="00A5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317E" w14:textId="729A0F55" w:rsidR="0002560F" w:rsidRPr="008231E2" w:rsidRDefault="00D924ED" w:rsidP="008231E2">
    <w:pPr>
      <w:pStyle w:val="Header"/>
      <w:spacing w:after="240"/>
      <w:rPr>
        <w:sz w:val="20"/>
        <w:lang w:val="en-AU"/>
      </w:rPr>
    </w:pPr>
    <w:r w:rsidRPr="00214B5A">
      <w:rPr>
        <w:szCs w:val="28"/>
        <w:lang w:val="en-AU"/>
      </w:rPr>
      <w:t>IOC/ICG/PTWS-XXX/3s</w:t>
    </w:r>
    <w:r w:rsidR="0002560F" w:rsidRPr="00214B5A">
      <w:rPr>
        <w:szCs w:val="28"/>
        <w:lang w:val="en-AU"/>
      </w:rPr>
      <w:t xml:space="preserve"> –</w:t>
    </w:r>
    <w:r w:rsidR="00D200BC" w:rsidRPr="00214B5A">
      <w:rPr>
        <w:szCs w:val="28"/>
        <w:lang w:val="en-AU"/>
      </w:rPr>
      <w:t xml:space="preserve"> page </w:t>
    </w:r>
    <w:r w:rsidR="00D200BC" w:rsidRPr="00214B5A">
      <w:rPr>
        <w:szCs w:val="28"/>
        <w:lang w:val="en-AU"/>
      </w:rPr>
      <w:fldChar w:fldCharType="begin"/>
    </w:r>
    <w:r w:rsidR="00D200BC" w:rsidRPr="00214B5A">
      <w:rPr>
        <w:szCs w:val="28"/>
        <w:lang w:val="en-AU"/>
      </w:rPr>
      <w:instrText>PAGE   \* MERGEFORMAT</w:instrText>
    </w:r>
    <w:r w:rsidR="00D200BC" w:rsidRPr="00214B5A">
      <w:rPr>
        <w:szCs w:val="28"/>
        <w:lang w:val="en-AU"/>
      </w:rPr>
      <w:fldChar w:fldCharType="separate"/>
    </w:r>
    <w:r w:rsidR="00681C8D" w:rsidRPr="00214B5A">
      <w:rPr>
        <w:noProof/>
        <w:szCs w:val="28"/>
        <w:lang w:val="en-AU"/>
      </w:rPr>
      <w:t>16</w:t>
    </w:r>
    <w:r w:rsidR="00D200BC" w:rsidRPr="00214B5A">
      <w:rPr>
        <w:szCs w:val="28"/>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331A6" w14:textId="76ECB99F" w:rsidR="00ED4416" w:rsidRPr="00214B5A" w:rsidRDefault="00D924ED" w:rsidP="00214B5A">
    <w:pPr>
      <w:pStyle w:val="Header"/>
      <w:spacing w:after="240"/>
      <w:ind w:left="6096"/>
      <w:rPr>
        <w:szCs w:val="28"/>
        <w:lang w:val="en-AU"/>
      </w:rPr>
    </w:pPr>
    <w:r w:rsidRPr="00214B5A">
      <w:rPr>
        <w:szCs w:val="28"/>
        <w:lang w:val="en-AU"/>
      </w:rPr>
      <w:t>IOC/ICG/PTWS-XXX/3s</w:t>
    </w:r>
    <w:r w:rsidR="003B6D4C" w:rsidRPr="00214B5A">
      <w:rPr>
        <w:szCs w:val="28"/>
        <w:lang w:val="en-AU"/>
      </w:rPr>
      <w:t xml:space="preserve"> </w:t>
    </w:r>
    <w:r w:rsidR="0002560F" w:rsidRPr="00214B5A">
      <w:rPr>
        <w:szCs w:val="28"/>
        <w:lang w:val="en-AU"/>
      </w:rPr>
      <w:t xml:space="preserve">– page </w:t>
    </w:r>
    <w:r w:rsidR="0002560F" w:rsidRPr="00214B5A">
      <w:rPr>
        <w:szCs w:val="28"/>
        <w:lang w:val="en-AU"/>
      </w:rPr>
      <w:fldChar w:fldCharType="begin"/>
    </w:r>
    <w:r w:rsidR="0002560F" w:rsidRPr="00214B5A">
      <w:rPr>
        <w:szCs w:val="28"/>
        <w:lang w:val="en-AU"/>
      </w:rPr>
      <w:instrText>PAGE   \* MERGEFORMAT</w:instrText>
    </w:r>
    <w:r w:rsidR="0002560F" w:rsidRPr="00214B5A">
      <w:rPr>
        <w:szCs w:val="28"/>
        <w:lang w:val="en-AU"/>
      </w:rPr>
      <w:fldChar w:fldCharType="separate"/>
    </w:r>
    <w:r w:rsidR="0002560F" w:rsidRPr="00214B5A">
      <w:rPr>
        <w:szCs w:val="28"/>
        <w:lang w:val="en-AU"/>
      </w:rPr>
      <w:t>2</w:t>
    </w:r>
    <w:r w:rsidR="0002560F" w:rsidRPr="00214B5A">
      <w:rPr>
        <w:szCs w:val="28"/>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8B1DE" w14:textId="77777777" w:rsidR="0002560F" w:rsidRPr="002D74E2" w:rsidRDefault="00292939" w:rsidP="00790D2A">
    <w:pPr>
      <w:ind w:left="5954"/>
      <w:jc w:val="right"/>
      <w:rPr>
        <w:rFonts w:ascii="Arial" w:eastAsia="Arial" w:hAnsi="Arial" w:cs="Arial"/>
        <w:b/>
        <w:bCs/>
        <w:sz w:val="32"/>
        <w:szCs w:val="32"/>
      </w:rPr>
    </w:pPr>
    <w:r w:rsidRPr="002D74E2">
      <w:rPr>
        <w:rFonts w:ascii="Arial" w:hAnsi="Arial" w:cs="Arial"/>
        <w:noProof/>
        <w:sz w:val="32"/>
        <w:szCs w:val="32"/>
        <w:lang w:val="fr-FR"/>
      </w:rPr>
      <w:drawing>
        <wp:anchor distT="0" distB="0" distL="114300" distR="114300" simplePos="0" relativeHeight="251657216" behindDoc="0" locked="0" layoutInCell="1" allowOverlap="1" wp14:anchorId="1A439A69" wp14:editId="2E8777BA">
          <wp:simplePos x="0" y="0"/>
          <wp:positionH relativeFrom="column">
            <wp:posOffset>0</wp:posOffset>
          </wp:positionH>
          <wp:positionV relativeFrom="paragraph">
            <wp:posOffset>-5605</wp:posOffset>
          </wp:positionV>
          <wp:extent cx="1578610" cy="1047115"/>
          <wp:effectExtent l="0" t="0" r="0" b="0"/>
          <wp:wrapSquare wrapText="bothSides"/>
          <wp:docPr id="6"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4E2">
      <w:rPr>
        <w:rFonts w:ascii="Arial" w:hAnsi="Arial" w:cs="Arial"/>
        <w:b/>
        <w:bCs/>
        <w:sz w:val="32"/>
        <w:szCs w:val="32"/>
        <w:lang w:val="en-US"/>
      </w:rPr>
      <w:t>IOC/ICG/PTWS-XXX/3s</w:t>
    </w:r>
  </w:p>
  <w:p w14:paraId="35BC93E0" w14:textId="77777777" w:rsidR="0002560F" w:rsidRPr="00672380" w:rsidRDefault="00790D2A" w:rsidP="00790D2A">
    <w:pPr>
      <w:tabs>
        <w:tab w:val="left" w:pos="613"/>
      </w:tabs>
      <w:ind w:left="6237" w:right="96"/>
      <w:rPr>
        <w:rFonts w:ascii="Arial" w:eastAsia="Arial" w:hAnsi="Arial" w:cs="Arial"/>
        <w:sz w:val="22"/>
        <w:szCs w:val="22"/>
      </w:rPr>
    </w:pPr>
    <w:r w:rsidRPr="00672380">
      <w:rPr>
        <w:rFonts w:ascii="Arial" w:hAnsi="Arial" w:cs="Arial"/>
        <w:sz w:val="22"/>
        <w:szCs w:val="22"/>
        <w:lang w:val="en-US"/>
      </w:rPr>
      <w:t>21 </w:t>
    </w:r>
    <w:proofErr w:type="spellStart"/>
    <w:r w:rsidRPr="00672380">
      <w:rPr>
        <w:rFonts w:ascii="Arial" w:hAnsi="Arial" w:cs="Arial"/>
        <w:sz w:val="22"/>
        <w:szCs w:val="22"/>
        <w:lang w:val="en-US"/>
      </w:rPr>
      <w:t>mai</w:t>
    </w:r>
    <w:proofErr w:type="spellEnd"/>
    <w:r w:rsidRPr="00672380">
      <w:rPr>
        <w:rFonts w:ascii="Arial" w:hAnsi="Arial" w:cs="Arial"/>
        <w:sz w:val="22"/>
        <w:szCs w:val="22"/>
        <w:lang w:val="en-US"/>
      </w:rPr>
      <w:t xml:space="preserve"> 2024</w:t>
    </w:r>
  </w:p>
  <w:p w14:paraId="1E81C687" w14:textId="77777777" w:rsidR="0002560F" w:rsidRPr="002D74E2" w:rsidRDefault="0002560F" w:rsidP="00790D2A">
    <w:pPr>
      <w:ind w:left="6237" w:right="426"/>
      <w:rPr>
        <w:rFonts w:ascii="Arial" w:eastAsia="Arial" w:hAnsi="Arial" w:cs="Arial"/>
      </w:rPr>
    </w:pPr>
    <w:r w:rsidRPr="00672380">
      <w:rPr>
        <w:rFonts w:ascii="Arial" w:hAnsi="Arial" w:cs="Arial"/>
        <w:sz w:val="22"/>
        <w:szCs w:val="22"/>
        <w:lang w:val="fr-FR"/>
      </w:rPr>
      <w:t>Original anglais</w:t>
    </w:r>
  </w:p>
  <w:p w14:paraId="73A9EDD3" w14:textId="77777777" w:rsidR="0002560F" w:rsidRPr="002D74E2" w:rsidRDefault="0002560F" w:rsidP="0002560F">
    <w:pPr>
      <w:spacing w:before="100" w:beforeAutospacing="1"/>
      <w:ind w:left="5670" w:right="296" w:hanging="56"/>
      <w:jc w:val="right"/>
      <w:rPr>
        <w:rFonts w:ascii="Arial" w:eastAsia="Arial" w:hAnsi="Arial" w:cs="Arial"/>
      </w:rPr>
    </w:pPr>
  </w:p>
  <w:p w14:paraId="5915AE1D" w14:textId="77777777" w:rsidR="0002560F" w:rsidRPr="002D74E2" w:rsidRDefault="0002560F">
    <w:pPr>
      <w:pStyle w:val="Header"/>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303"/>
    <w:multiLevelType w:val="hybridMultilevel"/>
    <w:tmpl w:val="E3BC53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76259"/>
    <w:multiLevelType w:val="hybridMultilevel"/>
    <w:tmpl w:val="EF5E68C4"/>
    <w:lvl w:ilvl="0" w:tplc="0409000F">
      <w:start w:val="1"/>
      <w:numFmt w:val="decimal"/>
      <w:lvlText w:val="%1."/>
      <w:lvlJc w:val="left"/>
      <w:pPr>
        <w:tabs>
          <w:tab w:val="num" w:pos="360"/>
        </w:tabs>
        <w:ind w:left="360" w:hanging="360"/>
      </w:pPr>
      <w:rPr>
        <w:rFonts w:hint="default"/>
      </w:rPr>
    </w:lvl>
    <w:lvl w:ilvl="1" w:tplc="E7985A96">
      <w:start w:val="1"/>
      <w:numFmt w:val="lowerLetter"/>
      <w:lvlText w:val="%2."/>
      <w:lvlJc w:val="left"/>
      <w:pPr>
        <w:tabs>
          <w:tab w:val="num" w:pos="1080"/>
        </w:tabs>
        <w:ind w:left="1080" w:hanging="360"/>
      </w:pPr>
      <w:rPr>
        <w:b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7CC5061"/>
    <w:multiLevelType w:val="hybridMultilevel"/>
    <w:tmpl w:val="8D66E700"/>
    <w:lvl w:ilvl="0" w:tplc="A34076D2">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223D1"/>
    <w:multiLevelType w:val="hybridMultilevel"/>
    <w:tmpl w:val="90D60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01BD"/>
    <w:multiLevelType w:val="hybridMultilevel"/>
    <w:tmpl w:val="C65ADF7A"/>
    <w:lvl w:ilvl="0" w:tplc="0178C176">
      <w:start w:val="1"/>
      <w:numFmt w:val="bullet"/>
      <w:lvlText w:val="•"/>
      <w:lvlJc w:val="left"/>
      <w:pPr>
        <w:tabs>
          <w:tab w:val="num" w:pos="720"/>
        </w:tabs>
        <w:ind w:left="720" w:hanging="360"/>
      </w:pPr>
      <w:rPr>
        <w:rFonts w:ascii="Arial" w:hAnsi="Arial" w:hint="default"/>
      </w:rPr>
    </w:lvl>
    <w:lvl w:ilvl="1" w:tplc="5ACA94D4">
      <w:start w:val="1"/>
      <w:numFmt w:val="bullet"/>
      <w:lvlText w:val="•"/>
      <w:lvlJc w:val="left"/>
      <w:pPr>
        <w:tabs>
          <w:tab w:val="num" w:pos="1440"/>
        </w:tabs>
        <w:ind w:left="1440" w:hanging="360"/>
      </w:pPr>
      <w:rPr>
        <w:rFonts w:ascii="Arial" w:hAnsi="Arial" w:hint="default"/>
      </w:rPr>
    </w:lvl>
    <w:lvl w:ilvl="2" w:tplc="27FEA434" w:tentative="1">
      <w:start w:val="1"/>
      <w:numFmt w:val="bullet"/>
      <w:lvlText w:val="•"/>
      <w:lvlJc w:val="left"/>
      <w:pPr>
        <w:tabs>
          <w:tab w:val="num" w:pos="2160"/>
        </w:tabs>
        <w:ind w:left="2160" w:hanging="360"/>
      </w:pPr>
      <w:rPr>
        <w:rFonts w:ascii="Arial" w:hAnsi="Arial" w:hint="default"/>
      </w:rPr>
    </w:lvl>
    <w:lvl w:ilvl="3" w:tplc="CB52C08C" w:tentative="1">
      <w:start w:val="1"/>
      <w:numFmt w:val="bullet"/>
      <w:lvlText w:val="•"/>
      <w:lvlJc w:val="left"/>
      <w:pPr>
        <w:tabs>
          <w:tab w:val="num" w:pos="2880"/>
        </w:tabs>
        <w:ind w:left="2880" w:hanging="360"/>
      </w:pPr>
      <w:rPr>
        <w:rFonts w:ascii="Arial" w:hAnsi="Arial" w:hint="default"/>
      </w:rPr>
    </w:lvl>
    <w:lvl w:ilvl="4" w:tplc="3410C1E4" w:tentative="1">
      <w:start w:val="1"/>
      <w:numFmt w:val="bullet"/>
      <w:lvlText w:val="•"/>
      <w:lvlJc w:val="left"/>
      <w:pPr>
        <w:tabs>
          <w:tab w:val="num" w:pos="3600"/>
        </w:tabs>
        <w:ind w:left="3600" w:hanging="360"/>
      </w:pPr>
      <w:rPr>
        <w:rFonts w:ascii="Arial" w:hAnsi="Arial" w:hint="default"/>
      </w:rPr>
    </w:lvl>
    <w:lvl w:ilvl="5" w:tplc="CEDAFB56" w:tentative="1">
      <w:start w:val="1"/>
      <w:numFmt w:val="bullet"/>
      <w:lvlText w:val="•"/>
      <w:lvlJc w:val="left"/>
      <w:pPr>
        <w:tabs>
          <w:tab w:val="num" w:pos="4320"/>
        </w:tabs>
        <w:ind w:left="4320" w:hanging="360"/>
      </w:pPr>
      <w:rPr>
        <w:rFonts w:ascii="Arial" w:hAnsi="Arial" w:hint="default"/>
      </w:rPr>
    </w:lvl>
    <w:lvl w:ilvl="6" w:tplc="B9521506" w:tentative="1">
      <w:start w:val="1"/>
      <w:numFmt w:val="bullet"/>
      <w:lvlText w:val="•"/>
      <w:lvlJc w:val="left"/>
      <w:pPr>
        <w:tabs>
          <w:tab w:val="num" w:pos="5040"/>
        </w:tabs>
        <w:ind w:left="5040" w:hanging="360"/>
      </w:pPr>
      <w:rPr>
        <w:rFonts w:ascii="Arial" w:hAnsi="Arial" w:hint="default"/>
      </w:rPr>
    </w:lvl>
    <w:lvl w:ilvl="7" w:tplc="FD204EC8" w:tentative="1">
      <w:start w:val="1"/>
      <w:numFmt w:val="bullet"/>
      <w:lvlText w:val="•"/>
      <w:lvlJc w:val="left"/>
      <w:pPr>
        <w:tabs>
          <w:tab w:val="num" w:pos="5760"/>
        </w:tabs>
        <w:ind w:left="5760" w:hanging="360"/>
      </w:pPr>
      <w:rPr>
        <w:rFonts w:ascii="Arial" w:hAnsi="Arial" w:hint="default"/>
      </w:rPr>
    </w:lvl>
    <w:lvl w:ilvl="8" w:tplc="B6E02B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B284A"/>
    <w:multiLevelType w:val="hybridMultilevel"/>
    <w:tmpl w:val="78442958"/>
    <w:lvl w:ilvl="0" w:tplc="2708D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F1190"/>
    <w:multiLevelType w:val="multilevel"/>
    <w:tmpl w:val="0E7ACB0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65FB0"/>
    <w:multiLevelType w:val="hybridMultilevel"/>
    <w:tmpl w:val="D56C3986"/>
    <w:lvl w:ilvl="0" w:tplc="080282E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8B0859"/>
    <w:multiLevelType w:val="hybridMultilevel"/>
    <w:tmpl w:val="F7D08472"/>
    <w:lvl w:ilvl="0" w:tplc="A3C06B5A">
      <w:start w:val="1"/>
      <w:numFmt w:val="decimal"/>
      <w:lvlText w:val="%1."/>
      <w:lvlJc w:val="left"/>
      <w:pPr>
        <w:tabs>
          <w:tab w:val="num" w:pos="720"/>
        </w:tabs>
        <w:ind w:left="720" w:hanging="360"/>
      </w:pPr>
    </w:lvl>
    <w:lvl w:ilvl="1" w:tplc="D0D8919C" w:tentative="1">
      <w:start w:val="1"/>
      <w:numFmt w:val="decimal"/>
      <w:lvlText w:val="%2."/>
      <w:lvlJc w:val="left"/>
      <w:pPr>
        <w:tabs>
          <w:tab w:val="num" w:pos="1440"/>
        </w:tabs>
        <w:ind w:left="1440" w:hanging="360"/>
      </w:pPr>
    </w:lvl>
    <w:lvl w:ilvl="2" w:tplc="9A4857EA" w:tentative="1">
      <w:start w:val="1"/>
      <w:numFmt w:val="decimal"/>
      <w:lvlText w:val="%3."/>
      <w:lvlJc w:val="left"/>
      <w:pPr>
        <w:tabs>
          <w:tab w:val="num" w:pos="2160"/>
        </w:tabs>
        <w:ind w:left="2160" w:hanging="360"/>
      </w:pPr>
    </w:lvl>
    <w:lvl w:ilvl="3" w:tplc="259C3360" w:tentative="1">
      <w:start w:val="1"/>
      <w:numFmt w:val="decimal"/>
      <w:lvlText w:val="%4."/>
      <w:lvlJc w:val="left"/>
      <w:pPr>
        <w:tabs>
          <w:tab w:val="num" w:pos="2880"/>
        </w:tabs>
        <w:ind w:left="2880" w:hanging="360"/>
      </w:pPr>
    </w:lvl>
    <w:lvl w:ilvl="4" w:tplc="35A66850" w:tentative="1">
      <w:start w:val="1"/>
      <w:numFmt w:val="decimal"/>
      <w:lvlText w:val="%5."/>
      <w:lvlJc w:val="left"/>
      <w:pPr>
        <w:tabs>
          <w:tab w:val="num" w:pos="3600"/>
        </w:tabs>
        <w:ind w:left="3600" w:hanging="360"/>
      </w:pPr>
    </w:lvl>
    <w:lvl w:ilvl="5" w:tplc="608A098C" w:tentative="1">
      <w:start w:val="1"/>
      <w:numFmt w:val="decimal"/>
      <w:lvlText w:val="%6."/>
      <w:lvlJc w:val="left"/>
      <w:pPr>
        <w:tabs>
          <w:tab w:val="num" w:pos="4320"/>
        </w:tabs>
        <w:ind w:left="4320" w:hanging="360"/>
      </w:pPr>
    </w:lvl>
    <w:lvl w:ilvl="6" w:tplc="8C14815A" w:tentative="1">
      <w:start w:val="1"/>
      <w:numFmt w:val="decimal"/>
      <w:lvlText w:val="%7."/>
      <w:lvlJc w:val="left"/>
      <w:pPr>
        <w:tabs>
          <w:tab w:val="num" w:pos="5040"/>
        </w:tabs>
        <w:ind w:left="5040" w:hanging="360"/>
      </w:pPr>
    </w:lvl>
    <w:lvl w:ilvl="7" w:tplc="F39896DC" w:tentative="1">
      <w:start w:val="1"/>
      <w:numFmt w:val="decimal"/>
      <w:lvlText w:val="%8."/>
      <w:lvlJc w:val="left"/>
      <w:pPr>
        <w:tabs>
          <w:tab w:val="num" w:pos="5760"/>
        </w:tabs>
        <w:ind w:left="5760" w:hanging="360"/>
      </w:pPr>
    </w:lvl>
    <w:lvl w:ilvl="8" w:tplc="03A0641E" w:tentative="1">
      <w:start w:val="1"/>
      <w:numFmt w:val="decimal"/>
      <w:lvlText w:val="%9."/>
      <w:lvlJc w:val="left"/>
      <w:pPr>
        <w:tabs>
          <w:tab w:val="num" w:pos="6480"/>
        </w:tabs>
        <w:ind w:left="6480" w:hanging="360"/>
      </w:pPr>
    </w:lvl>
  </w:abstractNum>
  <w:abstractNum w:abstractNumId="9" w15:restartNumberingAfterBreak="0">
    <w:nsid w:val="10C04703"/>
    <w:multiLevelType w:val="hybridMultilevel"/>
    <w:tmpl w:val="EB16638E"/>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D6049"/>
    <w:multiLevelType w:val="hybridMultilevel"/>
    <w:tmpl w:val="3E20B6E0"/>
    <w:lvl w:ilvl="0" w:tplc="1320F3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A3099"/>
    <w:multiLevelType w:val="hybridMultilevel"/>
    <w:tmpl w:val="1E9C9D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1AE336D9"/>
    <w:multiLevelType w:val="hybridMultilevel"/>
    <w:tmpl w:val="6DE09E5E"/>
    <w:lvl w:ilvl="0" w:tplc="151C39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677BD5"/>
    <w:multiLevelType w:val="hybridMultilevel"/>
    <w:tmpl w:val="DFECEE5E"/>
    <w:lvl w:ilvl="0" w:tplc="2DC0975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3E13F2"/>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5514DBB"/>
    <w:multiLevelType w:val="hybridMultilevel"/>
    <w:tmpl w:val="38C2C72E"/>
    <w:lvl w:ilvl="0" w:tplc="5CC8D52A">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526AF6"/>
    <w:multiLevelType w:val="hybridMultilevel"/>
    <w:tmpl w:val="61D22A70"/>
    <w:lvl w:ilvl="0" w:tplc="921E0BCC">
      <w:start w:val="1"/>
      <w:numFmt w:val="decimal"/>
      <w:lvlText w:val="%1."/>
      <w:lvlJc w:val="left"/>
      <w:pPr>
        <w:tabs>
          <w:tab w:val="num" w:pos="720"/>
        </w:tabs>
        <w:ind w:left="720" w:hanging="360"/>
      </w:pPr>
    </w:lvl>
    <w:lvl w:ilvl="1" w:tplc="0C2E8C16" w:tentative="1">
      <w:start w:val="1"/>
      <w:numFmt w:val="decimal"/>
      <w:lvlText w:val="%2."/>
      <w:lvlJc w:val="left"/>
      <w:pPr>
        <w:tabs>
          <w:tab w:val="num" w:pos="1440"/>
        </w:tabs>
        <w:ind w:left="1440" w:hanging="360"/>
      </w:pPr>
    </w:lvl>
    <w:lvl w:ilvl="2" w:tplc="CB38E170" w:tentative="1">
      <w:start w:val="1"/>
      <w:numFmt w:val="decimal"/>
      <w:lvlText w:val="%3."/>
      <w:lvlJc w:val="left"/>
      <w:pPr>
        <w:tabs>
          <w:tab w:val="num" w:pos="2160"/>
        </w:tabs>
        <w:ind w:left="2160" w:hanging="360"/>
      </w:pPr>
    </w:lvl>
    <w:lvl w:ilvl="3" w:tplc="06AA198C" w:tentative="1">
      <w:start w:val="1"/>
      <w:numFmt w:val="decimal"/>
      <w:lvlText w:val="%4."/>
      <w:lvlJc w:val="left"/>
      <w:pPr>
        <w:tabs>
          <w:tab w:val="num" w:pos="2880"/>
        </w:tabs>
        <w:ind w:left="2880" w:hanging="360"/>
      </w:pPr>
    </w:lvl>
    <w:lvl w:ilvl="4" w:tplc="55C4A866" w:tentative="1">
      <w:start w:val="1"/>
      <w:numFmt w:val="decimal"/>
      <w:lvlText w:val="%5."/>
      <w:lvlJc w:val="left"/>
      <w:pPr>
        <w:tabs>
          <w:tab w:val="num" w:pos="3600"/>
        </w:tabs>
        <w:ind w:left="3600" w:hanging="360"/>
      </w:pPr>
    </w:lvl>
    <w:lvl w:ilvl="5" w:tplc="F44496E8" w:tentative="1">
      <w:start w:val="1"/>
      <w:numFmt w:val="decimal"/>
      <w:lvlText w:val="%6."/>
      <w:lvlJc w:val="left"/>
      <w:pPr>
        <w:tabs>
          <w:tab w:val="num" w:pos="4320"/>
        </w:tabs>
        <w:ind w:left="4320" w:hanging="360"/>
      </w:pPr>
    </w:lvl>
    <w:lvl w:ilvl="6" w:tplc="F2040E2A" w:tentative="1">
      <w:start w:val="1"/>
      <w:numFmt w:val="decimal"/>
      <w:lvlText w:val="%7."/>
      <w:lvlJc w:val="left"/>
      <w:pPr>
        <w:tabs>
          <w:tab w:val="num" w:pos="5040"/>
        </w:tabs>
        <w:ind w:left="5040" w:hanging="360"/>
      </w:pPr>
    </w:lvl>
    <w:lvl w:ilvl="7" w:tplc="CC2A1210" w:tentative="1">
      <w:start w:val="1"/>
      <w:numFmt w:val="decimal"/>
      <w:lvlText w:val="%8."/>
      <w:lvlJc w:val="left"/>
      <w:pPr>
        <w:tabs>
          <w:tab w:val="num" w:pos="5760"/>
        </w:tabs>
        <w:ind w:left="5760" w:hanging="360"/>
      </w:pPr>
    </w:lvl>
    <w:lvl w:ilvl="8" w:tplc="4B22D8D2" w:tentative="1">
      <w:start w:val="1"/>
      <w:numFmt w:val="decimal"/>
      <w:lvlText w:val="%9."/>
      <w:lvlJc w:val="left"/>
      <w:pPr>
        <w:tabs>
          <w:tab w:val="num" w:pos="6480"/>
        </w:tabs>
        <w:ind w:left="6480" w:hanging="360"/>
      </w:pPr>
    </w:lvl>
  </w:abstractNum>
  <w:abstractNum w:abstractNumId="17" w15:restartNumberingAfterBreak="0">
    <w:nsid w:val="29945E8A"/>
    <w:multiLevelType w:val="hybridMultilevel"/>
    <w:tmpl w:val="470CF724"/>
    <w:lvl w:ilvl="0" w:tplc="921E0BC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4C4F9E"/>
    <w:multiLevelType w:val="hybridMultilevel"/>
    <w:tmpl w:val="72386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172DB5"/>
    <w:multiLevelType w:val="hybridMultilevel"/>
    <w:tmpl w:val="5E64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DA533E"/>
    <w:multiLevelType w:val="hybridMultilevel"/>
    <w:tmpl w:val="902C87EE"/>
    <w:lvl w:ilvl="0" w:tplc="93604B2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4A6456"/>
    <w:multiLevelType w:val="hybridMultilevel"/>
    <w:tmpl w:val="276CE808"/>
    <w:lvl w:ilvl="0" w:tplc="38E88C8E">
      <w:start w:val="1"/>
      <w:numFmt w:val="decimal"/>
      <w:lvlText w:val="%1."/>
      <w:lvlJc w:val="left"/>
      <w:pPr>
        <w:tabs>
          <w:tab w:val="num" w:pos="720"/>
        </w:tabs>
        <w:ind w:left="720" w:hanging="360"/>
      </w:pPr>
    </w:lvl>
    <w:lvl w:ilvl="1" w:tplc="928CB39A" w:tentative="1">
      <w:start w:val="1"/>
      <w:numFmt w:val="decimal"/>
      <w:lvlText w:val="%2."/>
      <w:lvlJc w:val="left"/>
      <w:pPr>
        <w:tabs>
          <w:tab w:val="num" w:pos="1440"/>
        </w:tabs>
        <w:ind w:left="1440" w:hanging="360"/>
      </w:pPr>
    </w:lvl>
    <w:lvl w:ilvl="2" w:tplc="890C29EA" w:tentative="1">
      <w:start w:val="1"/>
      <w:numFmt w:val="decimal"/>
      <w:lvlText w:val="%3."/>
      <w:lvlJc w:val="left"/>
      <w:pPr>
        <w:tabs>
          <w:tab w:val="num" w:pos="2160"/>
        </w:tabs>
        <w:ind w:left="2160" w:hanging="360"/>
      </w:pPr>
    </w:lvl>
    <w:lvl w:ilvl="3" w:tplc="6C72BB1C" w:tentative="1">
      <w:start w:val="1"/>
      <w:numFmt w:val="decimal"/>
      <w:lvlText w:val="%4."/>
      <w:lvlJc w:val="left"/>
      <w:pPr>
        <w:tabs>
          <w:tab w:val="num" w:pos="2880"/>
        </w:tabs>
        <w:ind w:left="2880" w:hanging="360"/>
      </w:pPr>
    </w:lvl>
    <w:lvl w:ilvl="4" w:tplc="A46E783C" w:tentative="1">
      <w:start w:val="1"/>
      <w:numFmt w:val="decimal"/>
      <w:lvlText w:val="%5."/>
      <w:lvlJc w:val="left"/>
      <w:pPr>
        <w:tabs>
          <w:tab w:val="num" w:pos="3600"/>
        </w:tabs>
        <w:ind w:left="3600" w:hanging="360"/>
      </w:pPr>
    </w:lvl>
    <w:lvl w:ilvl="5" w:tplc="398E7060" w:tentative="1">
      <w:start w:val="1"/>
      <w:numFmt w:val="decimal"/>
      <w:lvlText w:val="%6."/>
      <w:lvlJc w:val="left"/>
      <w:pPr>
        <w:tabs>
          <w:tab w:val="num" w:pos="4320"/>
        </w:tabs>
        <w:ind w:left="4320" w:hanging="360"/>
      </w:pPr>
    </w:lvl>
    <w:lvl w:ilvl="6" w:tplc="84CE33BE" w:tentative="1">
      <w:start w:val="1"/>
      <w:numFmt w:val="decimal"/>
      <w:lvlText w:val="%7."/>
      <w:lvlJc w:val="left"/>
      <w:pPr>
        <w:tabs>
          <w:tab w:val="num" w:pos="5040"/>
        </w:tabs>
        <w:ind w:left="5040" w:hanging="360"/>
      </w:pPr>
    </w:lvl>
    <w:lvl w:ilvl="7" w:tplc="5130100C" w:tentative="1">
      <w:start w:val="1"/>
      <w:numFmt w:val="decimal"/>
      <w:lvlText w:val="%8."/>
      <w:lvlJc w:val="left"/>
      <w:pPr>
        <w:tabs>
          <w:tab w:val="num" w:pos="5760"/>
        </w:tabs>
        <w:ind w:left="5760" w:hanging="360"/>
      </w:pPr>
    </w:lvl>
    <w:lvl w:ilvl="8" w:tplc="FCC221AE" w:tentative="1">
      <w:start w:val="1"/>
      <w:numFmt w:val="decimal"/>
      <w:lvlText w:val="%9."/>
      <w:lvlJc w:val="left"/>
      <w:pPr>
        <w:tabs>
          <w:tab w:val="num" w:pos="6480"/>
        </w:tabs>
        <w:ind w:left="6480" w:hanging="360"/>
      </w:pPr>
    </w:lvl>
  </w:abstractNum>
  <w:abstractNum w:abstractNumId="22" w15:restartNumberingAfterBreak="0">
    <w:nsid w:val="31217E4E"/>
    <w:multiLevelType w:val="hybridMultilevel"/>
    <w:tmpl w:val="7CE86FEE"/>
    <w:lvl w:ilvl="0" w:tplc="A1526BE6">
      <w:start w:val="1"/>
      <w:numFmt w:val="decimal"/>
      <w:lvlText w:val="%1."/>
      <w:lvlJc w:val="left"/>
      <w:pPr>
        <w:tabs>
          <w:tab w:val="num" w:pos="1080"/>
        </w:tabs>
        <w:ind w:left="1080" w:hanging="360"/>
      </w:pPr>
    </w:lvl>
    <w:lvl w:ilvl="1" w:tplc="C4D81006" w:tentative="1">
      <w:start w:val="1"/>
      <w:numFmt w:val="decimal"/>
      <w:lvlText w:val="%2."/>
      <w:lvlJc w:val="left"/>
      <w:pPr>
        <w:tabs>
          <w:tab w:val="num" w:pos="1800"/>
        </w:tabs>
        <w:ind w:left="1800" w:hanging="360"/>
      </w:pPr>
    </w:lvl>
    <w:lvl w:ilvl="2" w:tplc="1456978A" w:tentative="1">
      <w:start w:val="1"/>
      <w:numFmt w:val="decimal"/>
      <w:lvlText w:val="%3."/>
      <w:lvlJc w:val="left"/>
      <w:pPr>
        <w:tabs>
          <w:tab w:val="num" w:pos="2520"/>
        </w:tabs>
        <w:ind w:left="2520" w:hanging="360"/>
      </w:pPr>
    </w:lvl>
    <w:lvl w:ilvl="3" w:tplc="F8D21CF2" w:tentative="1">
      <w:start w:val="1"/>
      <w:numFmt w:val="decimal"/>
      <w:lvlText w:val="%4."/>
      <w:lvlJc w:val="left"/>
      <w:pPr>
        <w:tabs>
          <w:tab w:val="num" w:pos="3240"/>
        </w:tabs>
        <w:ind w:left="3240" w:hanging="360"/>
      </w:pPr>
    </w:lvl>
    <w:lvl w:ilvl="4" w:tplc="DDF486DA" w:tentative="1">
      <w:start w:val="1"/>
      <w:numFmt w:val="decimal"/>
      <w:lvlText w:val="%5."/>
      <w:lvlJc w:val="left"/>
      <w:pPr>
        <w:tabs>
          <w:tab w:val="num" w:pos="3960"/>
        </w:tabs>
        <w:ind w:left="3960" w:hanging="360"/>
      </w:pPr>
    </w:lvl>
    <w:lvl w:ilvl="5" w:tplc="CD3292A2" w:tentative="1">
      <w:start w:val="1"/>
      <w:numFmt w:val="decimal"/>
      <w:lvlText w:val="%6."/>
      <w:lvlJc w:val="left"/>
      <w:pPr>
        <w:tabs>
          <w:tab w:val="num" w:pos="4680"/>
        </w:tabs>
        <w:ind w:left="4680" w:hanging="360"/>
      </w:pPr>
    </w:lvl>
    <w:lvl w:ilvl="6" w:tplc="C224913C" w:tentative="1">
      <w:start w:val="1"/>
      <w:numFmt w:val="decimal"/>
      <w:lvlText w:val="%7."/>
      <w:lvlJc w:val="left"/>
      <w:pPr>
        <w:tabs>
          <w:tab w:val="num" w:pos="5400"/>
        </w:tabs>
        <w:ind w:left="5400" w:hanging="360"/>
      </w:pPr>
    </w:lvl>
    <w:lvl w:ilvl="7" w:tplc="285E11A8" w:tentative="1">
      <w:start w:val="1"/>
      <w:numFmt w:val="decimal"/>
      <w:lvlText w:val="%8."/>
      <w:lvlJc w:val="left"/>
      <w:pPr>
        <w:tabs>
          <w:tab w:val="num" w:pos="6120"/>
        </w:tabs>
        <w:ind w:left="6120" w:hanging="360"/>
      </w:pPr>
    </w:lvl>
    <w:lvl w:ilvl="8" w:tplc="CF84A344" w:tentative="1">
      <w:start w:val="1"/>
      <w:numFmt w:val="decimal"/>
      <w:lvlText w:val="%9."/>
      <w:lvlJc w:val="left"/>
      <w:pPr>
        <w:tabs>
          <w:tab w:val="num" w:pos="6840"/>
        </w:tabs>
        <w:ind w:left="6840" w:hanging="360"/>
      </w:pPr>
    </w:lvl>
  </w:abstractNum>
  <w:abstractNum w:abstractNumId="23"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E44216"/>
    <w:multiLevelType w:val="hybridMultilevel"/>
    <w:tmpl w:val="04CED530"/>
    <w:lvl w:ilvl="0" w:tplc="0D643634">
      <w:start w:val="1"/>
      <w:numFmt w:val="bullet"/>
      <w:lvlText w:val=""/>
      <w:lvlJc w:val="left"/>
      <w:pPr>
        <w:tabs>
          <w:tab w:val="num" w:pos="720"/>
        </w:tabs>
        <w:ind w:left="720" w:hanging="360"/>
      </w:pPr>
      <w:rPr>
        <w:rFonts w:ascii="Symbol" w:hAnsi="Symbol" w:hint="default"/>
      </w:rPr>
    </w:lvl>
    <w:lvl w:ilvl="1" w:tplc="CB04E492" w:tentative="1">
      <w:start w:val="1"/>
      <w:numFmt w:val="bullet"/>
      <w:lvlText w:val=""/>
      <w:lvlJc w:val="left"/>
      <w:pPr>
        <w:tabs>
          <w:tab w:val="num" w:pos="1440"/>
        </w:tabs>
        <w:ind w:left="1440" w:hanging="360"/>
      </w:pPr>
      <w:rPr>
        <w:rFonts w:ascii="Symbol" w:hAnsi="Symbol" w:hint="default"/>
      </w:rPr>
    </w:lvl>
    <w:lvl w:ilvl="2" w:tplc="5058B968" w:tentative="1">
      <w:start w:val="1"/>
      <w:numFmt w:val="bullet"/>
      <w:lvlText w:val=""/>
      <w:lvlJc w:val="left"/>
      <w:pPr>
        <w:tabs>
          <w:tab w:val="num" w:pos="2160"/>
        </w:tabs>
        <w:ind w:left="2160" w:hanging="360"/>
      </w:pPr>
      <w:rPr>
        <w:rFonts w:ascii="Symbol" w:hAnsi="Symbol" w:hint="default"/>
      </w:rPr>
    </w:lvl>
    <w:lvl w:ilvl="3" w:tplc="48348194" w:tentative="1">
      <w:start w:val="1"/>
      <w:numFmt w:val="bullet"/>
      <w:lvlText w:val=""/>
      <w:lvlJc w:val="left"/>
      <w:pPr>
        <w:tabs>
          <w:tab w:val="num" w:pos="2880"/>
        </w:tabs>
        <w:ind w:left="2880" w:hanging="360"/>
      </w:pPr>
      <w:rPr>
        <w:rFonts w:ascii="Symbol" w:hAnsi="Symbol" w:hint="default"/>
      </w:rPr>
    </w:lvl>
    <w:lvl w:ilvl="4" w:tplc="97D8B06A" w:tentative="1">
      <w:start w:val="1"/>
      <w:numFmt w:val="bullet"/>
      <w:lvlText w:val=""/>
      <w:lvlJc w:val="left"/>
      <w:pPr>
        <w:tabs>
          <w:tab w:val="num" w:pos="3600"/>
        </w:tabs>
        <w:ind w:left="3600" w:hanging="360"/>
      </w:pPr>
      <w:rPr>
        <w:rFonts w:ascii="Symbol" w:hAnsi="Symbol" w:hint="default"/>
      </w:rPr>
    </w:lvl>
    <w:lvl w:ilvl="5" w:tplc="7D76ABCA" w:tentative="1">
      <w:start w:val="1"/>
      <w:numFmt w:val="bullet"/>
      <w:lvlText w:val=""/>
      <w:lvlJc w:val="left"/>
      <w:pPr>
        <w:tabs>
          <w:tab w:val="num" w:pos="4320"/>
        </w:tabs>
        <w:ind w:left="4320" w:hanging="360"/>
      </w:pPr>
      <w:rPr>
        <w:rFonts w:ascii="Symbol" w:hAnsi="Symbol" w:hint="default"/>
      </w:rPr>
    </w:lvl>
    <w:lvl w:ilvl="6" w:tplc="071048DE" w:tentative="1">
      <w:start w:val="1"/>
      <w:numFmt w:val="bullet"/>
      <w:lvlText w:val=""/>
      <w:lvlJc w:val="left"/>
      <w:pPr>
        <w:tabs>
          <w:tab w:val="num" w:pos="5040"/>
        </w:tabs>
        <w:ind w:left="5040" w:hanging="360"/>
      </w:pPr>
      <w:rPr>
        <w:rFonts w:ascii="Symbol" w:hAnsi="Symbol" w:hint="default"/>
      </w:rPr>
    </w:lvl>
    <w:lvl w:ilvl="7" w:tplc="BCEAFA90" w:tentative="1">
      <w:start w:val="1"/>
      <w:numFmt w:val="bullet"/>
      <w:lvlText w:val=""/>
      <w:lvlJc w:val="left"/>
      <w:pPr>
        <w:tabs>
          <w:tab w:val="num" w:pos="5760"/>
        </w:tabs>
        <w:ind w:left="5760" w:hanging="360"/>
      </w:pPr>
      <w:rPr>
        <w:rFonts w:ascii="Symbol" w:hAnsi="Symbol" w:hint="default"/>
      </w:rPr>
    </w:lvl>
    <w:lvl w:ilvl="8" w:tplc="ED22D4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5251275"/>
    <w:multiLevelType w:val="hybridMultilevel"/>
    <w:tmpl w:val="78E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634E9"/>
    <w:multiLevelType w:val="hybridMultilevel"/>
    <w:tmpl w:val="992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9928AC"/>
    <w:multiLevelType w:val="hybridMultilevel"/>
    <w:tmpl w:val="F31C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D54203"/>
    <w:multiLevelType w:val="hybridMultilevel"/>
    <w:tmpl w:val="522E36F2"/>
    <w:lvl w:ilvl="0" w:tplc="485EBBD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671904"/>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3FCD5C30"/>
    <w:multiLevelType w:val="hybridMultilevel"/>
    <w:tmpl w:val="74E27108"/>
    <w:lvl w:ilvl="0" w:tplc="ADC04F20">
      <w:start w:val="1"/>
      <w:numFmt w:val="bullet"/>
      <w:lvlText w:val=""/>
      <w:lvlJc w:val="left"/>
      <w:pPr>
        <w:ind w:left="720" w:hanging="360"/>
      </w:pPr>
      <w:rPr>
        <w:rFonts w:ascii="Symbol" w:hAnsi="Symbol" w:hint="default"/>
        <w:lang w:val="en-A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E109BB"/>
    <w:multiLevelType w:val="hybridMultilevel"/>
    <w:tmpl w:val="9530DB58"/>
    <w:lvl w:ilvl="0" w:tplc="50A8B49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69E6002"/>
    <w:multiLevelType w:val="multilevel"/>
    <w:tmpl w:val="E5A2257A"/>
    <w:lvl w:ilvl="0">
      <w:start w:val="1"/>
      <w:numFmt w:val="decimal"/>
      <w:pStyle w:val="Heading1"/>
      <w:suff w:val="space"/>
      <w:lvlText w:val="%1. "/>
      <w:lvlJc w:val="left"/>
      <w:pPr>
        <w:ind w:left="480" w:hanging="480"/>
      </w:pPr>
      <w:rPr>
        <w:rFonts w:hint="default"/>
        <w:color w:val="auto"/>
      </w:rPr>
    </w:lvl>
    <w:lvl w:ilvl="1">
      <w:start w:val="1"/>
      <w:numFmt w:val="decimal"/>
      <w:pStyle w:val="Heading2"/>
      <w:suff w:val="space"/>
      <w:lvlText w:val="%1.%2"/>
      <w:lvlJc w:val="left"/>
      <w:pPr>
        <w:ind w:left="480" w:hanging="480"/>
      </w:pPr>
      <w:rPr>
        <w:rFonts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F7E1D"/>
    <w:multiLevelType w:val="hybridMultilevel"/>
    <w:tmpl w:val="DE5A9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B967106"/>
    <w:multiLevelType w:val="hybridMultilevel"/>
    <w:tmpl w:val="A944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C42D5"/>
    <w:multiLevelType w:val="hybridMultilevel"/>
    <w:tmpl w:val="2434393E"/>
    <w:lvl w:ilvl="0" w:tplc="803CE420">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7" w15:restartNumberingAfterBreak="0">
    <w:nsid w:val="4F50644F"/>
    <w:multiLevelType w:val="hybridMultilevel"/>
    <w:tmpl w:val="F92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F95947"/>
    <w:multiLevelType w:val="hybridMultilevel"/>
    <w:tmpl w:val="3DB25688"/>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E369B7"/>
    <w:multiLevelType w:val="hybridMultilevel"/>
    <w:tmpl w:val="E4543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3BA3B8B"/>
    <w:multiLevelType w:val="hybridMultilevel"/>
    <w:tmpl w:val="F1DAD58E"/>
    <w:lvl w:ilvl="0" w:tplc="4998D6EA">
      <w:start w:val="1"/>
      <w:numFmt w:val="decimal"/>
      <w:lvlText w:val="%1."/>
      <w:lvlJc w:val="left"/>
      <w:pPr>
        <w:tabs>
          <w:tab w:val="num" w:pos="360"/>
        </w:tabs>
        <w:ind w:left="360" w:hanging="360"/>
      </w:pPr>
    </w:lvl>
    <w:lvl w:ilvl="1" w:tplc="86C6BF7E">
      <w:start w:val="1"/>
      <w:numFmt w:val="decimal"/>
      <w:lvlText w:val="%2."/>
      <w:lvlJc w:val="left"/>
      <w:pPr>
        <w:tabs>
          <w:tab w:val="num" w:pos="1080"/>
        </w:tabs>
        <w:ind w:left="1080" w:hanging="360"/>
      </w:pPr>
    </w:lvl>
    <w:lvl w:ilvl="2" w:tplc="BA46A694" w:tentative="1">
      <w:start w:val="1"/>
      <w:numFmt w:val="decimal"/>
      <w:lvlText w:val="%3."/>
      <w:lvlJc w:val="left"/>
      <w:pPr>
        <w:tabs>
          <w:tab w:val="num" w:pos="1800"/>
        </w:tabs>
        <w:ind w:left="1800" w:hanging="360"/>
      </w:pPr>
    </w:lvl>
    <w:lvl w:ilvl="3" w:tplc="06764488" w:tentative="1">
      <w:start w:val="1"/>
      <w:numFmt w:val="decimal"/>
      <w:lvlText w:val="%4."/>
      <w:lvlJc w:val="left"/>
      <w:pPr>
        <w:tabs>
          <w:tab w:val="num" w:pos="2520"/>
        </w:tabs>
        <w:ind w:left="2520" w:hanging="360"/>
      </w:pPr>
    </w:lvl>
    <w:lvl w:ilvl="4" w:tplc="62301F54" w:tentative="1">
      <w:start w:val="1"/>
      <w:numFmt w:val="decimal"/>
      <w:lvlText w:val="%5."/>
      <w:lvlJc w:val="left"/>
      <w:pPr>
        <w:tabs>
          <w:tab w:val="num" w:pos="3240"/>
        </w:tabs>
        <w:ind w:left="3240" w:hanging="360"/>
      </w:pPr>
    </w:lvl>
    <w:lvl w:ilvl="5" w:tplc="637AB906" w:tentative="1">
      <w:start w:val="1"/>
      <w:numFmt w:val="decimal"/>
      <w:lvlText w:val="%6."/>
      <w:lvlJc w:val="left"/>
      <w:pPr>
        <w:tabs>
          <w:tab w:val="num" w:pos="3960"/>
        </w:tabs>
        <w:ind w:left="3960" w:hanging="360"/>
      </w:pPr>
    </w:lvl>
    <w:lvl w:ilvl="6" w:tplc="8B748202" w:tentative="1">
      <w:start w:val="1"/>
      <w:numFmt w:val="decimal"/>
      <w:lvlText w:val="%7."/>
      <w:lvlJc w:val="left"/>
      <w:pPr>
        <w:tabs>
          <w:tab w:val="num" w:pos="4680"/>
        </w:tabs>
        <w:ind w:left="4680" w:hanging="360"/>
      </w:pPr>
    </w:lvl>
    <w:lvl w:ilvl="7" w:tplc="F284744A" w:tentative="1">
      <w:start w:val="1"/>
      <w:numFmt w:val="decimal"/>
      <w:lvlText w:val="%8."/>
      <w:lvlJc w:val="left"/>
      <w:pPr>
        <w:tabs>
          <w:tab w:val="num" w:pos="5400"/>
        </w:tabs>
        <w:ind w:left="5400" w:hanging="360"/>
      </w:pPr>
    </w:lvl>
    <w:lvl w:ilvl="8" w:tplc="DDCA1E9E" w:tentative="1">
      <w:start w:val="1"/>
      <w:numFmt w:val="decimal"/>
      <w:lvlText w:val="%9."/>
      <w:lvlJc w:val="left"/>
      <w:pPr>
        <w:tabs>
          <w:tab w:val="num" w:pos="6120"/>
        </w:tabs>
        <w:ind w:left="6120" w:hanging="360"/>
      </w:pPr>
    </w:lvl>
  </w:abstractNum>
  <w:abstractNum w:abstractNumId="41" w15:restartNumberingAfterBreak="0">
    <w:nsid w:val="58F62EBD"/>
    <w:multiLevelType w:val="hybridMultilevel"/>
    <w:tmpl w:val="6AA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750AAD"/>
    <w:multiLevelType w:val="hybridMultilevel"/>
    <w:tmpl w:val="175ECCA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7757EC"/>
    <w:multiLevelType w:val="hybridMultilevel"/>
    <w:tmpl w:val="9D5675D4"/>
    <w:lvl w:ilvl="0" w:tplc="5CC8D5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5133DA"/>
    <w:multiLevelType w:val="hybridMultilevel"/>
    <w:tmpl w:val="F79E2AC6"/>
    <w:lvl w:ilvl="0" w:tplc="51884ED6">
      <w:start w:val="1"/>
      <w:numFmt w:val="bullet"/>
      <w:lvlText w:val=""/>
      <w:lvlJc w:val="left"/>
      <w:pPr>
        <w:tabs>
          <w:tab w:val="num" w:pos="720"/>
        </w:tabs>
        <w:ind w:left="720" w:hanging="360"/>
      </w:pPr>
      <w:rPr>
        <w:rFonts w:ascii="Wingdings" w:hAnsi="Wingdings" w:hint="default"/>
      </w:rPr>
    </w:lvl>
    <w:lvl w:ilvl="1" w:tplc="FD460D6E" w:tentative="1">
      <w:start w:val="1"/>
      <w:numFmt w:val="bullet"/>
      <w:lvlText w:val=""/>
      <w:lvlJc w:val="left"/>
      <w:pPr>
        <w:tabs>
          <w:tab w:val="num" w:pos="1440"/>
        </w:tabs>
        <w:ind w:left="1440" w:hanging="360"/>
      </w:pPr>
      <w:rPr>
        <w:rFonts w:ascii="Wingdings" w:hAnsi="Wingdings" w:hint="default"/>
      </w:rPr>
    </w:lvl>
    <w:lvl w:ilvl="2" w:tplc="8156268E" w:tentative="1">
      <w:start w:val="1"/>
      <w:numFmt w:val="bullet"/>
      <w:lvlText w:val=""/>
      <w:lvlJc w:val="left"/>
      <w:pPr>
        <w:tabs>
          <w:tab w:val="num" w:pos="2160"/>
        </w:tabs>
        <w:ind w:left="2160" w:hanging="360"/>
      </w:pPr>
      <w:rPr>
        <w:rFonts w:ascii="Wingdings" w:hAnsi="Wingdings" w:hint="default"/>
      </w:rPr>
    </w:lvl>
    <w:lvl w:ilvl="3" w:tplc="82962E8C" w:tentative="1">
      <w:start w:val="1"/>
      <w:numFmt w:val="bullet"/>
      <w:lvlText w:val=""/>
      <w:lvlJc w:val="left"/>
      <w:pPr>
        <w:tabs>
          <w:tab w:val="num" w:pos="2880"/>
        </w:tabs>
        <w:ind w:left="2880" w:hanging="360"/>
      </w:pPr>
      <w:rPr>
        <w:rFonts w:ascii="Wingdings" w:hAnsi="Wingdings" w:hint="default"/>
      </w:rPr>
    </w:lvl>
    <w:lvl w:ilvl="4" w:tplc="FB4A07DA" w:tentative="1">
      <w:start w:val="1"/>
      <w:numFmt w:val="bullet"/>
      <w:lvlText w:val=""/>
      <w:lvlJc w:val="left"/>
      <w:pPr>
        <w:tabs>
          <w:tab w:val="num" w:pos="3600"/>
        </w:tabs>
        <w:ind w:left="3600" w:hanging="360"/>
      </w:pPr>
      <w:rPr>
        <w:rFonts w:ascii="Wingdings" w:hAnsi="Wingdings" w:hint="default"/>
      </w:rPr>
    </w:lvl>
    <w:lvl w:ilvl="5" w:tplc="B3601E32" w:tentative="1">
      <w:start w:val="1"/>
      <w:numFmt w:val="bullet"/>
      <w:lvlText w:val=""/>
      <w:lvlJc w:val="left"/>
      <w:pPr>
        <w:tabs>
          <w:tab w:val="num" w:pos="4320"/>
        </w:tabs>
        <w:ind w:left="4320" w:hanging="360"/>
      </w:pPr>
      <w:rPr>
        <w:rFonts w:ascii="Wingdings" w:hAnsi="Wingdings" w:hint="default"/>
      </w:rPr>
    </w:lvl>
    <w:lvl w:ilvl="6" w:tplc="CD84BC72" w:tentative="1">
      <w:start w:val="1"/>
      <w:numFmt w:val="bullet"/>
      <w:lvlText w:val=""/>
      <w:lvlJc w:val="left"/>
      <w:pPr>
        <w:tabs>
          <w:tab w:val="num" w:pos="5040"/>
        </w:tabs>
        <w:ind w:left="5040" w:hanging="360"/>
      </w:pPr>
      <w:rPr>
        <w:rFonts w:ascii="Wingdings" w:hAnsi="Wingdings" w:hint="default"/>
      </w:rPr>
    </w:lvl>
    <w:lvl w:ilvl="7" w:tplc="F92236A2" w:tentative="1">
      <w:start w:val="1"/>
      <w:numFmt w:val="bullet"/>
      <w:lvlText w:val=""/>
      <w:lvlJc w:val="left"/>
      <w:pPr>
        <w:tabs>
          <w:tab w:val="num" w:pos="5760"/>
        </w:tabs>
        <w:ind w:left="5760" w:hanging="360"/>
      </w:pPr>
      <w:rPr>
        <w:rFonts w:ascii="Wingdings" w:hAnsi="Wingdings" w:hint="default"/>
      </w:rPr>
    </w:lvl>
    <w:lvl w:ilvl="8" w:tplc="77CC670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E53F71"/>
    <w:multiLevelType w:val="hybridMultilevel"/>
    <w:tmpl w:val="175ECCA4"/>
    <w:lvl w:ilvl="0" w:tplc="5CC8D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44E51B1"/>
    <w:multiLevelType w:val="hybridMultilevel"/>
    <w:tmpl w:val="85929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EB5DD6"/>
    <w:multiLevelType w:val="hybridMultilevel"/>
    <w:tmpl w:val="488EE332"/>
    <w:lvl w:ilvl="0" w:tplc="B2469C06">
      <w:start w:val="1"/>
      <w:numFmt w:val="lowerLetter"/>
      <w:lvlText w:val="%1."/>
      <w:lvlJc w:val="left"/>
      <w:pPr>
        <w:tabs>
          <w:tab w:val="num" w:pos="720"/>
        </w:tabs>
        <w:ind w:left="720" w:hanging="360"/>
      </w:pPr>
    </w:lvl>
    <w:lvl w:ilvl="1" w:tplc="0DE8CB2A" w:tentative="1">
      <w:start w:val="1"/>
      <w:numFmt w:val="lowerLetter"/>
      <w:lvlText w:val="%2."/>
      <w:lvlJc w:val="left"/>
      <w:pPr>
        <w:tabs>
          <w:tab w:val="num" w:pos="1440"/>
        </w:tabs>
        <w:ind w:left="1440" w:hanging="360"/>
      </w:pPr>
    </w:lvl>
    <w:lvl w:ilvl="2" w:tplc="973EA6B2" w:tentative="1">
      <w:start w:val="1"/>
      <w:numFmt w:val="lowerLetter"/>
      <w:lvlText w:val="%3."/>
      <w:lvlJc w:val="left"/>
      <w:pPr>
        <w:tabs>
          <w:tab w:val="num" w:pos="2160"/>
        </w:tabs>
        <w:ind w:left="2160" w:hanging="360"/>
      </w:pPr>
    </w:lvl>
    <w:lvl w:ilvl="3" w:tplc="7DE06D04" w:tentative="1">
      <w:start w:val="1"/>
      <w:numFmt w:val="lowerLetter"/>
      <w:lvlText w:val="%4."/>
      <w:lvlJc w:val="left"/>
      <w:pPr>
        <w:tabs>
          <w:tab w:val="num" w:pos="2880"/>
        </w:tabs>
        <w:ind w:left="2880" w:hanging="360"/>
      </w:pPr>
    </w:lvl>
    <w:lvl w:ilvl="4" w:tplc="CC72D13A" w:tentative="1">
      <w:start w:val="1"/>
      <w:numFmt w:val="lowerLetter"/>
      <w:lvlText w:val="%5."/>
      <w:lvlJc w:val="left"/>
      <w:pPr>
        <w:tabs>
          <w:tab w:val="num" w:pos="3600"/>
        </w:tabs>
        <w:ind w:left="3600" w:hanging="360"/>
      </w:pPr>
    </w:lvl>
    <w:lvl w:ilvl="5" w:tplc="23782CB2" w:tentative="1">
      <w:start w:val="1"/>
      <w:numFmt w:val="lowerLetter"/>
      <w:lvlText w:val="%6."/>
      <w:lvlJc w:val="left"/>
      <w:pPr>
        <w:tabs>
          <w:tab w:val="num" w:pos="4320"/>
        </w:tabs>
        <w:ind w:left="4320" w:hanging="360"/>
      </w:pPr>
    </w:lvl>
    <w:lvl w:ilvl="6" w:tplc="FA0C2F70" w:tentative="1">
      <w:start w:val="1"/>
      <w:numFmt w:val="lowerLetter"/>
      <w:lvlText w:val="%7."/>
      <w:lvlJc w:val="left"/>
      <w:pPr>
        <w:tabs>
          <w:tab w:val="num" w:pos="5040"/>
        </w:tabs>
        <w:ind w:left="5040" w:hanging="360"/>
      </w:pPr>
    </w:lvl>
    <w:lvl w:ilvl="7" w:tplc="262A976A" w:tentative="1">
      <w:start w:val="1"/>
      <w:numFmt w:val="lowerLetter"/>
      <w:lvlText w:val="%8."/>
      <w:lvlJc w:val="left"/>
      <w:pPr>
        <w:tabs>
          <w:tab w:val="num" w:pos="5760"/>
        </w:tabs>
        <w:ind w:left="5760" w:hanging="360"/>
      </w:pPr>
    </w:lvl>
    <w:lvl w:ilvl="8" w:tplc="47B2F9D2" w:tentative="1">
      <w:start w:val="1"/>
      <w:numFmt w:val="lowerLetter"/>
      <w:lvlText w:val="%9."/>
      <w:lvlJc w:val="left"/>
      <w:pPr>
        <w:tabs>
          <w:tab w:val="num" w:pos="6480"/>
        </w:tabs>
        <w:ind w:left="6480" w:hanging="360"/>
      </w:pPr>
    </w:lvl>
  </w:abstractNum>
  <w:abstractNum w:abstractNumId="48" w15:restartNumberingAfterBreak="0">
    <w:nsid w:val="65FA6348"/>
    <w:multiLevelType w:val="hybridMultilevel"/>
    <w:tmpl w:val="296C9FAE"/>
    <w:lvl w:ilvl="0" w:tplc="DA20B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7D52DA3"/>
    <w:multiLevelType w:val="hybridMultilevel"/>
    <w:tmpl w:val="FD4E1E10"/>
    <w:lvl w:ilvl="0" w:tplc="1D7EE6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684468"/>
    <w:multiLevelType w:val="hybridMultilevel"/>
    <w:tmpl w:val="29D065B2"/>
    <w:lvl w:ilvl="0" w:tplc="87E26AB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53" w15:restartNumberingAfterBreak="0">
    <w:nsid w:val="6EA204C4"/>
    <w:multiLevelType w:val="hybridMultilevel"/>
    <w:tmpl w:val="0E38BEEA"/>
    <w:lvl w:ilvl="0" w:tplc="347CD110">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610762"/>
    <w:multiLevelType w:val="hybridMultilevel"/>
    <w:tmpl w:val="D852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12D14CF"/>
    <w:multiLevelType w:val="hybridMultilevel"/>
    <w:tmpl w:val="D652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D8583B"/>
    <w:multiLevelType w:val="hybridMultilevel"/>
    <w:tmpl w:val="3C5E3AF2"/>
    <w:lvl w:ilvl="0" w:tplc="A1D2A64A">
      <w:start w:val="1"/>
      <w:numFmt w:val="bullet"/>
      <w:lvlText w:val="•"/>
      <w:lvlJc w:val="left"/>
      <w:pPr>
        <w:tabs>
          <w:tab w:val="num" w:pos="720"/>
        </w:tabs>
        <w:ind w:left="720" w:hanging="360"/>
      </w:pPr>
      <w:rPr>
        <w:rFonts w:ascii="Arial" w:hAnsi="Arial" w:hint="default"/>
      </w:rPr>
    </w:lvl>
    <w:lvl w:ilvl="1" w:tplc="02302424" w:tentative="1">
      <w:start w:val="1"/>
      <w:numFmt w:val="bullet"/>
      <w:lvlText w:val="•"/>
      <w:lvlJc w:val="left"/>
      <w:pPr>
        <w:tabs>
          <w:tab w:val="num" w:pos="1440"/>
        </w:tabs>
        <w:ind w:left="1440" w:hanging="360"/>
      </w:pPr>
      <w:rPr>
        <w:rFonts w:ascii="Arial" w:hAnsi="Arial" w:hint="default"/>
      </w:rPr>
    </w:lvl>
    <w:lvl w:ilvl="2" w:tplc="E182FC2E" w:tentative="1">
      <w:start w:val="1"/>
      <w:numFmt w:val="bullet"/>
      <w:lvlText w:val="•"/>
      <w:lvlJc w:val="left"/>
      <w:pPr>
        <w:tabs>
          <w:tab w:val="num" w:pos="2160"/>
        </w:tabs>
        <w:ind w:left="2160" w:hanging="360"/>
      </w:pPr>
      <w:rPr>
        <w:rFonts w:ascii="Arial" w:hAnsi="Arial" w:hint="default"/>
      </w:rPr>
    </w:lvl>
    <w:lvl w:ilvl="3" w:tplc="351CDF28" w:tentative="1">
      <w:start w:val="1"/>
      <w:numFmt w:val="bullet"/>
      <w:lvlText w:val="•"/>
      <w:lvlJc w:val="left"/>
      <w:pPr>
        <w:tabs>
          <w:tab w:val="num" w:pos="2880"/>
        </w:tabs>
        <w:ind w:left="2880" w:hanging="360"/>
      </w:pPr>
      <w:rPr>
        <w:rFonts w:ascii="Arial" w:hAnsi="Arial" w:hint="default"/>
      </w:rPr>
    </w:lvl>
    <w:lvl w:ilvl="4" w:tplc="B41415EC" w:tentative="1">
      <w:start w:val="1"/>
      <w:numFmt w:val="bullet"/>
      <w:lvlText w:val="•"/>
      <w:lvlJc w:val="left"/>
      <w:pPr>
        <w:tabs>
          <w:tab w:val="num" w:pos="3600"/>
        </w:tabs>
        <w:ind w:left="3600" w:hanging="360"/>
      </w:pPr>
      <w:rPr>
        <w:rFonts w:ascii="Arial" w:hAnsi="Arial" w:hint="default"/>
      </w:rPr>
    </w:lvl>
    <w:lvl w:ilvl="5" w:tplc="85EE6ABC" w:tentative="1">
      <w:start w:val="1"/>
      <w:numFmt w:val="bullet"/>
      <w:lvlText w:val="•"/>
      <w:lvlJc w:val="left"/>
      <w:pPr>
        <w:tabs>
          <w:tab w:val="num" w:pos="4320"/>
        </w:tabs>
        <w:ind w:left="4320" w:hanging="360"/>
      </w:pPr>
      <w:rPr>
        <w:rFonts w:ascii="Arial" w:hAnsi="Arial" w:hint="default"/>
      </w:rPr>
    </w:lvl>
    <w:lvl w:ilvl="6" w:tplc="13FC2A30" w:tentative="1">
      <w:start w:val="1"/>
      <w:numFmt w:val="bullet"/>
      <w:lvlText w:val="•"/>
      <w:lvlJc w:val="left"/>
      <w:pPr>
        <w:tabs>
          <w:tab w:val="num" w:pos="5040"/>
        </w:tabs>
        <w:ind w:left="5040" w:hanging="360"/>
      </w:pPr>
      <w:rPr>
        <w:rFonts w:ascii="Arial" w:hAnsi="Arial" w:hint="default"/>
      </w:rPr>
    </w:lvl>
    <w:lvl w:ilvl="7" w:tplc="E69A46EC" w:tentative="1">
      <w:start w:val="1"/>
      <w:numFmt w:val="bullet"/>
      <w:lvlText w:val="•"/>
      <w:lvlJc w:val="left"/>
      <w:pPr>
        <w:tabs>
          <w:tab w:val="num" w:pos="5760"/>
        </w:tabs>
        <w:ind w:left="5760" w:hanging="360"/>
      </w:pPr>
      <w:rPr>
        <w:rFonts w:ascii="Arial" w:hAnsi="Arial" w:hint="default"/>
      </w:rPr>
    </w:lvl>
    <w:lvl w:ilvl="8" w:tplc="1DC8D72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C8E37CF"/>
    <w:multiLevelType w:val="hybridMultilevel"/>
    <w:tmpl w:val="98C401C0"/>
    <w:lvl w:ilvl="0" w:tplc="74C62CA2">
      <w:start w:val="1"/>
      <w:numFmt w:val="decimal"/>
      <w:lvlText w:val="%1."/>
      <w:lvlJc w:val="left"/>
      <w:pPr>
        <w:tabs>
          <w:tab w:val="num" w:pos="720"/>
        </w:tabs>
        <w:ind w:left="720" w:hanging="360"/>
      </w:pPr>
    </w:lvl>
    <w:lvl w:ilvl="1" w:tplc="8EFCD43C" w:tentative="1">
      <w:start w:val="1"/>
      <w:numFmt w:val="decimal"/>
      <w:lvlText w:val="%2."/>
      <w:lvlJc w:val="left"/>
      <w:pPr>
        <w:tabs>
          <w:tab w:val="num" w:pos="1440"/>
        </w:tabs>
        <w:ind w:left="1440" w:hanging="360"/>
      </w:pPr>
    </w:lvl>
    <w:lvl w:ilvl="2" w:tplc="B590ED12" w:tentative="1">
      <w:start w:val="1"/>
      <w:numFmt w:val="decimal"/>
      <w:lvlText w:val="%3."/>
      <w:lvlJc w:val="left"/>
      <w:pPr>
        <w:tabs>
          <w:tab w:val="num" w:pos="2160"/>
        </w:tabs>
        <w:ind w:left="2160" w:hanging="360"/>
      </w:pPr>
    </w:lvl>
    <w:lvl w:ilvl="3" w:tplc="6D863012" w:tentative="1">
      <w:start w:val="1"/>
      <w:numFmt w:val="decimal"/>
      <w:lvlText w:val="%4."/>
      <w:lvlJc w:val="left"/>
      <w:pPr>
        <w:tabs>
          <w:tab w:val="num" w:pos="2880"/>
        </w:tabs>
        <w:ind w:left="2880" w:hanging="360"/>
      </w:pPr>
    </w:lvl>
    <w:lvl w:ilvl="4" w:tplc="A588D832" w:tentative="1">
      <w:start w:val="1"/>
      <w:numFmt w:val="decimal"/>
      <w:lvlText w:val="%5."/>
      <w:lvlJc w:val="left"/>
      <w:pPr>
        <w:tabs>
          <w:tab w:val="num" w:pos="3600"/>
        </w:tabs>
        <w:ind w:left="3600" w:hanging="360"/>
      </w:pPr>
    </w:lvl>
    <w:lvl w:ilvl="5" w:tplc="AEA0A1EA" w:tentative="1">
      <w:start w:val="1"/>
      <w:numFmt w:val="decimal"/>
      <w:lvlText w:val="%6."/>
      <w:lvlJc w:val="left"/>
      <w:pPr>
        <w:tabs>
          <w:tab w:val="num" w:pos="4320"/>
        </w:tabs>
        <w:ind w:left="4320" w:hanging="360"/>
      </w:pPr>
    </w:lvl>
    <w:lvl w:ilvl="6" w:tplc="1F30F428" w:tentative="1">
      <w:start w:val="1"/>
      <w:numFmt w:val="decimal"/>
      <w:lvlText w:val="%7."/>
      <w:lvlJc w:val="left"/>
      <w:pPr>
        <w:tabs>
          <w:tab w:val="num" w:pos="5040"/>
        </w:tabs>
        <w:ind w:left="5040" w:hanging="360"/>
      </w:pPr>
    </w:lvl>
    <w:lvl w:ilvl="7" w:tplc="6C9051B0" w:tentative="1">
      <w:start w:val="1"/>
      <w:numFmt w:val="decimal"/>
      <w:lvlText w:val="%8."/>
      <w:lvlJc w:val="left"/>
      <w:pPr>
        <w:tabs>
          <w:tab w:val="num" w:pos="5760"/>
        </w:tabs>
        <w:ind w:left="5760" w:hanging="360"/>
      </w:pPr>
    </w:lvl>
    <w:lvl w:ilvl="8" w:tplc="2F02EEB8" w:tentative="1">
      <w:start w:val="1"/>
      <w:numFmt w:val="decimal"/>
      <w:lvlText w:val="%9."/>
      <w:lvlJc w:val="left"/>
      <w:pPr>
        <w:tabs>
          <w:tab w:val="num" w:pos="6480"/>
        </w:tabs>
        <w:ind w:left="6480" w:hanging="360"/>
      </w:pPr>
    </w:lvl>
  </w:abstractNum>
  <w:abstractNum w:abstractNumId="58" w15:restartNumberingAfterBreak="0">
    <w:nsid w:val="7F3B47E0"/>
    <w:multiLevelType w:val="hybridMultilevel"/>
    <w:tmpl w:val="4E68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464695">
    <w:abstractNumId w:val="33"/>
  </w:num>
  <w:num w:numId="2" w16cid:durableId="622885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2318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127136">
    <w:abstractNumId w:val="26"/>
  </w:num>
  <w:num w:numId="5" w16cid:durableId="510993253">
    <w:abstractNumId w:val="3"/>
  </w:num>
  <w:num w:numId="6" w16cid:durableId="365639584">
    <w:abstractNumId w:val="39"/>
  </w:num>
  <w:num w:numId="7" w16cid:durableId="117728407">
    <w:abstractNumId w:val="34"/>
  </w:num>
  <w:num w:numId="8" w16cid:durableId="1903178117">
    <w:abstractNumId w:val="54"/>
  </w:num>
  <w:num w:numId="9" w16cid:durableId="1136097858">
    <w:abstractNumId w:val="1"/>
  </w:num>
  <w:num w:numId="10" w16cid:durableId="352003939">
    <w:abstractNumId w:val="46"/>
  </w:num>
  <w:num w:numId="11" w16cid:durableId="90974658">
    <w:abstractNumId w:val="31"/>
  </w:num>
  <w:num w:numId="12" w16cid:durableId="1144272946">
    <w:abstractNumId w:val="58"/>
  </w:num>
  <w:num w:numId="13" w16cid:durableId="1549564916">
    <w:abstractNumId w:val="7"/>
  </w:num>
  <w:num w:numId="14" w16cid:durableId="2134975823">
    <w:abstractNumId w:val="32"/>
  </w:num>
  <w:num w:numId="15" w16cid:durableId="122117539">
    <w:abstractNumId w:val="2"/>
  </w:num>
  <w:num w:numId="16" w16cid:durableId="211625804">
    <w:abstractNumId w:val="16"/>
  </w:num>
  <w:num w:numId="17" w16cid:durableId="1831753930">
    <w:abstractNumId w:val="57"/>
  </w:num>
  <w:num w:numId="18" w16cid:durableId="2092500793">
    <w:abstractNumId w:val="24"/>
  </w:num>
  <w:num w:numId="19" w16cid:durableId="1780292577">
    <w:abstractNumId w:val="15"/>
  </w:num>
  <w:num w:numId="20" w16cid:durableId="1701277617">
    <w:abstractNumId w:val="47"/>
  </w:num>
  <w:num w:numId="21" w16cid:durableId="401417986">
    <w:abstractNumId w:val="17"/>
  </w:num>
  <w:num w:numId="22" w16cid:durableId="295179712">
    <w:abstractNumId w:val="22"/>
  </w:num>
  <w:num w:numId="23" w16cid:durableId="1444768028">
    <w:abstractNumId w:val="45"/>
  </w:num>
  <w:num w:numId="24" w16cid:durableId="1171750523">
    <w:abstractNumId w:val="43"/>
  </w:num>
  <w:num w:numId="25" w16cid:durableId="687754402">
    <w:abstractNumId w:val="21"/>
  </w:num>
  <w:num w:numId="26" w16cid:durableId="579217557">
    <w:abstractNumId w:val="41"/>
  </w:num>
  <w:num w:numId="27" w16cid:durableId="912550817">
    <w:abstractNumId w:val="37"/>
  </w:num>
  <w:num w:numId="28" w16cid:durableId="510722518">
    <w:abstractNumId w:val="8"/>
  </w:num>
  <w:num w:numId="29" w16cid:durableId="1654332132">
    <w:abstractNumId w:val="49"/>
  </w:num>
  <w:num w:numId="30" w16cid:durableId="130369403">
    <w:abstractNumId w:val="27"/>
  </w:num>
  <w:num w:numId="31" w16cid:durableId="107625588">
    <w:abstractNumId w:val="11"/>
  </w:num>
  <w:num w:numId="32" w16cid:durableId="847329120">
    <w:abstractNumId w:val="35"/>
  </w:num>
  <w:num w:numId="33" w16cid:durableId="762266789">
    <w:abstractNumId w:val="25"/>
  </w:num>
  <w:num w:numId="34" w16cid:durableId="847139753">
    <w:abstractNumId w:val="55"/>
  </w:num>
  <w:num w:numId="35" w16cid:durableId="1998994707">
    <w:abstractNumId w:val="40"/>
  </w:num>
  <w:num w:numId="36" w16cid:durableId="1406147688">
    <w:abstractNumId w:val="56"/>
  </w:num>
  <w:num w:numId="37" w16cid:durableId="436146323">
    <w:abstractNumId w:val="10"/>
  </w:num>
  <w:num w:numId="38" w16cid:durableId="1293440789">
    <w:abstractNumId w:val="44"/>
  </w:num>
  <w:num w:numId="39" w16cid:durableId="614286400">
    <w:abstractNumId w:val="42"/>
  </w:num>
  <w:num w:numId="40" w16cid:durableId="1836995121">
    <w:abstractNumId w:val="4"/>
  </w:num>
  <w:num w:numId="41" w16cid:durableId="1490945724">
    <w:abstractNumId w:val="0"/>
  </w:num>
  <w:num w:numId="42" w16cid:durableId="409162809">
    <w:abstractNumId w:val="28"/>
  </w:num>
  <w:num w:numId="43" w16cid:durableId="309945683">
    <w:abstractNumId w:val="19"/>
  </w:num>
  <w:num w:numId="44" w16cid:durableId="2082362975">
    <w:abstractNumId w:val="9"/>
  </w:num>
  <w:num w:numId="45" w16cid:durableId="300155050">
    <w:abstractNumId w:val="38"/>
  </w:num>
  <w:num w:numId="46" w16cid:durableId="485631274">
    <w:abstractNumId w:val="48"/>
  </w:num>
  <w:num w:numId="47" w16cid:durableId="830368633">
    <w:abstractNumId w:val="50"/>
  </w:num>
  <w:num w:numId="48" w16cid:durableId="1789814091">
    <w:abstractNumId w:val="20"/>
  </w:num>
  <w:num w:numId="49" w16cid:durableId="1960649158">
    <w:abstractNumId w:val="13"/>
  </w:num>
  <w:num w:numId="50" w16cid:durableId="1575628703">
    <w:abstractNumId w:val="53"/>
  </w:num>
  <w:num w:numId="51" w16cid:durableId="402024645">
    <w:abstractNumId w:val="51"/>
  </w:num>
  <w:num w:numId="52" w16cid:durableId="53049016">
    <w:abstractNumId w:val="18"/>
  </w:num>
  <w:num w:numId="53" w16cid:durableId="680544367">
    <w:abstractNumId w:val="52"/>
  </w:num>
  <w:num w:numId="54" w16cid:durableId="42291076">
    <w:abstractNumId w:val="29"/>
  </w:num>
  <w:num w:numId="55" w16cid:durableId="740370262">
    <w:abstractNumId w:val="36"/>
  </w:num>
  <w:num w:numId="56" w16cid:durableId="1969697670">
    <w:abstractNumId w:val="23"/>
  </w:num>
  <w:num w:numId="57" w16cid:durableId="461850505">
    <w:abstractNumId w:val="5"/>
  </w:num>
  <w:num w:numId="58" w16cid:durableId="1380321173">
    <w:abstractNumId w:val="12"/>
  </w:num>
  <w:num w:numId="59" w16cid:durableId="1630435667">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B3"/>
    <w:rsid w:val="000028AE"/>
    <w:rsid w:val="00007232"/>
    <w:rsid w:val="000151D3"/>
    <w:rsid w:val="00016195"/>
    <w:rsid w:val="0002013A"/>
    <w:rsid w:val="00021DD8"/>
    <w:rsid w:val="000222C5"/>
    <w:rsid w:val="0002560F"/>
    <w:rsid w:val="000345BF"/>
    <w:rsid w:val="0003637E"/>
    <w:rsid w:val="00040660"/>
    <w:rsid w:val="000415AB"/>
    <w:rsid w:val="000455A8"/>
    <w:rsid w:val="00046F60"/>
    <w:rsid w:val="0005367E"/>
    <w:rsid w:val="0006143E"/>
    <w:rsid w:val="00062B7B"/>
    <w:rsid w:val="000662ED"/>
    <w:rsid w:val="00067EF8"/>
    <w:rsid w:val="00071D44"/>
    <w:rsid w:val="000769BE"/>
    <w:rsid w:val="00076C2C"/>
    <w:rsid w:val="00081C99"/>
    <w:rsid w:val="00084FB7"/>
    <w:rsid w:val="00087416"/>
    <w:rsid w:val="00091AD2"/>
    <w:rsid w:val="000928F9"/>
    <w:rsid w:val="000964B2"/>
    <w:rsid w:val="00097219"/>
    <w:rsid w:val="000A095C"/>
    <w:rsid w:val="000A3EC9"/>
    <w:rsid w:val="000A58AE"/>
    <w:rsid w:val="000B6EC4"/>
    <w:rsid w:val="000C0B00"/>
    <w:rsid w:val="000C394B"/>
    <w:rsid w:val="000D1159"/>
    <w:rsid w:val="000D3316"/>
    <w:rsid w:val="000D5816"/>
    <w:rsid w:val="000E00EE"/>
    <w:rsid w:val="000E110D"/>
    <w:rsid w:val="000E178F"/>
    <w:rsid w:val="000E2CBB"/>
    <w:rsid w:val="000E33B9"/>
    <w:rsid w:val="000E4926"/>
    <w:rsid w:val="000E6E09"/>
    <w:rsid w:val="000F0CEB"/>
    <w:rsid w:val="000F5757"/>
    <w:rsid w:val="000F6011"/>
    <w:rsid w:val="000F7B1C"/>
    <w:rsid w:val="001048BE"/>
    <w:rsid w:val="001100EC"/>
    <w:rsid w:val="00113688"/>
    <w:rsid w:val="00123440"/>
    <w:rsid w:val="00131950"/>
    <w:rsid w:val="001322DE"/>
    <w:rsid w:val="0014434D"/>
    <w:rsid w:val="001474EE"/>
    <w:rsid w:val="00151636"/>
    <w:rsid w:val="00152ECA"/>
    <w:rsid w:val="00153F37"/>
    <w:rsid w:val="001577ED"/>
    <w:rsid w:val="001616E0"/>
    <w:rsid w:val="0016230E"/>
    <w:rsid w:val="00166C33"/>
    <w:rsid w:val="00167CAA"/>
    <w:rsid w:val="001740DD"/>
    <w:rsid w:val="0017491B"/>
    <w:rsid w:val="00175A1B"/>
    <w:rsid w:val="001834E7"/>
    <w:rsid w:val="00190E87"/>
    <w:rsid w:val="001913B0"/>
    <w:rsid w:val="00193AF4"/>
    <w:rsid w:val="001978CF"/>
    <w:rsid w:val="001A14AB"/>
    <w:rsid w:val="001A2DDC"/>
    <w:rsid w:val="001A42A2"/>
    <w:rsid w:val="001C768E"/>
    <w:rsid w:val="001C7DE3"/>
    <w:rsid w:val="001D19EF"/>
    <w:rsid w:val="001D3C3F"/>
    <w:rsid w:val="001D4AAB"/>
    <w:rsid w:val="001E0C89"/>
    <w:rsid w:val="001E2484"/>
    <w:rsid w:val="001E4830"/>
    <w:rsid w:val="001F501B"/>
    <w:rsid w:val="00206629"/>
    <w:rsid w:val="00210904"/>
    <w:rsid w:val="00214108"/>
    <w:rsid w:val="00214B5A"/>
    <w:rsid w:val="00216C2A"/>
    <w:rsid w:val="00223225"/>
    <w:rsid w:val="002244DB"/>
    <w:rsid w:val="00227240"/>
    <w:rsid w:val="00230469"/>
    <w:rsid w:val="0023152A"/>
    <w:rsid w:val="00232D7A"/>
    <w:rsid w:val="00233C55"/>
    <w:rsid w:val="002346CE"/>
    <w:rsid w:val="00243DCA"/>
    <w:rsid w:val="00244EBD"/>
    <w:rsid w:val="00245C80"/>
    <w:rsid w:val="002501B1"/>
    <w:rsid w:val="00250383"/>
    <w:rsid w:val="00252C9D"/>
    <w:rsid w:val="00254BA9"/>
    <w:rsid w:val="00256CB1"/>
    <w:rsid w:val="00260F52"/>
    <w:rsid w:val="00264DD3"/>
    <w:rsid w:val="002670ED"/>
    <w:rsid w:val="002708F3"/>
    <w:rsid w:val="0027267C"/>
    <w:rsid w:val="00274670"/>
    <w:rsid w:val="00276065"/>
    <w:rsid w:val="00280EAF"/>
    <w:rsid w:val="00284862"/>
    <w:rsid w:val="00284BE6"/>
    <w:rsid w:val="002863E9"/>
    <w:rsid w:val="002864B0"/>
    <w:rsid w:val="00286681"/>
    <w:rsid w:val="002870A2"/>
    <w:rsid w:val="00292939"/>
    <w:rsid w:val="0029483A"/>
    <w:rsid w:val="002963C2"/>
    <w:rsid w:val="00297910"/>
    <w:rsid w:val="002A105C"/>
    <w:rsid w:val="002A7FE1"/>
    <w:rsid w:val="002B0CF1"/>
    <w:rsid w:val="002B147D"/>
    <w:rsid w:val="002B1D7A"/>
    <w:rsid w:val="002B2067"/>
    <w:rsid w:val="002B7356"/>
    <w:rsid w:val="002B75A8"/>
    <w:rsid w:val="002C20F3"/>
    <w:rsid w:val="002C2D92"/>
    <w:rsid w:val="002C2E8E"/>
    <w:rsid w:val="002C3FE3"/>
    <w:rsid w:val="002C4A1C"/>
    <w:rsid w:val="002D1E01"/>
    <w:rsid w:val="002D32E2"/>
    <w:rsid w:val="002D74E2"/>
    <w:rsid w:val="002E0C6C"/>
    <w:rsid w:val="002E2128"/>
    <w:rsid w:val="002E3B4A"/>
    <w:rsid w:val="002E60A1"/>
    <w:rsid w:val="002E74C2"/>
    <w:rsid w:val="002E77B1"/>
    <w:rsid w:val="002F154A"/>
    <w:rsid w:val="002F1821"/>
    <w:rsid w:val="002F4A9F"/>
    <w:rsid w:val="00313177"/>
    <w:rsid w:val="00313C0D"/>
    <w:rsid w:val="0031493E"/>
    <w:rsid w:val="0031587A"/>
    <w:rsid w:val="003224D8"/>
    <w:rsid w:val="003248B5"/>
    <w:rsid w:val="0032738A"/>
    <w:rsid w:val="0032782B"/>
    <w:rsid w:val="00330C5B"/>
    <w:rsid w:val="00332D6A"/>
    <w:rsid w:val="00334B80"/>
    <w:rsid w:val="00337957"/>
    <w:rsid w:val="00340541"/>
    <w:rsid w:val="003422D1"/>
    <w:rsid w:val="00343536"/>
    <w:rsid w:val="0034357A"/>
    <w:rsid w:val="00343C94"/>
    <w:rsid w:val="003468FB"/>
    <w:rsid w:val="00346F3E"/>
    <w:rsid w:val="003500D9"/>
    <w:rsid w:val="00352F6A"/>
    <w:rsid w:val="00354A21"/>
    <w:rsid w:val="003603E8"/>
    <w:rsid w:val="00360686"/>
    <w:rsid w:val="00360AE3"/>
    <w:rsid w:val="003635C5"/>
    <w:rsid w:val="003667F8"/>
    <w:rsid w:val="00372CED"/>
    <w:rsid w:val="00375F45"/>
    <w:rsid w:val="0037750B"/>
    <w:rsid w:val="00377F16"/>
    <w:rsid w:val="0038382E"/>
    <w:rsid w:val="00383CFC"/>
    <w:rsid w:val="0039106E"/>
    <w:rsid w:val="00391F90"/>
    <w:rsid w:val="00392BD5"/>
    <w:rsid w:val="00397BC3"/>
    <w:rsid w:val="003B0792"/>
    <w:rsid w:val="003B07A4"/>
    <w:rsid w:val="003B6D4C"/>
    <w:rsid w:val="003B7C02"/>
    <w:rsid w:val="003C3EA4"/>
    <w:rsid w:val="003C6F53"/>
    <w:rsid w:val="003D0094"/>
    <w:rsid w:val="003D212E"/>
    <w:rsid w:val="003D2D60"/>
    <w:rsid w:val="003D36F0"/>
    <w:rsid w:val="003D5EF6"/>
    <w:rsid w:val="003E34BF"/>
    <w:rsid w:val="003E5544"/>
    <w:rsid w:val="003E75F3"/>
    <w:rsid w:val="003F1803"/>
    <w:rsid w:val="003F5B1B"/>
    <w:rsid w:val="003F73CA"/>
    <w:rsid w:val="00400BB2"/>
    <w:rsid w:val="00405DBE"/>
    <w:rsid w:val="00406AAC"/>
    <w:rsid w:val="00406E17"/>
    <w:rsid w:val="00413B75"/>
    <w:rsid w:val="004155D4"/>
    <w:rsid w:val="004179D1"/>
    <w:rsid w:val="00417BC8"/>
    <w:rsid w:val="00420D08"/>
    <w:rsid w:val="00426AC3"/>
    <w:rsid w:val="0043027E"/>
    <w:rsid w:val="00430319"/>
    <w:rsid w:val="00430EC6"/>
    <w:rsid w:val="00432256"/>
    <w:rsid w:val="004350D0"/>
    <w:rsid w:val="0043558D"/>
    <w:rsid w:val="004362C1"/>
    <w:rsid w:val="00440E04"/>
    <w:rsid w:val="00445B95"/>
    <w:rsid w:val="00446F2D"/>
    <w:rsid w:val="004470D7"/>
    <w:rsid w:val="00447A37"/>
    <w:rsid w:val="00451926"/>
    <w:rsid w:val="004526D0"/>
    <w:rsid w:val="00454419"/>
    <w:rsid w:val="004557F6"/>
    <w:rsid w:val="00456AA4"/>
    <w:rsid w:val="00457198"/>
    <w:rsid w:val="00464281"/>
    <w:rsid w:val="00465938"/>
    <w:rsid w:val="004661E9"/>
    <w:rsid w:val="004667BD"/>
    <w:rsid w:val="00467674"/>
    <w:rsid w:val="00467ED9"/>
    <w:rsid w:val="004738A2"/>
    <w:rsid w:val="00473EC8"/>
    <w:rsid w:val="004752CC"/>
    <w:rsid w:val="004774D6"/>
    <w:rsid w:val="00480216"/>
    <w:rsid w:val="00490467"/>
    <w:rsid w:val="00491656"/>
    <w:rsid w:val="00495A97"/>
    <w:rsid w:val="00495B14"/>
    <w:rsid w:val="00495FDD"/>
    <w:rsid w:val="00496E4E"/>
    <w:rsid w:val="004A0297"/>
    <w:rsid w:val="004A227E"/>
    <w:rsid w:val="004A5C43"/>
    <w:rsid w:val="004A6E34"/>
    <w:rsid w:val="004B25EE"/>
    <w:rsid w:val="004C0701"/>
    <w:rsid w:val="004C43B3"/>
    <w:rsid w:val="004C5E24"/>
    <w:rsid w:val="004C7706"/>
    <w:rsid w:val="004D6AA1"/>
    <w:rsid w:val="004D79DE"/>
    <w:rsid w:val="004E14E7"/>
    <w:rsid w:val="004E30F7"/>
    <w:rsid w:val="004E4907"/>
    <w:rsid w:val="004E6AED"/>
    <w:rsid w:val="004E6C7B"/>
    <w:rsid w:val="004F3918"/>
    <w:rsid w:val="004F57BF"/>
    <w:rsid w:val="004F6404"/>
    <w:rsid w:val="004F717A"/>
    <w:rsid w:val="005003A3"/>
    <w:rsid w:val="00500675"/>
    <w:rsid w:val="00501540"/>
    <w:rsid w:val="00502140"/>
    <w:rsid w:val="005027F0"/>
    <w:rsid w:val="00504212"/>
    <w:rsid w:val="005108ED"/>
    <w:rsid w:val="00512CE2"/>
    <w:rsid w:val="00513812"/>
    <w:rsid w:val="00513920"/>
    <w:rsid w:val="005170CF"/>
    <w:rsid w:val="00517DCE"/>
    <w:rsid w:val="00521DD9"/>
    <w:rsid w:val="005234CB"/>
    <w:rsid w:val="00531D0A"/>
    <w:rsid w:val="005328C7"/>
    <w:rsid w:val="00534168"/>
    <w:rsid w:val="005366C4"/>
    <w:rsid w:val="00544E7F"/>
    <w:rsid w:val="00552A5F"/>
    <w:rsid w:val="00555060"/>
    <w:rsid w:val="00557F6B"/>
    <w:rsid w:val="00564934"/>
    <w:rsid w:val="005657CD"/>
    <w:rsid w:val="00573759"/>
    <w:rsid w:val="00574792"/>
    <w:rsid w:val="0057608F"/>
    <w:rsid w:val="005826D6"/>
    <w:rsid w:val="00584F71"/>
    <w:rsid w:val="0058616B"/>
    <w:rsid w:val="00587E35"/>
    <w:rsid w:val="005925C2"/>
    <w:rsid w:val="00593B35"/>
    <w:rsid w:val="0059603A"/>
    <w:rsid w:val="005A17BC"/>
    <w:rsid w:val="005A36A5"/>
    <w:rsid w:val="005A47AE"/>
    <w:rsid w:val="005A580E"/>
    <w:rsid w:val="005A6545"/>
    <w:rsid w:val="005A72D3"/>
    <w:rsid w:val="005A7FCF"/>
    <w:rsid w:val="005B559A"/>
    <w:rsid w:val="005B7CF1"/>
    <w:rsid w:val="005C2F5E"/>
    <w:rsid w:val="005C3618"/>
    <w:rsid w:val="005C3E0A"/>
    <w:rsid w:val="005C7187"/>
    <w:rsid w:val="005D2CEB"/>
    <w:rsid w:val="005D3F66"/>
    <w:rsid w:val="005D4281"/>
    <w:rsid w:val="005E17FB"/>
    <w:rsid w:val="005E502D"/>
    <w:rsid w:val="005E5438"/>
    <w:rsid w:val="00601E89"/>
    <w:rsid w:val="0060629F"/>
    <w:rsid w:val="00607851"/>
    <w:rsid w:val="00610465"/>
    <w:rsid w:val="00611CCF"/>
    <w:rsid w:val="0061341B"/>
    <w:rsid w:val="00613CA3"/>
    <w:rsid w:val="0061626A"/>
    <w:rsid w:val="006162A8"/>
    <w:rsid w:val="00620C97"/>
    <w:rsid w:val="006223BC"/>
    <w:rsid w:val="00622F24"/>
    <w:rsid w:val="00624056"/>
    <w:rsid w:val="00624592"/>
    <w:rsid w:val="00630731"/>
    <w:rsid w:val="00633693"/>
    <w:rsid w:val="006428A4"/>
    <w:rsid w:val="00642C2D"/>
    <w:rsid w:val="00644FB8"/>
    <w:rsid w:val="0064557C"/>
    <w:rsid w:val="00655444"/>
    <w:rsid w:val="00667EEC"/>
    <w:rsid w:val="006700B1"/>
    <w:rsid w:val="00672380"/>
    <w:rsid w:val="00672545"/>
    <w:rsid w:val="00675589"/>
    <w:rsid w:val="00677032"/>
    <w:rsid w:val="00681C8D"/>
    <w:rsid w:val="00683F75"/>
    <w:rsid w:val="006903A1"/>
    <w:rsid w:val="00691B4F"/>
    <w:rsid w:val="00692EAF"/>
    <w:rsid w:val="006938AE"/>
    <w:rsid w:val="00695921"/>
    <w:rsid w:val="00697EAB"/>
    <w:rsid w:val="006A083A"/>
    <w:rsid w:val="006A2045"/>
    <w:rsid w:val="006A3FAA"/>
    <w:rsid w:val="006A5012"/>
    <w:rsid w:val="006B0977"/>
    <w:rsid w:val="006B410C"/>
    <w:rsid w:val="006B6117"/>
    <w:rsid w:val="006B6591"/>
    <w:rsid w:val="006C094C"/>
    <w:rsid w:val="006C3D18"/>
    <w:rsid w:val="006C5D0B"/>
    <w:rsid w:val="006C71E7"/>
    <w:rsid w:val="006E3204"/>
    <w:rsid w:val="006E4934"/>
    <w:rsid w:val="006F2184"/>
    <w:rsid w:val="007017E5"/>
    <w:rsid w:val="00701A5F"/>
    <w:rsid w:val="0070487B"/>
    <w:rsid w:val="00705E7C"/>
    <w:rsid w:val="00706404"/>
    <w:rsid w:val="00706651"/>
    <w:rsid w:val="007067FD"/>
    <w:rsid w:val="00710047"/>
    <w:rsid w:val="00712506"/>
    <w:rsid w:val="00712B56"/>
    <w:rsid w:val="00713ED1"/>
    <w:rsid w:val="007147F7"/>
    <w:rsid w:val="007207BC"/>
    <w:rsid w:val="007220D5"/>
    <w:rsid w:val="007233FA"/>
    <w:rsid w:val="00723888"/>
    <w:rsid w:val="00735A9C"/>
    <w:rsid w:val="007367A9"/>
    <w:rsid w:val="00741D09"/>
    <w:rsid w:val="00742174"/>
    <w:rsid w:val="007426D7"/>
    <w:rsid w:val="0075069A"/>
    <w:rsid w:val="00753398"/>
    <w:rsid w:val="007614AF"/>
    <w:rsid w:val="0076555A"/>
    <w:rsid w:val="00766995"/>
    <w:rsid w:val="007706E0"/>
    <w:rsid w:val="00771BB0"/>
    <w:rsid w:val="00775376"/>
    <w:rsid w:val="007757FF"/>
    <w:rsid w:val="00777FCD"/>
    <w:rsid w:val="00780A7E"/>
    <w:rsid w:val="0078168E"/>
    <w:rsid w:val="0078470A"/>
    <w:rsid w:val="007869DA"/>
    <w:rsid w:val="00787067"/>
    <w:rsid w:val="00790D2A"/>
    <w:rsid w:val="0079106A"/>
    <w:rsid w:val="00791B4E"/>
    <w:rsid w:val="00792344"/>
    <w:rsid w:val="00795282"/>
    <w:rsid w:val="0079589F"/>
    <w:rsid w:val="00797688"/>
    <w:rsid w:val="007A121B"/>
    <w:rsid w:val="007A31A5"/>
    <w:rsid w:val="007A3407"/>
    <w:rsid w:val="007A4F17"/>
    <w:rsid w:val="007A563B"/>
    <w:rsid w:val="007A7CD2"/>
    <w:rsid w:val="007B0703"/>
    <w:rsid w:val="007B096B"/>
    <w:rsid w:val="007B1CB3"/>
    <w:rsid w:val="007B7B8C"/>
    <w:rsid w:val="007C1F69"/>
    <w:rsid w:val="007C6513"/>
    <w:rsid w:val="007C6B88"/>
    <w:rsid w:val="007E10D4"/>
    <w:rsid w:val="007E1425"/>
    <w:rsid w:val="007E3326"/>
    <w:rsid w:val="007F16DC"/>
    <w:rsid w:val="007F3093"/>
    <w:rsid w:val="007F3C5B"/>
    <w:rsid w:val="007F421D"/>
    <w:rsid w:val="007F5B10"/>
    <w:rsid w:val="007F70C2"/>
    <w:rsid w:val="00800CAE"/>
    <w:rsid w:val="00803403"/>
    <w:rsid w:val="0080426C"/>
    <w:rsid w:val="00807F42"/>
    <w:rsid w:val="00810D2B"/>
    <w:rsid w:val="008112A5"/>
    <w:rsid w:val="008165A7"/>
    <w:rsid w:val="00821B0F"/>
    <w:rsid w:val="008231E2"/>
    <w:rsid w:val="00825326"/>
    <w:rsid w:val="008271DC"/>
    <w:rsid w:val="00827F94"/>
    <w:rsid w:val="00830877"/>
    <w:rsid w:val="00831742"/>
    <w:rsid w:val="00837D40"/>
    <w:rsid w:val="008447C2"/>
    <w:rsid w:val="00845B89"/>
    <w:rsid w:val="00845D67"/>
    <w:rsid w:val="00845EF2"/>
    <w:rsid w:val="008608DA"/>
    <w:rsid w:val="00862177"/>
    <w:rsid w:val="00863201"/>
    <w:rsid w:val="0086480C"/>
    <w:rsid w:val="00864D3F"/>
    <w:rsid w:val="00865E10"/>
    <w:rsid w:val="00875477"/>
    <w:rsid w:val="00876D39"/>
    <w:rsid w:val="00882C34"/>
    <w:rsid w:val="00892174"/>
    <w:rsid w:val="008925A1"/>
    <w:rsid w:val="0089672B"/>
    <w:rsid w:val="008A0BA8"/>
    <w:rsid w:val="008A0CD0"/>
    <w:rsid w:val="008A2E82"/>
    <w:rsid w:val="008A35AC"/>
    <w:rsid w:val="008A5293"/>
    <w:rsid w:val="008A52B5"/>
    <w:rsid w:val="008A56CD"/>
    <w:rsid w:val="008B226E"/>
    <w:rsid w:val="008B2A26"/>
    <w:rsid w:val="008B2BD3"/>
    <w:rsid w:val="008B3BA1"/>
    <w:rsid w:val="008B41EE"/>
    <w:rsid w:val="008B4593"/>
    <w:rsid w:val="008B4F45"/>
    <w:rsid w:val="008B5BA9"/>
    <w:rsid w:val="008C344E"/>
    <w:rsid w:val="008C4986"/>
    <w:rsid w:val="008C68D5"/>
    <w:rsid w:val="008D1AC4"/>
    <w:rsid w:val="008D23A7"/>
    <w:rsid w:val="008D3B5D"/>
    <w:rsid w:val="008D4127"/>
    <w:rsid w:val="008D45C2"/>
    <w:rsid w:val="008D6203"/>
    <w:rsid w:val="008D7692"/>
    <w:rsid w:val="008E00AF"/>
    <w:rsid w:val="008E031B"/>
    <w:rsid w:val="008E0E79"/>
    <w:rsid w:val="008E1331"/>
    <w:rsid w:val="008E7EE4"/>
    <w:rsid w:val="008F1E7D"/>
    <w:rsid w:val="008F636F"/>
    <w:rsid w:val="008F7410"/>
    <w:rsid w:val="0090097F"/>
    <w:rsid w:val="009012FB"/>
    <w:rsid w:val="0090637E"/>
    <w:rsid w:val="00906C32"/>
    <w:rsid w:val="00910D40"/>
    <w:rsid w:val="0091329A"/>
    <w:rsid w:val="00914D1B"/>
    <w:rsid w:val="00926F56"/>
    <w:rsid w:val="009328C6"/>
    <w:rsid w:val="00934BC2"/>
    <w:rsid w:val="0093544C"/>
    <w:rsid w:val="0094074C"/>
    <w:rsid w:val="00945D82"/>
    <w:rsid w:val="00946C06"/>
    <w:rsid w:val="0095457D"/>
    <w:rsid w:val="00956D94"/>
    <w:rsid w:val="00961A04"/>
    <w:rsid w:val="00961CBC"/>
    <w:rsid w:val="00965D35"/>
    <w:rsid w:val="00967FB1"/>
    <w:rsid w:val="00973394"/>
    <w:rsid w:val="00974348"/>
    <w:rsid w:val="00980298"/>
    <w:rsid w:val="00982E9A"/>
    <w:rsid w:val="0098300C"/>
    <w:rsid w:val="009830F7"/>
    <w:rsid w:val="00985E91"/>
    <w:rsid w:val="00986B09"/>
    <w:rsid w:val="00990B2E"/>
    <w:rsid w:val="0099215A"/>
    <w:rsid w:val="0099773E"/>
    <w:rsid w:val="009A16EB"/>
    <w:rsid w:val="009A2421"/>
    <w:rsid w:val="009A5EF3"/>
    <w:rsid w:val="009B40C0"/>
    <w:rsid w:val="009B4F5E"/>
    <w:rsid w:val="009B5E8C"/>
    <w:rsid w:val="009B6F5D"/>
    <w:rsid w:val="009B6FED"/>
    <w:rsid w:val="009B7735"/>
    <w:rsid w:val="009C3259"/>
    <w:rsid w:val="009C7258"/>
    <w:rsid w:val="009D00E1"/>
    <w:rsid w:val="009D1A97"/>
    <w:rsid w:val="009D2284"/>
    <w:rsid w:val="009D383D"/>
    <w:rsid w:val="009D6D3B"/>
    <w:rsid w:val="009D728B"/>
    <w:rsid w:val="009D7586"/>
    <w:rsid w:val="009D795A"/>
    <w:rsid w:val="009E38F6"/>
    <w:rsid w:val="009E40ED"/>
    <w:rsid w:val="009E66B7"/>
    <w:rsid w:val="009E7609"/>
    <w:rsid w:val="009F2DB1"/>
    <w:rsid w:val="009F358B"/>
    <w:rsid w:val="00A01196"/>
    <w:rsid w:val="00A11EAA"/>
    <w:rsid w:val="00A131F3"/>
    <w:rsid w:val="00A15F51"/>
    <w:rsid w:val="00A16F2E"/>
    <w:rsid w:val="00A1767B"/>
    <w:rsid w:val="00A22A5D"/>
    <w:rsid w:val="00A2593A"/>
    <w:rsid w:val="00A312AE"/>
    <w:rsid w:val="00A35B4B"/>
    <w:rsid w:val="00A36557"/>
    <w:rsid w:val="00A4296D"/>
    <w:rsid w:val="00A452B6"/>
    <w:rsid w:val="00A55DEF"/>
    <w:rsid w:val="00A64686"/>
    <w:rsid w:val="00A650E7"/>
    <w:rsid w:val="00A658EE"/>
    <w:rsid w:val="00A67A5A"/>
    <w:rsid w:val="00A72DEB"/>
    <w:rsid w:val="00A72F48"/>
    <w:rsid w:val="00A7384A"/>
    <w:rsid w:val="00A73909"/>
    <w:rsid w:val="00A7523E"/>
    <w:rsid w:val="00A77034"/>
    <w:rsid w:val="00A80062"/>
    <w:rsid w:val="00A84C0A"/>
    <w:rsid w:val="00A87789"/>
    <w:rsid w:val="00A9166D"/>
    <w:rsid w:val="00A9248B"/>
    <w:rsid w:val="00A93902"/>
    <w:rsid w:val="00A9582C"/>
    <w:rsid w:val="00AA5F8E"/>
    <w:rsid w:val="00AA79CA"/>
    <w:rsid w:val="00AB0B28"/>
    <w:rsid w:val="00AB5D77"/>
    <w:rsid w:val="00AC23D0"/>
    <w:rsid w:val="00AC26F5"/>
    <w:rsid w:val="00AC6044"/>
    <w:rsid w:val="00AC62E5"/>
    <w:rsid w:val="00AC774E"/>
    <w:rsid w:val="00AD3217"/>
    <w:rsid w:val="00AD32DA"/>
    <w:rsid w:val="00AD514D"/>
    <w:rsid w:val="00AD5EF1"/>
    <w:rsid w:val="00AD69EB"/>
    <w:rsid w:val="00AD7B70"/>
    <w:rsid w:val="00AE4CA8"/>
    <w:rsid w:val="00AE59C0"/>
    <w:rsid w:val="00AE5E89"/>
    <w:rsid w:val="00AF1361"/>
    <w:rsid w:val="00AF630E"/>
    <w:rsid w:val="00B01FD3"/>
    <w:rsid w:val="00B02C9F"/>
    <w:rsid w:val="00B03C9D"/>
    <w:rsid w:val="00B04E29"/>
    <w:rsid w:val="00B06E1C"/>
    <w:rsid w:val="00B21D10"/>
    <w:rsid w:val="00B24E37"/>
    <w:rsid w:val="00B278E7"/>
    <w:rsid w:val="00B30BA8"/>
    <w:rsid w:val="00B35B9C"/>
    <w:rsid w:val="00B37B66"/>
    <w:rsid w:val="00B4120C"/>
    <w:rsid w:val="00B440F6"/>
    <w:rsid w:val="00B4553A"/>
    <w:rsid w:val="00B4665F"/>
    <w:rsid w:val="00B531EE"/>
    <w:rsid w:val="00B53212"/>
    <w:rsid w:val="00B53726"/>
    <w:rsid w:val="00B70741"/>
    <w:rsid w:val="00B753AD"/>
    <w:rsid w:val="00B82A4B"/>
    <w:rsid w:val="00B83266"/>
    <w:rsid w:val="00B87FAB"/>
    <w:rsid w:val="00B907B7"/>
    <w:rsid w:val="00B93AF3"/>
    <w:rsid w:val="00B93D7F"/>
    <w:rsid w:val="00B96458"/>
    <w:rsid w:val="00BA03C2"/>
    <w:rsid w:val="00BA04FB"/>
    <w:rsid w:val="00BA5892"/>
    <w:rsid w:val="00BB0D11"/>
    <w:rsid w:val="00BB463C"/>
    <w:rsid w:val="00BB6328"/>
    <w:rsid w:val="00BC1FDA"/>
    <w:rsid w:val="00BC245D"/>
    <w:rsid w:val="00BC5A53"/>
    <w:rsid w:val="00BC71C4"/>
    <w:rsid w:val="00BD5436"/>
    <w:rsid w:val="00BD77DB"/>
    <w:rsid w:val="00BE3304"/>
    <w:rsid w:val="00BE4116"/>
    <w:rsid w:val="00BE49DF"/>
    <w:rsid w:val="00BE4EC7"/>
    <w:rsid w:val="00BE548F"/>
    <w:rsid w:val="00BF0539"/>
    <w:rsid w:val="00BF1047"/>
    <w:rsid w:val="00BF29E7"/>
    <w:rsid w:val="00BF531B"/>
    <w:rsid w:val="00BF5E0E"/>
    <w:rsid w:val="00C01EA7"/>
    <w:rsid w:val="00C05C91"/>
    <w:rsid w:val="00C07FB6"/>
    <w:rsid w:val="00C101A5"/>
    <w:rsid w:val="00C11792"/>
    <w:rsid w:val="00C12B73"/>
    <w:rsid w:val="00C17591"/>
    <w:rsid w:val="00C20B6E"/>
    <w:rsid w:val="00C20C1D"/>
    <w:rsid w:val="00C21D4A"/>
    <w:rsid w:val="00C2267C"/>
    <w:rsid w:val="00C252E8"/>
    <w:rsid w:val="00C26E6F"/>
    <w:rsid w:val="00C30A50"/>
    <w:rsid w:val="00C368BE"/>
    <w:rsid w:val="00C37AA2"/>
    <w:rsid w:val="00C451DA"/>
    <w:rsid w:val="00C45CE4"/>
    <w:rsid w:val="00C473B1"/>
    <w:rsid w:val="00C540AA"/>
    <w:rsid w:val="00C55101"/>
    <w:rsid w:val="00C55AD9"/>
    <w:rsid w:val="00C56440"/>
    <w:rsid w:val="00C567B1"/>
    <w:rsid w:val="00C609E6"/>
    <w:rsid w:val="00C61DEA"/>
    <w:rsid w:val="00C62833"/>
    <w:rsid w:val="00C6421B"/>
    <w:rsid w:val="00C6486E"/>
    <w:rsid w:val="00C64F5D"/>
    <w:rsid w:val="00C66FBE"/>
    <w:rsid w:val="00C75B2E"/>
    <w:rsid w:val="00C91C36"/>
    <w:rsid w:val="00C92D5F"/>
    <w:rsid w:val="00C93B82"/>
    <w:rsid w:val="00C95E2F"/>
    <w:rsid w:val="00CA04F9"/>
    <w:rsid w:val="00CA25E2"/>
    <w:rsid w:val="00CA6637"/>
    <w:rsid w:val="00CB2996"/>
    <w:rsid w:val="00CB47C8"/>
    <w:rsid w:val="00CB6A84"/>
    <w:rsid w:val="00CC1617"/>
    <w:rsid w:val="00CC1C7E"/>
    <w:rsid w:val="00CC1DEE"/>
    <w:rsid w:val="00CD0E4A"/>
    <w:rsid w:val="00CD170E"/>
    <w:rsid w:val="00CD19F4"/>
    <w:rsid w:val="00CD5999"/>
    <w:rsid w:val="00CD5AE6"/>
    <w:rsid w:val="00CD6DEB"/>
    <w:rsid w:val="00CE043C"/>
    <w:rsid w:val="00CE1201"/>
    <w:rsid w:val="00CE20ED"/>
    <w:rsid w:val="00CE2A5B"/>
    <w:rsid w:val="00CE3E74"/>
    <w:rsid w:val="00CE7A15"/>
    <w:rsid w:val="00CE7C81"/>
    <w:rsid w:val="00CF1773"/>
    <w:rsid w:val="00D021EB"/>
    <w:rsid w:val="00D0618C"/>
    <w:rsid w:val="00D105B3"/>
    <w:rsid w:val="00D1724B"/>
    <w:rsid w:val="00D200BC"/>
    <w:rsid w:val="00D21A30"/>
    <w:rsid w:val="00D23D69"/>
    <w:rsid w:val="00D24AF1"/>
    <w:rsid w:val="00D314D7"/>
    <w:rsid w:val="00D325A4"/>
    <w:rsid w:val="00D3492F"/>
    <w:rsid w:val="00D34FB6"/>
    <w:rsid w:val="00D35E41"/>
    <w:rsid w:val="00D3638C"/>
    <w:rsid w:val="00D363B0"/>
    <w:rsid w:val="00D37991"/>
    <w:rsid w:val="00D42CDE"/>
    <w:rsid w:val="00D44B26"/>
    <w:rsid w:val="00D46F18"/>
    <w:rsid w:val="00D46FF6"/>
    <w:rsid w:val="00D47C62"/>
    <w:rsid w:val="00D53D36"/>
    <w:rsid w:val="00D56E2F"/>
    <w:rsid w:val="00D63BB5"/>
    <w:rsid w:val="00D64521"/>
    <w:rsid w:val="00D646E1"/>
    <w:rsid w:val="00D6533E"/>
    <w:rsid w:val="00D656BF"/>
    <w:rsid w:val="00D679ED"/>
    <w:rsid w:val="00D703FF"/>
    <w:rsid w:val="00D727B3"/>
    <w:rsid w:val="00D7677F"/>
    <w:rsid w:val="00D812F3"/>
    <w:rsid w:val="00D814EB"/>
    <w:rsid w:val="00D81C49"/>
    <w:rsid w:val="00D83CFB"/>
    <w:rsid w:val="00D8762F"/>
    <w:rsid w:val="00D92195"/>
    <w:rsid w:val="00D924ED"/>
    <w:rsid w:val="00D924F7"/>
    <w:rsid w:val="00D92505"/>
    <w:rsid w:val="00D92BC4"/>
    <w:rsid w:val="00D93951"/>
    <w:rsid w:val="00D93E88"/>
    <w:rsid w:val="00D94B20"/>
    <w:rsid w:val="00DA2E43"/>
    <w:rsid w:val="00DB2841"/>
    <w:rsid w:val="00DB33DB"/>
    <w:rsid w:val="00DB595F"/>
    <w:rsid w:val="00DB7FDE"/>
    <w:rsid w:val="00DC6AD4"/>
    <w:rsid w:val="00DD21B5"/>
    <w:rsid w:val="00DD5C67"/>
    <w:rsid w:val="00DD634E"/>
    <w:rsid w:val="00DE19B1"/>
    <w:rsid w:val="00DE36C4"/>
    <w:rsid w:val="00DE3758"/>
    <w:rsid w:val="00DE6D07"/>
    <w:rsid w:val="00DF11DE"/>
    <w:rsid w:val="00DF4111"/>
    <w:rsid w:val="00DF7C2F"/>
    <w:rsid w:val="00E049BA"/>
    <w:rsid w:val="00E04A98"/>
    <w:rsid w:val="00E123A4"/>
    <w:rsid w:val="00E12E4B"/>
    <w:rsid w:val="00E152DE"/>
    <w:rsid w:val="00E24AA2"/>
    <w:rsid w:val="00E25A01"/>
    <w:rsid w:val="00E3020D"/>
    <w:rsid w:val="00E40BA2"/>
    <w:rsid w:val="00E43611"/>
    <w:rsid w:val="00E4633C"/>
    <w:rsid w:val="00E507A8"/>
    <w:rsid w:val="00E52DBC"/>
    <w:rsid w:val="00E60136"/>
    <w:rsid w:val="00E617DC"/>
    <w:rsid w:val="00E66912"/>
    <w:rsid w:val="00E66B93"/>
    <w:rsid w:val="00E70B0C"/>
    <w:rsid w:val="00E73F98"/>
    <w:rsid w:val="00E74D27"/>
    <w:rsid w:val="00E750B3"/>
    <w:rsid w:val="00E830E6"/>
    <w:rsid w:val="00E83C62"/>
    <w:rsid w:val="00E87446"/>
    <w:rsid w:val="00E9087D"/>
    <w:rsid w:val="00E97785"/>
    <w:rsid w:val="00EA06F9"/>
    <w:rsid w:val="00EA249B"/>
    <w:rsid w:val="00EB5A1B"/>
    <w:rsid w:val="00EB77AB"/>
    <w:rsid w:val="00EC0733"/>
    <w:rsid w:val="00EC3D7D"/>
    <w:rsid w:val="00EC3E66"/>
    <w:rsid w:val="00EC51BC"/>
    <w:rsid w:val="00EC7990"/>
    <w:rsid w:val="00ED06DF"/>
    <w:rsid w:val="00ED1E3F"/>
    <w:rsid w:val="00ED25B6"/>
    <w:rsid w:val="00ED386B"/>
    <w:rsid w:val="00ED4416"/>
    <w:rsid w:val="00ED59AF"/>
    <w:rsid w:val="00ED743D"/>
    <w:rsid w:val="00EE2BB9"/>
    <w:rsid w:val="00EE415A"/>
    <w:rsid w:val="00EF07EB"/>
    <w:rsid w:val="00EF0831"/>
    <w:rsid w:val="00EF43CF"/>
    <w:rsid w:val="00EF7631"/>
    <w:rsid w:val="00EF7BBB"/>
    <w:rsid w:val="00F0149C"/>
    <w:rsid w:val="00F04D60"/>
    <w:rsid w:val="00F05B77"/>
    <w:rsid w:val="00F05BF2"/>
    <w:rsid w:val="00F06E82"/>
    <w:rsid w:val="00F10511"/>
    <w:rsid w:val="00F10B6C"/>
    <w:rsid w:val="00F1126D"/>
    <w:rsid w:val="00F15DCF"/>
    <w:rsid w:val="00F20E1B"/>
    <w:rsid w:val="00F219DF"/>
    <w:rsid w:val="00F26183"/>
    <w:rsid w:val="00F3046C"/>
    <w:rsid w:val="00F31EBF"/>
    <w:rsid w:val="00F35EE4"/>
    <w:rsid w:val="00F35FCF"/>
    <w:rsid w:val="00F36C9A"/>
    <w:rsid w:val="00F371EF"/>
    <w:rsid w:val="00F37BE0"/>
    <w:rsid w:val="00F4194C"/>
    <w:rsid w:val="00F44251"/>
    <w:rsid w:val="00F50B5E"/>
    <w:rsid w:val="00F5113F"/>
    <w:rsid w:val="00F51C44"/>
    <w:rsid w:val="00F546F1"/>
    <w:rsid w:val="00F56928"/>
    <w:rsid w:val="00F60CFF"/>
    <w:rsid w:val="00F62F46"/>
    <w:rsid w:val="00F631D6"/>
    <w:rsid w:val="00F652F1"/>
    <w:rsid w:val="00F65D16"/>
    <w:rsid w:val="00F726C9"/>
    <w:rsid w:val="00F74D25"/>
    <w:rsid w:val="00F74EFD"/>
    <w:rsid w:val="00F755B8"/>
    <w:rsid w:val="00F85F10"/>
    <w:rsid w:val="00F8662B"/>
    <w:rsid w:val="00F8743F"/>
    <w:rsid w:val="00F90A7B"/>
    <w:rsid w:val="00F90DC3"/>
    <w:rsid w:val="00F934FD"/>
    <w:rsid w:val="00F96A18"/>
    <w:rsid w:val="00F96A9C"/>
    <w:rsid w:val="00FA4BF2"/>
    <w:rsid w:val="00FB0B3A"/>
    <w:rsid w:val="00FB0B78"/>
    <w:rsid w:val="00FB3B0A"/>
    <w:rsid w:val="00FB4A6C"/>
    <w:rsid w:val="00FB752D"/>
    <w:rsid w:val="00FC10D6"/>
    <w:rsid w:val="00FC5B72"/>
    <w:rsid w:val="00FD05FF"/>
    <w:rsid w:val="00FD08B8"/>
    <w:rsid w:val="00FD156D"/>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79B75"/>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link w:val="Heading1Char"/>
    <w:qFormat/>
    <w:pPr>
      <w:keepNext/>
      <w:numPr>
        <w:numId w:val="1"/>
      </w:numPr>
      <w:spacing w:before="240" w:after="60"/>
      <w:outlineLvl w:val="0"/>
    </w:pPr>
    <w:rPr>
      <w:rFonts w:ascii="Times New Roman Bold" w:hAnsi="Times New Roman Bold" w:cs="Arial"/>
      <w:bCs/>
      <w:kern w:val="32"/>
    </w:rPr>
  </w:style>
  <w:style w:type="paragraph" w:styleId="Heading2">
    <w:name w:val="heading 2"/>
    <w:basedOn w:val="Normal"/>
    <w:next w:val="Normal"/>
    <w:qFormat/>
    <w:rsid w:val="00C473B1"/>
    <w:pPr>
      <w:numPr>
        <w:ilvl w:val="1"/>
        <w:numId w:val="1"/>
      </w:numPr>
      <w:spacing w:before="240" w:after="60"/>
      <w:ind w:left="0" w:firstLine="0"/>
      <w:outlineLvl w:val="1"/>
    </w:pPr>
    <w:rPr>
      <w:rFonts w:hAnsi="Times New Roman Bold" w:cs="Arial"/>
      <w:bCs/>
      <w:iCs/>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Heading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Heading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Heading7">
    <w:name w:val="heading 7"/>
    <w:basedOn w:val="Normal"/>
    <w:next w:val="Normal"/>
    <w:qFormat/>
    <w:rsid w:val="008D23A7"/>
    <w:pPr>
      <w:tabs>
        <w:tab w:val="num" w:pos="1296"/>
      </w:tabs>
      <w:spacing w:before="240" w:after="60"/>
      <w:ind w:left="1296" w:hanging="1296"/>
      <w:outlineLvl w:val="6"/>
    </w:pPr>
    <w:rPr>
      <w:lang w:val="en-US"/>
    </w:rPr>
  </w:style>
  <w:style w:type="paragraph" w:styleId="Heading8">
    <w:name w:val="heading 8"/>
    <w:basedOn w:val="Normal"/>
    <w:next w:val="Normal"/>
    <w:qFormat/>
    <w:rsid w:val="008D23A7"/>
    <w:pPr>
      <w:tabs>
        <w:tab w:val="num" w:pos="1440"/>
      </w:tabs>
      <w:spacing w:before="240" w:after="60"/>
      <w:ind w:left="1440" w:hanging="1440"/>
      <w:outlineLvl w:val="7"/>
    </w:pPr>
    <w:rPr>
      <w:i/>
      <w:iCs/>
      <w:lang w:val="en-US"/>
    </w:rPr>
  </w:style>
  <w:style w:type="paragraph" w:styleId="Heading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D34FB6"/>
    <w:rPr>
      <w:color w:val="0000FF"/>
      <w:u w:val="single"/>
    </w:rPr>
  </w:style>
  <w:style w:type="character" w:styleId="CommentReference">
    <w:name w:val="annotation reference"/>
    <w:uiPriority w:val="99"/>
    <w:semiHidden/>
    <w:rsid w:val="00BA03C2"/>
    <w:rPr>
      <w:sz w:val="16"/>
      <w:szCs w:val="16"/>
    </w:rPr>
  </w:style>
  <w:style w:type="paragraph" w:styleId="CommentText">
    <w:name w:val="annotation text"/>
    <w:basedOn w:val="Normal"/>
    <w:link w:val="CommentTextChar"/>
    <w:uiPriority w:val="99"/>
    <w:semiHidden/>
    <w:rsid w:val="00BA03C2"/>
    <w:rPr>
      <w:sz w:val="20"/>
      <w:szCs w:val="20"/>
    </w:rPr>
  </w:style>
  <w:style w:type="paragraph" w:styleId="CommentSubject">
    <w:name w:val="annotation subject"/>
    <w:basedOn w:val="CommentText"/>
    <w:next w:val="CommentText"/>
    <w:semiHidden/>
    <w:rsid w:val="00BA03C2"/>
    <w:rPr>
      <w:b/>
      <w:bCs/>
    </w:rPr>
  </w:style>
  <w:style w:type="paragraph" w:styleId="Header">
    <w:name w:val="header"/>
    <w:basedOn w:val="Normal"/>
    <w:link w:val="HeaderCh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Footer">
    <w:name w:val="footer"/>
    <w:basedOn w:val="Normal"/>
    <w:rsid w:val="008D23A7"/>
    <w:pPr>
      <w:tabs>
        <w:tab w:val="center" w:pos="4153"/>
        <w:tab w:val="right" w:pos="8306"/>
      </w:tabs>
    </w:pPr>
    <w:rPr>
      <w:lang w:val="en-US"/>
    </w:rPr>
  </w:style>
  <w:style w:type="paragraph" w:styleId="BodyTextIndent3">
    <w:name w:val="Body Text Indent 3"/>
    <w:basedOn w:val="Normal"/>
    <w:rsid w:val="008D23A7"/>
    <w:pPr>
      <w:ind w:left="7200"/>
    </w:pPr>
    <w:rPr>
      <w:sz w:val="22"/>
      <w:lang w:val="fr-FR"/>
    </w:rPr>
  </w:style>
  <w:style w:type="paragraph" w:customStyle="1" w:styleId="COI">
    <w:name w:val="COI"/>
    <w:basedOn w:val="Marge"/>
    <w:autoRedefine/>
    <w:rsid w:val="005A47AE"/>
    <w:pPr>
      <w:numPr>
        <w:numId w:val="55"/>
      </w:numPr>
      <w:tabs>
        <w:tab w:val="clear" w:pos="567"/>
      </w:tabs>
      <w:spacing w:line="240" w:lineRule="atLeast"/>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PageNumber">
    <w:name w:val="page number"/>
    <w:basedOn w:val="DefaultParagraphFont"/>
    <w:rsid w:val="007A121B"/>
  </w:style>
  <w:style w:type="table" w:styleId="TableGrid">
    <w:name w:val="Table Grid"/>
    <w:basedOn w:val="Table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D814EB"/>
    <w:rPr>
      <w:rFonts w:ascii="Times New Roman Bold" w:hAnsi="Times New Roman Bold" w:cs="Arial"/>
      <w:bCs/>
      <w:kern w:val="32"/>
      <w:sz w:val="24"/>
      <w:szCs w:val="24"/>
      <w:lang w:val="en-AU" w:eastAsia="en-US"/>
    </w:rPr>
  </w:style>
  <w:style w:type="character" w:customStyle="1" w:styleId="CharChar">
    <w:name w:val="Char Char"/>
    <w:locked/>
    <w:rsid w:val="007B1CB3"/>
    <w:rPr>
      <w:rFonts w:ascii="Times New Roman Bold" w:hAnsi="Times New Roman Bold" w:cs="Arial"/>
      <w:bCs/>
      <w:kern w:val="32"/>
      <w:sz w:val="24"/>
      <w:szCs w:val="24"/>
      <w:lang w:val="en-AU" w:eastAsia="en-US" w:bidi="ar-SA"/>
    </w:rPr>
  </w:style>
  <w:style w:type="paragraph" w:styleId="FootnoteText">
    <w:name w:val="footnote text"/>
    <w:basedOn w:val="Normal"/>
    <w:semiHidden/>
    <w:rsid w:val="009C7258"/>
    <w:rPr>
      <w:sz w:val="20"/>
      <w:szCs w:val="20"/>
    </w:rPr>
  </w:style>
  <w:style w:type="character" w:styleId="FootnoteReference">
    <w:name w:val="footnote reference"/>
    <w:semiHidden/>
    <w:rsid w:val="009C7258"/>
    <w:rPr>
      <w:vertAlign w:val="superscript"/>
    </w:rPr>
  </w:style>
  <w:style w:type="paragraph" w:styleId="NoSpacing">
    <w:name w:val="No Spacing"/>
    <w:uiPriority w:val="1"/>
    <w:qFormat/>
    <w:rsid w:val="00244EBD"/>
    <w:rPr>
      <w:rFonts w:ascii="Calibri" w:eastAsia="Calibri" w:hAnsi="Calibri"/>
      <w:sz w:val="22"/>
      <w:szCs w:val="22"/>
      <w:lang w:val="en-AU" w:eastAsia="en-US"/>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
    <w:basedOn w:val="Normal"/>
    <w:uiPriority w:val="34"/>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FollowedHyperlink">
    <w:name w:val="FollowedHyperlink"/>
    <w:rsid w:val="00DD5C67"/>
    <w:rPr>
      <w:color w:val="954F72"/>
      <w:u w:val="single"/>
    </w:rPr>
  </w:style>
  <w:style w:type="character" w:customStyle="1" w:styleId="HeaderChar">
    <w:name w:val="Header Char"/>
    <w:link w:val="Header"/>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styleId="UnresolvedMention">
    <w:name w:val="Unresolved Mention"/>
    <w:uiPriority w:val="99"/>
    <w:semiHidden/>
    <w:unhideWhenUsed/>
    <w:rsid w:val="009A5EF3"/>
    <w:rPr>
      <w:color w:val="605E5C"/>
      <w:shd w:val="clear" w:color="auto" w:fill="E1DFDD"/>
    </w:rPr>
  </w:style>
  <w:style w:type="paragraph" w:styleId="Revision">
    <w:name w:val="Revision"/>
    <w:hidden/>
    <w:uiPriority w:val="99"/>
    <w:semiHidden/>
    <w:rsid w:val="000A58AE"/>
    <w:rPr>
      <w:sz w:val="24"/>
      <w:szCs w:val="24"/>
      <w:lang w:val="en-AU" w:eastAsia="en-US"/>
    </w:rPr>
  </w:style>
  <w:style w:type="paragraph" w:styleId="BodyText">
    <w:name w:val="Body Text"/>
    <w:basedOn w:val="Normal"/>
    <w:link w:val="BodyTextChar"/>
    <w:rsid w:val="003B7C02"/>
    <w:pPr>
      <w:spacing w:after="120"/>
    </w:pPr>
  </w:style>
  <w:style w:type="character" w:customStyle="1" w:styleId="BodyTextChar">
    <w:name w:val="Body Text Char"/>
    <w:link w:val="BodyText"/>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0151D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64606924">
      <w:bodyDiv w:val="1"/>
      <w:marLeft w:val="0"/>
      <w:marRight w:val="0"/>
      <w:marTop w:val="0"/>
      <w:marBottom w:val="0"/>
      <w:divBdr>
        <w:top w:val="none" w:sz="0" w:space="0" w:color="auto"/>
        <w:left w:val="none" w:sz="0" w:space="0" w:color="auto"/>
        <w:bottom w:val="none" w:sz="0" w:space="0" w:color="auto"/>
        <w:right w:val="none" w:sz="0" w:space="0" w:color="auto"/>
      </w:divBdr>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3789469">
      <w:bodyDiv w:val="1"/>
      <w:marLeft w:val="0"/>
      <w:marRight w:val="0"/>
      <w:marTop w:val="0"/>
      <w:marBottom w:val="0"/>
      <w:divBdr>
        <w:top w:val="none" w:sz="0" w:space="0" w:color="auto"/>
        <w:left w:val="none" w:sz="0" w:space="0" w:color="auto"/>
        <w:bottom w:val="none" w:sz="0" w:space="0" w:color="auto"/>
        <w:right w:val="none" w:sz="0" w:space="0" w:color="auto"/>
      </w:divBdr>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29C873C17E534AAF1B660E7C94D3E5" ma:contentTypeVersion="13" ma:contentTypeDescription="Create a new document." ma:contentTypeScope="" ma:versionID="8ec108041cb6dbce4ef44306d970d19b">
  <xsd:schema xmlns:xsd="http://www.w3.org/2001/XMLSchema" xmlns:xs="http://www.w3.org/2001/XMLSchema" xmlns:p="http://schemas.microsoft.com/office/2006/metadata/properties" xmlns:ns3="74e39981-28ad-4cd9-8062-7c196e89452c" xmlns:ns4="98d844ce-120e-4fe2-a0b9-8b51464d6195" targetNamespace="http://schemas.microsoft.com/office/2006/metadata/properties" ma:root="true" ma:fieldsID="d3cda1e028c3d77f5f503c4c068df3cf" ns3:_="" ns4:_="">
    <xsd:import namespace="74e39981-28ad-4cd9-8062-7c196e89452c"/>
    <xsd:import namespace="98d844ce-120e-4fe2-a0b9-8b51464d619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39981-28ad-4cd9-8062-7c196e894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844ce-120e-4fe2-a0b9-8b51464d619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4e39981-28ad-4cd9-8062-7c196e89452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6A973-2DC3-764D-8B58-B1BFD0EFB22F}">
  <ds:schemaRefs>
    <ds:schemaRef ds:uri="http://schemas.openxmlformats.org/officeDocument/2006/bibliography"/>
  </ds:schemaRefs>
</ds:datastoreItem>
</file>

<file path=customXml/itemProps2.xml><?xml version="1.0" encoding="utf-8"?>
<ds:datastoreItem xmlns:ds="http://schemas.openxmlformats.org/officeDocument/2006/customXml" ds:itemID="{56A2B2BA-7498-4293-8A0C-E60A89C3B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39981-28ad-4cd9-8062-7c196e89452c"/>
    <ds:schemaRef ds:uri="98d844ce-120e-4fe2-a0b9-8b51464d6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CD7F4-036F-470C-B0EC-21210DC32E62}">
  <ds:schemaRefs>
    <ds:schemaRef ds:uri="http://www.w3.org/XML/1998/namespace"/>
    <ds:schemaRef ds:uri="http://purl.org/dc/terms/"/>
    <ds:schemaRef ds:uri="98d844ce-120e-4fe2-a0b9-8b51464d6195"/>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74e39981-28ad-4cd9-8062-7c196e89452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B8569D7-DF91-478F-975C-764F1FA7EFCA}">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2835</Words>
  <Characters>15291</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Commission océanographique intergouvernementale_x000d_
(de l’UNESCO)_x000d_
Trentième session du Groupe intergouvernemental de coordination du système d’alerte aux tsunamis et de mitigation dans le Pacifique _x000d_
11–15 septembre 2023, Nuku’alofa, Tonga_x000d_
</vt:lpstr>
      <vt:lpstr/>
    </vt:vector>
  </TitlesOfParts>
  <Company>IOC</Company>
  <LinksUpToDate>false</LinksUpToDate>
  <CharactersWithSpaces>18090</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océanographique intergouvernementale_x000d_
(de l’UNESCO)_x000d_
Trentième session du Groupe intergouvernemental de coordination du système d’alerte aux tsunamis et de mitigation dans le Pacifique _x000d_
11–15 septembre 2023, Nuku’alofa, Tonga</dc:title>
  <dc:subject>IOC/ICG/PTWS-XXX/3s</dc:subject>
  <dc:creator>bille</dc:creator>
  <cp:keywords/>
  <dc:description/>
  <cp:lastModifiedBy>Boned, Patrice</cp:lastModifiedBy>
  <cp:revision>2</cp:revision>
  <cp:lastPrinted>2015-05-19T11:47:00Z</cp:lastPrinted>
  <dcterms:created xsi:type="dcterms:W3CDTF">2024-06-18T18:06:00Z</dcterms:created>
  <dcterms:modified xsi:type="dcterms:W3CDTF">2024-06-18T18:06:00Z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0x0101008429C873C17E534AAF1B660E7C94D3E5</vt:lpwstr>
  </property>
  <property fmtid="{D5CDD505-2E9C-101B-9397-08002B2CF9AE}" pid="3" name="JobDCPMS">
    <vt:lpwstr>202402813</vt:lpwstr>
  </property>
  <property fmtid="{D5CDD505-2E9C-101B-9397-08002B2CF9AE}" pid="4" name="Language">
    <vt:lpwstr>E</vt:lpwstr>
  </property>
  <property fmtid="{D5CDD505-2E9C-101B-9397-08002B2CF9AE}" pid="5" name="TranslatedWith">
    <vt:lpwstr>Mercury</vt:lpwstr>
  </property>
  <property fmtid="{D5CDD505-2E9C-101B-9397-08002B2CF9AE}" pid="6" name="GeneratedBy">
    <vt:lpwstr>estelle.mauroy</vt:lpwstr>
  </property>
  <property fmtid="{D5CDD505-2E9C-101B-9397-08002B2CF9AE}" pid="7" name="GeneratedDate">
    <vt:lpwstr>05/31/2024 14:33:32</vt:lpwstr>
  </property>
  <property fmtid="{D5CDD505-2E9C-101B-9397-08002B2CF9AE}" pid="8" name="OriginalDocID">
    <vt:lpwstr>83525c09-eb88-4699-b32c-de82223b3838</vt:lpwstr>
  </property>
</Properties>
</file>