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48741" w14:textId="2BB65979" w:rsidR="00EA1C02" w:rsidRPr="00334B9F" w:rsidRDefault="00334B9F" w:rsidP="007A33C0">
      <w:pPr>
        <w:keepNext/>
        <w:widowControl w:val="0"/>
        <w:adjustRightInd w:val="0"/>
        <w:spacing w:after="240" w:line="240" w:lineRule="auto"/>
        <w:jc w:val="both"/>
        <w:textAlignment w:val="baseline"/>
        <w:outlineLvl w:val="6"/>
        <w:rPr>
          <w:rFonts w:ascii="Arial" w:eastAsia="Times New Roman" w:hAnsi="Arial" w:cs="Arial"/>
          <w:lang w:val="es-ES"/>
        </w:rPr>
      </w:pPr>
      <w:r w:rsidRPr="00334B9F">
        <w:rPr>
          <w:rFonts w:ascii="Arial" w:eastAsia="Times New Roman" w:hAnsi="Arial" w:cs="Arial"/>
          <w:u w:val="single"/>
          <w:lang w:val="es-ES"/>
        </w:rPr>
        <w:t xml:space="preserve">Punto </w:t>
      </w:r>
      <w:r w:rsidR="007A33C0">
        <w:rPr>
          <w:rFonts w:ascii="Arial" w:eastAsia="Times New Roman" w:hAnsi="Arial" w:cs="Arial"/>
          <w:b/>
          <w:bCs/>
          <w:u w:val="single"/>
          <w:lang w:val="es-ES"/>
        </w:rPr>
        <w:t>5.1</w:t>
      </w:r>
      <w:r w:rsidRPr="00334B9F">
        <w:rPr>
          <w:rFonts w:ascii="Arial" w:eastAsia="Times New Roman" w:hAnsi="Arial" w:cs="Arial"/>
          <w:u w:val="single"/>
          <w:lang w:val="es-ES"/>
        </w:rPr>
        <w:t xml:space="preserve"> del orden del día provisional</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102"/>
      </w:tblGrid>
      <w:tr w:rsidR="00334B9F" w:rsidRPr="00F13274" w14:paraId="50DF722B" w14:textId="77777777" w:rsidTr="006871BF">
        <w:trPr>
          <w:trHeight w:val="328"/>
          <w:jc w:val="center"/>
        </w:trPr>
        <w:tc>
          <w:tcPr>
            <w:tcW w:w="9102" w:type="dxa"/>
            <w:vAlign w:val="center"/>
          </w:tcPr>
          <w:p w14:paraId="59E5684F" w14:textId="186FE43D" w:rsidR="00334B9F" w:rsidRPr="00270E93" w:rsidRDefault="00AA591A" w:rsidP="00AA591A">
            <w:pPr>
              <w:tabs>
                <w:tab w:val="left" w:pos="567"/>
              </w:tabs>
              <w:snapToGrid w:val="0"/>
              <w:spacing w:before="240" w:after="240"/>
              <w:jc w:val="center"/>
              <w:rPr>
                <w:rFonts w:ascii="Arial" w:eastAsia="SimSun" w:hAnsi="Arial"/>
                <w:b/>
                <w:bCs/>
                <w:caps/>
                <w:snapToGrid w:val="0"/>
                <w:sz w:val="22"/>
                <w:szCs w:val="22"/>
                <w:lang w:val="es-ES" w:eastAsia="zh-CN"/>
              </w:rPr>
            </w:pPr>
            <w:r w:rsidRPr="00AA591A">
              <w:rPr>
                <w:rFonts w:ascii="Arial" w:eastAsia="SimSun" w:hAnsi="Arial"/>
                <w:b/>
                <w:bCs/>
                <w:caps/>
                <w:snapToGrid w:val="0"/>
                <w:sz w:val="22"/>
                <w:szCs w:val="22"/>
                <w:lang w:val="es-ES" w:eastAsia="zh-CN"/>
              </w:rPr>
              <w:t>Programa y Presupuesto revisados para 2024-2025 (42 C/5)</w:t>
            </w:r>
            <w:r w:rsidRPr="00AA591A">
              <w:rPr>
                <w:rFonts w:ascii="Arial" w:eastAsia="SimSun" w:hAnsi="Arial"/>
                <w:b/>
                <w:bCs/>
                <w:caps/>
                <w:snapToGrid w:val="0"/>
                <w:sz w:val="22"/>
                <w:szCs w:val="22"/>
                <w:lang w:val="es-ES" w:eastAsia="zh-CN"/>
              </w:rPr>
              <w:br/>
              <w:t>y propuestas preliminares para 2026-2029 (Proyecto de 43 C/5)</w:t>
            </w:r>
          </w:p>
        </w:tc>
      </w:tr>
    </w:tbl>
    <w:p w14:paraId="272BC2CD" w14:textId="77777777" w:rsidR="00EA1C02" w:rsidRPr="00AA591A" w:rsidRDefault="00EA1C02" w:rsidP="00C06866">
      <w:pPr>
        <w:tabs>
          <w:tab w:val="left" w:pos="-1440"/>
          <w:tab w:val="left" w:pos="-720"/>
          <w:tab w:val="left" w:pos="720"/>
          <w:tab w:val="left" w:pos="1440"/>
          <w:tab w:val="left" w:pos="2160"/>
          <w:tab w:val="left" w:pos="3600"/>
          <w:tab w:val="left" w:pos="4320"/>
          <w:tab w:val="left" w:pos="5040"/>
          <w:tab w:val="left" w:pos="5523"/>
          <w:tab w:val="left" w:pos="6480"/>
        </w:tabs>
        <w:spacing w:after="360" w:line="240" w:lineRule="auto"/>
        <w:jc w:val="center"/>
        <w:rPr>
          <w:rFonts w:ascii="Arial" w:hAnsi="Arial" w:cs="Arial"/>
          <w:caps/>
          <w:lang w:val="es-ES"/>
        </w:rPr>
      </w:pPr>
    </w:p>
    <w:tbl>
      <w:tblPr>
        <w:tblStyle w:val="Tablaconcuadrcula"/>
        <w:tblW w:w="0" w:type="auto"/>
        <w:jc w:val="center"/>
        <w:tblCellMar>
          <w:top w:w="284" w:type="dxa"/>
          <w:left w:w="340" w:type="dxa"/>
          <w:bottom w:w="28" w:type="dxa"/>
          <w:right w:w="340" w:type="dxa"/>
        </w:tblCellMar>
        <w:tblLook w:val="04A0" w:firstRow="1" w:lastRow="0" w:firstColumn="1" w:lastColumn="0" w:noHBand="0" w:noVBand="1"/>
      </w:tblPr>
      <w:tblGrid>
        <w:gridCol w:w="6658"/>
      </w:tblGrid>
      <w:tr w:rsidR="007C13AF" w:rsidRPr="00F13274" w14:paraId="231DBB00" w14:textId="77777777" w:rsidTr="00AA591A">
        <w:trPr>
          <w:jc w:val="center"/>
        </w:trPr>
        <w:tc>
          <w:tcPr>
            <w:tcW w:w="6658" w:type="dxa"/>
            <w:tcMar>
              <w:left w:w="284" w:type="dxa"/>
              <w:bottom w:w="85" w:type="dxa"/>
              <w:right w:w="284" w:type="dxa"/>
            </w:tcMar>
          </w:tcPr>
          <w:p w14:paraId="54DCEA85" w14:textId="77777777" w:rsidR="009A7585" w:rsidRPr="00270E93" w:rsidRDefault="00334B9F" w:rsidP="009A7585">
            <w:pPr>
              <w:tabs>
                <w:tab w:val="left" w:pos="567"/>
              </w:tabs>
              <w:snapToGrid w:val="0"/>
              <w:spacing w:after="240"/>
              <w:jc w:val="center"/>
              <w:rPr>
                <w:rFonts w:ascii="Arial" w:eastAsia="SimSun" w:hAnsi="Arial"/>
                <w:snapToGrid w:val="0"/>
                <w:sz w:val="22"/>
                <w:szCs w:val="22"/>
                <w:lang w:val="es-ES" w:eastAsia="zh-CN"/>
              </w:rPr>
            </w:pPr>
            <w:r w:rsidRPr="00270E93">
              <w:rPr>
                <w:rFonts w:ascii="Arial" w:eastAsia="Times New Roman" w:hAnsi="Arial"/>
                <w:snapToGrid w:val="0"/>
                <w:sz w:val="22"/>
                <w:szCs w:val="22"/>
                <w:u w:val="single"/>
                <w:lang w:val="es-ES"/>
              </w:rPr>
              <w:t>Resumen</w:t>
            </w:r>
          </w:p>
          <w:p w14:paraId="671A878A" w14:textId="77777777" w:rsidR="00AA591A" w:rsidRPr="00AA591A" w:rsidRDefault="00AA591A" w:rsidP="00AA591A">
            <w:pPr>
              <w:tabs>
                <w:tab w:val="left" w:pos="567"/>
              </w:tabs>
              <w:snapToGrid w:val="0"/>
              <w:spacing w:after="240"/>
              <w:jc w:val="both"/>
              <w:rPr>
                <w:rFonts w:ascii="Arial" w:eastAsia="SimSun" w:hAnsi="Arial"/>
                <w:snapToGrid w:val="0"/>
                <w:sz w:val="22"/>
                <w:szCs w:val="22"/>
                <w:lang w:val="es-ES_tradnl" w:eastAsia="zh-CN"/>
              </w:rPr>
            </w:pPr>
            <w:r w:rsidRPr="00AA591A">
              <w:rPr>
                <w:rFonts w:ascii="Arial" w:eastAsia="SimSun" w:hAnsi="Arial"/>
                <w:snapToGrid w:val="0"/>
                <w:sz w:val="22"/>
                <w:szCs w:val="22"/>
                <w:lang w:val="es-ES_tradnl" w:eastAsia="zh-CN"/>
              </w:rPr>
              <w:t>Introducción</w:t>
            </w:r>
          </w:p>
          <w:p w14:paraId="7FCEA1F4" w14:textId="77777777" w:rsidR="00AA591A" w:rsidRPr="00AA591A" w:rsidRDefault="00AA591A" w:rsidP="00AA591A">
            <w:pPr>
              <w:tabs>
                <w:tab w:val="left" w:pos="567"/>
              </w:tabs>
              <w:snapToGrid w:val="0"/>
              <w:spacing w:after="240"/>
              <w:jc w:val="both"/>
              <w:rPr>
                <w:rFonts w:ascii="Arial" w:eastAsia="SimSun" w:hAnsi="Arial"/>
                <w:snapToGrid w:val="0"/>
                <w:sz w:val="22"/>
                <w:szCs w:val="22"/>
                <w:lang w:val="es-ES_tradnl" w:eastAsia="zh-CN"/>
              </w:rPr>
            </w:pPr>
            <w:r w:rsidRPr="00AA591A">
              <w:rPr>
                <w:rFonts w:ascii="Arial" w:eastAsia="SimSun" w:hAnsi="Arial"/>
                <w:snapToGrid w:val="0"/>
                <w:sz w:val="22"/>
                <w:szCs w:val="22"/>
                <w:lang w:val="es-ES_tradnl" w:eastAsia="zh-CN"/>
              </w:rPr>
              <w:t>Parte I - Programa y Presupuesto revisados para 2024-2025, presentados a la Conferencia General de la UNESCO en su 42ª reunión y aprobados por ella (42 C/5)</w:t>
            </w:r>
          </w:p>
          <w:p w14:paraId="35281244" w14:textId="77777777" w:rsidR="00AA591A" w:rsidRPr="00AA591A" w:rsidRDefault="00AA591A" w:rsidP="00AA591A">
            <w:pPr>
              <w:tabs>
                <w:tab w:val="left" w:pos="567"/>
              </w:tabs>
              <w:snapToGrid w:val="0"/>
              <w:spacing w:after="240"/>
              <w:jc w:val="both"/>
              <w:rPr>
                <w:rFonts w:ascii="Arial" w:eastAsia="SimSun" w:hAnsi="Arial"/>
                <w:snapToGrid w:val="0"/>
                <w:sz w:val="22"/>
                <w:szCs w:val="22"/>
                <w:lang w:val="es-ES_tradnl" w:eastAsia="zh-CN"/>
              </w:rPr>
            </w:pPr>
            <w:r w:rsidRPr="00AA591A">
              <w:rPr>
                <w:rFonts w:ascii="Arial" w:eastAsia="SimSun" w:hAnsi="Arial"/>
                <w:snapToGrid w:val="0"/>
                <w:sz w:val="22"/>
                <w:szCs w:val="22"/>
                <w:lang w:val="es-ES_tradnl" w:eastAsia="zh-CN"/>
              </w:rPr>
              <w:t>Parte II - Planes de trabajo detallados de la COI basados en las prioridades de los Estados Miembros según la resolución A-32/4(II) de la COI</w:t>
            </w:r>
          </w:p>
          <w:p w14:paraId="5D5181A9" w14:textId="77777777" w:rsidR="00AA591A" w:rsidRPr="00AA591A" w:rsidRDefault="00AA591A" w:rsidP="00AA591A">
            <w:pPr>
              <w:tabs>
                <w:tab w:val="left" w:pos="567"/>
              </w:tabs>
              <w:snapToGrid w:val="0"/>
              <w:spacing w:after="240"/>
              <w:jc w:val="both"/>
              <w:rPr>
                <w:rFonts w:ascii="Arial" w:eastAsia="SimSun" w:hAnsi="Arial"/>
                <w:snapToGrid w:val="0"/>
                <w:sz w:val="22"/>
                <w:szCs w:val="22"/>
                <w:lang w:val="es-ES_tradnl" w:eastAsia="zh-CN"/>
              </w:rPr>
            </w:pPr>
            <w:r w:rsidRPr="00AA591A">
              <w:rPr>
                <w:rFonts w:ascii="Arial" w:eastAsia="SimSun" w:hAnsi="Arial"/>
                <w:snapToGrid w:val="0"/>
                <w:sz w:val="22"/>
                <w:szCs w:val="22"/>
                <w:lang w:val="es-ES_tradnl" w:eastAsia="zh-CN"/>
              </w:rPr>
              <w:t>Parte III - Propuestas preliminares para 2026-2029, primer bienio, 2026</w:t>
            </w:r>
            <w:r w:rsidRPr="00AA591A">
              <w:rPr>
                <w:rFonts w:ascii="Arial" w:eastAsia="SimSun" w:hAnsi="Arial"/>
                <w:snapToGrid w:val="0"/>
                <w:sz w:val="22"/>
                <w:szCs w:val="22"/>
                <w:lang w:val="es-ES_tradnl" w:eastAsia="zh-CN"/>
              </w:rPr>
              <w:noBreakHyphen/>
              <w:t>2027 (Proyecto de 43 C/5)</w:t>
            </w:r>
          </w:p>
          <w:p w14:paraId="3A1DC510" w14:textId="1AE80AC3" w:rsidR="007C13AF" w:rsidRPr="00270E93" w:rsidRDefault="00AA591A" w:rsidP="00AA591A">
            <w:pPr>
              <w:tabs>
                <w:tab w:val="left" w:pos="567"/>
              </w:tabs>
              <w:snapToGrid w:val="0"/>
              <w:spacing w:after="240"/>
              <w:jc w:val="both"/>
              <w:rPr>
                <w:rFonts w:ascii="Arial" w:eastAsia="Times New Roman" w:hAnsi="Arial"/>
                <w:snapToGrid w:val="0"/>
                <w:szCs w:val="22"/>
                <w:lang w:val="es-ES"/>
              </w:rPr>
            </w:pPr>
            <w:r w:rsidRPr="00AA591A">
              <w:rPr>
                <w:rFonts w:ascii="Arial" w:eastAsia="SimSun" w:hAnsi="Arial"/>
                <w:snapToGrid w:val="0"/>
                <w:sz w:val="22"/>
                <w:szCs w:val="22"/>
                <w:lang w:val="es-ES_tradnl" w:eastAsia="zh-CN"/>
              </w:rPr>
              <w:t xml:space="preserve">El </w:t>
            </w:r>
            <w:r w:rsidRPr="00AA591A">
              <w:rPr>
                <w:rFonts w:ascii="Arial" w:eastAsia="SimSun" w:hAnsi="Arial"/>
                <w:snapToGrid w:val="0"/>
                <w:sz w:val="22"/>
                <w:szCs w:val="22"/>
                <w:u w:val="single"/>
                <w:lang w:val="es-ES_tradnl" w:eastAsia="zh-CN"/>
              </w:rPr>
              <w:t>proyecto de decisión propuesto</w:t>
            </w:r>
            <w:r w:rsidRPr="00AA591A">
              <w:rPr>
                <w:rFonts w:ascii="Arial" w:eastAsia="SimSun" w:hAnsi="Arial"/>
                <w:snapToGrid w:val="0"/>
                <w:sz w:val="22"/>
                <w:szCs w:val="22"/>
                <w:lang w:val="es-ES_tradnl" w:eastAsia="zh-CN"/>
              </w:rPr>
              <w:t xml:space="preserve"> tiene la referencia EC-57/5.3 en el documento de decisión provisional (IOC/EC-57/AP).</w:t>
            </w:r>
          </w:p>
        </w:tc>
      </w:tr>
    </w:tbl>
    <w:p w14:paraId="65433C43" w14:textId="77777777" w:rsidR="00FD3C60" w:rsidRPr="009A7585" w:rsidRDefault="00FD3C60" w:rsidP="00783ADF">
      <w:pPr>
        <w:spacing w:after="240" w:line="240" w:lineRule="auto"/>
        <w:jc w:val="both"/>
        <w:rPr>
          <w:rFonts w:ascii="Arial" w:eastAsia="Times New Roman" w:hAnsi="Arial" w:cs="Arial"/>
          <w:snapToGrid w:val="0"/>
          <w:szCs w:val="24"/>
          <w:lang w:val="es-ES"/>
        </w:rPr>
      </w:pPr>
      <w:r w:rsidRPr="009A7585">
        <w:rPr>
          <w:rFonts w:ascii="Arial" w:eastAsia="Times New Roman" w:hAnsi="Arial" w:cs="Arial"/>
          <w:snapToGrid w:val="0"/>
          <w:szCs w:val="24"/>
          <w:lang w:val="es-ES"/>
        </w:rPr>
        <w:br w:type="page"/>
      </w:r>
    </w:p>
    <w:p w14:paraId="1D18F390" w14:textId="77777777" w:rsidR="00AA591A" w:rsidRPr="00DD3815" w:rsidRDefault="00AA591A" w:rsidP="00AA591A">
      <w:pPr>
        <w:spacing w:after="240"/>
        <w:jc w:val="center"/>
        <w:rPr>
          <w:rFonts w:ascii="Arial" w:hAnsi="Arial" w:cs="Arial"/>
          <w:b/>
          <w:bCs/>
          <w:lang w:val="es-ES_tradnl"/>
        </w:rPr>
      </w:pPr>
      <w:r w:rsidRPr="00DD3815">
        <w:rPr>
          <w:rFonts w:ascii="Arial" w:hAnsi="Arial" w:cs="Arial"/>
          <w:b/>
          <w:bCs/>
          <w:lang w:val="es-ES_tradnl"/>
        </w:rPr>
        <w:lastRenderedPageBreak/>
        <w:t>Introducción</w:t>
      </w:r>
    </w:p>
    <w:p w14:paraId="6144A9D6" w14:textId="77777777" w:rsidR="00AA591A" w:rsidRPr="00DD3815" w:rsidRDefault="00AA591A" w:rsidP="00AA591A">
      <w:pPr>
        <w:pStyle w:val="Prrafodelista"/>
        <w:numPr>
          <w:ilvl w:val="0"/>
          <w:numId w:val="32"/>
        </w:numPr>
        <w:pBdr>
          <w:top w:val="nil"/>
          <w:left w:val="nil"/>
          <w:bottom w:val="nil"/>
          <w:right w:val="nil"/>
          <w:between w:val="nil"/>
        </w:pBdr>
        <w:shd w:val="clear" w:color="auto" w:fill="FFFFFF"/>
        <w:tabs>
          <w:tab w:val="left" w:pos="567"/>
        </w:tabs>
        <w:snapToGrid w:val="0"/>
        <w:spacing w:after="240" w:line="240" w:lineRule="auto"/>
        <w:ind w:left="0" w:firstLine="0"/>
        <w:contextualSpacing w:val="0"/>
        <w:jc w:val="both"/>
        <w:rPr>
          <w:rFonts w:ascii="Arial" w:hAnsi="Arial" w:cs="Arial"/>
          <w:lang w:val="es-ES_tradnl"/>
        </w:rPr>
      </w:pPr>
      <w:r w:rsidRPr="00DD3815">
        <w:rPr>
          <w:rFonts w:ascii="Arial" w:hAnsi="Arial" w:cs="Arial"/>
          <w:lang w:val="es-ES_tradnl"/>
        </w:rPr>
        <w:t xml:space="preserve">De conformidad con la práctica establecida, la Asamblea de la COI, en su 32ª reunión, celebrada del 21 al 30 de junio de 2023, examinó el documento </w:t>
      </w:r>
      <w:hyperlink r:id="rId8" w:history="1">
        <w:r w:rsidRPr="00DD3815">
          <w:rPr>
            <w:rStyle w:val="Hipervnculo"/>
            <w:rFonts w:ascii="Arial" w:hAnsi="Arial" w:cs="Arial"/>
            <w:lang w:val="es-ES_tradnl"/>
          </w:rPr>
          <w:t>IOC/A-32/6.1.Doc(1)</w:t>
        </w:r>
      </w:hyperlink>
      <w:r w:rsidRPr="00DD3815">
        <w:rPr>
          <w:rFonts w:ascii="Arial" w:hAnsi="Arial" w:cs="Arial"/>
          <w:lang w:val="es-ES_tradnl"/>
        </w:rPr>
        <w:t>, que contenía las propuestas de la Secretaría sobre el Proyecto de Programa y Presupuesto para 2024-2025, tal como se presentaron al Consejo Ejecutivo de la UNESCO en su 216ª reunión, celebrada en mayo de 2023.</w:t>
      </w:r>
    </w:p>
    <w:p w14:paraId="22345E5F" w14:textId="77777777" w:rsidR="00AA591A" w:rsidRPr="00DD3815" w:rsidRDefault="00AA591A" w:rsidP="00AA591A">
      <w:pPr>
        <w:pStyle w:val="Prrafodelista"/>
        <w:numPr>
          <w:ilvl w:val="0"/>
          <w:numId w:val="32"/>
        </w:numPr>
        <w:pBdr>
          <w:top w:val="nil"/>
          <w:left w:val="nil"/>
          <w:bottom w:val="nil"/>
          <w:right w:val="nil"/>
          <w:between w:val="nil"/>
        </w:pBdr>
        <w:shd w:val="clear" w:color="auto" w:fill="FFFFFF"/>
        <w:tabs>
          <w:tab w:val="left" w:pos="567"/>
        </w:tabs>
        <w:snapToGrid w:val="0"/>
        <w:spacing w:after="240" w:line="240" w:lineRule="auto"/>
        <w:ind w:left="0" w:firstLine="0"/>
        <w:contextualSpacing w:val="0"/>
        <w:jc w:val="both"/>
        <w:rPr>
          <w:rStyle w:val="None"/>
          <w:rFonts w:ascii="Arial" w:eastAsia="Times New Roman" w:hAnsi="Arial" w:cs="Arial"/>
          <w:lang w:val="es-ES_tradnl"/>
        </w:rPr>
      </w:pPr>
      <w:r w:rsidRPr="00DD3815">
        <w:rPr>
          <w:rFonts w:ascii="Arial" w:hAnsi="Arial" w:cs="Arial"/>
          <w:lang w:val="es-ES_tradnl"/>
        </w:rPr>
        <w:t>Considerando que era “coherente con los principios rectores enunciados en la resolución EC</w:t>
      </w:r>
      <w:r w:rsidRPr="00DD3815">
        <w:rPr>
          <w:rFonts w:ascii="Arial" w:hAnsi="Arial" w:cs="Arial"/>
          <w:lang w:val="es-ES_tradnl"/>
        </w:rPr>
        <w:noBreakHyphen/>
        <w:t>53/2 y los objetivos de alto nivel definidos en la Estrategia a Plazo Medio de la COI para 2022</w:t>
      </w:r>
      <w:r w:rsidRPr="00DD3815">
        <w:rPr>
          <w:rFonts w:ascii="Arial" w:hAnsi="Arial" w:cs="Arial"/>
          <w:lang w:val="es-ES_tradnl"/>
        </w:rPr>
        <w:noBreakHyphen/>
        <w:t>2029”, la Asamblea acogió con beneplácito la decisión 216</w:t>
      </w:r>
      <w:r>
        <w:rPr>
          <w:rFonts w:ascii="Arial" w:hAnsi="Arial" w:cs="Arial"/>
          <w:lang w:val="es-ES_tradnl"/>
        </w:rPr>
        <w:t> </w:t>
      </w:r>
      <w:r w:rsidRPr="00DD3815">
        <w:rPr>
          <w:rFonts w:ascii="Arial" w:hAnsi="Arial" w:cs="Arial"/>
          <w:lang w:val="es-ES_tradnl"/>
        </w:rPr>
        <w:t>EX/44 del Consejo Ejecutivo de la UNESCO en la que se recomendaba a la Conferencia General de la UNESCO, en su 42ª reunión, que “acordara un aumento del [1 %] de la proporción de la financiación correspondiente al presupuesto ordinario de la UNESCO para la COI, que no debería reducirse por transferencias de fondos a otros títulos del presupuesto” y que “se [definiera] de común acuerdo una base de referencia para la proporción del presupuesto ordinario de la UNESCO asignada a la COI en el documento 42</w:t>
      </w:r>
      <w:r>
        <w:rPr>
          <w:rFonts w:ascii="Arial" w:hAnsi="Arial" w:cs="Arial"/>
          <w:lang w:val="es-ES_tradnl"/>
        </w:rPr>
        <w:t> C/</w:t>
      </w:r>
      <w:r w:rsidRPr="00DD3815">
        <w:rPr>
          <w:rFonts w:ascii="Arial" w:hAnsi="Arial" w:cs="Arial"/>
          <w:lang w:val="es-ES_tradnl"/>
        </w:rPr>
        <w:t>5 y los futuros documentos</w:t>
      </w:r>
      <w:r>
        <w:rPr>
          <w:rFonts w:ascii="Arial" w:hAnsi="Arial" w:cs="Arial"/>
          <w:lang w:val="es-ES_tradnl"/>
        </w:rPr>
        <w:t> C/</w:t>
      </w:r>
      <w:r w:rsidRPr="00DD3815">
        <w:rPr>
          <w:rFonts w:ascii="Arial" w:hAnsi="Arial" w:cs="Arial"/>
          <w:lang w:val="es-ES_tradnl"/>
        </w:rPr>
        <w:t>5, y que esa base de referencia no se [redujera] más adelante, a menos que así lo [acordara] la Conferencia General”.</w:t>
      </w:r>
    </w:p>
    <w:p w14:paraId="4E151E01" w14:textId="77777777" w:rsidR="00AA591A" w:rsidRPr="00DD3815" w:rsidRDefault="00AA591A" w:rsidP="00AA591A">
      <w:pPr>
        <w:pStyle w:val="Prrafodelista"/>
        <w:numPr>
          <w:ilvl w:val="0"/>
          <w:numId w:val="32"/>
        </w:numPr>
        <w:pBdr>
          <w:top w:val="nil"/>
          <w:left w:val="nil"/>
          <w:bottom w:val="nil"/>
          <w:right w:val="nil"/>
          <w:between w:val="nil"/>
        </w:pBdr>
        <w:shd w:val="clear" w:color="auto" w:fill="FFFFFF"/>
        <w:tabs>
          <w:tab w:val="left" w:pos="567"/>
        </w:tabs>
        <w:snapToGrid w:val="0"/>
        <w:spacing w:after="240" w:line="240" w:lineRule="auto"/>
        <w:ind w:left="0" w:firstLine="0"/>
        <w:contextualSpacing w:val="0"/>
        <w:jc w:val="both"/>
        <w:rPr>
          <w:rFonts w:ascii="Arial" w:hAnsi="Arial" w:cs="Arial"/>
          <w:lang w:val="es-ES_tradnl"/>
        </w:rPr>
      </w:pPr>
      <w:r w:rsidRPr="00DD3815">
        <w:rPr>
          <w:rFonts w:ascii="Arial" w:hAnsi="Arial" w:cs="Arial"/>
          <w:lang w:val="es-ES_tradnl"/>
        </w:rPr>
        <w:t xml:space="preserve">Al aprobar la resolución </w:t>
      </w:r>
      <w:hyperlink r:id="rId9" w:history="1">
        <w:r w:rsidRPr="00DD3815">
          <w:rPr>
            <w:rStyle w:val="Hipervnculo"/>
            <w:rFonts w:ascii="Arial" w:hAnsi="Arial" w:cs="Arial"/>
            <w:lang w:val="es-ES_tradnl"/>
          </w:rPr>
          <w:t>IOC/A-32/4 de la COI</w:t>
        </w:r>
      </w:hyperlink>
      <w:r w:rsidRPr="00DD3815">
        <w:rPr>
          <w:rFonts w:ascii="Arial" w:hAnsi="Arial" w:cs="Arial"/>
          <w:lang w:val="es-ES_tradnl"/>
        </w:rPr>
        <w:t>, la Asamblea acordó los principios de alto nivel por los que debería guiarse la Secretaría en “la asignación de los recursos adicionales para el presupuesto ordinario resultantes del aumento en un 1 % de la proporción del presupuesto de la UNESCO asignada a la COI”.</w:t>
      </w:r>
    </w:p>
    <w:p w14:paraId="1B2CEEBF" w14:textId="77777777" w:rsidR="00AA591A" w:rsidRPr="00DD3815" w:rsidRDefault="00AA591A" w:rsidP="00AA591A">
      <w:pPr>
        <w:pStyle w:val="Prrafodelista"/>
        <w:numPr>
          <w:ilvl w:val="0"/>
          <w:numId w:val="32"/>
        </w:numPr>
        <w:pBdr>
          <w:top w:val="nil"/>
          <w:left w:val="nil"/>
          <w:bottom w:val="nil"/>
          <w:right w:val="nil"/>
          <w:between w:val="nil"/>
        </w:pBdr>
        <w:shd w:val="clear" w:color="auto" w:fill="FFFFFF"/>
        <w:tabs>
          <w:tab w:val="left" w:pos="567"/>
        </w:tabs>
        <w:snapToGrid w:val="0"/>
        <w:spacing w:after="240" w:line="240" w:lineRule="auto"/>
        <w:ind w:left="0" w:firstLine="0"/>
        <w:contextualSpacing w:val="0"/>
        <w:jc w:val="both"/>
        <w:rPr>
          <w:rFonts w:ascii="Arial" w:hAnsi="Arial" w:cs="Arial"/>
          <w:lang w:val="es-ES_tradnl"/>
        </w:rPr>
      </w:pPr>
      <w:r w:rsidRPr="00DD3815">
        <w:rPr>
          <w:rFonts w:ascii="Arial" w:hAnsi="Arial" w:cs="Arial"/>
          <w:lang w:val="es-ES_tradnl"/>
        </w:rPr>
        <w:t xml:space="preserve">En la </w:t>
      </w:r>
      <w:r w:rsidRPr="00DD3815">
        <w:rPr>
          <w:rFonts w:ascii="Arial" w:hAnsi="Arial" w:cs="Arial"/>
          <w:u w:val="single"/>
          <w:lang w:val="es-ES_tradnl"/>
        </w:rPr>
        <w:t>Parte I</w:t>
      </w:r>
      <w:r w:rsidRPr="00DD3815">
        <w:rPr>
          <w:rFonts w:ascii="Arial" w:hAnsi="Arial" w:cs="Arial"/>
          <w:lang w:val="es-ES_tradnl"/>
        </w:rPr>
        <w:t xml:space="preserve"> que figura a continuación se presenta la parte correspondiente a la COI del Programa y Presupuesto revisados para 2024-2025, presentados por la Directora General de la UNESCO al Consejo Ejecutivo de la UNESCO en su 217ª reunión, celebrada en octubre de 2023, y aprobados posteriormente por la Conferencia General de la UNESCO en su 42ª reunión, en noviembre de 2023.</w:t>
      </w:r>
    </w:p>
    <w:p w14:paraId="25CFDBD2" w14:textId="77777777" w:rsidR="00AA591A" w:rsidRPr="00DD3815" w:rsidRDefault="00AA591A" w:rsidP="00AA591A">
      <w:pPr>
        <w:pStyle w:val="Prrafodelista"/>
        <w:numPr>
          <w:ilvl w:val="0"/>
          <w:numId w:val="32"/>
        </w:numPr>
        <w:pBdr>
          <w:top w:val="nil"/>
          <w:left w:val="nil"/>
          <w:bottom w:val="nil"/>
          <w:right w:val="nil"/>
          <w:between w:val="nil"/>
        </w:pBdr>
        <w:shd w:val="clear" w:color="auto" w:fill="FFFFFF"/>
        <w:tabs>
          <w:tab w:val="left" w:pos="567"/>
        </w:tabs>
        <w:snapToGrid w:val="0"/>
        <w:spacing w:after="240" w:line="240" w:lineRule="auto"/>
        <w:ind w:left="0" w:firstLine="0"/>
        <w:contextualSpacing w:val="0"/>
        <w:jc w:val="both"/>
        <w:rPr>
          <w:rFonts w:ascii="Arial" w:hAnsi="Arial" w:cs="Arial"/>
          <w:lang w:val="es-ES_tradnl"/>
        </w:rPr>
      </w:pPr>
      <w:r w:rsidRPr="00DD3815">
        <w:rPr>
          <w:rFonts w:ascii="Arial" w:hAnsi="Arial" w:cs="Arial"/>
          <w:lang w:val="es-ES_tradnl"/>
        </w:rPr>
        <w:t>La revisión del presupuesto del 42</w:t>
      </w:r>
      <w:r>
        <w:rPr>
          <w:rFonts w:ascii="Arial" w:hAnsi="Arial" w:cs="Arial"/>
          <w:lang w:val="es-ES_tradnl"/>
        </w:rPr>
        <w:t> C/</w:t>
      </w:r>
      <w:r w:rsidRPr="00DD3815">
        <w:rPr>
          <w:rFonts w:ascii="Arial" w:hAnsi="Arial" w:cs="Arial"/>
          <w:lang w:val="es-ES_tradnl"/>
        </w:rPr>
        <w:t>5 obedece a dos razones generales: a) la necesidad de revisar el tope presupuestario, dado que se ha vuelto a una base de contribuciones compuesta por 194 Estados Miembros (debido al reingreso de los Estados Unidos de América en la Organización [julio de 2023]), y b) el compromiso de reforzar significativamente el apoyo programático de la UNESCO a los Estados Miembros en tiempos de desafíos globales existenciales.</w:t>
      </w:r>
    </w:p>
    <w:p w14:paraId="3230D73D" w14:textId="77777777" w:rsidR="00AA591A" w:rsidRPr="00DD3815" w:rsidRDefault="00AA591A" w:rsidP="00AA591A">
      <w:pPr>
        <w:pStyle w:val="Prrafodelista"/>
        <w:numPr>
          <w:ilvl w:val="0"/>
          <w:numId w:val="32"/>
        </w:numPr>
        <w:pBdr>
          <w:top w:val="nil"/>
          <w:left w:val="nil"/>
          <w:bottom w:val="nil"/>
          <w:right w:val="nil"/>
          <w:between w:val="nil"/>
        </w:pBdr>
        <w:shd w:val="clear" w:color="auto" w:fill="FFFFFF"/>
        <w:tabs>
          <w:tab w:val="left" w:pos="567"/>
        </w:tabs>
        <w:snapToGrid w:val="0"/>
        <w:spacing w:after="240" w:line="240" w:lineRule="auto"/>
        <w:ind w:left="0" w:firstLine="0"/>
        <w:contextualSpacing w:val="0"/>
        <w:jc w:val="both"/>
        <w:rPr>
          <w:rFonts w:ascii="Arial" w:hAnsi="Arial" w:cs="Arial"/>
          <w:lang w:val="es-ES_tradnl"/>
        </w:rPr>
      </w:pPr>
      <w:r w:rsidRPr="00DD3815">
        <w:rPr>
          <w:rFonts w:ascii="Arial" w:hAnsi="Arial" w:cs="Arial"/>
          <w:lang w:val="es-ES_tradnl"/>
        </w:rPr>
        <w:t>Sobre la base de esta revisión del tope presupuestario global del presupuesto ordinario de la UNESCO, que pasó de 534,6 millones de dólares a 685,4 millones de dólares, el presupuesto ordinario de la COI para 2024-2025 (42</w:t>
      </w:r>
      <w:r>
        <w:rPr>
          <w:rFonts w:ascii="Arial" w:hAnsi="Arial" w:cs="Arial"/>
          <w:lang w:val="es-ES_tradnl"/>
        </w:rPr>
        <w:t> C/</w:t>
      </w:r>
      <w:r w:rsidRPr="00DD3815">
        <w:rPr>
          <w:rFonts w:ascii="Arial" w:hAnsi="Arial" w:cs="Arial"/>
          <w:lang w:val="es-ES_tradnl"/>
        </w:rPr>
        <w:t>5) aumentó de 13,5 millones de dólares (tal como lo examinó la Asamblea en su 32ª reunión) a 21,1 millones de dólares.</w:t>
      </w:r>
    </w:p>
    <w:p w14:paraId="0D6EA103" w14:textId="16BE11BC" w:rsidR="005A2C93" w:rsidRPr="00AA591A" w:rsidRDefault="00AA591A" w:rsidP="00AA591A">
      <w:pPr>
        <w:numPr>
          <w:ilvl w:val="0"/>
          <w:numId w:val="32"/>
        </w:numPr>
        <w:pBdr>
          <w:top w:val="nil"/>
          <w:left w:val="nil"/>
          <w:bottom w:val="nil"/>
          <w:right w:val="nil"/>
          <w:between w:val="nil"/>
        </w:pBdr>
        <w:shd w:val="clear" w:color="auto" w:fill="FFFFFF"/>
        <w:snapToGrid w:val="0"/>
        <w:spacing w:after="240" w:line="240" w:lineRule="auto"/>
        <w:ind w:left="0" w:firstLine="0"/>
        <w:jc w:val="both"/>
        <w:rPr>
          <w:rFonts w:ascii="Arial" w:eastAsia="Times New Roman" w:hAnsi="Arial" w:cs="Arial"/>
          <w:snapToGrid w:val="0"/>
          <w:szCs w:val="24"/>
          <w:lang w:val="es-ES"/>
        </w:rPr>
      </w:pPr>
      <w:r w:rsidRPr="00DD3815">
        <w:rPr>
          <w:rFonts w:ascii="Arial" w:hAnsi="Arial" w:cs="Arial"/>
          <w:lang w:val="es-ES_tradnl"/>
        </w:rPr>
        <w:t xml:space="preserve">En la </w:t>
      </w:r>
      <w:r w:rsidRPr="00DD3815">
        <w:rPr>
          <w:rFonts w:ascii="Arial" w:hAnsi="Arial" w:cs="Arial"/>
          <w:u w:val="single"/>
          <w:lang w:val="es-ES_tradnl"/>
        </w:rPr>
        <w:t>Parte II</w:t>
      </w:r>
      <w:r w:rsidRPr="00DD3815">
        <w:rPr>
          <w:rFonts w:ascii="Arial" w:hAnsi="Arial" w:cs="Arial"/>
          <w:lang w:val="es-ES_tradnl"/>
        </w:rPr>
        <w:t xml:space="preserve"> que figura a continuación se presenta un breve resumen de la manera en que el aumento del presupuesto contribuirá a mejorar la ejecución del programa, mientras que en la </w:t>
      </w:r>
      <w:r w:rsidRPr="00DD3815">
        <w:rPr>
          <w:rFonts w:ascii="Arial" w:hAnsi="Arial" w:cs="Arial"/>
          <w:u w:val="single"/>
          <w:lang w:val="es-ES_tradnl"/>
        </w:rPr>
        <w:t>Parte III</w:t>
      </w:r>
      <w:r w:rsidRPr="00DD3815">
        <w:rPr>
          <w:rFonts w:ascii="Arial" w:hAnsi="Arial" w:cs="Arial"/>
          <w:lang w:val="es-ES_tradnl"/>
        </w:rPr>
        <w:t xml:space="preserve"> se procura recabar la orientación de los Estados Miembros sobre la estructura programática en 2026-2027 para el proceso de preparación del Proyecto de 43</w:t>
      </w:r>
      <w:r>
        <w:rPr>
          <w:rFonts w:ascii="Arial" w:hAnsi="Arial" w:cs="Arial"/>
          <w:lang w:val="es-ES_tradnl"/>
        </w:rPr>
        <w:t> C/</w:t>
      </w:r>
      <w:r w:rsidRPr="00DD3815">
        <w:rPr>
          <w:rFonts w:ascii="Arial" w:hAnsi="Arial" w:cs="Arial"/>
          <w:lang w:val="es-ES_tradnl"/>
        </w:rPr>
        <w:t>5 de la UNESCO, en espera de nuevas orientaciones del proceso de consulta “La COI y el futuro del océano”.</w:t>
      </w:r>
    </w:p>
    <w:p w14:paraId="5F6BB665" w14:textId="6AF67EE2" w:rsidR="00270E93" w:rsidRPr="00AA591A" w:rsidRDefault="00270E93" w:rsidP="00783ADF">
      <w:pPr>
        <w:spacing w:after="240" w:line="240" w:lineRule="auto"/>
        <w:rPr>
          <w:rFonts w:ascii="Arial" w:eastAsia="Times New Roman" w:hAnsi="Arial" w:cs="Arial"/>
          <w:snapToGrid w:val="0"/>
          <w:szCs w:val="24"/>
          <w:lang w:val="es-ES"/>
        </w:rPr>
      </w:pPr>
      <w:r w:rsidRPr="00AA591A">
        <w:rPr>
          <w:rFonts w:ascii="Arial" w:eastAsia="Times New Roman" w:hAnsi="Arial" w:cs="Arial"/>
          <w:snapToGrid w:val="0"/>
          <w:szCs w:val="24"/>
          <w:lang w:val="es-ES"/>
        </w:rPr>
        <w:br w:type="page"/>
      </w:r>
    </w:p>
    <w:p w14:paraId="1E4BE12A" w14:textId="77777777" w:rsidR="00AA591A" w:rsidRPr="00AA591A" w:rsidRDefault="00AA591A" w:rsidP="00AA591A">
      <w:pPr>
        <w:tabs>
          <w:tab w:val="left" w:pos="567"/>
        </w:tabs>
        <w:snapToGrid w:val="0"/>
        <w:spacing w:after="240" w:line="240" w:lineRule="auto"/>
        <w:jc w:val="center"/>
        <w:rPr>
          <w:rFonts w:ascii="Arial" w:eastAsia="SimSun" w:hAnsi="Arial" w:cs="Arial"/>
          <w:b/>
          <w:bCs/>
          <w:snapToGrid w:val="0"/>
          <w:lang w:val="es-ES_tradnl" w:eastAsia="zh-CN"/>
        </w:rPr>
      </w:pPr>
      <w:r w:rsidRPr="00AA591A">
        <w:rPr>
          <w:rFonts w:ascii="Arial" w:eastAsia="SimSun" w:hAnsi="Arial" w:cs="Arial"/>
          <w:b/>
          <w:bCs/>
          <w:snapToGrid w:val="0"/>
          <w:lang w:val="es-ES_tradnl" w:eastAsia="zh-CN"/>
        </w:rPr>
        <w:lastRenderedPageBreak/>
        <w:t>Parte I</w:t>
      </w:r>
    </w:p>
    <w:p w14:paraId="6009CBC4" w14:textId="77777777" w:rsidR="00AA591A" w:rsidRPr="00AA591A" w:rsidRDefault="00AA591A" w:rsidP="00AA591A">
      <w:pPr>
        <w:tabs>
          <w:tab w:val="left" w:pos="567"/>
        </w:tabs>
        <w:snapToGrid w:val="0"/>
        <w:spacing w:after="240" w:line="240" w:lineRule="auto"/>
        <w:jc w:val="center"/>
        <w:rPr>
          <w:rFonts w:ascii="Arial" w:eastAsia="SimSun" w:hAnsi="Arial" w:cs="Arial"/>
          <w:b/>
          <w:bCs/>
          <w:snapToGrid w:val="0"/>
          <w:lang w:val="es-ES_tradnl" w:eastAsia="zh-CN"/>
        </w:rPr>
      </w:pPr>
      <w:r w:rsidRPr="00AA591A">
        <w:rPr>
          <w:rFonts w:ascii="Arial" w:eastAsia="SimSun" w:hAnsi="Arial" w:cs="Arial"/>
          <w:b/>
          <w:bCs/>
          <w:snapToGrid w:val="0"/>
          <w:lang w:val="es-ES_tradnl" w:eastAsia="zh-CN"/>
        </w:rPr>
        <w:t>Programa y Presupuesto revisados para 2024-2025, presentados a la Conferencia General de la UNESCO en su 42ª reunión y aprobados por ella (42 C/5)</w:t>
      </w:r>
    </w:p>
    <w:p w14:paraId="096C1E01" w14:textId="72DB114A" w:rsidR="005A2C93" w:rsidRPr="00AA591A" w:rsidRDefault="00AA591A" w:rsidP="00AA591A">
      <w:pPr>
        <w:tabs>
          <w:tab w:val="left" w:pos="567"/>
        </w:tabs>
        <w:snapToGrid w:val="0"/>
        <w:spacing w:after="0" w:line="240" w:lineRule="auto"/>
        <w:rPr>
          <w:rFonts w:asciiTheme="minorBidi" w:eastAsia="SimSun" w:hAnsiTheme="minorBidi"/>
          <w:i/>
          <w:iCs/>
          <w:snapToGrid w:val="0"/>
          <w:lang w:val="es-ES" w:eastAsia="zh-CN"/>
        </w:rPr>
      </w:pPr>
      <w:r w:rsidRPr="00AA591A">
        <w:rPr>
          <w:rFonts w:ascii="Arial" w:eastAsia="SimSun" w:hAnsi="Arial" w:cs="Arial"/>
          <w:i/>
          <w:iCs/>
          <w:snapToGrid w:val="0"/>
          <w:lang w:val="es-ES_tradnl" w:eastAsia="zh-CN"/>
        </w:rPr>
        <w:t>De las páginas 3 a 14: resumen del documento 42 C/5: Programa y Presupuesto Aprobados para 2024-2025 (</w:t>
      </w:r>
      <w:hyperlink r:id="rId10" w:history="1">
        <w:r w:rsidRPr="00AA591A">
          <w:rPr>
            <w:rFonts w:ascii="Arial" w:eastAsia="SimSun" w:hAnsi="Arial" w:cs="Arial"/>
            <w:i/>
            <w:iCs/>
            <w:snapToGrid w:val="0"/>
            <w:color w:val="0000FF" w:themeColor="hyperlink"/>
            <w:u w:val="single"/>
            <w:lang w:val="es-ES_tradnl" w:eastAsia="zh-CN"/>
          </w:rPr>
          <w:t>42 C/5</w:t>
        </w:r>
      </w:hyperlink>
      <w:r w:rsidRPr="00AA591A">
        <w:rPr>
          <w:rFonts w:ascii="Arial" w:eastAsia="SimSun" w:hAnsi="Arial" w:cs="Arial"/>
          <w:i/>
          <w:iCs/>
          <w:snapToGrid w:val="0"/>
          <w:lang w:val="es-ES_tradnl" w:eastAsia="zh-CN"/>
        </w:rPr>
        <w:t>): segundo bienio del cuatrienio 2022-2025</w:t>
      </w:r>
    </w:p>
    <w:p w14:paraId="42413BA6" w14:textId="16E94651" w:rsidR="00471683" w:rsidRDefault="00471683" w:rsidP="00783ADF">
      <w:pPr>
        <w:tabs>
          <w:tab w:val="left" w:pos="567"/>
        </w:tabs>
        <w:snapToGrid w:val="0"/>
        <w:spacing w:after="240" w:line="240" w:lineRule="auto"/>
        <w:jc w:val="both"/>
        <w:rPr>
          <w:rFonts w:ascii="Arial" w:eastAsia="Times New Roman" w:hAnsi="Arial" w:cs="Arial"/>
          <w:snapToGrid w:val="0"/>
          <w:szCs w:val="24"/>
          <w:lang w:val="en-GB"/>
        </w:rPr>
      </w:pPr>
      <w:r>
        <w:rPr>
          <w:noProof/>
        </w:rPr>
        <w:drawing>
          <wp:inline distT="0" distB="0" distL="0" distR="0" wp14:anchorId="7A0DCB30" wp14:editId="536D84E6">
            <wp:extent cx="6209030" cy="7895645"/>
            <wp:effectExtent l="0" t="0" r="1270" b="0"/>
            <wp:docPr id="1394089592" name="Imagen 1" descr="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089592" name="Imagen 1" descr="Texto"/>
                    <pic:cNvPicPr/>
                  </pic:nvPicPr>
                  <pic:blipFill>
                    <a:blip r:embed="rId11"/>
                    <a:stretch>
                      <a:fillRect/>
                    </a:stretch>
                  </pic:blipFill>
                  <pic:spPr>
                    <a:xfrm>
                      <a:off x="0" y="0"/>
                      <a:ext cx="6233145" cy="7926310"/>
                    </a:xfrm>
                    <a:prstGeom prst="rect">
                      <a:avLst/>
                    </a:prstGeom>
                  </pic:spPr>
                </pic:pic>
              </a:graphicData>
            </a:graphic>
          </wp:inline>
        </w:drawing>
      </w:r>
    </w:p>
    <w:p w14:paraId="0E3B4115" w14:textId="169E6803" w:rsidR="00471683" w:rsidRDefault="00471683">
      <w:pPr>
        <w:rPr>
          <w:rFonts w:ascii="Arial" w:eastAsia="Times New Roman" w:hAnsi="Arial" w:cs="Arial"/>
          <w:snapToGrid w:val="0"/>
          <w:szCs w:val="24"/>
          <w:lang w:val="en-GB"/>
        </w:rPr>
      </w:pPr>
      <w:r w:rsidRPr="00471683">
        <w:rPr>
          <w:noProof/>
        </w:rPr>
        <w:lastRenderedPageBreak/>
        <w:drawing>
          <wp:inline distT="0" distB="0" distL="0" distR="0" wp14:anchorId="077AD0B4" wp14:editId="0DA53993">
            <wp:extent cx="5838825" cy="8248650"/>
            <wp:effectExtent l="0" t="0" r="9525" b="0"/>
            <wp:docPr id="1297847984"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847984" name="Imagen 1" descr="Texto&#10;&#10;Descripción generada automáticamente"/>
                    <pic:cNvPicPr/>
                  </pic:nvPicPr>
                  <pic:blipFill>
                    <a:blip r:embed="rId12"/>
                    <a:stretch>
                      <a:fillRect/>
                    </a:stretch>
                  </pic:blipFill>
                  <pic:spPr>
                    <a:xfrm>
                      <a:off x="0" y="0"/>
                      <a:ext cx="5838825" cy="8248650"/>
                    </a:xfrm>
                    <a:prstGeom prst="rect">
                      <a:avLst/>
                    </a:prstGeom>
                  </pic:spPr>
                </pic:pic>
              </a:graphicData>
            </a:graphic>
          </wp:inline>
        </w:drawing>
      </w:r>
      <w:r w:rsidRPr="00471683">
        <w:t xml:space="preserve"> </w:t>
      </w:r>
      <w:r>
        <w:rPr>
          <w:rFonts w:ascii="Arial" w:eastAsia="Times New Roman" w:hAnsi="Arial" w:cs="Arial"/>
          <w:snapToGrid w:val="0"/>
          <w:szCs w:val="24"/>
          <w:lang w:val="en-GB"/>
        </w:rPr>
        <w:br w:type="page"/>
      </w:r>
    </w:p>
    <w:p w14:paraId="5C71DAF1" w14:textId="27F9B3C0" w:rsidR="00471683" w:rsidRDefault="00471683" w:rsidP="00783ADF">
      <w:pPr>
        <w:tabs>
          <w:tab w:val="left" w:pos="567"/>
        </w:tabs>
        <w:snapToGrid w:val="0"/>
        <w:spacing w:after="240" w:line="240" w:lineRule="auto"/>
        <w:jc w:val="both"/>
        <w:rPr>
          <w:rFonts w:ascii="Arial" w:eastAsia="Times New Roman" w:hAnsi="Arial" w:cs="Arial"/>
          <w:snapToGrid w:val="0"/>
          <w:szCs w:val="24"/>
          <w:lang w:val="en-GB"/>
        </w:rPr>
      </w:pPr>
      <w:r w:rsidRPr="00471683">
        <w:rPr>
          <w:noProof/>
        </w:rPr>
        <w:lastRenderedPageBreak/>
        <w:drawing>
          <wp:inline distT="0" distB="0" distL="0" distR="0" wp14:anchorId="27F0336F" wp14:editId="44F1EA70">
            <wp:extent cx="5819775" cy="8343900"/>
            <wp:effectExtent l="0" t="0" r="9525" b="0"/>
            <wp:docPr id="1619329408"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329408" name="Imagen 1" descr="Interfaz de usuario gráfica, Texto, Aplicación&#10;&#10;Descripción generada automáticamente"/>
                    <pic:cNvPicPr/>
                  </pic:nvPicPr>
                  <pic:blipFill>
                    <a:blip r:embed="rId13"/>
                    <a:stretch>
                      <a:fillRect/>
                    </a:stretch>
                  </pic:blipFill>
                  <pic:spPr>
                    <a:xfrm>
                      <a:off x="0" y="0"/>
                      <a:ext cx="5819775" cy="8343900"/>
                    </a:xfrm>
                    <a:prstGeom prst="rect">
                      <a:avLst/>
                    </a:prstGeom>
                  </pic:spPr>
                </pic:pic>
              </a:graphicData>
            </a:graphic>
          </wp:inline>
        </w:drawing>
      </w:r>
    </w:p>
    <w:p w14:paraId="31719BE0" w14:textId="77777777" w:rsidR="00471683" w:rsidRDefault="00471683">
      <w:pPr>
        <w:rPr>
          <w:rFonts w:ascii="Arial" w:eastAsia="Times New Roman" w:hAnsi="Arial" w:cs="Arial"/>
          <w:snapToGrid w:val="0"/>
          <w:szCs w:val="24"/>
          <w:lang w:val="en-GB"/>
        </w:rPr>
      </w:pPr>
      <w:r>
        <w:rPr>
          <w:rFonts w:ascii="Arial" w:eastAsia="Times New Roman" w:hAnsi="Arial" w:cs="Arial"/>
          <w:snapToGrid w:val="0"/>
          <w:szCs w:val="24"/>
          <w:lang w:val="en-GB"/>
        </w:rPr>
        <w:br w:type="page"/>
      </w:r>
    </w:p>
    <w:p w14:paraId="3C01B140" w14:textId="74B2D81D" w:rsidR="00471683" w:rsidRDefault="00471683" w:rsidP="00783ADF">
      <w:pPr>
        <w:tabs>
          <w:tab w:val="left" w:pos="567"/>
        </w:tabs>
        <w:snapToGrid w:val="0"/>
        <w:spacing w:after="240" w:line="240" w:lineRule="auto"/>
        <w:jc w:val="both"/>
        <w:rPr>
          <w:rFonts w:ascii="Arial" w:eastAsia="Times New Roman" w:hAnsi="Arial" w:cs="Arial"/>
          <w:snapToGrid w:val="0"/>
          <w:szCs w:val="24"/>
          <w:lang w:val="en-GB"/>
        </w:rPr>
      </w:pPr>
      <w:r w:rsidRPr="00471683">
        <w:rPr>
          <w:noProof/>
        </w:rPr>
        <w:lastRenderedPageBreak/>
        <w:drawing>
          <wp:inline distT="0" distB="0" distL="0" distR="0" wp14:anchorId="7391368A" wp14:editId="24E63F73">
            <wp:extent cx="5838825" cy="7915275"/>
            <wp:effectExtent l="0" t="0" r="9525" b="9525"/>
            <wp:docPr id="298903347" name="Imagen 1" descr="Interfaz de usuario gráfica, 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03347" name="Imagen 1" descr="Interfaz de usuario gráfica, Tabla&#10;&#10;Descripción generada automáticamente con confianza media"/>
                    <pic:cNvPicPr/>
                  </pic:nvPicPr>
                  <pic:blipFill>
                    <a:blip r:embed="rId14"/>
                    <a:stretch>
                      <a:fillRect/>
                    </a:stretch>
                  </pic:blipFill>
                  <pic:spPr>
                    <a:xfrm>
                      <a:off x="0" y="0"/>
                      <a:ext cx="5838825" cy="7915275"/>
                    </a:xfrm>
                    <a:prstGeom prst="rect">
                      <a:avLst/>
                    </a:prstGeom>
                  </pic:spPr>
                </pic:pic>
              </a:graphicData>
            </a:graphic>
          </wp:inline>
        </w:drawing>
      </w:r>
    </w:p>
    <w:p w14:paraId="0C19CEF1" w14:textId="77777777" w:rsidR="00471683" w:rsidRDefault="00471683">
      <w:pPr>
        <w:rPr>
          <w:rFonts w:ascii="Arial" w:eastAsia="Times New Roman" w:hAnsi="Arial" w:cs="Arial"/>
          <w:snapToGrid w:val="0"/>
          <w:szCs w:val="24"/>
          <w:lang w:val="en-GB"/>
        </w:rPr>
      </w:pPr>
      <w:r>
        <w:rPr>
          <w:rFonts w:ascii="Arial" w:eastAsia="Times New Roman" w:hAnsi="Arial" w:cs="Arial"/>
          <w:snapToGrid w:val="0"/>
          <w:szCs w:val="24"/>
          <w:lang w:val="en-GB"/>
        </w:rPr>
        <w:br w:type="page"/>
      </w:r>
    </w:p>
    <w:p w14:paraId="46B3A44C" w14:textId="10ACBFB1" w:rsidR="00471683" w:rsidRDefault="00471683" w:rsidP="00783ADF">
      <w:pPr>
        <w:tabs>
          <w:tab w:val="left" w:pos="567"/>
        </w:tabs>
        <w:snapToGrid w:val="0"/>
        <w:spacing w:after="240" w:line="240" w:lineRule="auto"/>
        <w:jc w:val="both"/>
        <w:rPr>
          <w:rFonts w:ascii="Arial" w:eastAsia="Times New Roman" w:hAnsi="Arial" w:cs="Arial"/>
          <w:snapToGrid w:val="0"/>
          <w:szCs w:val="24"/>
          <w:lang w:val="en-GB"/>
        </w:rPr>
      </w:pPr>
      <w:r w:rsidRPr="00471683">
        <w:rPr>
          <w:noProof/>
        </w:rPr>
        <w:lastRenderedPageBreak/>
        <w:drawing>
          <wp:inline distT="0" distB="0" distL="0" distR="0" wp14:anchorId="1343DB90" wp14:editId="2D4AE999">
            <wp:extent cx="5772150" cy="8315325"/>
            <wp:effectExtent l="0" t="0" r="0" b="9525"/>
            <wp:docPr id="414255594"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55594" name="Imagen 1" descr="Texto&#10;&#10;Descripción generada automáticamente"/>
                    <pic:cNvPicPr/>
                  </pic:nvPicPr>
                  <pic:blipFill>
                    <a:blip r:embed="rId15"/>
                    <a:stretch>
                      <a:fillRect/>
                    </a:stretch>
                  </pic:blipFill>
                  <pic:spPr>
                    <a:xfrm>
                      <a:off x="0" y="0"/>
                      <a:ext cx="5772150" cy="8315325"/>
                    </a:xfrm>
                    <a:prstGeom prst="rect">
                      <a:avLst/>
                    </a:prstGeom>
                  </pic:spPr>
                </pic:pic>
              </a:graphicData>
            </a:graphic>
          </wp:inline>
        </w:drawing>
      </w:r>
    </w:p>
    <w:p w14:paraId="4E42A910" w14:textId="77777777" w:rsidR="00471683" w:rsidRDefault="00471683">
      <w:pPr>
        <w:rPr>
          <w:rFonts w:ascii="Arial" w:eastAsia="Times New Roman" w:hAnsi="Arial" w:cs="Arial"/>
          <w:snapToGrid w:val="0"/>
          <w:szCs w:val="24"/>
          <w:lang w:val="en-GB"/>
        </w:rPr>
      </w:pPr>
      <w:r>
        <w:rPr>
          <w:rFonts w:ascii="Arial" w:eastAsia="Times New Roman" w:hAnsi="Arial" w:cs="Arial"/>
          <w:snapToGrid w:val="0"/>
          <w:szCs w:val="24"/>
          <w:lang w:val="en-GB"/>
        </w:rPr>
        <w:br w:type="page"/>
      </w:r>
    </w:p>
    <w:p w14:paraId="79E63C85" w14:textId="3D98CA78" w:rsidR="00471683" w:rsidRDefault="00471683" w:rsidP="00783ADF">
      <w:pPr>
        <w:tabs>
          <w:tab w:val="left" w:pos="567"/>
        </w:tabs>
        <w:snapToGrid w:val="0"/>
        <w:spacing w:after="240" w:line="240" w:lineRule="auto"/>
        <w:jc w:val="both"/>
        <w:rPr>
          <w:rFonts w:ascii="Arial" w:eastAsia="Times New Roman" w:hAnsi="Arial" w:cs="Arial"/>
          <w:snapToGrid w:val="0"/>
          <w:szCs w:val="24"/>
          <w:lang w:val="en-GB"/>
        </w:rPr>
      </w:pPr>
      <w:r w:rsidRPr="00471683">
        <w:rPr>
          <w:noProof/>
        </w:rPr>
        <w:lastRenderedPageBreak/>
        <w:drawing>
          <wp:inline distT="0" distB="0" distL="0" distR="0" wp14:anchorId="0B6A442F" wp14:editId="06C68463">
            <wp:extent cx="5886450" cy="7772400"/>
            <wp:effectExtent l="0" t="0" r="0" b="0"/>
            <wp:docPr id="1902697665"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97665" name="Imagen 1" descr="Texto&#10;&#10;Descripción generada automáticamente con confianza media"/>
                    <pic:cNvPicPr/>
                  </pic:nvPicPr>
                  <pic:blipFill>
                    <a:blip r:embed="rId16"/>
                    <a:stretch>
                      <a:fillRect/>
                    </a:stretch>
                  </pic:blipFill>
                  <pic:spPr>
                    <a:xfrm>
                      <a:off x="0" y="0"/>
                      <a:ext cx="5886450" cy="7772400"/>
                    </a:xfrm>
                    <a:prstGeom prst="rect">
                      <a:avLst/>
                    </a:prstGeom>
                  </pic:spPr>
                </pic:pic>
              </a:graphicData>
            </a:graphic>
          </wp:inline>
        </w:drawing>
      </w:r>
    </w:p>
    <w:p w14:paraId="299C3D21" w14:textId="77777777" w:rsidR="00471683" w:rsidRDefault="00471683">
      <w:pPr>
        <w:rPr>
          <w:rFonts w:ascii="Arial" w:eastAsia="Times New Roman" w:hAnsi="Arial" w:cs="Arial"/>
          <w:snapToGrid w:val="0"/>
          <w:szCs w:val="24"/>
          <w:lang w:val="en-GB"/>
        </w:rPr>
      </w:pPr>
      <w:r>
        <w:rPr>
          <w:rFonts w:ascii="Arial" w:eastAsia="Times New Roman" w:hAnsi="Arial" w:cs="Arial"/>
          <w:snapToGrid w:val="0"/>
          <w:szCs w:val="24"/>
          <w:lang w:val="en-GB"/>
        </w:rPr>
        <w:br w:type="page"/>
      </w:r>
    </w:p>
    <w:p w14:paraId="787863C7" w14:textId="5B028C56" w:rsidR="00471683" w:rsidRDefault="00471683" w:rsidP="00783ADF">
      <w:pPr>
        <w:tabs>
          <w:tab w:val="left" w:pos="567"/>
        </w:tabs>
        <w:snapToGrid w:val="0"/>
        <w:spacing w:after="240" w:line="240" w:lineRule="auto"/>
        <w:jc w:val="both"/>
        <w:rPr>
          <w:rFonts w:ascii="Arial" w:eastAsia="Times New Roman" w:hAnsi="Arial" w:cs="Arial"/>
          <w:snapToGrid w:val="0"/>
          <w:szCs w:val="24"/>
          <w:lang w:val="en-GB"/>
        </w:rPr>
      </w:pPr>
      <w:r w:rsidRPr="00471683">
        <w:rPr>
          <w:noProof/>
        </w:rPr>
        <w:lastRenderedPageBreak/>
        <w:drawing>
          <wp:inline distT="0" distB="0" distL="0" distR="0" wp14:anchorId="717DC261" wp14:editId="00970757">
            <wp:extent cx="5629275" cy="8429625"/>
            <wp:effectExtent l="0" t="0" r="9525" b="9525"/>
            <wp:docPr id="646097123"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97123" name="Imagen 1" descr="Imagen que contiene Texto&#10;&#10;Descripción generada automáticamente"/>
                    <pic:cNvPicPr/>
                  </pic:nvPicPr>
                  <pic:blipFill>
                    <a:blip r:embed="rId17"/>
                    <a:stretch>
                      <a:fillRect/>
                    </a:stretch>
                  </pic:blipFill>
                  <pic:spPr>
                    <a:xfrm>
                      <a:off x="0" y="0"/>
                      <a:ext cx="5629275" cy="8429625"/>
                    </a:xfrm>
                    <a:prstGeom prst="rect">
                      <a:avLst/>
                    </a:prstGeom>
                  </pic:spPr>
                </pic:pic>
              </a:graphicData>
            </a:graphic>
          </wp:inline>
        </w:drawing>
      </w:r>
    </w:p>
    <w:p w14:paraId="0BCE9EEE" w14:textId="77777777" w:rsidR="00471683" w:rsidRDefault="00471683">
      <w:pPr>
        <w:rPr>
          <w:rFonts w:ascii="Arial" w:eastAsia="Times New Roman" w:hAnsi="Arial" w:cs="Arial"/>
          <w:snapToGrid w:val="0"/>
          <w:szCs w:val="24"/>
          <w:lang w:val="en-GB"/>
        </w:rPr>
      </w:pPr>
      <w:r>
        <w:rPr>
          <w:rFonts w:ascii="Arial" w:eastAsia="Times New Roman" w:hAnsi="Arial" w:cs="Arial"/>
          <w:snapToGrid w:val="0"/>
          <w:szCs w:val="24"/>
          <w:lang w:val="en-GB"/>
        </w:rPr>
        <w:br w:type="page"/>
      </w:r>
    </w:p>
    <w:p w14:paraId="0F7D751D" w14:textId="2ACB80DD" w:rsidR="00471683" w:rsidRDefault="00471683" w:rsidP="00783ADF">
      <w:pPr>
        <w:tabs>
          <w:tab w:val="left" w:pos="567"/>
        </w:tabs>
        <w:snapToGrid w:val="0"/>
        <w:spacing w:after="240" w:line="240" w:lineRule="auto"/>
        <w:jc w:val="both"/>
        <w:rPr>
          <w:rFonts w:ascii="Arial" w:eastAsia="Times New Roman" w:hAnsi="Arial" w:cs="Arial"/>
          <w:snapToGrid w:val="0"/>
          <w:szCs w:val="24"/>
          <w:lang w:val="en-GB"/>
        </w:rPr>
      </w:pPr>
      <w:r w:rsidRPr="00471683">
        <w:rPr>
          <w:noProof/>
        </w:rPr>
        <w:lastRenderedPageBreak/>
        <w:drawing>
          <wp:inline distT="0" distB="0" distL="0" distR="0" wp14:anchorId="7F7CF74C" wp14:editId="782825A1">
            <wp:extent cx="5981700" cy="8020050"/>
            <wp:effectExtent l="0" t="0" r="0" b="0"/>
            <wp:docPr id="440903550"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03550" name="Imagen 1" descr="Gráfico&#10;&#10;Descripción generada automáticamente"/>
                    <pic:cNvPicPr/>
                  </pic:nvPicPr>
                  <pic:blipFill>
                    <a:blip r:embed="rId18"/>
                    <a:stretch>
                      <a:fillRect/>
                    </a:stretch>
                  </pic:blipFill>
                  <pic:spPr>
                    <a:xfrm>
                      <a:off x="0" y="0"/>
                      <a:ext cx="5981700" cy="8020050"/>
                    </a:xfrm>
                    <a:prstGeom prst="rect">
                      <a:avLst/>
                    </a:prstGeom>
                  </pic:spPr>
                </pic:pic>
              </a:graphicData>
            </a:graphic>
          </wp:inline>
        </w:drawing>
      </w:r>
    </w:p>
    <w:p w14:paraId="5C1B6431" w14:textId="77777777" w:rsidR="00471683" w:rsidRDefault="00471683">
      <w:pPr>
        <w:rPr>
          <w:rFonts w:ascii="Arial" w:eastAsia="Times New Roman" w:hAnsi="Arial" w:cs="Arial"/>
          <w:snapToGrid w:val="0"/>
          <w:szCs w:val="24"/>
          <w:lang w:val="en-GB"/>
        </w:rPr>
      </w:pPr>
      <w:r>
        <w:rPr>
          <w:rFonts w:ascii="Arial" w:eastAsia="Times New Roman" w:hAnsi="Arial" w:cs="Arial"/>
          <w:snapToGrid w:val="0"/>
          <w:szCs w:val="24"/>
          <w:lang w:val="en-GB"/>
        </w:rPr>
        <w:br w:type="page"/>
      </w:r>
    </w:p>
    <w:p w14:paraId="5533442E" w14:textId="45B9D5CD" w:rsidR="00B96635" w:rsidRDefault="00471683" w:rsidP="00783ADF">
      <w:pPr>
        <w:tabs>
          <w:tab w:val="left" w:pos="567"/>
        </w:tabs>
        <w:snapToGrid w:val="0"/>
        <w:spacing w:after="240" w:line="240" w:lineRule="auto"/>
        <w:jc w:val="both"/>
        <w:rPr>
          <w:rFonts w:ascii="Arial" w:eastAsia="Times New Roman" w:hAnsi="Arial" w:cs="Arial"/>
          <w:snapToGrid w:val="0"/>
          <w:szCs w:val="24"/>
          <w:lang w:val="en-GB"/>
        </w:rPr>
      </w:pPr>
      <w:r w:rsidRPr="00471683">
        <w:rPr>
          <w:noProof/>
        </w:rPr>
        <w:lastRenderedPageBreak/>
        <w:drawing>
          <wp:inline distT="0" distB="0" distL="0" distR="0" wp14:anchorId="7B7D76B3" wp14:editId="173FB833">
            <wp:extent cx="5638800" cy="8477250"/>
            <wp:effectExtent l="0" t="0" r="0" b="0"/>
            <wp:docPr id="329438705"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38705" name="Imagen 1" descr="Diagrama, Esquemático&#10;&#10;Descripción generada automáticamente"/>
                    <pic:cNvPicPr/>
                  </pic:nvPicPr>
                  <pic:blipFill>
                    <a:blip r:embed="rId19"/>
                    <a:stretch>
                      <a:fillRect/>
                    </a:stretch>
                  </pic:blipFill>
                  <pic:spPr>
                    <a:xfrm>
                      <a:off x="0" y="0"/>
                      <a:ext cx="5638800" cy="8477250"/>
                    </a:xfrm>
                    <a:prstGeom prst="rect">
                      <a:avLst/>
                    </a:prstGeom>
                  </pic:spPr>
                </pic:pic>
              </a:graphicData>
            </a:graphic>
          </wp:inline>
        </w:drawing>
      </w:r>
    </w:p>
    <w:p w14:paraId="054C01B4" w14:textId="77777777" w:rsidR="00B96635" w:rsidRDefault="00B96635">
      <w:pPr>
        <w:rPr>
          <w:rFonts w:ascii="Arial" w:eastAsia="Times New Roman" w:hAnsi="Arial" w:cs="Arial"/>
          <w:snapToGrid w:val="0"/>
          <w:szCs w:val="24"/>
          <w:lang w:val="en-GB"/>
        </w:rPr>
      </w:pPr>
      <w:r>
        <w:rPr>
          <w:rFonts w:ascii="Arial" w:eastAsia="Times New Roman" w:hAnsi="Arial" w:cs="Arial"/>
          <w:snapToGrid w:val="0"/>
          <w:szCs w:val="24"/>
          <w:lang w:val="en-GB"/>
        </w:rPr>
        <w:br w:type="page"/>
      </w:r>
    </w:p>
    <w:p w14:paraId="7442E78C" w14:textId="4159B78B" w:rsidR="00B96635" w:rsidRDefault="00B96635" w:rsidP="00783ADF">
      <w:pPr>
        <w:tabs>
          <w:tab w:val="left" w:pos="567"/>
        </w:tabs>
        <w:snapToGrid w:val="0"/>
        <w:spacing w:after="240" w:line="240" w:lineRule="auto"/>
        <w:jc w:val="both"/>
        <w:rPr>
          <w:rFonts w:ascii="Arial" w:eastAsia="Times New Roman" w:hAnsi="Arial" w:cs="Arial"/>
          <w:snapToGrid w:val="0"/>
          <w:szCs w:val="24"/>
          <w:lang w:val="en-GB"/>
        </w:rPr>
      </w:pPr>
      <w:r w:rsidRPr="00B96635">
        <w:rPr>
          <w:noProof/>
        </w:rPr>
        <w:lastRenderedPageBreak/>
        <w:drawing>
          <wp:inline distT="0" distB="0" distL="0" distR="0" wp14:anchorId="71CC420E" wp14:editId="440EF564">
            <wp:extent cx="5667375" cy="4972050"/>
            <wp:effectExtent l="0" t="0" r="9525" b="0"/>
            <wp:docPr id="37410794"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10794" name="Imagen 1" descr="Interfaz de usuario gráfica, Texto&#10;&#10;Descripción generada automáticamente"/>
                    <pic:cNvPicPr/>
                  </pic:nvPicPr>
                  <pic:blipFill>
                    <a:blip r:embed="rId20"/>
                    <a:stretch>
                      <a:fillRect/>
                    </a:stretch>
                  </pic:blipFill>
                  <pic:spPr>
                    <a:xfrm>
                      <a:off x="0" y="0"/>
                      <a:ext cx="5667375" cy="4972050"/>
                    </a:xfrm>
                    <a:prstGeom prst="rect">
                      <a:avLst/>
                    </a:prstGeom>
                  </pic:spPr>
                </pic:pic>
              </a:graphicData>
            </a:graphic>
          </wp:inline>
        </w:drawing>
      </w:r>
    </w:p>
    <w:p w14:paraId="29E3230B" w14:textId="77777777" w:rsidR="00B96635" w:rsidRDefault="00B96635">
      <w:pPr>
        <w:rPr>
          <w:rFonts w:ascii="Arial" w:eastAsia="Times New Roman" w:hAnsi="Arial" w:cs="Arial"/>
          <w:snapToGrid w:val="0"/>
          <w:szCs w:val="24"/>
          <w:lang w:val="en-GB"/>
        </w:rPr>
      </w:pPr>
      <w:r>
        <w:rPr>
          <w:rFonts w:ascii="Arial" w:eastAsia="Times New Roman" w:hAnsi="Arial" w:cs="Arial"/>
          <w:snapToGrid w:val="0"/>
          <w:szCs w:val="24"/>
          <w:lang w:val="en-GB"/>
        </w:rPr>
        <w:br w:type="page"/>
      </w:r>
    </w:p>
    <w:p w14:paraId="2941189B" w14:textId="19F9884E" w:rsidR="00B96635" w:rsidRDefault="00B96635" w:rsidP="00783ADF">
      <w:pPr>
        <w:tabs>
          <w:tab w:val="left" w:pos="567"/>
        </w:tabs>
        <w:snapToGrid w:val="0"/>
        <w:spacing w:after="240" w:line="240" w:lineRule="auto"/>
        <w:jc w:val="both"/>
        <w:rPr>
          <w:rFonts w:ascii="Arial" w:eastAsia="Times New Roman" w:hAnsi="Arial" w:cs="Arial"/>
          <w:snapToGrid w:val="0"/>
          <w:szCs w:val="24"/>
          <w:lang w:val="en-GB"/>
        </w:rPr>
      </w:pPr>
      <w:r w:rsidRPr="00B96635">
        <w:rPr>
          <w:noProof/>
        </w:rPr>
        <w:lastRenderedPageBreak/>
        <w:drawing>
          <wp:inline distT="0" distB="0" distL="0" distR="0" wp14:anchorId="7F274647" wp14:editId="20C0112C">
            <wp:extent cx="6086475" cy="8401050"/>
            <wp:effectExtent l="0" t="0" r="9525" b="0"/>
            <wp:docPr id="1890247582"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47582" name="Imagen 1" descr="Texto&#10;&#10;Descripción generada automáticamente"/>
                    <pic:cNvPicPr/>
                  </pic:nvPicPr>
                  <pic:blipFill>
                    <a:blip r:embed="rId21"/>
                    <a:stretch>
                      <a:fillRect/>
                    </a:stretch>
                  </pic:blipFill>
                  <pic:spPr>
                    <a:xfrm>
                      <a:off x="0" y="0"/>
                      <a:ext cx="6086475" cy="8401050"/>
                    </a:xfrm>
                    <a:prstGeom prst="rect">
                      <a:avLst/>
                    </a:prstGeom>
                  </pic:spPr>
                </pic:pic>
              </a:graphicData>
            </a:graphic>
          </wp:inline>
        </w:drawing>
      </w:r>
    </w:p>
    <w:p w14:paraId="14EEE73D" w14:textId="77777777" w:rsidR="00B96635" w:rsidRDefault="00B96635">
      <w:pPr>
        <w:rPr>
          <w:rFonts w:ascii="Arial" w:eastAsia="Times New Roman" w:hAnsi="Arial" w:cs="Arial"/>
          <w:snapToGrid w:val="0"/>
          <w:szCs w:val="24"/>
          <w:lang w:val="en-GB"/>
        </w:rPr>
      </w:pPr>
      <w:r>
        <w:rPr>
          <w:rFonts w:ascii="Arial" w:eastAsia="Times New Roman" w:hAnsi="Arial" w:cs="Arial"/>
          <w:snapToGrid w:val="0"/>
          <w:szCs w:val="24"/>
          <w:lang w:val="en-GB"/>
        </w:rPr>
        <w:br w:type="page"/>
      </w:r>
    </w:p>
    <w:p w14:paraId="21A6E059" w14:textId="2C6F5B43" w:rsidR="00B96635" w:rsidRDefault="00B96635" w:rsidP="00783ADF">
      <w:pPr>
        <w:tabs>
          <w:tab w:val="left" w:pos="567"/>
        </w:tabs>
        <w:snapToGrid w:val="0"/>
        <w:spacing w:after="240" w:line="240" w:lineRule="auto"/>
        <w:jc w:val="both"/>
        <w:rPr>
          <w:rFonts w:ascii="Arial" w:eastAsia="Times New Roman" w:hAnsi="Arial" w:cs="Arial"/>
          <w:snapToGrid w:val="0"/>
          <w:szCs w:val="24"/>
          <w:lang w:val="en-GB"/>
        </w:rPr>
      </w:pPr>
      <w:r w:rsidRPr="00B96635">
        <w:rPr>
          <w:noProof/>
        </w:rPr>
        <w:lastRenderedPageBreak/>
        <w:drawing>
          <wp:inline distT="0" distB="0" distL="0" distR="0" wp14:anchorId="28093D13" wp14:editId="0578CE8F">
            <wp:extent cx="5781675" cy="3886200"/>
            <wp:effectExtent l="0" t="0" r="9525" b="0"/>
            <wp:docPr id="1455729954"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729954" name="Imagen 1" descr="Tabla&#10;&#10;Descripción generada automáticamente con confianza media"/>
                    <pic:cNvPicPr/>
                  </pic:nvPicPr>
                  <pic:blipFill>
                    <a:blip r:embed="rId22"/>
                    <a:stretch>
                      <a:fillRect/>
                    </a:stretch>
                  </pic:blipFill>
                  <pic:spPr>
                    <a:xfrm>
                      <a:off x="0" y="0"/>
                      <a:ext cx="5781675" cy="3886200"/>
                    </a:xfrm>
                    <a:prstGeom prst="rect">
                      <a:avLst/>
                    </a:prstGeom>
                  </pic:spPr>
                </pic:pic>
              </a:graphicData>
            </a:graphic>
          </wp:inline>
        </w:drawing>
      </w:r>
    </w:p>
    <w:p w14:paraId="470CE757" w14:textId="77777777" w:rsidR="00B96635" w:rsidRDefault="00B96635">
      <w:pPr>
        <w:rPr>
          <w:rFonts w:ascii="Arial" w:eastAsia="Times New Roman" w:hAnsi="Arial" w:cs="Arial"/>
          <w:snapToGrid w:val="0"/>
          <w:szCs w:val="24"/>
          <w:lang w:val="en-GB"/>
        </w:rPr>
      </w:pPr>
      <w:r>
        <w:rPr>
          <w:rFonts w:ascii="Arial" w:eastAsia="Times New Roman" w:hAnsi="Arial" w:cs="Arial"/>
          <w:snapToGrid w:val="0"/>
          <w:szCs w:val="24"/>
          <w:lang w:val="en-GB"/>
        </w:rPr>
        <w:br w:type="page"/>
      </w:r>
    </w:p>
    <w:p w14:paraId="66244611" w14:textId="77777777" w:rsidR="00AA591A" w:rsidRPr="00AA591A" w:rsidRDefault="00AA591A" w:rsidP="00AA591A">
      <w:pPr>
        <w:tabs>
          <w:tab w:val="left" w:pos="567"/>
        </w:tabs>
        <w:snapToGrid w:val="0"/>
        <w:spacing w:after="240" w:line="240" w:lineRule="auto"/>
        <w:jc w:val="center"/>
        <w:rPr>
          <w:rFonts w:ascii="Arial" w:eastAsia="SimSun" w:hAnsi="Arial" w:cs="Arial"/>
          <w:b/>
          <w:bCs/>
          <w:snapToGrid w:val="0"/>
          <w:lang w:val="es-ES_tradnl" w:eastAsia="zh-CN"/>
        </w:rPr>
      </w:pPr>
      <w:r w:rsidRPr="00AA591A">
        <w:rPr>
          <w:rFonts w:ascii="Arial" w:eastAsia="SimSun" w:hAnsi="Arial" w:cs="Arial"/>
          <w:b/>
          <w:bCs/>
          <w:snapToGrid w:val="0"/>
          <w:lang w:val="es-ES_tradnl" w:eastAsia="zh-CN"/>
        </w:rPr>
        <w:lastRenderedPageBreak/>
        <w:t>Parte II</w:t>
      </w:r>
    </w:p>
    <w:p w14:paraId="18A0EF37" w14:textId="77777777" w:rsidR="00AA591A" w:rsidRPr="00AA591A" w:rsidRDefault="00AA591A" w:rsidP="00AA591A">
      <w:pPr>
        <w:spacing w:after="240" w:line="240" w:lineRule="auto"/>
        <w:jc w:val="center"/>
        <w:rPr>
          <w:rFonts w:ascii="Arial" w:eastAsia="Times New Roman" w:hAnsi="Arial" w:cs="Arial"/>
          <w:b/>
          <w:bCs/>
          <w:snapToGrid w:val="0"/>
          <w:lang w:val="es-ES_tradnl" w:eastAsia="zh-CN"/>
        </w:rPr>
      </w:pPr>
      <w:r w:rsidRPr="00AA591A">
        <w:rPr>
          <w:rFonts w:ascii="Arial" w:eastAsia="SimSun" w:hAnsi="Arial" w:cs="Arial"/>
          <w:b/>
          <w:bCs/>
          <w:snapToGrid w:val="0"/>
          <w:lang w:val="es-ES_tradnl" w:eastAsia="zh-CN"/>
        </w:rPr>
        <w:t>Planes de trabajo detallados de la COI basados en las prioridades de los Estados Miembros según la resolución A-32/4(II) de la COI</w:t>
      </w:r>
    </w:p>
    <w:p w14:paraId="7105E02D" w14:textId="77777777" w:rsidR="00AA591A" w:rsidRPr="00AA591A" w:rsidRDefault="00AA591A" w:rsidP="00AA591A">
      <w:pPr>
        <w:spacing w:after="240" w:line="240" w:lineRule="auto"/>
        <w:jc w:val="center"/>
        <w:rPr>
          <w:rFonts w:ascii="Arial" w:eastAsia="Times New Roman" w:hAnsi="Arial" w:cs="Arial"/>
          <w:b/>
          <w:bCs/>
          <w:snapToGrid w:val="0"/>
          <w:lang w:val="es-ES_tradnl" w:eastAsia="zh-CN"/>
        </w:rPr>
      </w:pPr>
      <w:r w:rsidRPr="00AA591A">
        <w:rPr>
          <w:rFonts w:ascii="Arial" w:eastAsia="SimSun" w:hAnsi="Arial" w:cs="Arial"/>
          <w:b/>
          <w:bCs/>
          <w:snapToGrid w:val="0"/>
          <w:lang w:val="es-ES_tradnl" w:eastAsia="zh-CN"/>
        </w:rPr>
        <w:t>MARCO PRESUPUESTARIO INTEGRADO REVISADO</w:t>
      </w:r>
    </w:p>
    <w:p w14:paraId="09761E54" w14:textId="77777777" w:rsidR="00AA591A" w:rsidRPr="00AA591A" w:rsidRDefault="00AA591A" w:rsidP="00AA591A">
      <w:pPr>
        <w:spacing w:after="120" w:line="240" w:lineRule="auto"/>
        <w:rPr>
          <w:rFonts w:ascii="Arial" w:eastAsia="Times New Roman" w:hAnsi="Arial" w:cs="Arial"/>
          <w:snapToGrid w:val="0"/>
          <w:lang w:val="es-ES_tradnl" w:eastAsia="zh-CN"/>
        </w:rPr>
      </w:pPr>
      <w:r w:rsidRPr="00AA591A">
        <w:rPr>
          <w:rFonts w:ascii="Arial" w:eastAsia="SimSun" w:hAnsi="Arial" w:cs="Arial"/>
          <w:snapToGrid w:val="0"/>
          <w:lang w:val="es-ES_tradnl" w:eastAsia="zh-CN"/>
        </w:rPr>
        <w:t>Cuadro 1. Evolución del marco presupuestario integrado del 42 C/5</w:t>
      </w:r>
    </w:p>
    <w:tbl>
      <w:tblPr>
        <w:tblW w:w="9625" w:type="dxa"/>
        <w:tblLayout w:type="fixed"/>
        <w:tblLook w:val="04A0" w:firstRow="1" w:lastRow="0" w:firstColumn="1" w:lastColumn="0" w:noHBand="0" w:noVBand="1"/>
      </w:tblPr>
      <w:tblGrid>
        <w:gridCol w:w="3955"/>
        <w:gridCol w:w="2844"/>
        <w:gridCol w:w="2826"/>
      </w:tblGrid>
      <w:tr w:rsidR="00AA591A" w:rsidRPr="00AA591A" w14:paraId="1C4B74B5" w14:textId="77777777" w:rsidTr="00AA591A">
        <w:trPr>
          <w:trHeight w:val="300"/>
        </w:trPr>
        <w:tc>
          <w:tcPr>
            <w:tcW w:w="395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63949" w14:textId="77777777" w:rsidR="00AA591A" w:rsidRPr="00AA591A" w:rsidRDefault="00AA591A" w:rsidP="00AA591A">
            <w:pPr>
              <w:spacing w:after="0" w:line="240" w:lineRule="auto"/>
              <w:jc w:val="center"/>
              <w:rPr>
                <w:rFonts w:ascii="Arial" w:eastAsia="Times New Roman" w:hAnsi="Arial" w:cs="Arial"/>
                <w:color w:val="000000"/>
                <w:sz w:val="20"/>
                <w:szCs w:val="20"/>
                <w:lang w:val="es-ES_tradnl" w:eastAsia="zh-CN"/>
              </w:rPr>
            </w:pPr>
            <w:r w:rsidRPr="00AA591A">
              <w:rPr>
                <w:rFonts w:ascii="Arial" w:eastAsia="Times New Roman" w:hAnsi="Arial" w:cs="Arial"/>
                <w:color w:val="000000"/>
                <w:sz w:val="20"/>
                <w:szCs w:val="20"/>
                <w:lang w:val="es-ES_tradnl" w:eastAsia="zh-CN"/>
              </w:rPr>
              <w:t> </w:t>
            </w:r>
          </w:p>
        </w:tc>
        <w:tc>
          <w:tcPr>
            <w:tcW w:w="2844" w:type="dxa"/>
            <w:tcBorders>
              <w:top w:val="single" w:sz="4" w:space="0" w:color="auto"/>
              <w:left w:val="nil"/>
              <w:bottom w:val="single" w:sz="4" w:space="0" w:color="auto"/>
              <w:right w:val="single" w:sz="4" w:space="0" w:color="auto"/>
            </w:tcBorders>
            <w:shd w:val="clear" w:color="auto" w:fill="auto"/>
            <w:noWrap/>
            <w:vAlign w:val="bottom"/>
            <w:hideMark/>
          </w:tcPr>
          <w:p w14:paraId="398064E9" w14:textId="0769E821" w:rsidR="00AA591A" w:rsidRPr="00AA591A" w:rsidRDefault="00AA591A" w:rsidP="00AA591A">
            <w:pPr>
              <w:spacing w:after="0" w:line="240" w:lineRule="auto"/>
              <w:jc w:val="center"/>
              <w:rPr>
                <w:rFonts w:ascii="Arial" w:eastAsia="Times New Roman" w:hAnsi="Arial" w:cs="Arial"/>
                <w:b/>
                <w:bCs/>
                <w:color w:val="000000"/>
                <w:sz w:val="20"/>
                <w:szCs w:val="20"/>
                <w:lang w:val="es-ES_tradnl" w:eastAsia="zh-CN"/>
              </w:rPr>
            </w:pPr>
            <w:r w:rsidRPr="00AA591A">
              <w:rPr>
                <w:rFonts w:ascii="Arial" w:eastAsia="SimSun" w:hAnsi="Arial" w:cs="Arial"/>
                <w:b/>
                <w:bCs/>
                <w:snapToGrid w:val="0"/>
                <w:sz w:val="20"/>
                <w:szCs w:val="20"/>
                <w:lang w:val="es-ES_tradnl" w:eastAsia="zh-CN"/>
              </w:rPr>
              <w:t>Hipótesis de base - 216ª reunión del Consejo</w:t>
            </w:r>
            <w:r>
              <w:rPr>
                <w:rFonts w:ascii="Arial" w:eastAsia="SimSun" w:hAnsi="Arial" w:cs="Arial"/>
                <w:b/>
                <w:bCs/>
                <w:snapToGrid w:val="0"/>
                <w:sz w:val="20"/>
                <w:szCs w:val="20"/>
                <w:lang w:val="es-ES_tradnl" w:eastAsia="zh-CN"/>
              </w:rPr>
              <w:t> </w:t>
            </w:r>
            <w:r w:rsidRPr="00AA591A">
              <w:rPr>
                <w:rFonts w:ascii="Arial" w:eastAsia="SimSun" w:hAnsi="Arial" w:cs="Arial"/>
                <w:b/>
                <w:bCs/>
                <w:snapToGrid w:val="0"/>
                <w:sz w:val="20"/>
                <w:szCs w:val="20"/>
                <w:lang w:val="es-ES_tradnl" w:eastAsia="zh-CN"/>
              </w:rPr>
              <w:t>Ejecutivo</w:t>
            </w:r>
          </w:p>
        </w:tc>
        <w:tc>
          <w:tcPr>
            <w:tcW w:w="2826" w:type="dxa"/>
            <w:tcBorders>
              <w:top w:val="single" w:sz="4" w:space="0" w:color="auto"/>
              <w:left w:val="nil"/>
              <w:bottom w:val="single" w:sz="4" w:space="0" w:color="auto"/>
              <w:right w:val="single" w:sz="4" w:space="0" w:color="auto"/>
            </w:tcBorders>
            <w:shd w:val="clear" w:color="auto" w:fill="auto"/>
            <w:noWrap/>
            <w:vAlign w:val="bottom"/>
            <w:hideMark/>
          </w:tcPr>
          <w:p w14:paraId="0DAC0BC0" w14:textId="77777777" w:rsidR="00AA591A" w:rsidRPr="00AA591A" w:rsidRDefault="00AA591A" w:rsidP="00AA591A">
            <w:pPr>
              <w:spacing w:after="0" w:line="240" w:lineRule="auto"/>
              <w:jc w:val="center"/>
              <w:rPr>
                <w:rFonts w:ascii="Arial" w:eastAsia="Times New Roman" w:hAnsi="Arial" w:cs="Arial"/>
                <w:b/>
                <w:bCs/>
                <w:color w:val="000000"/>
                <w:sz w:val="20"/>
                <w:szCs w:val="20"/>
                <w:lang w:val="es-ES_tradnl" w:eastAsia="zh-CN"/>
              </w:rPr>
            </w:pPr>
            <w:r w:rsidRPr="00AA591A">
              <w:rPr>
                <w:rFonts w:ascii="Arial" w:eastAsia="SimSun" w:hAnsi="Arial" w:cs="Arial"/>
                <w:b/>
                <w:bCs/>
                <w:snapToGrid w:val="0"/>
                <w:sz w:val="20"/>
                <w:szCs w:val="20"/>
                <w:lang w:val="es-ES_tradnl" w:eastAsia="zh-CN"/>
              </w:rPr>
              <w:t>42 C/5 Aprobado</w:t>
            </w:r>
          </w:p>
        </w:tc>
      </w:tr>
      <w:tr w:rsidR="00AA591A" w:rsidRPr="00F13274" w14:paraId="740941B4" w14:textId="77777777" w:rsidTr="00AA591A">
        <w:trPr>
          <w:trHeight w:val="240"/>
        </w:trPr>
        <w:tc>
          <w:tcPr>
            <w:tcW w:w="3955" w:type="dxa"/>
            <w:vMerge/>
            <w:tcBorders>
              <w:top w:val="single" w:sz="4" w:space="0" w:color="auto"/>
              <w:left w:val="single" w:sz="4" w:space="0" w:color="auto"/>
              <w:bottom w:val="single" w:sz="4" w:space="0" w:color="auto"/>
              <w:right w:val="single" w:sz="4" w:space="0" w:color="auto"/>
            </w:tcBorders>
            <w:vAlign w:val="center"/>
            <w:hideMark/>
          </w:tcPr>
          <w:p w14:paraId="15C900D3" w14:textId="77777777" w:rsidR="00AA591A" w:rsidRPr="00AA591A" w:rsidRDefault="00AA591A" w:rsidP="00AA591A">
            <w:pPr>
              <w:spacing w:after="0" w:line="240" w:lineRule="auto"/>
              <w:rPr>
                <w:rFonts w:ascii="Arial" w:eastAsia="Times New Roman" w:hAnsi="Arial" w:cs="Arial"/>
                <w:color w:val="000000"/>
                <w:sz w:val="20"/>
                <w:szCs w:val="20"/>
                <w:lang w:val="es-ES_tradnl" w:eastAsia="zh-CN"/>
              </w:rPr>
            </w:pPr>
          </w:p>
        </w:tc>
        <w:tc>
          <w:tcPr>
            <w:tcW w:w="2844" w:type="dxa"/>
            <w:tcBorders>
              <w:top w:val="nil"/>
              <w:left w:val="nil"/>
              <w:bottom w:val="single" w:sz="4" w:space="0" w:color="auto"/>
              <w:right w:val="single" w:sz="4" w:space="0" w:color="auto"/>
            </w:tcBorders>
            <w:shd w:val="clear" w:color="auto" w:fill="auto"/>
            <w:noWrap/>
            <w:vAlign w:val="bottom"/>
            <w:hideMark/>
          </w:tcPr>
          <w:p w14:paraId="5B31538D" w14:textId="77777777" w:rsidR="00AA591A" w:rsidRPr="00AA591A" w:rsidRDefault="00AA591A" w:rsidP="00AA591A">
            <w:pPr>
              <w:spacing w:after="0" w:line="240" w:lineRule="auto"/>
              <w:jc w:val="center"/>
              <w:rPr>
                <w:rFonts w:ascii="Arial" w:eastAsia="Times New Roman" w:hAnsi="Arial" w:cs="Arial"/>
                <w:b/>
                <w:bCs/>
                <w:color w:val="000000"/>
                <w:sz w:val="20"/>
                <w:szCs w:val="20"/>
                <w:lang w:val="es-ES_tradnl" w:eastAsia="zh-CN"/>
              </w:rPr>
            </w:pPr>
            <w:r w:rsidRPr="00AA591A">
              <w:rPr>
                <w:rFonts w:ascii="Arial" w:eastAsia="SimSun" w:hAnsi="Arial" w:cs="Arial"/>
                <w:b/>
                <w:bCs/>
                <w:snapToGrid w:val="0"/>
                <w:sz w:val="20"/>
                <w:szCs w:val="20"/>
                <w:lang w:val="es-ES_tradnl" w:eastAsia="zh-CN"/>
              </w:rPr>
              <w:t>Asamblea de la COI 2023</w:t>
            </w:r>
          </w:p>
        </w:tc>
        <w:tc>
          <w:tcPr>
            <w:tcW w:w="2826" w:type="dxa"/>
            <w:tcBorders>
              <w:top w:val="nil"/>
              <w:left w:val="nil"/>
              <w:bottom w:val="single" w:sz="4" w:space="0" w:color="auto"/>
              <w:right w:val="single" w:sz="4" w:space="0" w:color="auto"/>
            </w:tcBorders>
            <w:shd w:val="clear" w:color="auto" w:fill="auto"/>
            <w:noWrap/>
            <w:vAlign w:val="bottom"/>
            <w:hideMark/>
          </w:tcPr>
          <w:p w14:paraId="0E5F2B35" w14:textId="33A7B09D" w:rsidR="00AA591A" w:rsidRPr="00AA591A" w:rsidRDefault="00AA591A" w:rsidP="00AA591A">
            <w:pPr>
              <w:spacing w:after="0" w:line="240" w:lineRule="auto"/>
              <w:jc w:val="center"/>
              <w:rPr>
                <w:rFonts w:ascii="Arial" w:eastAsia="Times New Roman" w:hAnsi="Arial" w:cs="Arial"/>
                <w:b/>
                <w:bCs/>
                <w:color w:val="000000"/>
                <w:sz w:val="20"/>
                <w:szCs w:val="20"/>
                <w:lang w:val="es-ES_tradnl" w:eastAsia="zh-CN"/>
              </w:rPr>
            </w:pPr>
            <w:r w:rsidRPr="00AA591A">
              <w:rPr>
                <w:rFonts w:ascii="Arial" w:eastAsia="SimSun" w:hAnsi="Arial" w:cs="Arial"/>
                <w:b/>
                <w:bCs/>
                <w:snapToGrid w:val="0"/>
                <w:sz w:val="20"/>
                <w:szCs w:val="20"/>
                <w:lang w:val="es-ES_tradnl" w:eastAsia="zh-CN"/>
              </w:rPr>
              <w:t>217ª reunión del Consejo</w:t>
            </w:r>
            <w:r>
              <w:rPr>
                <w:rFonts w:ascii="Arial" w:eastAsia="SimSun" w:hAnsi="Arial" w:cs="Arial"/>
                <w:b/>
                <w:bCs/>
                <w:snapToGrid w:val="0"/>
                <w:sz w:val="20"/>
                <w:szCs w:val="20"/>
                <w:lang w:val="es-ES_tradnl" w:eastAsia="zh-CN"/>
              </w:rPr>
              <w:t> </w:t>
            </w:r>
            <w:r w:rsidRPr="00AA591A">
              <w:rPr>
                <w:rFonts w:ascii="Arial" w:eastAsia="SimSun" w:hAnsi="Arial" w:cs="Arial"/>
                <w:b/>
                <w:bCs/>
                <w:snapToGrid w:val="0"/>
                <w:sz w:val="20"/>
                <w:szCs w:val="20"/>
                <w:lang w:val="es-ES_tradnl" w:eastAsia="zh-CN"/>
              </w:rPr>
              <w:t>Ejecutivo y</w:t>
            </w:r>
            <w:r>
              <w:rPr>
                <w:rFonts w:ascii="Arial" w:eastAsia="SimSun" w:hAnsi="Arial" w:cs="Arial"/>
                <w:b/>
                <w:bCs/>
                <w:snapToGrid w:val="0"/>
                <w:sz w:val="20"/>
                <w:szCs w:val="20"/>
                <w:lang w:val="es-ES_tradnl" w:eastAsia="zh-CN"/>
              </w:rPr>
              <w:br/>
            </w:r>
            <w:r w:rsidRPr="00AA591A">
              <w:rPr>
                <w:rFonts w:ascii="Arial" w:eastAsia="SimSun" w:hAnsi="Arial" w:cs="Arial"/>
                <w:b/>
                <w:bCs/>
                <w:snapToGrid w:val="0"/>
                <w:sz w:val="20"/>
                <w:szCs w:val="20"/>
                <w:lang w:val="es-ES_tradnl" w:eastAsia="zh-CN"/>
              </w:rPr>
              <w:t>42ª reunión de la Conferencia</w:t>
            </w:r>
            <w:r>
              <w:rPr>
                <w:rFonts w:ascii="Arial" w:eastAsia="SimSun" w:hAnsi="Arial" w:cs="Arial"/>
                <w:b/>
                <w:bCs/>
                <w:snapToGrid w:val="0"/>
                <w:sz w:val="20"/>
                <w:szCs w:val="20"/>
                <w:lang w:val="es-ES_tradnl" w:eastAsia="zh-CN"/>
              </w:rPr>
              <w:t> </w:t>
            </w:r>
            <w:r w:rsidRPr="00AA591A">
              <w:rPr>
                <w:rFonts w:ascii="Arial" w:eastAsia="SimSun" w:hAnsi="Arial" w:cs="Arial"/>
                <w:b/>
                <w:bCs/>
                <w:snapToGrid w:val="0"/>
                <w:sz w:val="20"/>
                <w:szCs w:val="20"/>
                <w:lang w:val="es-ES_tradnl" w:eastAsia="zh-CN"/>
              </w:rPr>
              <w:t>General</w:t>
            </w:r>
          </w:p>
        </w:tc>
      </w:tr>
      <w:tr w:rsidR="00AA591A" w:rsidRPr="00AA591A" w14:paraId="2E548A4C" w14:textId="77777777" w:rsidTr="00AA591A">
        <w:trPr>
          <w:trHeight w:val="24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222A9219" w14:textId="77777777" w:rsidR="00AA591A" w:rsidRPr="00AA591A" w:rsidRDefault="00AA591A" w:rsidP="00AA591A">
            <w:pPr>
              <w:spacing w:after="0" w:line="240" w:lineRule="auto"/>
              <w:rPr>
                <w:rFonts w:ascii="Arial" w:eastAsia="Times New Roman" w:hAnsi="Arial" w:cs="Arial"/>
                <w:b/>
                <w:bCs/>
                <w:color w:val="000000"/>
                <w:sz w:val="20"/>
                <w:szCs w:val="20"/>
                <w:lang w:val="es-ES_tradnl" w:eastAsia="zh-CN"/>
              </w:rPr>
            </w:pPr>
            <w:r w:rsidRPr="00AA591A">
              <w:rPr>
                <w:rFonts w:ascii="Arial" w:eastAsia="SimSun" w:hAnsi="Arial" w:cs="Arial"/>
                <w:b/>
                <w:bCs/>
                <w:snapToGrid w:val="0"/>
                <w:sz w:val="20"/>
                <w:szCs w:val="20"/>
                <w:lang w:val="es-ES_tradnl" w:eastAsia="zh-CN"/>
              </w:rPr>
              <w:t>Presupuesto ordinario de la COI</w:t>
            </w:r>
          </w:p>
        </w:tc>
        <w:tc>
          <w:tcPr>
            <w:tcW w:w="2844" w:type="dxa"/>
            <w:tcBorders>
              <w:top w:val="nil"/>
              <w:left w:val="nil"/>
              <w:bottom w:val="single" w:sz="4" w:space="0" w:color="auto"/>
              <w:right w:val="single" w:sz="4" w:space="0" w:color="auto"/>
            </w:tcBorders>
            <w:shd w:val="clear" w:color="auto" w:fill="auto"/>
            <w:noWrap/>
            <w:vAlign w:val="bottom"/>
            <w:hideMark/>
          </w:tcPr>
          <w:p w14:paraId="56339EB9" w14:textId="1A9C7CBC" w:rsidR="00AA591A" w:rsidRPr="00AA591A" w:rsidRDefault="00AA591A" w:rsidP="00AA591A">
            <w:pPr>
              <w:spacing w:after="0" w:line="240" w:lineRule="auto"/>
              <w:ind w:right="274"/>
              <w:jc w:val="right"/>
              <w:rPr>
                <w:rFonts w:ascii="Arial" w:eastAsia="Times New Roman" w:hAnsi="Arial" w:cs="Arial"/>
                <w:b/>
                <w:bCs/>
                <w:color w:val="000000"/>
                <w:sz w:val="20"/>
                <w:szCs w:val="20"/>
                <w:lang w:val="es-ES_tradnl" w:eastAsia="zh-CN"/>
              </w:rPr>
            </w:pPr>
            <w:r w:rsidRPr="00AA591A">
              <w:rPr>
                <w:rFonts w:ascii="Arial" w:eastAsia="SimSun" w:hAnsi="Arial" w:cs="Arial"/>
                <w:b/>
                <w:bCs/>
                <w:snapToGrid w:val="0"/>
                <w:sz w:val="20"/>
                <w:szCs w:val="20"/>
                <w:lang w:val="es-ES_tradnl" w:eastAsia="zh-CN"/>
              </w:rPr>
              <w:t>13</w:t>
            </w:r>
            <w:r>
              <w:rPr>
                <w:rFonts w:ascii="Arial" w:eastAsia="SimSun" w:hAnsi="Arial" w:cs="Arial"/>
                <w:b/>
                <w:bCs/>
                <w:snapToGrid w:val="0"/>
                <w:sz w:val="20"/>
                <w:szCs w:val="20"/>
                <w:lang w:val="es-ES_tradnl" w:eastAsia="zh-CN"/>
              </w:rPr>
              <w:t> </w:t>
            </w:r>
            <w:r w:rsidRPr="00AA591A">
              <w:rPr>
                <w:rFonts w:ascii="Arial" w:eastAsia="SimSun" w:hAnsi="Arial" w:cs="Arial"/>
                <w:b/>
                <w:bCs/>
                <w:snapToGrid w:val="0"/>
                <w:sz w:val="20"/>
                <w:szCs w:val="20"/>
                <w:lang w:val="es-ES_tradnl" w:eastAsia="zh-CN"/>
              </w:rPr>
              <w:t>546</w:t>
            </w:r>
            <w:r>
              <w:rPr>
                <w:rFonts w:ascii="Arial" w:eastAsia="SimSun" w:hAnsi="Arial" w:cs="Arial"/>
                <w:b/>
                <w:bCs/>
                <w:snapToGrid w:val="0"/>
                <w:sz w:val="20"/>
                <w:szCs w:val="20"/>
                <w:lang w:val="es-ES_tradnl" w:eastAsia="zh-CN"/>
              </w:rPr>
              <w:t> </w:t>
            </w:r>
            <w:r w:rsidRPr="00AA591A">
              <w:rPr>
                <w:rFonts w:ascii="Arial" w:eastAsia="SimSun" w:hAnsi="Arial" w:cs="Arial"/>
                <w:b/>
                <w:bCs/>
                <w:snapToGrid w:val="0"/>
                <w:sz w:val="20"/>
                <w:szCs w:val="20"/>
                <w:lang w:val="es-ES_tradnl" w:eastAsia="zh-CN"/>
              </w:rPr>
              <w:t>600</w:t>
            </w:r>
          </w:p>
        </w:tc>
        <w:tc>
          <w:tcPr>
            <w:tcW w:w="2826" w:type="dxa"/>
            <w:tcBorders>
              <w:top w:val="nil"/>
              <w:left w:val="nil"/>
              <w:bottom w:val="single" w:sz="4" w:space="0" w:color="auto"/>
              <w:right w:val="single" w:sz="4" w:space="0" w:color="auto"/>
            </w:tcBorders>
            <w:shd w:val="clear" w:color="auto" w:fill="auto"/>
            <w:noWrap/>
            <w:vAlign w:val="bottom"/>
            <w:hideMark/>
          </w:tcPr>
          <w:p w14:paraId="155D10A7" w14:textId="6C5E76F9" w:rsidR="00AA591A" w:rsidRPr="00AA591A" w:rsidRDefault="00AA591A" w:rsidP="00AA591A">
            <w:pPr>
              <w:spacing w:after="0" w:line="240" w:lineRule="auto"/>
              <w:ind w:right="313"/>
              <w:jc w:val="right"/>
              <w:rPr>
                <w:rFonts w:ascii="Arial" w:eastAsia="Times New Roman" w:hAnsi="Arial" w:cs="Arial"/>
                <w:b/>
                <w:bCs/>
                <w:color w:val="000000"/>
                <w:sz w:val="20"/>
                <w:szCs w:val="20"/>
                <w:lang w:val="es-ES_tradnl" w:eastAsia="zh-CN"/>
              </w:rPr>
            </w:pPr>
            <w:r w:rsidRPr="00AA591A">
              <w:rPr>
                <w:rFonts w:ascii="Arial" w:eastAsia="SimSun" w:hAnsi="Arial" w:cs="Arial"/>
                <w:b/>
                <w:bCs/>
                <w:snapToGrid w:val="0"/>
                <w:sz w:val="20"/>
                <w:szCs w:val="20"/>
                <w:lang w:val="es-ES_tradnl" w:eastAsia="zh-CN"/>
              </w:rPr>
              <w:t>21</w:t>
            </w:r>
            <w:r>
              <w:rPr>
                <w:rFonts w:ascii="Arial" w:eastAsia="SimSun" w:hAnsi="Arial" w:cs="Arial"/>
                <w:b/>
                <w:bCs/>
                <w:snapToGrid w:val="0"/>
                <w:sz w:val="20"/>
                <w:szCs w:val="20"/>
                <w:lang w:val="es-ES_tradnl" w:eastAsia="zh-CN"/>
              </w:rPr>
              <w:t> </w:t>
            </w:r>
            <w:r w:rsidRPr="00AA591A">
              <w:rPr>
                <w:rFonts w:ascii="Arial" w:eastAsia="SimSun" w:hAnsi="Arial" w:cs="Arial"/>
                <w:b/>
                <w:bCs/>
                <w:snapToGrid w:val="0"/>
                <w:sz w:val="20"/>
                <w:szCs w:val="20"/>
                <w:lang w:val="es-ES_tradnl" w:eastAsia="zh-CN"/>
              </w:rPr>
              <w:t>134</w:t>
            </w:r>
            <w:r>
              <w:rPr>
                <w:rFonts w:ascii="Arial" w:eastAsia="SimSun" w:hAnsi="Arial" w:cs="Arial"/>
                <w:b/>
                <w:bCs/>
                <w:snapToGrid w:val="0"/>
                <w:sz w:val="20"/>
                <w:szCs w:val="20"/>
                <w:lang w:val="es-ES_tradnl" w:eastAsia="zh-CN"/>
              </w:rPr>
              <w:t> </w:t>
            </w:r>
            <w:r w:rsidRPr="00AA591A">
              <w:rPr>
                <w:rFonts w:ascii="Arial" w:eastAsia="SimSun" w:hAnsi="Arial" w:cs="Arial"/>
                <w:b/>
                <w:bCs/>
                <w:snapToGrid w:val="0"/>
                <w:sz w:val="20"/>
                <w:szCs w:val="20"/>
                <w:lang w:val="es-ES_tradnl" w:eastAsia="zh-CN"/>
              </w:rPr>
              <w:t>686</w:t>
            </w:r>
          </w:p>
        </w:tc>
      </w:tr>
      <w:tr w:rsidR="00AA591A" w:rsidRPr="00AA591A" w14:paraId="53528883" w14:textId="77777777" w:rsidTr="00AA591A">
        <w:trPr>
          <w:trHeight w:val="24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7C4A3EDA" w14:textId="77777777" w:rsidR="00AA591A" w:rsidRPr="00AA591A" w:rsidRDefault="00AA591A" w:rsidP="00AA591A">
            <w:pPr>
              <w:spacing w:after="0" w:line="240" w:lineRule="auto"/>
              <w:rPr>
                <w:rFonts w:ascii="Arial" w:eastAsia="Times New Roman" w:hAnsi="Arial" w:cs="Arial"/>
                <w:color w:val="000000"/>
                <w:sz w:val="20"/>
                <w:szCs w:val="20"/>
                <w:lang w:val="es-ES_tradnl" w:eastAsia="zh-CN"/>
              </w:rPr>
            </w:pPr>
            <w:r w:rsidRPr="00AA591A">
              <w:rPr>
                <w:rFonts w:ascii="Arial" w:eastAsia="SimSun" w:hAnsi="Arial" w:cs="Arial"/>
                <w:snapToGrid w:val="0"/>
                <w:sz w:val="20"/>
                <w:szCs w:val="20"/>
                <w:lang w:val="es-ES_tradnl" w:eastAsia="zh-CN"/>
              </w:rPr>
              <w:t>Personal</w:t>
            </w:r>
          </w:p>
        </w:tc>
        <w:tc>
          <w:tcPr>
            <w:tcW w:w="2844" w:type="dxa"/>
            <w:tcBorders>
              <w:top w:val="nil"/>
              <w:left w:val="nil"/>
              <w:bottom w:val="single" w:sz="4" w:space="0" w:color="auto"/>
              <w:right w:val="single" w:sz="4" w:space="0" w:color="auto"/>
            </w:tcBorders>
            <w:shd w:val="clear" w:color="auto" w:fill="auto"/>
            <w:noWrap/>
            <w:vAlign w:val="bottom"/>
            <w:hideMark/>
          </w:tcPr>
          <w:p w14:paraId="475A28B5" w14:textId="762945D5" w:rsidR="00AA591A" w:rsidRPr="00AA591A" w:rsidRDefault="00AA591A" w:rsidP="00AA591A">
            <w:pPr>
              <w:spacing w:after="0" w:line="240" w:lineRule="auto"/>
              <w:ind w:right="274"/>
              <w:jc w:val="right"/>
              <w:rPr>
                <w:rFonts w:ascii="Arial" w:eastAsia="Times New Roman" w:hAnsi="Arial" w:cs="Arial"/>
                <w:color w:val="000000"/>
                <w:sz w:val="20"/>
                <w:szCs w:val="20"/>
                <w:lang w:val="es-ES_tradnl" w:eastAsia="zh-CN"/>
              </w:rPr>
            </w:pPr>
            <w:r w:rsidRPr="00AA591A">
              <w:rPr>
                <w:rFonts w:ascii="Arial" w:eastAsia="SimSun" w:hAnsi="Arial" w:cs="Arial"/>
                <w:snapToGrid w:val="0"/>
                <w:sz w:val="20"/>
                <w:szCs w:val="20"/>
                <w:lang w:val="es-ES_tradnl" w:eastAsia="zh-CN"/>
              </w:rPr>
              <w:t>9</w:t>
            </w:r>
            <w:r>
              <w:rPr>
                <w:rFonts w:ascii="Arial" w:eastAsia="SimSun" w:hAnsi="Arial" w:cs="Arial"/>
                <w:snapToGrid w:val="0"/>
                <w:sz w:val="20"/>
                <w:szCs w:val="20"/>
                <w:lang w:val="es-ES_tradnl" w:eastAsia="zh-CN"/>
              </w:rPr>
              <w:t> </w:t>
            </w:r>
            <w:r w:rsidRPr="00AA591A">
              <w:rPr>
                <w:rFonts w:ascii="Arial" w:eastAsia="SimSun" w:hAnsi="Arial" w:cs="Arial"/>
                <w:snapToGrid w:val="0"/>
                <w:sz w:val="20"/>
                <w:szCs w:val="20"/>
                <w:lang w:val="es-ES_tradnl" w:eastAsia="zh-CN"/>
              </w:rPr>
              <w:t>959</w:t>
            </w:r>
            <w:r>
              <w:rPr>
                <w:rFonts w:ascii="Arial" w:eastAsia="SimSun" w:hAnsi="Arial" w:cs="Arial"/>
                <w:snapToGrid w:val="0"/>
                <w:sz w:val="20"/>
                <w:szCs w:val="20"/>
                <w:lang w:val="es-ES_tradnl" w:eastAsia="zh-CN"/>
              </w:rPr>
              <w:t> </w:t>
            </w:r>
            <w:r w:rsidRPr="00AA591A">
              <w:rPr>
                <w:rFonts w:ascii="Arial" w:eastAsia="SimSun" w:hAnsi="Arial" w:cs="Arial"/>
                <w:snapToGrid w:val="0"/>
                <w:sz w:val="20"/>
                <w:szCs w:val="20"/>
                <w:lang w:val="es-ES_tradnl" w:eastAsia="zh-CN"/>
              </w:rPr>
              <w:t>017</w:t>
            </w:r>
          </w:p>
        </w:tc>
        <w:tc>
          <w:tcPr>
            <w:tcW w:w="2826" w:type="dxa"/>
            <w:tcBorders>
              <w:top w:val="nil"/>
              <w:left w:val="nil"/>
              <w:bottom w:val="single" w:sz="4" w:space="0" w:color="auto"/>
              <w:right w:val="single" w:sz="4" w:space="0" w:color="auto"/>
            </w:tcBorders>
            <w:shd w:val="clear" w:color="auto" w:fill="auto"/>
            <w:noWrap/>
            <w:vAlign w:val="bottom"/>
            <w:hideMark/>
          </w:tcPr>
          <w:p w14:paraId="68D876CD" w14:textId="63D39739" w:rsidR="00AA591A" w:rsidRPr="00AA591A" w:rsidRDefault="00AA591A" w:rsidP="00AA591A">
            <w:pPr>
              <w:spacing w:after="0" w:line="240" w:lineRule="auto"/>
              <w:ind w:right="313"/>
              <w:jc w:val="right"/>
              <w:rPr>
                <w:rFonts w:ascii="Arial" w:eastAsia="Times New Roman" w:hAnsi="Arial" w:cs="Arial"/>
                <w:color w:val="000000"/>
                <w:sz w:val="20"/>
                <w:szCs w:val="20"/>
                <w:lang w:val="es-ES_tradnl" w:eastAsia="zh-CN"/>
              </w:rPr>
            </w:pPr>
            <w:r w:rsidRPr="00AA591A">
              <w:rPr>
                <w:rFonts w:ascii="Arial" w:eastAsia="SimSun" w:hAnsi="Arial" w:cs="Arial"/>
                <w:snapToGrid w:val="0"/>
                <w:sz w:val="20"/>
                <w:szCs w:val="20"/>
                <w:lang w:val="es-ES_tradnl" w:eastAsia="zh-CN"/>
              </w:rPr>
              <w:t>12</w:t>
            </w:r>
            <w:r>
              <w:rPr>
                <w:rFonts w:ascii="Arial" w:eastAsia="SimSun" w:hAnsi="Arial" w:cs="Arial"/>
                <w:snapToGrid w:val="0"/>
                <w:sz w:val="20"/>
                <w:szCs w:val="20"/>
                <w:lang w:val="es-ES_tradnl" w:eastAsia="zh-CN"/>
              </w:rPr>
              <w:t> </w:t>
            </w:r>
            <w:r w:rsidRPr="00AA591A">
              <w:rPr>
                <w:rFonts w:ascii="Arial" w:eastAsia="SimSun" w:hAnsi="Arial" w:cs="Arial"/>
                <w:snapToGrid w:val="0"/>
                <w:sz w:val="20"/>
                <w:szCs w:val="20"/>
                <w:lang w:val="es-ES_tradnl" w:eastAsia="zh-CN"/>
              </w:rPr>
              <w:t>102</w:t>
            </w:r>
            <w:r>
              <w:rPr>
                <w:rFonts w:ascii="Arial" w:eastAsia="SimSun" w:hAnsi="Arial" w:cs="Arial"/>
                <w:snapToGrid w:val="0"/>
                <w:sz w:val="20"/>
                <w:szCs w:val="20"/>
                <w:lang w:val="es-ES_tradnl" w:eastAsia="zh-CN"/>
              </w:rPr>
              <w:t> </w:t>
            </w:r>
            <w:r w:rsidRPr="00AA591A">
              <w:rPr>
                <w:rFonts w:ascii="Arial" w:eastAsia="SimSun" w:hAnsi="Arial" w:cs="Arial"/>
                <w:snapToGrid w:val="0"/>
                <w:sz w:val="20"/>
                <w:szCs w:val="20"/>
                <w:lang w:val="es-ES_tradnl" w:eastAsia="zh-CN"/>
              </w:rPr>
              <w:t>087</w:t>
            </w:r>
          </w:p>
        </w:tc>
      </w:tr>
      <w:tr w:rsidR="00AA591A" w:rsidRPr="00AA591A" w14:paraId="60C1EC32" w14:textId="77777777" w:rsidTr="00AA591A">
        <w:trPr>
          <w:trHeight w:val="24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204BF4F7" w14:textId="77777777" w:rsidR="00AA591A" w:rsidRPr="00AA591A" w:rsidRDefault="00AA591A" w:rsidP="00AA591A">
            <w:pPr>
              <w:spacing w:after="0" w:line="240" w:lineRule="auto"/>
              <w:rPr>
                <w:rFonts w:ascii="Arial" w:eastAsia="Times New Roman" w:hAnsi="Arial" w:cs="Arial"/>
                <w:color w:val="000000"/>
                <w:sz w:val="20"/>
                <w:szCs w:val="20"/>
                <w:lang w:val="es-ES_tradnl" w:eastAsia="zh-CN"/>
              </w:rPr>
            </w:pPr>
            <w:r w:rsidRPr="00AA591A">
              <w:rPr>
                <w:rFonts w:ascii="Arial" w:eastAsia="SimSun" w:hAnsi="Arial" w:cs="Arial"/>
                <w:snapToGrid w:val="0"/>
                <w:sz w:val="20"/>
                <w:szCs w:val="20"/>
                <w:lang w:val="es-ES_tradnl" w:eastAsia="zh-CN"/>
              </w:rPr>
              <w:t>Actividades (no relacionadas con el personal)</w:t>
            </w:r>
          </w:p>
        </w:tc>
        <w:tc>
          <w:tcPr>
            <w:tcW w:w="2844" w:type="dxa"/>
            <w:tcBorders>
              <w:top w:val="nil"/>
              <w:left w:val="nil"/>
              <w:bottom w:val="single" w:sz="4" w:space="0" w:color="auto"/>
              <w:right w:val="single" w:sz="4" w:space="0" w:color="auto"/>
            </w:tcBorders>
            <w:shd w:val="clear" w:color="auto" w:fill="auto"/>
            <w:noWrap/>
            <w:vAlign w:val="bottom"/>
            <w:hideMark/>
          </w:tcPr>
          <w:p w14:paraId="1D01665F" w14:textId="10A2D23B" w:rsidR="00AA591A" w:rsidRPr="00AA591A" w:rsidRDefault="00AA591A" w:rsidP="00AA591A">
            <w:pPr>
              <w:spacing w:after="0" w:line="240" w:lineRule="auto"/>
              <w:ind w:right="274"/>
              <w:jc w:val="right"/>
              <w:rPr>
                <w:rFonts w:ascii="Arial" w:eastAsia="Times New Roman" w:hAnsi="Arial" w:cs="Arial"/>
                <w:color w:val="000000"/>
                <w:sz w:val="20"/>
                <w:szCs w:val="20"/>
                <w:lang w:val="es-ES_tradnl" w:eastAsia="zh-CN"/>
              </w:rPr>
            </w:pPr>
            <w:r w:rsidRPr="00AA591A">
              <w:rPr>
                <w:rFonts w:ascii="Arial" w:eastAsia="SimSun" w:hAnsi="Arial" w:cs="Arial"/>
                <w:snapToGrid w:val="0"/>
                <w:sz w:val="20"/>
                <w:szCs w:val="20"/>
                <w:lang w:val="es-ES_tradnl" w:eastAsia="zh-CN"/>
              </w:rPr>
              <w:t>3</w:t>
            </w:r>
            <w:r>
              <w:rPr>
                <w:rFonts w:ascii="Arial" w:eastAsia="SimSun" w:hAnsi="Arial" w:cs="Arial"/>
                <w:snapToGrid w:val="0"/>
                <w:sz w:val="20"/>
                <w:szCs w:val="20"/>
                <w:lang w:val="es-ES_tradnl" w:eastAsia="zh-CN"/>
              </w:rPr>
              <w:t> </w:t>
            </w:r>
            <w:r w:rsidRPr="00AA591A">
              <w:rPr>
                <w:rFonts w:ascii="Arial" w:eastAsia="SimSun" w:hAnsi="Arial" w:cs="Arial"/>
                <w:snapToGrid w:val="0"/>
                <w:sz w:val="20"/>
                <w:szCs w:val="20"/>
                <w:lang w:val="es-ES_tradnl" w:eastAsia="zh-CN"/>
              </w:rPr>
              <w:t>587</w:t>
            </w:r>
            <w:r>
              <w:rPr>
                <w:rFonts w:ascii="Arial" w:eastAsia="SimSun" w:hAnsi="Arial" w:cs="Arial"/>
                <w:snapToGrid w:val="0"/>
                <w:sz w:val="20"/>
                <w:szCs w:val="20"/>
                <w:lang w:val="es-ES_tradnl" w:eastAsia="zh-CN"/>
              </w:rPr>
              <w:t> </w:t>
            </w:r>
            <w:r w:rsidRPr="00AA591A">
              <w:rPr>
                <w:rFonts w:ascii="Arial" w:eastAsia="SimSun" w:hAnsi="Arial" w:cs="Arial"/>
                <w:snapToGrid w:val="0"/>
                <w:sz w:val="20"/>
                <w:szCs w:val="20"/>
                <w:lang w:val="es-ES_tradnl" w:eastAsia="zh-CN"/>
              </w:rPr>
              <w:t>583</w:t>
            </w:r>
          </w:p>
        </w:tc>
        <w:tc>
          <w:tcPr>
            <w:tcW w:w="2826" w:type="dxa"/>
            <w:tcBorders>
              <w:top w:val="nil"/>
              <w:left w:val="nil"/>
              <w:bottom w:val="single" w:sz="4" w:space="0" w:color="auto"/>
              <w:right w:val="single" w:sz="4" w:space="0" w:color="auto"/>
            </w:tcBorders>
            <w:shd w:val="clear" w:color="auto" w:fill="auto"/>
            <w:noWrap/>
            <w:vAlign w:val="bottom"/>
            <w:hideMark/>
          </w:tcPr>
          <w:p w14:paraId="59C11EA8" w14:textId="18D2BA8E" w:rsidR="00AA591A" w:rsidRPr="00AA591A" w:rsidRDefault="00AA591A" w:rsidP="00AA591A">
            <w:pPr>
              <w:spacing w:after="0" w:line="240" w:lineRule="auto"/>
              <w:ind w:right="313"/>
              <w:jc w:val="right"/>
              <w:rPr>
                <w:rFonts w:ascii="Arial" w:eastAsia="Times New Roman" w:hAnsi="Arial" w:cs="Arial"/>
                <w:color w:val="000000"/>
                <w:sz w:val="20"/>
                <w:szCs w:val="20"/>
                <w:lang w:val="es-ES_tradnl" w:eastAsia="zh-CN"/>
              </w:rPr>
            </w:pPr>
            <w:r w:rsidRPr="00AA591A">
              <w:rPr>
                <w:rFonts w:ascii="Arial" w:eastAsia="SimSun" w:hAnsi="Arial" w:cs="Arial"/>
                <w:snapToGrid w:val="0"/>
                <w:sz w:val="20"/>
                <w:szCs w:val="20"/>
                <w:lang w:val="es-ES_tradnl" w:eastAsia="zh-CN"/>
              </w:rPr>
              <w:t>9</w:t>
            </w:r>
            <w:r>
              <w:rPr>
                <w:rFonts w:ascii="Arial" w:eastAsia="SimSun" w:hAnsi="Arial" w:cs="Arial"/>
                <w:snapToGrid w:val="0"/>
                <w:sz w:val="20"/>
                <w:szCs w:val="20"/>
                <w:lang w:val="es-ES_tradnl" w:eastAsia="zh-CN"/>
              </w:rPr>
              <w:t> </w:t>
            </w:r>
            <w:r w:rsidRPr="00AA591A">
              <w:rPr>
                <w:rFonts w:ascii="Arial" w:eastAsia="SimSun" w:hAnsi="Arial" w:cs="Arial"/>
                <w:snapToGrid w:val="0"/>
                <w:sz w:val="20"/>
                <w:szCs w:val="20"/>
                <w:lang w:val="es-ES_tradnl" w:eastAsia="zh-CN"/>
              </w:rPr>
              <w:t>032</w:t>
            </w:r>
            <w:r>
              <w:rPr>
                <w:rFonts w:ascii="Arial" w:eastAsia="SimSun" w:hAnsi="Arial" w:cs="Arial"/>
                <w:snapToGrid w:val="0"/>
                <w:sz w:val="20"/>
                <w:szCs w:val="20"/>
                <w:lang w:val="es-ES_tradnl" w:eastAsia="zh-CN"/>
              </w:rPr>
              <w:t> </w:t>
            </w:r>
            <w:r w:rsidRPr="00AA591A">
              <w:rPr>
                <w:rFonts w:ascii="Arial" w:eastAsia="SimSun" w:hAnsi="Arial" w:cs="Arial"/>
                <w:snapToGrid w:val="0"/>
                <w:sz w:val="20"/>
                <w:szCs w:val="20"/>
                <w:lang w:val="es-ES_tradnl" w:eastAsia="zh-CN"/>
              </w:rPr>
              <w:t>599</w:t>
            </w:r>
          </w:p>
        </w:tc>
      </w:tr>
      <w:tr w:rsidR="00AA591A" w:rsidRPr="00AA591A" w14:paraId="5CACD76F" w14:textId="77777777" w:rsidTr="00AA591A">
        <w:trPr>
          <w:trHeight w:val="240"/>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0A8F19DA" w14:textId="77777777" w:rsidR="00AA591A" w:rsidRPr="00AA591A" w:rsidRDefault="00AA591A" w:rsidP="00AA591A">
            <w:pPr>
              <w:spacing w:after="0" w:line="240" w:lineRule="auto"/>
              <w:rPr>
                <w:rFonts w:ascii="Arial" w:eastAsia="Times New Roman" w:hAnsi="Arial" w:cs="Arial"/>
                <w:b/>
                <w:bCs/>
                <w:color w:val="000000"/>
                <w:sz w:val="20"/>
                <w:szCs w:val="20"/>
                <w:lang w:val="es-ES_tradnl" w:eastAsia="zh-CN"/>
              </w:rPr>
            </w:pPr>
            <w:r w:rsidRPr="00AA591A">
              <w:rPr>
                <w:rFonts w:ascii="Arial" w:eastAsia="SimSun" w:hAnsi="Arial" w:cs="Arial"/>
                <w:b/>
                <w:bCs/>
                <w:snapToGrid w:val="0"/>
                <w:sz w:val="20"/>
                <w:szCs w:val="20"/>
                <w:lang w:val="es-ES_tradnl" w:eastAsia="zh-CN"/>
              </w:rPr>
              <w:t>Contribuciones voluntarias (incl. fondos a movilizar)</w:t>
            </w:r>
          </w:p>
        </w:tc>
        <w:tc>
          <w:tcPr>
            <w:tcW w:w="2844" w:type="dxa"/>
            <w:tcBorders>
              <w:top w:val="nil"/>
              <w:left w:val="nil"/>
              <w:bottom w:val="single" w:sz="4" w:space="0" w:color="auto"/>
              <w:right w:val="single" w:sz="4" w:space="0" w:color="auto"/>
            </w:tcBorders>
            <w:shd w:val="clear" w:color="auto" w:fill="auto"/>
            <w:noWrap/>
            <w:vAlign w:val="bottom"/>
            <w:hideMark/>
          </w:tcPr>
          <w:p w14:paraId="2EDF71F3" w14:textId="365720C7" w:rsidR="00AA591A" w:rsidRPr="00AA591A" w:rsidRDefault="00AA591A" w:rsidP="00AA591A">
            <w:pPr>
              <w:spacing w:after="0" w:line="240" w:lineRule="auto"/>
              <w:ind w:right="274"/>
              <w:jc w:val="right"/>
              <w:rPr>
                <w:rFonts w:ascii="Arial" w:eastAsia="Times New Roman" w:hAnsi="Arial" w:cs="Arial"/>
                <w:b/>
                <w:bCs/>
                <w:color w:val="000000"/>
                <w:sz w:val="20"/>
                <w:szCs w:val="20"/>
                <w:lang w:val="es-ES_tradnl" w:eastAsia="zh-CN"/>
              </w:rPr>
            </w:pPr>
            <w:r w:rsidRPr="00AA591A">
              <w:rPr>
                <w:rFonts w:ascii="Arial" w:eastAsia="SimSun" w:hAnsi="Arial" w:cs="Arial"/>
                <w:b/>
                <w:bCs/>
                <w:snapToGrid w:val="0"/>
                <w:sz w:val="20"/>
                <w:szCs w:val="20"/>
                <w:lang w:val="es-ES_tradnl" w:eastAsia="zh-CN"/>
              </w:rPr>
              <w:t>21</w:t>
            </w:r>
            <w:r>
              <w:rPr>
                <w:rFonts w:ascii="Arial" w:eastAsia="SimSun" w:hAnsi="Arial" w:cs="Arial"/>
                <w:b/>
                <w:bCs/>
                <w:snapToGrid w:val="0"/>
                <w:sz w:val="20"/>
                <w:szCs w:val="20"/>
                <w:lang w:val="es-ES_tradnl" w:eastAsia="zh-CN"/>
              </w:rPr>
              <w:t> </w:t>
            </w:r>
            <w:r w:rsidRPr="00AA591A">
              <w:rPr>
                <w:rFonts w:ascii="Arial" w:eastAsia="SimSun" w:hAnsi="Arial" w:cs="Arial"/>
                <w:b/>
                <w:bCs/>
                <w:snapToGrid w:val="0"/>
                <w:sz w:val="20"/>
                <w:szCs w:val="20"/>
                <w:lang w:val="es-ES_tradnl" w:eastAsia="zh-CN"/>
              </w:rPr>
              <w:t>830</w:t>
            </w:r>
            <w:r>
              <w:rPr>
                <w:rFonts w:ascii="Arial" w:eastAsia="SimSun" w:hAnsi="Arial" w:cs="Arial"/>
                <w:b/>
                <w:bCs/>
                <w:snapToGrid w:val="0"/>
                <w:sz w:val="20"/>
                <w:szCs w:val="20"/>
                <w:lang w:val="es-ES_tradnl" w:eastAsia="zh-CN"/>
              </w:rPr>
              <w:t> </w:t>
            </w:r>
            <w:r w:rsidRPr="00AA591A">
              <w:rPr>
                <w:rFonts w:ascii="Arial" w:eastAsia="SimSun" w:hAnsi="Arial" w:cs="Arial"/>
                <w:b/>
                <w:bCs/>
                <w:snapToGrid w:val="0"/>
                <w:sz w:val="20"/>
                <w:szCs w:val="20"/>
                <w:lang w:val="es-ES_tradnl" w:eastAsia="zh-CN"/>
              </w:rPr>
              <w:t>822</w:t>
            </w:r>
          </w:p>
        </w:tc>
        <w:tc>
          <w:tcPr>
            <w:tcW w:w="2826" w:type="dxa"/>
            <w:tcBorders>
              <w:top w:val="nil"/>
              <w:left w:val="nil"/>
              <w:bottom w:val="single" w:sz="4" w:space="0" w:color="auto"/>
              <w:right w:val="single" w:sz="4" w:space="0" w:color="auto"/>
            </w:tcBorders>
            <w:shd w:val="clear" w:color="auto" w:fill="auto"/>
            <w:noWrap/>
            <w:vAlign w:val="bottom"/>
            <w:hideMark/>
          </w:tcPr>
          <w:p w14:paraId="4D234221" w14:textId="42645AE6" w:rsidR="00AA591A" w:rsidRPr="00AA591A" w:rsidRDefault="00AA591A" w:rsidP="00AA591A">
            <w:pPr>
              <w:spacing w:after="0" w:line="240" w:lineRule="auto"/>
              <w:ind w:right="313"/>
              <w:jc w:val="right"/>
              <w:rPr>
                <w:rFonts w:ascii="Arial" w:eastAsia="Times New Roman" w:hAnsi="Arial" w:cs="Arial"/>
                <w:b/>
                <w:bCs/>
                <w:color w:val="000000"/>
                <w:sz w:val="20"/>
                <w:szCs w:val="20"/>
                <w:lang w:val="es-ES_tradnl" w:eastAsia="zh-CN"/>
              </w:rPr>
            </w:pPr>
            <w:r w:rsidRPr="00AA591A">
              <w:rPr>
                <w:rFonts w:ascii="Arial" w:eastAsia="SimSun" w:hAnsi="Arial" w:cs="Arial"/>
                <w:b/>
                <w:bCs/>
                <w:snapToGrid w:val="0"/>
                <w:sz w:val="20"/>
                <w:szCs w:val="20"/>
                <w:lang w:val="es-ES_tradnl" w:eastAsia="zh-CN"/>
              </w:rPr>
              <w:t>27</w:t>
            </w:r>
            <w:r>
              <w:rPr>
                <w:rFonts w:ascii="Arial" w:eastAsia="SimSun" w:hAnsi="Arial" w:cs="Arial"/>
                <w:b/>
                <w:bCs/>
                <w:snapToGrid w:val="0"/>
                <w:sz w:val="20"/>
                <w:szCs w:val="20"/>
                <w:lang w:val="es-ES_tradnl" w:eastAsia="zh-CN"/>
              </w:rPr>
              <w:t> </w:t>
            </w:r>
            <w:r w:rsidRPr="00AA591A">
              <w:rPr>
                <w:rFonts w:ascii="Arial" w:eastAsia="SimSun" w:hAnsi="Arial" w:cs="Arial"/>
                <w:b/>
                <w:bCs/>
                <w:snapToGrid w:val="0"/>
                <w:sz w:val="20"/>
                <w:szCs w:val="20"/>
                <w:lang w:val="es-ES_tradnl" w:eastAsia="zh-CN"/>
              </w:rPr>
              <w:t>156</w:t>
            </w:r>
            <w:r>
              <w:rPr>
                <w:rFonts w:ascii="Arial" w:eastAsia="SimSun" w:hAnsi="Arial" w:cs="Arial"/>
                <w:b/>
                <w:bCs/>
                <w:snapToGrid w:val="0"/>
                <w:sz w:val="20"/>
                <w:szCs w:val="20"/>
                <w:lang w:val="es-ES_tradnl" w:eastAsia="zh-CN"/>
              </w:rPr>
              <w:t> </w:t>
            </w:r>
            <w:r w:rsidRPr="00AA591A">
              <w:rPr>
                <w:rFonts w:ascii="Arial" w:eastAsia="SimSun" w:hAnsi="Arial" w:cs="Arial"/>
                <w:b/>
                <w:bCs/>
                <w:snapToGrid w:val="0"/>
                <w:sz w:val="20"/>
                <w:szCs w:val="20"/>
                <w:lang w:val="es-ES_tradnl" w:eastAsia="zh-CN"/>
              </w:rPr>
              <w:t>164</w:t>
            </w:r>
          </w:p>
        </w:tc>
      </w:tr>
      <w:tr w:rsidR="00AA591A" w:rsidRPr="00AA591A" w14:paraId="671FD07D" w14:textId="77777777" w:rsidTr="00AA591A">
        <w:trPr>
          <w:trHeight w:val="240"/>
        </w:trPr>
        <w:tc>
          <w:tcPr>
            <w:tcW w:w="3955" w:type="dxa"/>
            <w:tcBorders>
              <w:top w:val="nil"/>
              <w:left w:val="single" w:sz="4" w:space="0" w:color="auto"/>
              <w:bottom w:val="single" w:sz="4" w:space="0" w:color="auto"/>
              <w:right w:val="single" w:sz="4" w:space="0" w:color="auto"/>
            </w:tcBorders>
            <w:shd w:val="clear" w:color="000000" w:fill="DDEBF7"/>
            <w:noWrap/>
            <w:vAlign w:val="bottom"/>
            <w:hideMark/>
          </w:tcPr>
          <w:p w14:paraId="6DD1A94B" w14:textId="77777777" w:rsidR="00AA591A" w:rsidRPr="00AA591A" w:rsidRDefault="00AA591A" w:rsidP="00AA591A">
            <w:pPr>
              <w:spacing w:after="0" w:line="240" w:lineRule="auto"/>
              <w:rPr>
                <w:rFonts w:ascii="Arial" w:eastAsia="Times New Roman" w:hAnsi="Arial" w:cs="Arial"/>
                <w:b/>
                <w:bCs/>
                <w:color w:val="000000"/>
                <w:sz w:val="20"/>
                <w:szCs w:val="20"/>
                <w:lang w:val="es-ES_tradnl" w:eastAsia="zh-CN"/>
              </w:rPr>
            </w:pPr>
            <w:r w:rsidRPr="00AA591A">
              <w:rPr>
                <w:rFonts w:ascii="Arial" w:eastAsia="SimSun" w:hAnsi="Arial" w:cs="Arial"/>
                <w:b/>
                <w:bCs/>
                <w:snapToGrid w:val="0"/>
                <w:sz w:val="20"/>
                <w:szCs w:val="20"/>
                <w:lang w:val="es-ES_tradnl" w:eastAsia="zh-CN"/>
              </w:rPr>
              <w:t>Total marco presupuestario integrado</w:t>
            </w:r>
          </w:p>
        </w:tc>
        <w:tc>
          <w:tcPr>
            <w:tcW w:w="2844" w:type="dxa"/>
            <w:tcBorders>
              <w:top w:val="nil"/>
              <w:left w:val="nil"/>
              <w:bottom w:val="single" w:sz="4" w:space="0" w:color="auto"/>
              <w:right w:val="single" w:sz="4" w:space="0" w:color="auto"/>
            </w:tcBorders>
            <w:shd w:val="clear" w:color="000000" w:fill="DDEBF7"/>
            <w:noWrap/>
            <w:vAlign w:val="bottom"/>
            <w:hideMark/>
          </w:tcPr>
          <w:p w14:paraId="1F5898A3" w14:textId="6225B232" w:rsidR="00AA591A" w:rsidRPr="00AA591A" w:rsidRDefault="00AA591A" w:rsidP="00AA591A">
            <w:pPr>
              <w:spacing w:after="0" w:line="240" w:lineRule="auto"/>
              <w:ind w:right="274"/>
              <w:jc w:val="right"/>
              <w:rPr>
                <w:rFonts w:ascii="Arial" w:eastAsia="Times New Roman" w:hAnsi="Arial" w:cs="Arial"/>
                <w:b/>
                <w:bCs/>
                <w:color w:val="000000"/>
                <w:sz w:val="20"/>
                <w:szCs w:val="20"/>
                <w:lang w:val="es-ES_tradnl" w:eastAsia="zh-CN"/>
              </w:rPr>
            </w:pPr>
            <w:r w:rsidRPr="00AA591A">
              <w:rPr>
                <w:rFonts w:ascii="Arial" w:eastAsia="SimSun" w:hAnsi="Arial" w:cs="Arial"/>
                <w:b/>
                <w:bCs/>
                <w:snapToGrid w:val="0"/>
                <w:sz w:val="20"/>
                <w:szCs w:val="20"/>
                <w:lang w:val="es-ES_tradnl" w:eastAsia="zh-CN"/>
              </w:rPr>
              <w:t>35</w:t>
            </w:r>
            <w:r>
              <w:rPr>
                <w:rFonts w:ascii="Arial" w:eastAsia="SimSun" w:hAnsi="Arial" w:cs="Arial"/>
                <w:b/>
                <w:bCs/>
                <w:snapToGrid w:val="0"/>
                <w:sz w:val="20"/>
                <w:szCs w:val="20"/>
                <w:lang w:val="es-ES_tradnl" w:eastAsia="zh-CN"/>
              </w:rPr>
              <w:t> </w:t>
            </w:r>
            <w:r w:rsidRPr="00AA591A">
              <w:rPr>
                <w:rFonts w:ascii="Arial" w:eastAsia="SimSun" w:hAnsi="Arial" w:cs="Arial"/>
                <w:b/>
                <w:bCs/>
                <w:snapToGrid w:val="0"/>
                <w:sz w:val="20"/>
                <w:szCs w:val="20"/>
                <w:lang w:val="es-ES_tradnl" w:eastAsia="zh-CN"/>
              </w:rPr>
              <w:t>377</w:t>
            </w:r>
            <w:r>
              <w:rPr>
                <w:rFonts w:ascii="Arial" w:eastAsia="SimSun" w:hAnsi="Arial" w:cs="Arial"/>
                <w:b/>
                <w:bCs/>
                <w:snapToGrid w:val="0"/>
                <w:sz w:val="20"/>
                <w:szCs w:val="20"/>
                <w:lang w:val="es-ES_tradnl" w:eastAsia="zh-CN"/>
              </w:rPr>
              <w:t> </w:t>
            </w:r>
            <w:r w:rsidRPr="00AA591A">
              <w:rPr>
                <w:rFonts w:ascii="Arial" w:eastAsia="SimSun" w:hAnsi="Arial" w:cs="Arial"/>
                <w:b/>
                <w:bCs/>
                <w:snapToGrid w:val="0"/>
                <w:sz w:val="20"/>
                <w:szCs w:val="20"/>
                <w:lang w:val="es-ES_tradnl" w:eastAsia="zh-CN"/>
              </w:rPr>
              <w:t>422</w:t>
            </w:r>
          </w:p>
        </w:tc>
        <w:tc>
          <w:tcPr>
            <w:tcW w:w="2826" w:type="dxa"/>
            <w:tcBorders>
              <w:top w:val="nil"/>
              <w:left w:val="nil"/>
              <w:bottom w:val="single" w:sz="4" w:space="0" w:color="auto"/>
              <w:right w:val="single" w:sz="4" w:space="0" w:color="auto"/>
            </w:tcBorders>
            <w:shd w:val="clear" w:color="000000" w:fill="DDEBF7"/>
            <w:noWrap/>
            <w:vAlign w:val="bottom"/>
            <w:hideMark/>
          </w:tcPr>
          <w:p w14:paraId="24E45865" w14:textId="3E439B64" w:rsidR="00AA591A" w:rsidRPr="00AA591A" w:rsidRDefault="00AA591A" w:rsidP="00AA591A">
            <w:pPr>
              <w:spacing w:after="0" w:line="240" w:lineRule="auto"/>
              <w:ind w:right="313"/>
              <w:jc w:val="right"/>
              <w:rPr>
                <w:rFonts w:ascii="Arial" w:eastAsia="Times New Roman" w:hAnsi="Arial" w:cs="Arial"/>
                <w:b/>
                <w:bCs/>
                <w:color w:val="000000"/>
                <w:sz w:val="20"/>
                <w:szCs w:val="20"/>
                <w:lang w:val="es-ES_tradnl" w:eastAsia="zh-CN"/>
              </w:rPr>
            </w:pPr>
            <w:r w:rsidRPr="00AA591A">
              <w:rPr>
                <w:rFonts w:ascii="Arial" w:eastAsia="SimSun" w:hAnsi="Arial" w:cs="Arial"/>
                <w:b/>
                <w:bCs/>
                <w:snapToGrid w:val="0"/>
                <w:sz w:val="20"/>
                <w:szCs w:val="20"/>
                <w:lang w:val="es-ES_tradnl" w:eastAsia="zh-CN"/>
              </w:rPr>
              <w:t>48</w:t>
            </w:r>
            <w:r>
              <w:rPr>
                <w:rFonts w:ascii="Arial" w:eastAsia="SimSun" w:hAnsi="Arial" w:cs="Arial"/>
                <w:b/>
                <w:bCs/>
                <w:snapToGrid w:val="0"/>
                <w:sz w:val="20"/>
                <w:szCs w:val="20"/>
                <w:lang w:val="es-ES_tradnl" w:eastAsia="zh-CN"/>
              </w:rPr>
              <w:t> </w:t>
            </w:r>
            <w:r w:rsidRPr="00AA591A">
              <w:rPr>
                <w:rFonts w:ascii="Arial" w:eastAsia="SimSun" w:hAnsi="Arial" w:cs="Arial"/>
                <w:b/>
                <w:bCs/>
                <w:snapToGrid w:val="0"/>
                <w:sz w:val="20"/>
                <w:szCs w:val="20"/>
                <w:lang w:val="es-ES_tradnl" w:eastAsia="zh-CN"/>
              </w:rPr>
              <w:t>290</w:t>
            </w:r>
            <w:r>
              <w:rPr>
                <w:rFonts w:ascii="Arial" w:eastAsia="SimSun" w:hAnsi="Arial" w:cs="Arial"/>
                <w:b/>
                <w:bCs/>
                <w:snapToGrid w:val="0"/>
                <w:sz w:val="20"/>
                <w:szCs w:val="20"/>
                <w:lang w:val="es-ES_tradnl" w:eastAsia="zh-CN"/>
              </w:rPr>
              <w:t> </w:t>
            </w:r>
            <w:r w:rsidRPr="00AA591A">
              <w:rPr>
                <w:rFonts w:ascii="Arial" w:eastAsia="SimSun" w:hAnsi="Arial" w:cs="Arial"/>
                <w:b/>
                <w:bCs/>
                <w:snapToGrid w:val="0"/>
                <w:sz w:val="20"/>
                <w:szCs w:val="20"/>
                <w:lang w:val="es-ES_tradnl" w:eastAsia="zh-CN"/>
              </w:rPr>
              <w:t>850</w:t>
            </w:r>
          </w:p>
        </w:tc>
      </w:tr>
    </w:tbl>
    <w:p w14:paraId="4C9EFE3F" w14:textId="77777777" w:rsidR="00AA591A" w:rsidRPr="00AA591A" w:rsidRDefault="00AA591A" w:rsidP="00AA591A">
      <w:pPr>
        <w:numPr>
          <w:ilvl w:val="0"/>
          <w:numId w:val="32"/>
        </w:numPr>
        <w:pBdr>
          <w:top w:val="nil"/>
          <w:left w:val="nil"/>
          <w:bottom w:val="nil"/>
          <w:right w:val="nil"/>
          <w:between w:val="nil"/>
        </w:pBdr>
        <w:shd w:val="clear" w:color="auto" w:fill="FFFFFF"/>
        <w:tabs>
          <w:tab w:val="left" w:pos="567"/>
        </w:tabs>
        <w:spacing w:before="240" w:after="120" w:line="240" w:lineRule="auto"/>
        <w:ind w:left="0" w:firstLine="0"/>
        <w:jc w:val="both"/>
        <w:rPr>
          <w:rFonts w:ascii="Arial" w:eastAsia="SimSun" w:hAnsi="Arial" w:cs="Arial"/>
          <w:snapToGrid w:val="0"/>
          <w:lang w:val="es-ES_tradnl" w:eastAsia="zh-CN"/>
        </w:rPr>
      </w:pPr>
      <w:r w:rsidRPr="00AA591A">
        <w:rPr>
          <w:rFonts w:ascii="Arial" w:eastAsia="SimSun" w:hAnsi="Arial" w:cs="Arial"/>
          <w:snapToGrid w:val="0"/>
          <w:lang w:val="es-ES_tradnl" w:eastAsia="zh-CN"/>
        </w:rPr>
        <w:t xml:space="preserve">Al elaborar sus planes de trabajo para 2024-2025, la Secretaría se guio por los siguientes principios de alto nivel aprobados por los Estados Miembros de la COI en la </w:t>
      </w:r>
      <w:hyperlink r:id="rId23" w:history="1">
        <w:r w:rsidRPr="00AA591A">
          <w:rPr>
            <w:rFonts w:ascii="Arial" w:eastAsia="SimSun" w:hAnsi="Arial" w:cs="Arial"/>
            <w:snapToGrid w:val="0"/>
            <w:color w:val="0000FF" w:themeColor="hyperlink"/>
            <w:u w:val="single"/>
            <w:lang w:val="es-ES_tradnl" w:eastAsia="zh-CN"/>
          </w:rPr>
          <w:t>resolución A-32/4.II de la COI</w:t>
        </w:r>
      </w:hyperlink>
      <w:r w:rsidRPr="00AA591A">
        <w:rPr>
          <w:rFonts w:ascii="Arial" w:eastAsia="SimSun" w:hAnsi="Arial" w:cs="Arial"/>
          <w:snapToGrid w:val="0"/>
          <w:lang w:val="es-ES_tradnl" w:eastAsia="zh-CN"/>
        </w:rPr>
        <w:t>, relativa a la asignación de recursos adicionales con cargo al presupuesto ordinario, con miras a “la estabilización de las funciones de la COI, incluidos los recursos humanos, para subsanar las carencias y atender los riesgos críticos a fin de proporcionar una base sólida para el futuro”:</w:t>
      </w:r>
    </w:p>
    <w:p w14:paraId="0A8C90BB" w14:textId="77777777" w:rsidR="00AA591A" w:rsidRPr="00AA591A" w:rsidRDefault="00AA591A" w:rsidP="00AA591A">
      <w:pPr>
        <w:numPr>
          <w:ilvl w:val="0"/>
          <w:numId w:val="44"/>
        </w:numPr>
        <w:spacing w:after="120" w:line="240" w:lineRule="auto"/>
        <w:ind w:left="1134" w:hanging="567"/>
        <w:jc w:val="both"/>
        <w:rPr>
          <w:rFonts w:ascii="Arial" w:eastAsia="Times New Roman" w:hAnsi="Arial" w:cs="Arial"/>
          <w:lang w:val="es-ES_tradnl" w:eastAsia="zh-CN"/>
        </w:rPr>
      </w:pPr>
      <w:r w:rsidRPr="00AA591A">
        <w:rPr>
          <w:rFonts w:ascii="Arial" w:eastAsia="SimSun" w:hAnsi="Arial" w:cs="Arial"/>
          <w:snapToGrid w:val="0"/>
          <w:lang w:val="es-ES_tradnl" w:eastAsia="zh-CN"/>
        </w:rPr>
        <w:t>velar por la asignación a IOCAFRICA de un incremento no inferior al 1 % del presupuesto ordinario de la COI;</w:t>
      </w:r>
    </w:p>
    <w:p w14:paraId="4D99013E" w14:textId="77777777" w:rsidR="00AA591A" w:rsidRPr="00AA591A" w:rsidRDefault="00AA591A" w:rsidP="00AA591A">
      <w:pPr>
        <w:numPr>
          <w:ilvl w:val="0"/>
          <w:numId w:val="44"/>
        </w:numPr>
        <w:spacing w:after="120" w:line="240" w:lineRule="auto"/>
        <w:ind w:left="1134" w:hanging="567"/>
        <w:jc w:val="both"/>
        <w:rPr>
          <w:rFonts w:ascii="Arial" w:eastAsia="Times New Roman" w:hAnsi="Arial" w:cs="Arial"/>
          <w:lang w:val="es-ES_tradnl" w:eastAsia="zh-CN"/>
        </w:rPr>
      </w:pPr>
      <w:r w:rsidRPr="00AA591A">
        <w:rPr>
          <w:rFonts w:ascii="Arial" w:eastAsia="SimSun" w:hAnsi="Arial" w:cs="Arial"/>
          <w:snapToGrid w:val="0"/>
          <w:lang w:val="es-ES_tradnl" w:eastAsia="zh-CN"/>
        </w:rPr>
        <w:t xml:space="preserve">procurar respetar la proporción entre los gastos de personal y los gastos no relacionados con el personal sufragados con cargo al presupuesto ordinario, como recomendó anteriormente la Asamblea de la COI en su </w:t>
      </w:r>
      <w:hyperlink r:id="rId24" w:history="1">
        <w:r w:rsidRPr="00AA591A">
          <w:rPr>
            <w:rFonts w:ascii="Arial" w:eastAsia="SimSun" w:hAnsi="Arial" w:cs="Arial"/>
            <w:snapToGrid w:val="0"/>
            <w:color w:val="0000FF" w:themeColor="hyperlink"/>
            <w:u w:val="single"/>
            <w:lang w:val="es-ES_tradnl" w:eastAsia="zh-CN"/>
          </w:rPr>
          <w:t>resolución XXVII-2</w:t>
        </w:r>
      </w:hyperlink>
      <w:r w:rsidRPr="00AA591A">
        <w:rPr>
          <w:rFonts w:ascii="Arial" w:eastAsia="SimSun" w:hAnsi="Arial" w:cs="Arial"/>
          <w:snapToGrid w:val="0"/>
          <w:lang w:val="es-ES_tradnl" w:eastAsia="zh-CN"/>
        </w:rPr>
        <w:t>;</w:t>
      </w:r>
    </w:p>
    <w:p w14:paraId="01D180EB" w14:textId="77777777" w:rsidR="00AA591A" w:rsidRPr="00AA591A" w:rsidRDefault="00AA591A" w:rsidP="00AA591A">
      <w:pPr>
        <w:numPr>
          <w:ilvl w:val="0"/>
          <w:numId w:val="44"/>
        </w:numPr>
        <w:spacing w:after="120" w:line="240" w:lineRule="auto"/>
        <w:ind w:left="1134" w:hanging="567"/>
        <w:jc w:val="both"/>
        <w:rPr>
          <w:rFonts w:ascii="Arial" w:eastAsia="Times New Roman" w:hAnsi="Arial" w:cs="Arial"/>
          <w:lang w:val="es-ES_tradnl" w:eastAsia="zh-CN"/>
        </w:rPr>
      </w:pPr>
      <w:r w:rsidRPr="00AA591A">
        <w:rPr>
          <w:rFonts w:ascii="Arial" w:eastAsia="SimSun" w:hAnsi="Arial" w:cs="Arial"/>
          <w:snapToGrid w:val="0"/>
          <w:lang w:val="es-ES_tradnl" w:eastAsia="zh-CN"/>
        </w:rPr>
        <w:t xml:space="preserve">garantizar que </w:t>
      </w:r>
      <w:r w:rsidRPr="00AA591A">
        <w:rPr>
          <w:rFonts w:ascii="Arial" w:eastAsia="SimSun" w:hAnsi="Arial" w:cs="Arial"/>
          <w:snapToGrid w:val="0"/>
          <w:u w:val="single"/>
          <w:lang w:val="es-ES_tradnl" w:eastAsia="zh-CN"/>
        </w:rPr>
        <w:t>al menos una tercera parte</w:t>
      </w:r>
      <w:r w:rsidRPr="00AA591A">
        <w:rPr>
          <w:rFonts w:ascii="Arial" w:eastAsia="SimSun" w:hAnsi="Arial" w:cs="Arial"/>
          <w:snapToGrid w:val="0"/>
          <w:lang w:val="es-ES_tradnl" w:eastAsia="zh-CN"/>
        </w:rPr>
        <w:t xml:space="preserve"> de los recursos adicionales se asigne a “estabilizar todas las funciones existentes de la COI, con la base indicativa de prorrateo para la distribución incluida en el anexo 1 de la resolución A-32/4 de la COI;</w:t>
      </w:r>
    </w:p>
    <w:p w14:paraId="5D4B5F3B" w14:textId="77777777" w:rsidR="00AA591A" w:rsidRPr="00AA591A" w:rsidRDefault="00AA591A" w:rsidP="00AA591A">
      <w:pPr>
        <w:numPr>
          <w:ilvl w:val="0"/>
          <w:numId w:val="44"/>
        </w:numPr>
        <w:spacing w:after="120" w:line="240" w:lineRule="auto"/>
        <w:ind w:left="1134" w:hanging="567"/>
        <w:jc w:val="both"/>
        <w:rPr>
          <w:rFonts w:ascii="Arial" w:eastAsia="Times New Roman" w:hAnsi="Arial" w:cs="Arial"/>
          <w:lang w:val="es-ES_tradnl" w:eastAsia="zh-CN"/>
        </w:rPr>
      </w:pPr>
      <w:r w:rsidRPr="00AA591A">
        <w:rPr>
          <w:rFonts w:ascii="Arial" w:eastAsia="SimSun" w:hAnsi="Arial" w:cs="Arial"/>
          <w:snapToGrid w:val="0"/>
          <w:lang w:val="es-ES_tradnl" w:eastAsia="zh-CN"/>
        </w:rPr>
        <w:t xml:space="preserve">asignar </w:t>
      </w:r>
      <w:r w:rsidRPr="00AA591A">
        <w:rPr>
          <w:rFonts w:ascii="Arial" w:eastAsia="SimSun" w:hAnsi="Arial" w:cs="Arial"/>
          <w:snapToGrid w:val="0"/>
          <w:u w:val="single"/>
          <w:lang w:val="es-ES_tradnl" w:eastAsia="zh-CN"/>
        </w:rPr>
        <w:t>al menos una tercera parte</w:t>
      </w:r>
      <w:r w:rsidRPr="00AA591A">
        <w:rPr>
          <w:rFonts w:ascii="Arial" w:eastAsia="SimSun" w:hAnsi="Arial" w:cs="Arial"/>
          <w:snapToGrid w:val="0"/>
          <w:lang w:val="es-ES_tradnl" w:eastAsia="zh-CN"/>
        </w:rPr>
        <w:t xml:space="preserve"> de los recursos adicionales a inversiones específicas centradas en zonas de vulnerabilidad crítica:</w:t>
      </w:r>
    </w:p>
    <w:p w14:paraId="2F914C8E" w14:textId="77777777" w:rsidR="00AA591A" w:rsidRPr="00AA591A" w:rsidRDefault="00AA591A" w:rsidP="00AA591A">
      <w:pPr>
        <w:numPr>
          <w:ilvl w:val="0"/>
          <w:numId w:val="43"/>
        </w:numPr>
        <w:spacing w:after="120" w:line="240" w:lineRule="auto"/>
        <w:ind w:left="1701" w:hanging="567"/>
        <w:jc w:val="both"/>
        <w:rPr>
          <w:rFonts w:ascii="Arial" w:eastAsia="Times New Roman" w:hAnsi="Arial" w:cs="Arial"/>
          <w:lang w:val="es-ES_tradnl" w:eastAsia="zh-CN"/>
        </w:rPr>
      </w:pPr>
      <w:r w:rsidRPr="00AA591A">
        <w:rPr>
          <w:rFonts w:ascii="Arial" w:eastAsia="SimSun" w:hAnsi="Arial" w:cs="Arial"/>
          <w:snapToGrid w:val="0"/>
          <w:lang w:val="es-ES_tradnl" w:eastAsia="zh-CN"/>
        </w:rPr>
        <w:t>IODE</w:t>
      </w:r>
    </w:p>
    <w:p w14:paraId="7432A033" w14:textId="77777777" w:rsidR="00AA591A" w:rsidRPr="00AA591A" w:rsidRDefault="00AA591A" w:rsidP="00AA591A">
      <w:pPr>
        <w:numPr>
          <w:ilvl w:val="0"/>
          <w:numId w:val="43"/>
        </w:numPr>
        <w:spacing w:after="120" w:line="240" w:lineRule="auto"/>
        <w:ind w:left="1701" w:hanging="567"/>
        <w:jc w:val="both"/>
        <w:rPr>
          <w:rFonts w:ascii="Arial" w:eastAsia="Times New Roman" w:hAnsi="Arial" w:cs="Arial"/>
          <w:lang w:val="es-ES_tradnl" w:eastAsia="zh-CN"/>
        </w:rPr>
      </w:pPr>
      <w:r w:rsidRPr="00AA591A">
        <w:rPr>
          <w:rFonts w:ascii="Arial" w:eastAsia="SimSun" w:hAnsi="Arial" w:cs="Arial"/>
          <w:snapToGrid w:val="0"/>
          <w:lang w:val="es-ES_tradnl" w:eastAsia="zh-CN"/>
        </w:rPr>
        <w:t>GOOS</w:t>
      </w:r>
    </w:p>
    <w:p w14:paraId="5538C2B5" w14:textId="77777777" w:rsidR="00AA591A" w:rsidRPr="00AA591A" w:rsidRDefault="00AA591A" w:rsidP="00AA591A">
      <w:pPr>
        <w:numPr>
          <w:ilvl w:val="0"/>
          <w:numId w:val="43"/>
        </w:numPr>
        <w:spacing w:after="120" w:line="240" w:lineRule="auto"/>
        <w:ind w:left="1701" w:hanging="567"/>
        <w:jc w:val="both"/>
        <w:rPr>
          <w:rFonts w:ascii="Arial" w:eastAsia="Times New Roman" w:hAnsi="Arial" w:cs="Arial"/>
          <w:lang w:val="es-ES_tradnl" w:eastAsia="zh-CN"/>
        </w:rPr>
      </w:pPr>
      <w:r w:rsidRPr="00AA591A">
        <w:rPr>
          <w:rFonts w:ascii="Arial" w:eastAsia="SimSun" w:hAnsi="Arial" w:cs="Arial"/>
          <w:snapToGrid w:val="0"/>
          <w:lang w:val="es-ES_tradnl" w:eastAsia="zh-CN"/>
        </w:rPr>
        <w:t>desarrollo de capacidades</w:t>
      </w:r>
    </w:p>
    <w:p w14:paraId="7D926F18" w14:textId="77777777" w:rsidR="00AA591A" w:rsidRPr="00AA591A" w:rsidRDefault="00AA591A" w:rsidP="00AA591A">
      <w:pPr>
        <w:numPr>
          <w:ilvl w:val="0"/>
          <w:numId w:val="43"/>
        </w:numPr>
        <w:spacing w:after="120" w:line="240" w:lineRule="auto"/>
        <w:ind w:left="1701" w:hanging="567"/>
        <w:jc w:val="both"/>
        <w:rPr>
          <w:rFonts w:ascii="Arial" w:eastAsia="Times New Roman" w:hAnsi="Arial" w:cs="Arial"/>
          <w:lang w:val="es-ES_tradnl" w:eastAsia="zh-CN"/>
        </w:rPr>
      </w:pPr>
      <w:r w:rsidRPr="00AA591A">
        <w:rPr>
          <w:rFonts w:ascii="Arial" w:eastAsia="SimSun" w:hAnsi="Arial" w:cs="Arial"/>
          <w:snapToGrid w:val="0"/>
          <w:lang w:val="es-ES_tradnl" w:eastAsia="zh-CN"/>
        </w:rPr>
        <w:t>órganos subsidiarios regionales.</w:t>
      </w:r>
    </w:p>
    <w:p w14:paraId="75BCE7A6" w14:textId="77777777" w:rsidR="00AA591A" w:rsidRPr="00AA591A" w:rsidRDefault="00AA591A" w:rsidP="00AA591A">
      <w:pPr>
        <w:numPr>
          <w:ilvl w:val="0"/>
          <w:numId w:val="32"/>
        </w:numPr>
        <w:pBdr>
          <w:top w:val="nil"/>
          <w:left w:val="nil"/>
          <w:bottom w:val="nil"/>
          <w:right w:val="nil"/>
          <w:between w:val="nil"/>
        </w:pBdr>
        <w:shd w:val="clear" w:color="auto" w:fill="FFFFFF"/>
        <w:tabs>
          <w:tab w:val="left" w:pos="567"/>
        </w:tabs>
        <w:snapToGrid w:val="0"/>
        <w:spacing w:after="120" w:line="240" w:lineRule="auto"/>
        <w:ind w:left="0" w:firstLine="0"/>
        <w:jc w:val="both"/>
        <w:rPr>
          <w:rFonts w:ascii="Arial" w:eastAsia="Times New Roman" w:hAnsi="Arial" w:cs="Arial"/>
          <w:snapToGrid w:val="0"/>
          <w:lang w:val="es-ES_tradnl" w:eastAsia="zh-CN"/>
        </w:rPr>
      </w:pPr>
      <w:r w:rsidRPr="00AA591A">
        <w:rPr>
          <w:rFonts w:ascii="Arial" w:eastAsia="SimSun" w:hAnsi="Arial" w:cs="Arial"/>
          <w:snapToGrid w:val="0"/>
          <w:lang w:val="es-ES_tradnl" w:eastAsia="zh-CN"/>
        </w:rPr>
        <w:t>Con los detalles de las asignaciones presupuestarias que figuran en el cuadro 2 más abajo, el resumen de los principales cambios introducidos en relación con el presupuesto ordinario es el siguiente:</w:t>
      </w:r>
    </w:p>
    <w:p w14:paraId="6B0FB5ED" w14:textId="77777777" w:rsidR="00AA591A" w:rsidRPr="00AA591A" w:rsidRDefault="00AA591A" w:rsidP="00AA591A">
      <w:pPr>
        <w:numPr>
          <w:ilvl w:val="0"/>
          <w:numId w:val="44"/>
        </w:numPr>
        <w:spacing w:after="120" w:line="240" w:lineRule="auto"/>
        <w:ind w:left="1134" w:hanging="567"/>
        <w:jc w:val="both"/>
        <w:rPr>
          <w:rFonts w:ascii="Arial" w:eastAsia="Times New Roman" w:hAnsi="Arial" w:cs="Arial"/>
          <w:snapToGrid w:val="0"/>
          <w:lang w:val="es-ES_tradnl" w:eastAsia="zh-CN"/>
        </w:rPr>
      </w:pPr>
      <w:r w:rsidRPr="00AA591A">
        <w:rPr>
          <w:rFonts w:ascii="Arial" w:eastAsia="SimSun" w:hAnsi="Arial" w:cs="Arial"/>
          <w:snapToGrid w:val="0"/>
          <w:lang w:val="es-ES_tradnl" w:eastAsia="zh-CN"/>
        </w:rPr>
        <w:t xml:space="preserve">dos tercios (68 %) de los recursos adicionales no relacionados con el personal asignados de forma generalizada para estabilizar </w:t>
      </w:r>
      <w:r w:rsidRPr="00AA591A">
        <w:rPr>
          <w:rFonts w:ascii="Arial" w:eastAsia="SimSun" w:hAnsi="Arial" w:cs="Arial"/>
          <w:snapToGrid w:val="0"/>
          <w:u w:val="single"/>
          <w:lang w:val="es-ES_tradnl" w:eastAsia="zh-CN"/>
        </w:rPr>
        <w:t>todas</w:t>
      </w:r>
      <w:r w:rsidRPr="00AA591A">
        <w:rPr>
          <w:rFonts w:ascii="Arial" w:eastAsia="SimSun" w:hAnsi="Arial" w:cs="Arial"/>
          <w:snapToGrid w:val="0"/>
          <w:lang w:val="es-ES_tradnl" w:eastAsia="zh-CN"/>
        </w:rPr>
        <w:t xml:space="preserve"> las funciones de la COI;</w:t>
      </w:r>
    </w:p>
    <w:p w14:paraId="54C33138" w14:textId="77777777" w:rsidR="00AA591A" w:rsidRPr="00AA591A" w:rsidRDefault="00AA591A" w:rsidP="00AA591A">
      <w:pPr>
        <w:numPr>
          <w:ilvl w:val="0"/>
          <w:numId w:val="44"/>
        </w:numPr>
        <w:spacing w:after="120" w:line="240" w:lineRule="auto"/>
        <w:ind w:left="1134" w:hanging="567"/>
        <w:jc w:val="both"/>
        <w:rPr>
          <w:rFonts w:ascii="Arial" w:eastAsia="Times New Roman" w:hAnsi="Arial" w:cs="Arial"/>
          <w:snapToGrid w:val="0"/>
          <w:lang w:val="es-ES_tradnl" w:eastAsia="zh-CN"/>
        </w:rPr>
      </w:pPr>
      <w:r w:rsidRPr="00AA591A">
        <w:rPr>
          <w:rFonts w:ascii="Arial" w:eastAsia="SimSun" w:hAnsi="Arial" w:cs="Arial"/>
          <w:snapToGrid w:val="0"/>
          <w:lang w:val="es-ES_tradnl" w:eastAsia="zh-CN"/>
        </w:rPr>
        <w:t>un tercio (32 %) de los recursos adicionales no relacionados con el personal asignados a inversiones específicas en el IODE, el GOOS, el desarrollo de capacidades y los órganos subsidiarios regionales;</w:t>
      </w:r>
    </w:p>
    <w:p w14:paraId="5F440F61" w14:textId="77777777" w:rsidR="00AA591A" w:rsidRPr="00AA591A" w:rsidRDefault="00AA591A" w:rsidP="00AA591A">
      <w:pPr>
        <w:numPr>
          <w:ilvl w:val="0"/>
          <w:numId w:val="44"/>
        </w:numPr>
        <w:spacing w:after="120" w:line="240" w:lineRule="auto"/>
        <w:ind w:left="1134" w:hanging="567"/>
        <w:jc w:val="both"/>
        <w:rPr>
          <w:rFonts w:ascii="Arial" w:eastAsia="Times New Roman" w:hAnsi="Arial" w:cs="Arial"/>
          <w:snapToGrid w:val="0"/>
          <w:lang w:val="es-ES_tradnl" w:eastAsia="zh-CN"/>
        </w:rPr>
      </w:pPr>
      <w:r w:rsidRPr="00AA591A">
        <w:rPr>
          <w:rFonts w:ascii="Arial" w:eastAsia="SimSun" w:hAnsi="Arial" w:cs="Arial"/>
          <w:snapToGrid w:val="0"/>
          <w:lang w:val="es-ES_tradnl" w:eastAsia="zh-CN"/>
        </w:rPr>
        <w:lastRenderedPageBreak/>
        <w:t>el presupuesto ordinario no relacionado con el personal de IOCAFRICA aumentó en un 3 % del presupuesto ordinario total de la COI en el 42 C/5 Aprobado, pasando de 239 000 dólares a 937 000 dólares;</w:t>
      </w:r>
    </w:p>
    <w:p w14:paraId="510ED481" w14:textId="77777777" w:rsidR="00AA591A" w:rsidRPr="00AA591A" w:rsidRDefault="00AA591A" w:rsidP="00AA591A">
      <w:pPr>
        <w:numPr>
          <w:ilvl w:val="0"/>
          <w:numId w:val="44"/>
        </w:numPr>
        <w:spacing w:after="120" w:line="240" w:lineRule="auto"/>
        <w:ind w:left="1134" w:hanging="567"/>
        <w:jc w:val="both"/>
        <w:rPr>
          <w:rFonts w:ascii="Arial" w:eastAsia="Times New Roman" w:hAnsi="Arial" w:cs="Arial"/>
          <w:snapToGrid w:val="0"/>
          <w:lang w:val="es-ES_tradnl" w:eastAsia="zh-CN"/>
        </w:rPr>
      </w:pPr>
      <w:r w:rsidRPr="00AA591A">
        <w:rPr>
          <w:rFonts w:ascii="Arial" w:eastAsia="SimSun" w:hAnsi="Arial" w:cs="Arial"/>
          <w:snapToGrid w:val="0"/>
          <w:lang w:val="es-ES_tradnl" w:eastAsia="zh-CN"/>
        </w:rPr>
        <w:t>en conjunto, el 73 % de los recursos adicionales se asignaron a entidades “fuera de la Sede” y el 27 % a la Sede;</w:t>
      </w:r>
    </w:p>
    <w:p w14:paraId="40FB31A7" w14:textId="77777777" w:rsidR="00AA591A" w:rsidRPr="00AA591A" w:rsidRDefault="00AA591A" w:rsidP="00AA591A">
      <w:pPr>
        <w:numPr>
          <w:ilvl w:val="0"/>
          <w:numId w:val="44"/>
        </w:numPr>
        <w:spacing w:after="120" w:line="240" w:lineRule="auto"/>
        <w:ind w:left="1134" w:hanging="567"/>
        <w:jc w:val="both"/>
        <w:rPr>
          <w:rFonts w:ascii="Arial" w:eastAsia="Times New Roman" w:hAnsi="Arial" w:cs="Arial"/>
          <w:snapToGrid w:val="0"/>
          <w:lang w:val="es-ES_tradnl" w:eastAsia="zh-CN"/>
        </w:rPr>
      </w:pPr>
      <w:r w:rsidRPr="00AA591A">
        <w:rPr>
          <w:rFonts w:ascii="Arial" w:eastAsia="SimSun" w:hAnsi="Arial" w:cs="Arial"/>
          <w:snapToGrid w:val="0"/>
          <w:lang w:val="es-ES_tradnl" w:eastAsia="zh-CN"/>
        </w:rPr>
        <w:t>se creó un nuevo puesto en la Sede para el GOOS;</w:t>
      </w:r>
    </w:p>
    <w:p w14:paraId="7FACB6DF" w14:textId="77777777" w:rsidR="00AA591A" w:rsidRPr="00AA591A" w:rsidRDefault="00AA591A" w:rsidP="00AA591A">
      <w:pPr>
        <w:numPr>
          <w:ilvl w:val="0"/>
          <w:numId w:val="44"/>
        </w:numPr>
        <w:spacing w:after="120" w:line="240" w:lineRule="auto"/>
        <w:ind w:left="1134" w:hanging="567"/>
        <w:jc w:val="both"/>
        <w:rPr>
          <w:rFonts w:ascii="Arial" w:eastAsia="Times New Roman" w:hAnsi="Arial" w:cs="Arial"/>
          <w:snapToGrid w:val="0"/>
          <w:lang w:val="es-ES_tradnl" w:eastAsia="zh-CN"/>
        </w:rPr>
      </w:pPr>
      <w:r w:rsidRPr="00AA591A">
        <w:rPr>
          <w:rFonts w:ascii="Arial" w:eastAsia="SimSun" w:hAnsi="Arial" w:cs="Arial"/>
          <w:snapToGrid w:val="0"/>
          <w:lang w:val="es-ES_tradnl" w:eastAsia="zh-CN"/>
        </w:rPr>
        <w:t>se crearon cuatro nuevos puestos fuera de la Sede: uno para el IODE en Ostende; uno para reforzar la Secretaría de IOCAFRICA en Nairobi; uno para la nueva Secretaría de IOCINDIO que se establecerá en consulta con los Estados Miembros; y uno para reforzar nuestra acción en favor de los PEID del Pacífico;</w:t>
      </w:r>
    </w:p>
    <w:p w14:paraId="1FF075BC" w14:textId="77777777" w:rsidR="00AA591A" w:rsidRPr="00AA591A" w:rsidRDefault="00AA591A" w:rsidP="00AA591A">
      <w:pPr>
        <w:numPr>
          <w:ilvl w:val="0"/>
          <w:numId w:val="44"/>
        </w:numPr>
        <w:spacing w:after="120" w:line="240" w:lineRule="auto"/>
        <w:ind w:left="1134" w:hanging="567"/>
        <w:jc w:val="both"/>
        <w:rPr>
          <w:rFonts w:ascii="Arial" w:eastAsia="Times New Roman" w:hAnsi="Arial" w:cs="Arial"/>
          <w:snapToGrid w:val="0"/>
          <w:lang w:val="es-ES_tradnl" w:eastAsia="zh-CN"/>
        </w:rPr>
      </w:pPr>
      <w:r w:rsidRPr="00AA591A">
        <w:rPr>
          <w:rFonts w:ascii="Arial" w:eastAsia="SimSun" w:hAnsi="Arial" w:cs="Arial"/>
          <w:snapToGrid w:val="0"/>
          <w:lang w:val="es-ES_tradnl" w:eastAsia="zh-CN"/>
        </w:rPr>
        <w:t>el producto intersectorial 3.IP2 (reforzar la cultura oceánica en los sitios designados por la UNESCO) registra un aumento del 69 %;</w:t>
      </w:r>
    </w:p>
    <w:p w14:paraId="66E1765A" w14:textId="76B3EC3E" w:rsidR="00AA591A" w:rsidRPr="00AA591A" w:rsidRDefault="00AA591A" w:rsidP="00AA591A">
      <w:pPr>
        <w:numPr>
          <w:ilvl w:val="0"/>
          <w:numId w:val="44"/>
        </w:numPr>
        <w:spacing w:after="120" w:line="240" w:lineRule="auto"/>
        <w:ind w:left="1134" w:hanging="567"/>
        <w:jc w:val="both"/>
        <w:rPr>
          <w:rFonts w:ascii="Arial" w:eastAsia="Times New Roman" w:hAnsi="Arial" w:cs="Arial"/>
          <w:snapToGrid w:val="0"/>
          <w:lang w:val="es-ES_tradnl" w:eastAsia="zh-CN"/>
        </w:rPr>
      </w:pPr>
      <w:r w:rsidRPr="00AA591A">
        <w:rPr>
          <w:rFonts w:ascii="Arial" w:eastAsia="SimSun" w:hAnsi="Arial" w:cs="Arial"/>
          <w:snapToGrid w:val="0"/>
          <w:lang w:val="es-ES_tradnl" w:eastAsia="zh-CN"/>
        </w:rPr>
        <w:t xml:space="preserve">proporción entre gastos de personal/no relacionados con el personal: 57 % para gastos de personal y 43 % para gastos no relacionados con el personal (en comparación con el 74 % y el 26 % en la hipótesis considerada por la Asamblea, ya que en la </w:t>
      </w:r>
      <w:hyperlink r:id="rId25" w:history="1">
        <w:r w:rsidRPr="00AA591A">
          <w:rPr>
            <w:rFonts w:ascii="Arial" w:eastAsia="SimSun" w:hAnsi="Arial" w:cs="Arial"/>
            <w:snapToGrid w:val="0"/>
            <w:color w:val="0000FF" w:themeColor="hyperlink"/>
            <w:u w:val="single"/>
            <w:lang w:val="es-ES_tradnl" w:eastAsia="zh-CN"/>
          </w:rPr>
          <w:t>resolución XXVI</w:t>
        </w:r>
        <w:r>
          <w:rPr>
            <w:rFonts w:ascii="Arial" w:eastAsia="SimSun" w:hAnsi="Arial" w:cs="Arial"/>
            <w:snapToGrid w:val="0"/>
            <w:color w:val="0000FF" w:themeColor="hyperlink"/>
            <w:u w:val="single"/>
            <w:lang w:val="es-ES_tradnl" w:eastAsia="zh-CN"/>
          </w:rPr>
          <w:noBreakHyphen/>
        </w:r>
        <w:r w:rsidRPr="00AA591A">
          <w:rPr>
            <w:rFonts w:ascii="Arial" w:eastAsia="SimSun" w:hAnsi="Arial" w:cs="Arial"/>
            <w:snapToGrid w:val="0"/>
            <w:color w:val="0000FF" w:themeColor="hyperlink"/>
            <w:u w:val="single"/>
            <w:lang w:val="es-ES_tradnl" w:eastAsia="zh-CN"/>
          </w:rPr>
          <w:t>2</w:t>
        </w:r>
      </w:hyperlink>
      <w:r w:rsidRPr="00AA591A">
        <w:rPr>
          <w:rFonts w:ascii="Arial" w:eastAsia="SimSun" w:hAnsi="Arial" w:cs="Arial"/>
          <w:snapToGrid w:val="0"/>
          <w:lang w:val="es-ES_tradnl" w:eastAsia="zh-CN"/>
        </w:rPr>
        <w:t xml:space="preserve"> de la Asamblea de la COI se pidió un porcentaje no inferior al 25 % del presupuesto ordinario para gastos no relacionados con el personal).</w:t>
      </w:r>
    </w:p>
    <w:p w14:paraId="60BFC5CE" w14:textId="0048425E" w:rsidR="00AA591A" w:rsidRPr="00AA591A" w:rsidRDefault="00944F03" w:rsidP="00AA591A">
      <w:pPr>
        <w:tabs>
          <w:tab w:val="left" w:pos="1675"/>
        </w:tabs>
        <w:spacing w:after="0" w:line="240" w:lineRule="auto"/>
        <w:rPr>
          <w:rFonts w:ascii="Arial" w:eastAsia="Times New Roman" w:hAnsi="Arial" w:cs="Arial"/>
          <w:snapToGrid w:val="0"/>
          <w:lang w:val="es-ES_tradnl"/>
        </w:rPr>
      </w:pPr>
      <w:r>
        <w:rPr>
          <w:noProof/>
        </w:rPr>
        <w:drawing>
          <wp:inline distT="0" distB="0" distL="0" distR="0" wp14:anchorId="6F26CBA4" wp14:editId="5ABFE374">
            <wp:extent cx="5882507" cy="3495675"/>
            <wp:effectExtent l="0" t="0" r="4445" b="0"/>
            <wp:docPr id="85963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332" name="Imagen 1"/>
                    <pic:cNvPicPr/>
                  </pic:nvPicPr>
                  <pic:blipFill>
                    <a:blip r:embed="rId26"/>
                    <a:stretch>
                      <a:fillRect/>
                    </a:stretch>
                  </pic:blipFill>
                  <pic:spPr>
                    <a:xfrm>
                      <a:off x="0" y="0"/>
                      <a:ext cx="5882507" cy="3495675"/>
                    </a:xfrm>
                    <a:prstGeom prst="rect">
                      <a:avLst/>
                    </a:prstGeom>
                  </pic:spPr>
                </pic:pic>
              </a:graphicData>
            </a:graphic>
          </wp:inline>
        </w:drawing>
      </w:r>
    </w:p>
    <w:p w14:paraId="019412E6" w14:textId="77777777" w:rsidR="00AA591A" w:rsidRPr="00AA591A" w:rsidRDefault="00AA591A" w:rsidP="004538B0">
      <w:pPr>
        <w:spacing w:after="0" w:line="240" w:lineRule="auto"/>
        <w:rPr>
          <w:rFonts w:ascii="Arial" w:eastAsia="Times New Roman" w:hAnsi="Arial" w:cs="Arial"/>
          <w:snapToGrid w:val="0"/>
          <w:lang w:val="es-ES_tradnl" w:eastAsia="zh-CN"/>
        </w:rPr>
      </w:pPr>
      <w:r w:rsidRPr="00AA591A">
        <w:rPr>
          <w:rFonts w:ascii="Arial" w:eastAsia="SimSun" w:hAnsi="Arial" w:cs="Arial"/>
          <w:snapToGrid w:val="0"/>
          <w:lang w:val="es-ES_tradnl" w:eastAsia="zh-CN"/>
        </w:rPr>
        <w:t>Cuadro 2. Marco presupuestario integrado de la COI</w:t>
      </w:r>
    </w:p>
    <w:p w14:paraId="063204D7" w14:textId="1E0A33E5" w:rsidR="00B87CDB" w:rsidRPr="00BE2496" w:rsidRDefault="00AA591A" w:rsidP="00944F03">
      <w:pPr>
        <w:spacing w:after="0" w:line="240" w:lineRule="auto"/>
        <w:rPr>
          <w:rFonts w:asciiTheme="minorBidi" w:eastAsia="Times New Roman" w:hAnsiTheme="minorBidi"/>
          <w:b/>
          <w:bCs/>
          <w:snapToGrid w:val="0"/>
          <w:sz w:val="24"/>
          <w:szCs w:val="24"/>
          <w:highlight w:val="yellow"/>
          <w:lang w:val="es-ES"/>
        </w:rPr>
      </w:pPr>
      <w:r w:rsidRPr="00AA591A">
        <w:rPr>
          <w:rFonts w:ascii="Arial" w:eastAsia="SimSun" w:hAnsi="Arial" w:cs="Arial"/>
          <w:snapToGrid w:val="0"/>
          <w:lang w:val="es-ES_tradnl" w:eastAsia="zh-CN"/>
        </w:rPr>
        <w:t>En el formato del anexo 1 de la resolución A-32/4 de la COI</w:t>
      </w:r>
      <w:r w:rsidR="00B87CDB" w:rsidRPr="00BE2496">
        <w:rPr>
          <w:rFonts w:asciiTheme="minorBidi" w:eastAsia="Times New Roman" w:hAnsiTheme="minorBidi"/>
          <w:b/>
          <w:bCs/>
          <w:snapToGrid w:val="0"/>
          <w:sz w:val="24"/>
          <w:szCs w:val="24"/>
          <w:highlight w:val="yellow"/>
          <w:lang w:val="es-ES"/>
        </w:rPr>
        <w:br w:type="page"/>
      </w:r>
    </w:p>
    <w:p w14:paraId="19A56AAE" w14:textId="77777777" w:rsidR="00F13274" w:rsidRDefault="00F13274">
      <w:pPr>
        <w:rPr>
          <w:rFonts w:asciiTheme="minorBidi" w:eastAsia="SimSun" w:hAnsiTheme="minorBidi"/>
          <w:b/>
          <w:bCs/>
          <w:snapToGrid w:val="0"/>
          <w:lang w:val="es-ES_tradnl" w:eastAsia="zh-CN"/>
        </w:rPr>
        <w:sectPr w:rsidR="00F13274" w:rsidSect="007A33C0">
          <w:headerReference w:type="even" r:id="rId27"/>
          <w:headerReference w:type="default" r:id="rId28"/>
          <w:headerReference w:type="first" r:id="rId29"/>
          <w:type w:val="oddPage"/>
          <w:pgSz w:w="11906" w:h="16838" w:code="9"/>
          <w:pgMar w:top="1418" w:right="991" w:bottom="1134" w:left="1134" w:header="680" w:footer="680" w:gutter="0"/>
          <w:pgNumType w:start="1"/>
          <w:cols w:space="708"/>
          <w:titlePg/>
          <w:docGrid w:linePitch="360"/>
        </w:sectPr>
      </w:pPr>
    </w:p>
    <w:p w14:paraId="320E9C7F" w14:textId="64881D15" w:rsidR="00FD2411" w:rsidRDefault="00F13274">
      <w:pPr>
        <w:rPr>
          <w:rFonts w:asciiTheme="minorBidi" w:eastAsia="SimSun" w:hAnsiTheme="minorBidi"/>
          <w:b/>
          <w:bCs/>
          <w:snapToGrid w:val="0"/>
          <w:lang w:val="es-ES_tradnl" w:eastAsia="zh-CN"/>
        </w:rPr>
      </w:pPr>
      <w:r>
        <w:rPr>
          <w:rFonts w:asciiTheme="minorBidi" w:eastAsia="SimSun" w:hAnsiTheme="minorBidi"/>
          <w:b/>
          <w:bCs/>
          <w:noProof/>
          <w:lang w:val="es-ES_tradnl" w:eastAsia="zh-CN"/>
        </w:rPr>
        <w:lastRenderedPageBreak/>
        <mc:AlternateContent>
          <mc:Choice Requires="wps">
            <w:drawing>
              <wp:anchor distT="0" distB="0" distL="114300" distR="114300" simplePos="0" relativeHeight="251659264" behindDoc="0" locked="0" layoutInCell="1" allowOverlap="1" wp14:anchorId="54D0A6E3" wp14:editId="5F5221B7">
                <wp:simplePos x="0" y="0"/>
                <wp:positionH relativeFrom="margin">
                  <wp:posOffset>8709203</wp:posOffset>
                </wp:positionH>
                <wp:positionV relativeFrom="paragraph">
                  <wp:posOffset>4056736</wp:posOffset>
                </wp:positionV>
                <wp:extent cx="365760" cy="2110968"/>
                <wp:effectExtent l="0" t="0" r="0" b="3810"/>
                <wp:wrapNone/>
                <wp:docPr id="1969369661" name="Cuadro de texto 3"/>
                <wp:cNvGraphicFramePr/>
                <a:graphic xmlns:a="http://schemas.openxmlformats.org/drawingml/2006/main">
                  <a:graphicData uri="http://schemas.microsoft.com/office/word/2010/wordprocessingShape">
                    <wps:wsp>
                      <wps:cNvSpPr txBox="1"/>
                      <wps:spPr>
                        <a:xfrm>
                          <a:off x="0" y="0"/>
                          <a:ext cx="365760" cy="2110968"/>
                        </a:xfrm>
                        <a:prstGeom prst="rect">
                          <a:avLst/>
                        </a:prstGeom>
                        <a:solidFill>
                          <a:schemeClr val="lt1"/>
                        </a:solidFill>
                        <a:ln w="6350">
                          <a:noFill/>
                        </a:ln>
                      </wps:spPr>
                      <wps:txbx>
                        <w:txbxContent>
                          <w:p w14:paraId="539190A1" w14:textId="442BC55A" w:rsidR="00F13274" w:rsidRPr="008C6D8E" w:rsidRDefault="00F13274" w:rsidP="00F13274">
                            <w:pPr>
                              <w:rPr>
                                <w:rFonts w:asciiTheme="minorBidi" w:hAnsiTheme="minorBidi"/>
                              </w:rPr>
                            </w:pPr>
                            <w:r w:rsidRPr="008C6D8E">
                              <w:rPr>
                                <w:rFonts w:asciiTheme="minorBidi" w:hAnsiTheme="minorBidi"/>
                                <w:lang w:val="es-ES"/>
                              </w:rPr>
                              <w:t>IOC/EC-57/</w:t>
                            </w:r>
                            <w:sdt>
                              <w:sdtPr>
                                <w:rPr>
                                  <w:rFonts w:asciiTheme="minorBidi" w:hAnsiTheme="minorBidi"/>
                                  <w:lang w:val="es-ES"/>
                                </w:rPr>
                                <w:alias w:val="SIGNATURA"/>
                                <w:tag w:val=""/>
                                <w:id w:val="-1895493349"/>
                                <w:temporary/>
                                <w:dataBinding w:prefixMappings="xmlns:ns0='http://purl.org/dc/elements/1.1/' xmlns:ns1='http://schemas.openxmlformats.org/package/2006/metadata/core-properties' " w:xpath="/ns1:coreProperties[1]/ns1:keywords[1]" w:storeItemID="{6C3C8BC8-F283-45AE-878A-BAB7291924A1}"/>
                                <w15:color w:val="000000"/>
                                <w:text/>
                              </w:sdtPr>
                              <w:sdtContent>
                                <w:r w:rsidRPr="008C6D8E">
                                  <w:rPr>
                                    <w:rFonts w:asciiTheme="minorBidi" w:hAnsiTheme="minorBidi"/>
                                    <w:lang w:val="es-ES"/>
                                  </w:rPr>
                                  <w:t>5.1.Doc(1)</w:t>
                                </w:r>
                              </w:sdtContent>
                            </w:sdt>
                            <w:r w:rsidRPr="008C6D8E">
                              <w:rPr>
                                <w:rFonts w:asciiTheme="minorBidi" w:hAnsiTheme="minorBidi"/>
                                <w:lang w:val="es-ES"/>
                              </w:rPr>
                              <w:t xml:space="preserve"> – pág. </w:t>
                            </w:r>
                            <w:r w:rsidRPr="008C6D8E">
                              <w:rPr>
                                <w:rFonts w:asciiTheme="minorBidi" w:hAnsiTheme="minorBidi"/>
                                <w:lang w:val="es-ES"/>
                              </w:rPr>
                              <w:fldChar w:fldCharType="begin"/>
                            </w:r>
                            <w:r w:rsidRPr="008C6D8E">
                              <w:rPr>
                                <w:rFonts w:asciiTheme="minorBidi" w:hAnsiTheme="minorBidi"/>
                                <w:lang w:val="es-ES"/>
                              </w:rPr>
                              <w:instrText>PAGE   \* MERGEFORMAT</w:instrText>
                            </w:r>
                            <w:r w:rsidRPr="008C6D8E">
                              <w:rPr>
                                <w:rFonts w:asciiTheme="minorBidi" w:hAnsiTheme="minorBidi"/>
                                <w:lang w:val="es-ES"/>
                              </w:rPr>
                              <w:fldChar w:fldCharType="separate"/>
                            </w:r>
                            <w:r w:rsidRPr="008C6D8E">
                              <w:rPr>
                                <w:rFonts w:asciiTheme="minorBidi" w:hAnsiTheme="minorBidi"/>
                                <w:lang w:val="es-ES"/>
                              </w:rPr>
                              <w:t>17</w:t>
                            </w:r>
                            <w:r w:rsidRPr="008C6D8E">
                              <w:rPr>
                                <w:rFonts w:asciiTheme="minorBidi" w:hAnsiTheme="minorBidi"/>
                              </w:rPr>
                              <w:fldChar w:fldCharType="end"/>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D0A6E3" id="_x0000_t202" coordsize="21600,21600" o:spt="202" path="m,l,21600r21600,l21600,xe">
                <v:stroke joinstyle="miter"/>
                <v:path gradientshapeok="t" o:connecttype="rect"/>
              </v:shapetype>
              <v:shape id="Cuadro de texto 3" o:spid="_x0000_s1026" type="#_x0000_t202" style="position:absolute;margin-left:685.75pt;margin-top:319.45pt;width:28.8pt;height:166.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" fillcolor="white [3201]" stroked="f" strokeweight=".5pt">
                <v:textbox style="layout-flow:vertical-ideographic">
                  <w:txbxContent>
                    <w:p w14:paraId="539190A1" w14:textId="442BC55A" w:rsidR="00F13274" w:rsidRPr="008C6D8E" w:rsidRDefault="00F13274" w:rsidP="00F13274">
                      <w:pPr>
                        <w:rPr>
                          <w:rFonts w:asciiTheme="minorBidi" w:hAnsiTheme="minorBidi"/>
                        </w:rPr>
                      </w:pPr>
                      <w:r w:rsidRPr="008C6D8E">
                        <w:rPr>
                          <w:rFonts w:asciiTheme="minorBidi" w:hAnsiTheme="minorBidi"/>
                          <w:lang w:val="es-ES"/>
                        </w:rPr>
                        <w:t>IOC/EC-57/</w:t>
                      </w:r>
                      <w:sdt>
                        <w:sdtPr>
                          <w:rPr>
                            <w:rFonts w:asciiTheme="minorBidi" w:hAnsiTheme="minorBidi"/>
                            <w:lang w:val="es-ES"/>
                          </w:rPr>
                          <w:alias w:val="SIGNATURA"/>
                          <w:tag w:val=""/>
                          <w:id w:val="-1895493349"/>
                          <w:temporary/>
                          <w:dataBinding w:prefixMappings="xmlns:ns0='http://purl.org/dc/elements/1.1/' xmlns:ns1='http://schemas.openxmlformats.org/package/2006/metadata/core-properties' " w:xpath="/ns1:coreProperties[1]/ns1:keywords[1]" w:storeItemID="{6C3C8BC8-F283-45AE-878A-BAB7291924A1}"/>
                          <w15:color w:val="000000"/>
                          <w:text/>
                        </w:sdtPr>
                        <w:sdtContent>
                          <w:r w:rsidRPr="008C6D8E">
                            <w:rPr>
                              <w:rFonts w:asciiTheme="minorBidi" w:hAnsiTheme="minorBidi"/>
                              <w:lang w:val="es-ES"/>
                            </w:rPr>
                            <w:t>5.1.Doc(1)</w:t>
                          </w:r>
                        </w:sdtContent>
                      </w:sdt>
                      <w:r w:rsidRPr="008C6D8E">
                        <w:rPr>
                          <w:rFonts w:asciiTheme="minorBidi" w:hAnsiTheme="minorBidi"/>
                          <w:lang w:val="es-ES"/>
                        </w:rPr>
                        <w:t xml:space="preserve"> – pág. </w:t>
                      </w:r>
                      <w:r w:rsidRPr="008C6D8E">
                        <w:rPr>
                          <w:rFonts w:asciiTheme="minorBidi" w:hAnsiTheme="minorBidi"/>
                          <w:lang w:val="es-ES"/>
                        </w:rPr>
                        <w:fldChar w:fldCharType="begin"/>
                      </w:r>
                      <w:r w:rsidRPr="008C6D8E">
                        <w:rPr>
                          <w:rFonts w:asciiTheme="minorBidi" w:hAnsiTheme="minorBidi"/>
                          <w:lang w:val="es-ES"/>
                        </w:rPr>
                        <w:instrText>PAGE   \* MERGEFORMAT</w:instrText>
                      </w:r>
                      <w:r w:rsidRPr="008C6D8E">
                        <w:rPr>
                          <w:rFonts w:asciiTheme="minorBidi" w:hAnsiTheme="minorBidi"/>
                          <w:lang w:val="es-ES"/>
                        </w:rPr>
                        <w:fldChar w:fldCharType="separate"/>
                      </w:r>
                      <w:r w:rsidRPr="008C6D8E">
                        <w:rPr>
                          <w:rFonts w:asciiTheme="minorBidi" w:hAnsiTheme="minorBidi"/>
                          <w:lang w:val="es-ES"/>
                        </w:rPr>
                        <w:t>17</w:t>
                      </w:r>
                      <w:r w:rsidRPr="008C6D8E">
                        <w:rPr>
                          <w:rFonts w:asciiTheme="minorBidi" w:hAnsiTheme="minorBidi"/>
                        </w:rPr>
                        <w:fldChar w:fldCharType="end"/>
                      </w:r>
                    </w:p>
                  </w:txbxContent>
                </v:textbox>
                <w10:wrap anchorx="margin"/>
              </v:shape>
            </w:pict>
          </mc:Fallback>
        </mc:AlternateContent>
      </w:r>
      <w:r w:rsidRPr="00F13274">
        <w:rPr>
          <w:rFonts w:asciiTheme="minorBidi" w:eastAsia="SimSun" w:hAnsiTheme="minorBidi"/>
          <w:b/>
          <w:bCs/>
          <w:noProof/>
          <w:snapToGrid w:val="0"/>
          <w:lang w:val="es-ES_tradnl" w:eastAsia="zh-CN"/>
        </w:rPr>
        <w:drawing>
          <wp:inline distT="0" distB="0" distL="0" distR="0" wp14:anchorId="22B13FD0" wp14:editId="4F2CCA89">
            <wp:extent cx="8665210" cy="6210300"/>
            <wp:effectExtent l="0" t="0" r="2540" b="0"/>
            <wp:docPr id="14993685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65210" cy="6210300"/>
                    </a:xfrm>
                    <a:prstGeom prst="rect">
                      <a:avLst/>
                    </a:prstGeom>
                    <a:noFill/>
                    <a:ln>
                      <a:noFill/>
                    </a:ln>
                  </pic:spPr>
                </pic:pic>
              </a:graphicData>
            </a:graphic>
          </wp:inline>
        </w:drawing>
      </w:r>
    </w:p>
    <w:p w14:paraId="79FA4649" w14:textId="77777777" w:rsidR="00F13274" w:rsidRDefault="00F13274">
      <w:pPr>
        <w:rPr>
          <w:rFonts w:asciiTheme="minorBidi" w:eastAsia="SimSun" w:hAnsiTheme="minorBidi"/>
          <w:b/>
          <w:bCs/>
          <w:snapToGrid w:val="0"/>
          <w:lang w:val="es-ES_tradnl" w:eastAsia="zh-CN"/>
        </w:rPr>
        <w:sectPr w:rsidR="00F13274" w:rsidSect="00F13274">
          <w:headerReference w:type="default" r:id="rId31"/>
          <w:type w:val="oddPage"/>
          <w:pgSz w:w="16838" w:h="11906" w:orient="landscape" w:code="9"/>
          <w:pgMar w:top="1134" w:right="1418" w:bottom="992" w:left="1134" w:header="680" w:footer="680" w:gutter="0"/>
          <w:pgNumType w:start="17"/>
          <w:cols w:space="708"/>
          <w:docGrid w:linePitch="360"/>
        </w:sectPr>
      </w:pPr>
    </w:p>
    <w:p w14:paraId="6A40180C" w14:textId="77777777" w:rsidR="00BD775C" w:rsidRPr="00BD775C" w:rsidRDefault="00BD775C" w:rsidP="00BD775C">
      <w:pPr>
        <w:spacing w:after="240" w:line="240" w:lineRule="auto"/>
        <w:jc w:val="center"/>
        <w:rPr>
          <w:rFonts w:ascii="Arial" w:eastAsia="Times New Roman" w:hAnsi="Arial" w:cs="Arial"/>
          <w:b/>
          <w:bCs/>
          <w:snapToGrid w:val="0"/>
          <w:lang w:val="es-ES_tradnl" w:eastAsia="zh-CN"/>
        </w:rPr>
      </w:pPr>
      <w:r w:rsidRPr="00BD775C">
        <w:rPr>
          <w:rFonts w:ascii="Arial" w:eastAsia="SimSun" w:hAnsi="Arial" w:cs="Arial"/>
          <w:b/>
          <w:bCs/>
          <w:snapToGrid w:val="0"/>
          <w:lang w:val="es-ES_tradnl" w:eastAsia="zh-CN"/>
        </w:rPr>
        <w:lastRenderedPageBreak/>
        <w:t>EJECUCIÓN MEJORADA DEL PROGRAMA</w:t>
      </w:r>
    </w:p>
    <w:p w14:paraId="37E77A60" w14:textId="77777777" w:rsidR="00BD775C" w:rsidRPr="00BD775C" w:rsidRDefault="00BD775C" w:rsidP="00BD775C">
      <w:pPr>
        <w:numPr>
          <w:ilvl w:val="0"/>
          <w:numId w:val="32"/>
        </w:numPr>
        <w:pBdr>
          <w:top w:val="nil"/>
          <w:left w:val="nil"/>
          <w:bottom w:val="nil"/>
          <w:right w:val="nil"/>
          <w:between w:val="nil"/>
        </w:pBdr>
        <w:shd w:val="clear" w:color="auto" w:fill="FFFFFF"/>
        <w:tabs>
          <w:tab w:val="left" w:pos="567"/>
          <w:tab w:val="left" w:pos="709"/>
        </w:tabs>
        <w:snapToGrid w:val="0"/>
        <w:spacing w:after="240" w:line="240" w:lineRule="auto"/>
        <w:ind w:left="0" w:firstLine="0"/>
        <w:jc w:val="both"/>
        <w:rPr>
          <w:rFonts w:ascii="Arial" w:eastAsia="SimSun" w:hAnsi="Arial" w:cs="Arial"/>
          <w:snapToGrid w:val="0"/>
          <w:color w:val="000000"/>
          <w:lang w:val="es-ES_tradnl" w:eastAsia="zh-CN"/>
        </w:rPr>
      </w:pPr>
      <w:r w:rsidRPr="00BD775C">
        <w:rPr>
          <w:rFonts w:ascii="Arial" w:eastAsia="SimSun" w:hAnsi="Arial" w:cs="Arial"/>
          <w:snapToGrid w:val="0"/>
          <w:lang w:val="es-ES_tradnl" w:eastAsia="zh-CN"/>
        </w:rPr>
        <w:t>Con el aumento del presupuesto, la ejecución del programa se reforzará en todas las funciones y cadenas de valor de la COI, prestando especial atención a las observaciones permanentes a largo plazo y a la gestión de datos e información, así como a los órganos subsidiarios regionales y las actividades en apoyo de África y los PEID.</w:t>
      </w:r>
    </w:p>
    <w:p w14:paraId="464E8293" w14:textId="77777777" w:rsidR="00BD775C" w:rsidRPr="00BD775C" w:rsidRDefault="00BD775C" w:rsidP="00BD775C">
      <w:pPr>
        <w:pBdr>
          <w:bottom w:val="single" w:sz="4" w:space="1" w:color="auto"/>
        </w:pBdr>
        <w:tabs>
          <w:tab w:val="left" w:pos="567"/>
        </w:tabs>
        <w:snapToGrid w:val="0"/>
        <w:spacing w:after="240" w:line="240" w:lineRule="auto"/>
        <w:rPr>
          <w:rFonts w:ascii="Arial" w:eastAsia="SimSun" w:hAnsi="Arial" w:cs="Arial"/>
          <w:b/>
          <w:bCs/>
          <w:snapToGrid w:val="0"/>
          <w:lang w:val="es-ES_tradnl" w:eastAsia="zh-CN"/>
        </w:rPr>
      </w:pPr>
      <w:r w:rsidRPr="00BD775C">
        <w:rPr>
          <w:rFonts w:ascii="Arial" w:eastAsia="SimSun" w:hAnsi="Arial" w:cs="Arial"/>
          <w:b/>
          <w:bCs/>
          <w:snapToGrid w:val="0"/>
          <w:lang w:val="es-ES_tradnl" w:eastAsia="zh-CN"/>
        </w:rPr>
        <w:t>Función A - Investigación oceánica</w:t>
      </w:r>
    </w:p>
    <w:p w14:paraId="4CF4291A" w14:textId="77777777" w:rsidR="00BD775C" w:rsidRPr="00BD775C" w:rsidRDefault="00BD775C" w:rsidP="00BD775C">
      <w:pPr>
        <w:tabs>
          <w:tab w:val="left" w:pos="567"/>
        </w:tabs>
        <w:snapToGrid w:val="0"/>
        <w:spacing w:after="120" w:line="240" w:lineRule="auto"/>
        <w:jc w:val="both"/>
        <w:rPr>
          <w:rFonts w:ascii="Arial" w:eastAsia="SimSun" w:hAnsi="Arial" w:cs="Arial"/>
          <w:i/>
          <w:iCs/>
          <w:snapToGrid w:val="0"/>
          <w:lang w:val="es-ES_tradnl" w:eastAsia="zh-CN"/>
        </w:rPr>
      </w:pPr>
      <w:r w:rsidRPr="00BD775C">
        <w:rPr>
          <w:rFonts w:ascii="Arial" w:eastAsia="SimSun" w:hAnsi="Arial" w:cs="Arial"/>
          <w:i/>
          <w:iCs/>
          <w:snapToGrid w:val="0"/>
          <w:lang w:val="es-ES_tradnl" w:eastAsia="zh-CN"/>
        </w:rPr>
        <w:t>Prioridades para 2024-2025:</w:t>
      </w:r>
    </w:p>
    <w:p w14:paraId="4DD9B345" w14:textId="77777777" w:rsidR="00BD775C" w:rsidRPr="00BD775C" w:rsidRDefault="00BD775C" w:rsidP="00BD775C">
      <w:pPr>
        <w:numPr>
          <w:ilvl w:val="0"/>
          <w:numId w:val="32"/>
        </w:numPr>
        <w:pBdr>
          <w:top w:val="nil"/>
          <w:left w:val="nil"/>
          <w:bottom w:val="nil"/>
          <w:right w:val="nil"/>
          <w:between w:val="nil"/>
        </w:pBdr>
        <w:shd w:val="clear" w:color="auto" w:fill="FFFFFF"/>
        <w:tabs>
          <w:tab w:val="left" w:pos="567"/>
        </w:tabs>
        <w:snapToGrid w:val="0"/>
        <w:spacing w:after="240" w:line="240" w:lineRule="auto"/>
        <w:ind w:left="0" w:firstLine="0"/>
        <w:jc w:val="both"/>
        <w:rPr>
          <w:rFonts w:ascii="Arial" w:eastAsia="SimSun" w:hAnsi="Arial" w:cs="Arial"/>
          <w:snapToGrid w:val="0"/>
          <w:lang w:val="es-ES_tradnl" w:eastAsia="zh-CN"/>
        </w:rPr>
      </w:pPr>
      <w:r w:rsidRPr="00BD775C">
        <w:rPr>
          <w:rFonts w:ascii="Arial" w:eastAsia="SimSun" w:hAnsi="Arial" w:cs="Arial"/>
          <w:snapToGrid w:val="0"/>
          <w:lang w:val="es-ES_tradnl" w:eastAsia="zh-CN"/>
        </w:rPr>
        <w:t>La atención sigue centrada en apoyar la colaboración internacional para fomentar nuevos conocimientos, traducir esos conocimientos en productos para los encargados de formular políticas y crear capacidades de investigación en materia de acidificación del océano, desoxigenación del océano, floraciones de algas nocivas (también Función C), carbono azul y ciclo del carbono oceánico en general, así como de eutrofización y contaminación por plásticos. Las alianzas estratégicas garantizarán una amplia cobertura y participación científicas y geográficas. El aumento de los recursos permitirá, a diferencia de bienios anteriores, financiar parcial o totalmente actividades y grupos de expertos, incluido el desarrollo de capacidades específicas.</w:t>
      </w:r>
    </w:p>
    <w:p w14:paraId="33BF3C54" w14:textId="77777777" w:rsidR="00BD775C" w:rsidRPr="00BD775C" w:rsidRDefault="00BD775C" w:rsidP="00BD775C">
      <w:pPr>
        <w:tabs>
          <w:tab w:val="left" w:pos="567"/>
        </w:tabs>
        <w:snapToGrid w:val="0"/>
        <w:spacing w:after="120" w:line="240" w:lineRule="auto"/>
        <w:jc w:val="both"/>
        <w:rPr>
          <w:rFonts w:ascii="Arial" w:eastAsia="SimSun" w:hAnsi="Arial" w:cs="Arial"/>
          <w:i/>
          <w:iCs/>
          <w:snapToGrid w:val="0"/>
          <w:lang w:val="es-ES_tradnl" w:eastAsia="zh-CN"/>
        </w:rPr>
      </w:pPr>
      <w:r w:rsidRPr="00BD775C">
        <w:rPr>
          <w:rFonts w:ascii="Arial" w:eastAsia="SimSun" w:hAnsi="Arial" w:cs="Arial"/>
          <w:i/>
          <w:iCs/>
          <w:snapToGrid w:val="0"/>
          <w:lang w:val="es-ES_tradnl" w:eastAsia="zh-CN"/>
        </w:rPr>
        <w:t>Ejemplos de objetivos fijados:</w:t>
      </w:r>
    </w:p>
    <w:p w14:paraId="4A7A2953" w14:textId="77777777" w:rsidR="00BD775C" w:rsidRPr="00BD775C" w:rsidRDefault="00BD775C" w:rsidP="00BD775C">
      <w:pPr>
        <w:numPr>
          <w:ilvl w:val="0"/>
          <w:numId w:val="36"/>
        </w:numPr>
        <w:spacing w:after="120" w:line="240" w:lineRule="auto"/>
        <w:ind w:left="1134" w:hanging="567"/>
        <w:jc w:val="both"/>
        <w:rPr>
          <w:rFonts w:ascii="Arial" w:eastAsia="SimSun" w:hAnsi="Arial" w:cs="Arial"/>
          <w:snapToGrid w:val="0"/>
          <w:lang w:val="es-ES_tradnl" w:eastAsia="zh-CN"/>
        </w:rPr>
      </w:pPr>
      <w:r w:rsidRPr="00BD775C">
        <w:rPr>
          <w:rFonts w:ascii="Arial" w:eastAsia="SimSun" w:hAnsi="Arial" w:cs="Arial"/>
          <w:snapToGrid w:val="0"/>
          <w:lang w:val="es-ES_tradnl" w:eastAsia="zh-CN"/>
        </w:rPr>
        <w:t>Apoyo prestado a 5 Estados Miembros adicionales (3 de África y 1 PEID) en materia de observación de la acidificación del océano y de gestión de datos</w:t>
      </w:r>
    </w:p>
    <w:p w14:paraId="4B902194" w14:textId="77777777" w:rsidR="00BD775C" w:rsidRPr="00BD775C" w:rsidRDefault="00BD775C" w:rsidP="00BD775C">
      <w:pPr>
        <w:numPr>
          <w:ilvl w:val="0"/>
          <w:numId w:val="36"/>
        </w:numPr>
        <w:spacing w:after="120" w:line="240" w:lineRule="auto"/>
        <w:ind w:left="1134" w:hanging="567"/>
        <w:jc w:val="both"/>
        <w:rPr>
          <w:rFonts w:ascii="Arial" w:eastAsia="SimSun" w:hAnsi="Arial" w:cs="Arial"/>
          <w:snapToGrid w:val="0"/>
          <w:lang w:val="es-ES_tradnl" w:eastAsia="zh-CN"/>
        </w:rPr>
      </w:pPr>
      <w:r w:rsidRPr="00BD775C">
        <w:rPr>
          <w:rFonts w:asciiTheme="minorBidi" w:eastAsia="SimSun" w:hAnsiTheme="minorBidi"/>
          <w:snapToGrid w:val="0"/>
          <w:lang w:val="es-ES_tradnl" w:eastAsia="zh-CN"/>
        </w:rPr>
        <w:t>Apoyo</w:t>
      </w:r>
      <w:r w:rsidRPr="00BD775C">
        <w:rPr>
          <w:rFonts w:ascii="Arial" w:eastAsia="SimSun" w:hAnsi="Arial" w:cs="Arial"/>
          <w:snapToGrid w:val="0"/>
          <w:lang w:val="es-ES_tradnl" w:eastAsia="zh-CN"/>
        </w:rPr>
        <w:t xml:space="preserve"> prestado a 3 Estados Miembros adicionales (1 de África y 1 PEID) en materia de ciencia del carbono azul y de acción para proteger y restaurar los ecosistemas respectivos</w:t>
      </w:r>
    </w:p>
    <w:p w14:paraId="73650F17" w14:textId="77777777" w:rsidR="00BD775C" w:rsidRPr="00BD775C" w:rsidRDefault="00BD775C" w:rsidP="00BD775C">
      <w:pPr>
        <w:numPr>
          <w:ilvl w:val="0"/>
          <w:numId w:val="36"/>
        </w:numPr>
        <w:spacing w:after="120" w:line="240" w:lineRule="auto"/>
        <w:ind w:left="1134" w:hanging="567"/>
        <w:jc w:val="both"/>
        <w:rPr>
          <w:rFonts w:ascii="Arial" w:eastAsia="SimSun" w:hAnsi="Arial" w:cs="Arial"/>
          <w:snapToGrid w:val="0"/>
          <w:lang w:val="es-ES_tradnl" w:eastAsia="zh-CN"/>
        </w:rPr>
      </w:pPr>
      <w:r w:rsidRPr="00BD775C">
        <w:rPr>
          <w:rFonts w:asciiTheme="minorBidi" w:eastAsia="SimSun" w:hAnsiTheme="minorBidi"/>
          <w:snapToGrid w:val="0"/>
          <w:lang w:val="es-ES_tradnl" w:eastAsia="zh-CN"/>
        </w:rPr>
        <w:t>Aumento</w:t>
      </w:r>
      <w:r w:rsidRPr="00BD775C">
        <w:rPr>
          <w:rFonts w:ascii="Arial" w:eastAsia="SimSun" w:hAnsi="Arial" w:cs="Arial"/>
          <w:snapToGrid w:val="0"/>
          <w:lang w:val="es-ES_tradnl" w:eastAsia="zh-CN"/>
        </w:rPr>
        <w:t xml:space="preserve"> del 100 % de la contribución de la UNESCO-COI al Programa Mundial de Investigaciones Climáticas</w:t>
      </w:r>
    </w:p>
    <w:p w14:paraId="0700EDE1" w14:textId="77777777" w:rsidR="00BD775C" w:rsidRPr="00BD775C" w:rsidRDefault="00BD775C" w:rsidP="00BD775C">
      <w:pPr>
        <w:numPr>
          <w:ilvl w:val="0"/>
          <w:numId w:val="36"/>
        </w:numPr>
        <w:spacing w:after="120" w:line="240" w:lineRule="auto"/>
        <w:ind w:left="1134" w:hanging="567"/>
        <w:jc w:val="both"/>
        <w:rPr>
          <w:rFonts w:ascii="Arial" w:eastAsia="SimSun" w:hAnsi="Arial" w:cs="Arial"/>
          <w:snapToGrid w:val="0"/>
          <w:lang w:val="es-ES_tradnl" w:eastAsia="zh-CN"/>
        </w:rPr>
      </w:pPr>
      <w:r w:rsidRPr="00BD775C">
        <w:rPr>
          <w:rFonts w:ascii="Arial" w:eastAsia="SimSun" w:hAnsi="Arial" w:cs="Arial"/>
          <w:snapToGrid w:val="0"/>
          <w:lang w:val="es-ES_tradnl" w:eastAsia="zh-CN"/>
        </w:rPr>
        <w:t>Liderazgo mundial aportado en la investigación integrada del carbono oceánico</w:t>
      </w:r>
    </w:p>
    <w:p w14:paraId="604206C1" w14:textId="77777777" w:rsidR="00BD775C" w:rsidRPr="00BD775C" w:rsidRDefault="00BD775C" w:rsidP="00BD775C">
      <w:pPr>
        <w:tabs>
          <w:tab w:val="left" w:pos="567"/>
        </w:tabs>
        <w:spacing w:before="240" w:after="120" w:line="240" w:lineRule="auto"/>
        <w:jc w:val="both"/>
        <w:rPr>
          <w:rFonts w:ascii="Arial" w:eastAsia="SimSun" w:hAnsi="Arial" w:cs="Arial"/>
          <w:i/>
          <w:iCs/>
          <w:snapToGrid w:val="0"/>
          <w:lang w:val="es-ES_tradnl" w:eastAsia="zh-CN"/>
        </w:rPr>
      </w:pPr>
      <w:r w:rsidRPr="00BD775C">
        <w:rPr>
          <w:rFonts w:ascii="Arial" w:eastAsia="SimSun" w:hAnsi="Arial" w:cs="Arial"/>
          <w:i/>
          <w:iCs/>
          <w:snapToGrid w:val="0"/>
          <w:lang w:val="es-ES_tradnl" w:eastAsia="zh-CN"/>
        </w:rPr>
        <w:t>Principales productos:</w:t>
      </w:r>
    </w:p>
    <w:p w14:paraId="600A09AE" w14:textId="77777777" w:rsidR="00BD775C" w:rsidRPr="00BD775C" w:rsidRDefault="00BD775C" w:rsidP="00BD775C">
      <w:pPr>
        <w:numPr>
          <w:ilvl w:val="0"/>
          <w:numId w:val="36"/>
        </w:numPr>
        <w:spacing w:after="120" w:line="240" w:lineRule="auto"/>
        <w:ind w:left="1134" w:hanging="567"/>
        <w:jc w:val="both"/>
        <w:rPr>
          <w:rFonts w:ascii="Arial" w:eastAsia="SimSun" w:hAnsi="Arial" w:cs="Arial"/>
          <w:snapToGrid w:val="0"/>
          <w:lang w:val="es-ES_tradnl" w:eastAsia="zh-CN"/>
        </w:rPr>
      </w:pPr>
      <w:r w:rsidRPr="00BD775C">
        <w:rPr>
          <w:rFonts w:ascii="Arial" w:eastAsia="SimSun" w:hAnsi="Arial" w:cs="Arial"/>
          <w:snapToGrid w:val="0"/>
          <w:lang w:val="es-ES_tradnl" w:eastAsia="zh-CN"/>
        </w:rPr>
        <w:t>Informe de las Naciones Unidas sobre la meta 14.3 de los ODS relativa a la acidificación del océano</w:t>
      </w:r>
    </w:p>
    <w:p w14:paraId="7C2243CE" w14:textId="77777777" w:rsidR="00BD775C" w:rsidRPr="00BD775C" w:rsidRDefault="00BD775C" w:rsidP="00BD775C">
      <w:pPr>
        <w:numPr>
          <w:ilvl w:val="0"/>
          <w:numId w:val="36"/>
        </w:numPr>
        <w:spacing w:after="120" w:line="240" w:lineRule="auto"/>
        <w:ind w:left="1134" w:hanging="567"/>
        <w:jc w:val="both"/>
        <w:rPr>
          <w:rFonts w:ascii="Arial" w:eastAsia="SimSun" w:hAnsi="Arial" w:cs="Arial"/>
          <w:snapToGrid w:val="0"/>
          <w:lang w:val="es-ES_tradnl" w:eastAsia="zh-CN"/>
        </w:rPr>
      </w:pPr>
      <w:r w:rsidRPr="00BD775C">
        <w:rPr>
          <w:rFonts w:ascii="Arial" w:eastAsia="SimSun" w:hAnsi="Arial" w:cs="Arial"/>
          <w:snapToGrid w:val="0"/>
          <w:lang w:val="es-ES_tradnl" w:eastAsia="zh-CN"/>
        </w:rPr>
        <w:t xml:space="preserve">Resumen para los encargados de formular políticas sobre metodologías para </w:t>
      </w:r>
      <w:proofErr w:type="spellStart"/>
      <w:r w:rsidRPr="00BD775C">
        <w:rPr>
          <w:rFonts w:ascii="Arial" w:eastAsia="SimSun" w:hAnsi="Arial" w:cs="Arial"/>
          <w:snapToGrid w:val="0"/>
          <w:lang w:val="es-ES_tradnl" w:eastAsia="zh-CN"/>
        </w:rPr>
        <w:t>reoxigenar</w:t>
      </w:r>
      <w:proofErr w:type="spellEnd"/>
      <w:r w:rsidRPr="00BD775C">
        <w:rPr>
          <w:rFonts w:ascii="Arial" w:eastAsia="SimSun" w:hAnsi="Arial" w:cs="Arial"/>
          <w:snapToGrid w:val="0"/>
          <w:lang w:val="es-ES_tradnl" w:eastAsia="zh-CN"/>
        </w:rPr>
        <w:t xml:space="preserve"> las “zonas muertas” de los océanos</w:t>
      </w:r>
    </w:p>
    <w:p w14:paraId="02C8BE7B" w14:textId="49902FBE" w:rsidR="00BD775C" w:rsidRDefault="00BD775C" w:rsidP="00D22E12">
      <w:pPr>
        <w:numPr>
          <w:ilvl w:val="0"/>
          <w:numId w:val="36"/>
        </w:numPr>
        <w:spacing w:after="120" w:line="240" w:lineRule="auto"/>
        <w:ind w:left="1134" w:hanging="567"/>
        <w:jc w:val="both"/>
        <w:rPr>
          <w:rFonts w:asciiTheme="minorBidi" w:eastAsia="SimSun" w:hAnsiTheme="minorBidi"/>
          <w:b/>
          <w:bCs/>
          <w:snapToGrid w:val="0"/>
          <w:lang w:val="es-ES_tradnl" w:eastAsia="zh-CN"/>
        </w:rPr>
      </w:pPr>
      <w:r w:rsidRPr="00BD775C">
        <w:rPr>
          <w:rFonts w:ascii="Arial" w:eastAsia="SimSun" w:hAnsi="Arial" w:cs="Arial"/>
          <w:snapToGrid w:val="0"/>
          <w:lang w:val="es-ES_tradnl" w:eastAsia="zh-CN"/>
        </w:rPr>
        <w:t>Libros blancos estratégicos, documentos de orientación y resúmenes para los encargados de formular políticas sobre el carbono oceánico, por ejemplo, el ciclo del carbono oceánico y los ecosistemas costeros de carbono azul</w:t>
      </w:r>
      <w:r>
        <w:rPr>
          <w:rFonts w:asciiTheme="minorBidi" w:eastAsia="SimSun" w:hAnsiTheme="minorBidi"/>
          <w:b/>
          <w:bCs/>
          <w:snapToGrid w:val="0"/>
          <w:lang w:val="es-ES_tradnl" w:eastAsia="zh-CN"/>
        </w:rPr>
        <w:br w:type="page"/>
      </w:r>
    </w:p>
    <w:p w14:paraId="2F7D68B2" w14:textId="77777777" w:rsidR="00D22E12" w:rsidRPr="00D22E12" w:rsidRDefault="00D22E12" w:rsidP="00D22E12">
      <w:pPr>
        <w:pBdr>
          <w:bottom w:val="single" w:sz="4" w:space="1" w:color="auto"/>
        </w:pBdr>
        <w:tabs>
          <w:tab w:val="left" w:pos="567"/>
        </w:tabs>
        <w:snapToGrid w:val="0"/>
        <w:spacing w:after="240"/>
        <w:rPr>
          <w:rFonts w:ascii="Arial" w:eastAsia="SimSun" w:hAnsi="Arial" w:cs="Arial"/>
          <w:b/>
          <w:bCs/>
          <w:snapToGrid w:val="0"/>
          <w:lang w:val="es-ES_tradnl" w:eastAsia="zh-CN"/>
        </w:rPr>
      </w:pPr>
      <w:r w:rsidRPr="00D22E12">
        <w:rPr>
          <w:rFonts w:ascii="Arial" w:eastAsia="SimSun" w:hAnsi="Arial" w:cs="Arial"/>
          <w:b/>
          <w:bCs/>
          <w:snapToGrid w:val="0"/>
          <w:lang w:val="es-ES_tradnl" w:eastAsia="zh-CN"/>
        </w:rPr>
        <w:lastRenderedPageBreak/>
        <w:t>FUNCIÓN B - Sistemas de observación/Gestión de datos</w:t>
      </w:r>
    </w:p>
    <w:p w14:paraId="79265013" w14:textId="77777777" w:rsidR="00D22E12" w:rsidRDefault="00D22E12" w:rsidP="00D22E12">
      <w:pPr>
        <w:tabs>
          <w:tab w:val="left" w:pos="567"/>
        </w:tabs>
        <w:snapToGrid w:val="0"/>
        <w:spacing w:after="240"/>
        <w:rPr>
          <w:rFonts w:ascii="Arial" w:eastAsia="SimSun" w:hAnsi="Arial" w:cs="Arial"/>
          <w:b/>
          <w:bCs/>
          <w:snapToGrid w:val="0"/>
          <w:lang w:val="es-ES_tradnl" w:eastAsia="zh-CN"/>
        </w:rPr>
      </w:pPr>
      <w:r w:rsidRPr="00D22E12">
        <w:rPr>
          <w:rFonts w:ascii="Arial" w:eastAsia="SimSun" w:hAnsi="Arial" w:cs="Arial"/>
          <w:b/>
          <w:bCs/>
          <w:snapToGrid w:val="0"/>
          <w:lang w:val="es-ES_tradnl" w:eastAsia="zh-CN"/>
        </w:rPr>
        <w:t>Intercambio Internacional de Datos e Información Oceanográficos (IODE)</w:t>
      </w:r>
    </w:p>
    <w:p w14:paraId="3CE1466B" w14:textId="705A6B48" w:rsidR="00FD2411" w:rsidRPr="00D22E12" w:rsidRDefault="00FD2411" w:rsidP="00D22E12">
      <w:pPr>
        <w:tabs>
          <w:tab w:val="left" w:pos="567"/>
        </w:tabs>
        <w:snapToGrid w:val="0"/>
        <w:spacing w:after="240"/>
        <w:rPr>
          <w:rFonts w:ascii="Arial" w:eastAsia="SimSun" w:hAnsi="Arial" w:cs="Arial"/>
          <w:b/>
          <w:bCs/>
          <w:snapToGrid w:val="0"/>
          <w:lang w:val="es-ES_tradnl" w:eastAsia="zh-CN"/>
        </w:rPr>
      </w:pPr>
      <w:r>
        <w:rPr>
          <w:noProof/>
        </w:rPr>
        <w:drawing>
          <wp:inline distT="0" distB="0" distL="0" distR="0" wp14:anchorId="57D28AA3" wp14:editId="0CB33193">
            <wp:extent cx="6210935" cy="3451225"/>
            <wp:effectExtent l="0" t="0" r="0" b="0"/>
            <wp:docPr id="1168522616"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522616" name="Imagen 1" descr="Imagen que contiene Diagrama&#10;&#10;Descripción generada automáticamente"/>
                    <pic:cNvPicPr/>
                  </pic:nvPicPr>
                  <pic:blipFill>
                    <a:blip r:embed="rId32"/>
                    <a:stretch>
                      <a:fillRect/>
                    </a:stretch>
                  </pic:blipFill>
                  <pic:spPr>
                    <a:xfrm>
                      <a:off x="0" y="0"/>
                      <a:ext cx="6210935" cy="3451225"/>
                    </a:xfrm>
                    <a:prstGeom prst="rect">
                      <a:avLst/>
                    </a:prstGeom>
                  </pic:spPr>
                </pic:pic>
              </a:graphicData>
            </a:graphic>
          </wp:inline>
        </w:drawing>
      </w:r>
    </w:p>
    <w:p w14:paraId="4DDAD9D2" w14:textId="77777777" w:rsidR="00D22E12" w:rsidRPr="00D22E12" w:rsidRDefault="00D22E12" w:rsidP="00D22E12">
      <w:pPr>
        <w:tabs>
          <w:tab w:val="left" w:pos="567"/>
        </w:tabs>
        <w:snapToGrid w:val="0"/>
        <w:spacing w:after="120" w:line="240" w:lineRule="auto"/>
        <w:jc w:val="both"/>
        <w:rPr>
          <w:rFonts w:ascii="Arial" w:eastAsia="SimSun" w:hAnsi="Arial" w:cs="Arial"/>
          <w:i/>
          <w:iCs/>
          <w:snapToGrid w:val="0"/>
          <w:lang w:val="es-ES_tradnl" w:eastAsia="zh-CN"/>
        </w:rPr>
      </w:pPr>
      <w:r w:rsidRPr="00D22E12">
        <w:rPr>
          <w:rFonts w:ascii="Arial" w:eastAsia="SimSun" w:hAnsi="Arial" w:cs="Arial"/>
          <w:i/>
          <w:iCs/>
          <w:snapToGrid w:val="0"/>
          <w:lang w:val="es-ES_tradnl" w:eastAsia="zh-CN"/>
        </w:rPr>
        <w:t>Prioridades para 2024-2025:</w:t>
      </w:r>
    </w:p>
    <w:p w14:paraId="5FE31CF0" w14:textId="77777777" w:rsidR="00D22E12" w:rsidRPr="00D22E12" w:rsidRDefault="00D22E12" w:rsidP="00D22E12">
      <w:pPr>
        <w:numPr>
          <w:ilvl w:val="1"/>
          <w:numId w:val="33"/>
        </w:numPr>
        <w:spacing w:after="120" w:line="240" w:lineRule="auto"/>
        <w:ind w:left="1134" w:hanging="567"/>
        <w:jc w:val="both"/>
        <w:rPr>
          <w:rFonts w:ascii="Arial" w:eastAsia="SimSun" w:hAnsi="Arial" w:cs="Arial"/>
          <w:snapToGrid w:val="0"/>
          <w:lang w:val="es-ES_tradnl" w:eastAsia="zh-CN"/>
        </w:rPr>
      </w:pPr>
      <w:r w:rsidRPr="00D22E12">
        <w:rPr>
          <w:rFonts w:ascii="Arial" w:eastAsia="SimSun" w:hAnsi="Arial" w:cs="Arial"/>
          <w:snapToGrid w:val="0"/>
          <w:lang w:val="es-ES_tradnl" w:eastAsia="zh-CN"/>
        </w:rPr>
        <w:t>aumentar el número de Estados Miembros que participan en el intercambio internacional de datos e información oceanográficos mediante la red de centros de datos del IODE y el Sistema de Datos e Información Oceanográficos (ODIS) de la COI;</w:t>
      </w:r>
    </w:p>
    <w:p w14:paraId="26DA0040" w14:textId="77777777" w:rsidR="00D22E12" w:rsidRPr="00D22E12" w:rsidRDefault="00D22E12" w:rsidP="00D22E12">
      <w:pPr>
        <w:numPr>
          <w:ilvl w:val="1"/>
          <w:numId w:val="33"/>
        </w:numPr>
        <w:spacing w:after="120" w:line="240" w:lineRule="auto"/>
        <w:ind w:left="1134" w:hanging="567"/>
        <w:jc w:val="both"/>
        <w:rPr>
          <w:rFonts w:ascii="Arial" w:eastAsia="SimSun" w:hAnsi="Arial" w:cs="Arial"/>
          <w:snapToGrid w:val="0"/>
          <w:lang w:val="es-ES_tradnl" w:eastAsia="zh-CN"/>
        </w:rPr>
      </w:pPr>
      <w:r w:rsidRPr="00D22E12">
        <w:rPr>
          <w:rFonts w:ascii="Arial" w:eastAsia="SimSun" w:hAnsi="Arial" w:cs="Arial"/>
          <w:snapToGrid w:val="0"/>
          <w:lang w:val="es-ES_tradnl" w:eastAsia="zh-CN"/>
        </w:rPr>
        <w:t>empezar a aplicar la acción del Decenio sobre datos oceánicos 2030, ampliando el ecosistema de datos sobre el océano;</w:t>
      </w:r>
    </w:p>
    <w:p w14:paraId="144861A8" w14:textId="77777777" w:rsidR="00D22E12" w:rsidRPr="00D22E12" w:rsidRDefault="00D22E12" w:rsidP="00D22E12">
      <w:pPr>
        <w:numPr>
          <w:ilvl w:val="1"/>
          <w:numId w:val="33"/>
        </w:numPr>
        <w:spacing w:after="120" w:line="240" w:lineRule="auto"/>
        <w:ind w:left="1134" w:hanging="567"/>
        <w:jc w:val="both"/>
        <w:rPr>
          <w:rFonts w:ascii="Arial" w:eastAsia="SimSun" w:hAnsi="Arial" w:cs="Arial"/>
          <w:snapToGrid w:val="0"/>
          <w:lang w:val="es-ES_tradnl" w:eastAsia="zh-CN"/>
        </w:rPr>
      </w:pPr>
      <w:r w:rsidRPr="00D22E12">
        <w:rPr>
          <w:rFonts w:ascii="Arial" w:eastAsia="SimSun" w:hAnsi="Arial" w:cs="Arial"/>
          <w:snapToGrid w:val="0"/>
          <w:lang w:val="es-ES_tradnl" w:eastAsia="zh-CN"/>
        </w:rPr>
        <w:t>aumentar el volumen de contenidos de calidad (datos, información y conocimientos) compartidos por los Estados Miembros y a disposición de estos para sustentar su planificación y gestión sostenibles del océano;</w:t>
      </w:r>
    </w:p>
    <w:p w14:paraId="37D72BAB" w14:textId="77777777" w:rsidR="00D22E12" w:rsidRPr="00D22E12" w:rsidRDefault="00D22E12" w:rsidP="00D22E12">
      <w:pPr>
        <w:numPr>
          <w:ilvl w:val="1"/>
          <w:numId w:val="33"/>
        </w:numPr>
        <w:spacing w:after="120" w:line="240" w:lineRule="auto"/>
        <w:ind w:left="1134" w:hanging="567"/>
        <w:jc w:val="both"/>
        <w:rPr>
          <w:rFonts w:ascii="Arial" w:eastAsia="SimSun" w:hAnsi="Arial" w:cs="Arial"/>
          <w:snapToGrid w:val="0"/>
          <w:lang w:val="es-ES_tradnl" w:eastAsia="zh-CN"/>
        </w:rPr>
      </w:pPr>
      <w:r w:rsidRPr="00D22E12">
        <w:rPr>
          <w:rFonts w:ascii="Arial" w:eastAsia="SimSun" w:hAnsi="Arial" w:cs="Arial"/>
          <w:snapToGrid w:val="0"/>
          <w:lang w:val="es-ES_tradnl" w:eastAsia="zh-CN"/>
        </w:rPr>
        <w:t>permitir a los Estados Miembros participar activa y equitativamente en las actividades del programa del IODE y beneficiarse de ellas.</w:t>
      </w:r>
    </w:p>
    <w:p w14:paraId="767DDF47" w14:textId="77777777" w:rsidR="00D22E12" w:rsidRPr="00D22E12" w:rsidRDefault="00D22E12" w:rsidP="00D22E12">
      <w:pPr>
        <w:tabs>
          <w:tab w:val="left" w:pos="567"/>
        </w:tabs>
        <w:spacing w:before="240" w:after="120" w:line="240" w:lineRule="auto"/>
        <w:jc w:val="both"/>
        <w:rPr>
          <w:rFonts w:ascii="Arial" w:eastAsia="SimSun" w:hAnsi="Arial" w:cs="Arial"/>
          <w:i/>
          <w:iCs/>
          <w:snapToGrid w:val="0"/>
          <w:lang w:val="es-ES_tradnl" w:eastAsia="zh-CN"/>
        </w:rPr>
      </w:pPr>
      <w:r w:rsidRPr="00D22E12">
        <w:rPr>
          <w:rFonts w:ascii="Arial" w:eastAsia="SimSun" w:hAnsi="Arial" w:cs="Arial"/>
          <w:i/>
          <w:iCs/>
          <w:snapToGrid w:val="0"/>
          <w:lang w:val="es-ES_tradnl" w:eastAsia="zh-CN"/>
        </w:rPr>
        <w:t>Ejemplos de objetivos fijados:</w:t>
      </w:r>
    </w:p>
    <w:p w14:paraId="55EB9576" w14:textId="77777777" w:rsidR="00D22E12" w:rsidRPr="00D22E12" w:rsidRDefault="00D22E12" w:rsidP="00D22E12">
      <w:pPr>
        <w:numPr>
          <w:ilvl w:val="0"/>
          <w:numId w:val="36"/>
        </w:numPr>
        <w:spacing w:after="120" w:line="240" w:lineRule="auto"/>
        <w:ind w:left="1134" w:hanging="567"/>
        <w:jc w:val="both"/>
        <w:rPr>
          <w:rFonts w:ascii="Arial" w:eastAsia="SimSun" w:hAnsi="Arial" w:cs="Arial"/>
          <w:snapToGrid w:val="0"/>
          <w:lang w:val="es-ES_tradnl" w:eastAsia="zh-CN"/>
        </w:rPr>
      </w:pPr>
      <w:r w:rsidRPr="00D22E12">
        <w:rPr>
          <w:rFonts w:ascii="Arial" w:eastAsia="SimSun" w:hAnsi="Arial" w:cs="Arial"/>
          <w:snapToGrid w:val="0"/>
          <w:lang w:val="es-ES_tradnl" w:eastAsia="zh-CN"/>
        </w:rPr>
        <w:t>Creación de al menos 10 centros de datos adicionales por los Estados Miembros (2 de África y 1 PEID)</w:t>
      </w:r>
    </w:p>
    <w:p w14:paraId="49D1B4A5" w14:textId="77777777" w:rsidR="00D22E12" w:rsidRPr="00D22E12" w:rsidRDefault="00D22E12" w:rsidP="00D22E12">
      <w:pPr>
        <w:numPr>
          <w:ilvl w:val="0"/>
          <w:numId w:val="36"/>
        </w:numPr>
        <w:spacing w:after="120" w:line="240" w:lineRule="auto"/>
        <w:ind w:left="1134" w:hanging="567"/>
        <w:jc w:val="both"/>
        <w:rPr>
          <w:rFonts w:ascii="Arial" w:eastAsia="SimSun" w:hAnsi="Arial" w:cs="Arial"/>
          <w:snapToGrid w:val="0"/>
          <w:lang w:val="es-ES_tradnl" w:eastAsia="zh-CN"/>
        </w:rPr>
      </w:pPr>
      <w:r w:rsidRPr="00D22E12">
        <w:rPr>
          <w:rFonts w:ascii="Arial" w:eastAsia="SimSun" w:hAnsi="Arial" w:cs="Arial"/>
          <w:snapToGrid w:val="0"/>
          <w:lang w:val="es-ES_tradnl" w:eastAsia="zh-CN"/>
        </w:rPr>
        <w:t>Apoyo específico a los Estados Miembros africanos con el desarrollo de asociados y nodos ODIS/</w:t>
      </w:r>
      <w:proofErr w:type="spellStart"/>
      <w:r w:rsidRPr="00D22E12">
        <w:rPr>
          <w:rFonts w:ascii="Arial" w:eastAsia="SimSun" w:hAnsi="Arial" w:cs="Arial"/>
          <w:snapToGrid w:val="0"/>
          <w:lang w:val="es-ES_tradnl" w:eastAsia="zh-CN"/>
        </w:rPr>
        <w:t>Ocean</w:t>
      </w:r>
      <w:proofErr w:type="spellEnd"/>
      <w:r w:rsidRPr="00D22E12">
        <w:rPr>
          <w:rFonts w:ascii="Arial" w:eastAsia="SimSun" w:hAnsi="Arial" w:cs="Arial"/>
          <w:snapToGrid w:val="0"/>
          <w:lang w:val="es-ES_tradnl" w:eastAsia="zh-CN"/>
        </w:rPr>
        <w:t xml:space="preserve"> </w:t>
      </w:r>
      <w:proofErr w:type="spellStart"/>
      <w:r w:rsidRPr="00D22E12">
        <w:rPr>
          <w:rFonts w:ascii="Arial" w:eastAsia="SimSun" w:hAnsi="Arial" w:cs="Arial"/>
          <w:snapToGrid w:val="0"/>
          <w:lang w:val="es-ES_tradnl" w:eastAsia="zh-CN"/>
        </w:rPr>
        <w:t>InfoHub</w:t>
      </w:r>
      <w:proofErr w:type="spellEnd"/>
      <w:r w:rsidRPr="00D22E12">
        <w:rPr>
          <w:rFonts w:ascii="Arial" w:eastAsia="SimSun" w:hAnsi="Arial" w:cs="Arial"/>
          <w:snapToGrid w:val="0"/>
          <w:lang w:val="es-ES_tradnl" w:eastAsia="zh-CN"/>
        </w:rPr>
        <w:t xml:space="preserve"> en África</w:t>
      </w:r>
    </w:p>
    <w:p w14:paraId="0D0C038C" w14:textId="77777777" w:rsidR="00D22E12" w:rsidRPr="00D22E12" w:rsidRDefault="00D22E12" w:rsidP="00D22E12">
      <w:pPr>
        <w:numPr>
          <w:ilvl w:val="0"/>
          <w:numId w:val="36"/>
        </w:numPr>
        <w:spacing w:after="120" w:line="240" w:lineRule="auto"/>
        <w:ind w:left="1134" w:hanging="567"/>
        <w:jc w:val="both"/>
        <w:rPr>
          <w:rFonts w:ascii="Arial" w:eastAsia="SimSun" w:hAnsi="Arial" w:cs="Arial"/>
          <w:snapToGrid w:val="0"/>
          <w:lang w:val="es-ES_tradnl" w:eastAsia="zh-CN"/>
        </w:rPr>
      </w:pPr>
      <w:r w:rsidRPr="00D22E12">
        <w:rPr>
          <w:rFonts w:ascii="Arial" w:eastAsia="SimSun" w:hAnsi="Arial" w:cs="Arial"/>
          <w:snapToGrid w:val="0"/>
          <w:lang w:val="es-ES_tradnl" w:eastAsia="zh-CN"/>
        </w:rPr>
        <w:t>Al menos 40 instituciones asociadas conectadas al Sistema de Datos e Información Oceanográficos (ODIS), incluidas 5 regiones (América Latina y el Caribe, África, Océano Índico, Pacífico y PEID-P) y 50 bases de datos/nodos asociados (base de referencia 28)</w:t>
      </w:r>
    </w:p>
    <w:p w14:paraId="20F0D107" w14:textId="77777777" w:rsidR="00D22E12" w:rsidRPr="00D22E12" w:rsidRDefault="00D22E12" w:rsidP="00D22E12">
      <w:pPr>
        <w:numPr>
          <w:ilvl w:val="0"/>
          <w:numId w:val="36"/>
        </w:numPr>
        <w:spacing w:after="120" w:line="240" w:lineRule="auto"/>
        <w:ind w:left="1134" w:hanging="567"/>
        <w:jc w:val="both"/>
        <w:rPr>
          <w:rFonts w:ascii="Arial" w:eastAsia="SimSun" w:hAnsi="Arial" w:cs="Arial"/>
          <w:snapToGrid w:val="0"/>
          <w:lang w:val="es-ES_tradnl" w:eastAsia="zh-CN"/>
        </w:rPr>
      </w:pPr>
      <w:r w:rsidRPr="00D22E12">
        <w:rPr>
          <w:rFonts w:ascii="Arial" w:eastAsia="SimSun" w:hAnsi="Arial" w:cs="Arial"/>
          <w:snapToGrid w:val="0"/>
          <w:lang w:val="es-ES_tradnl" w:eastAsia="zh-CN"/>
        </w:rPr>
        <w:t>Al menos 200 000 contenidos</w:t>
      </w:r>
      <w:r w:rsidRPr="00D22E12">
        <w:rPr>
          <w:rFonts w:ascii="Arial" w:eastAsia="SimSun" w:hAnsi="Arial" w:cs="Arial"/>
          <w:snapToGrid w:val="0"/>
          <w:vertAlign w:val="superscript"/>
          <w:lang w:val="es-ES_tradnl" w:eastAsia="zh-CN"/>
        </w:rPr>
        <w:footnoteReference w:id="1"/>
      </w:r>
      <w:r w:rsidRPr="00D22E12">
        <w:rPr>
          <w:rFonts w:ascii="Arial" w:eastAsia="SimSun" w:hAnsi="Arial" w:cs="Arial"/>
          <w:snapToGrid w:val="0"/>
          <w:lang w:val="es-ES_tradnl" w:eastAsia="zh-CN"/>
        </w:rPr>
        <w:t xml:space="preserve"> disponibles en ODIS (base de referencia 130 000)</w:t>
      </w:r>
    </w:p>
    <w:p w14:paraId="518FB1BD" w14:textId="77777777" w:rsidR="00D22E12" w:rsidRPr="00D22E12" w:rsidRDefault="00D22E12" w:rsidP="00D22E12">
      <w:pPr>
        <w:numPr>
          <w:ilvl w:val="0"/>
          <w:numId w:val="36"/>
        </w:numPr>
        <w:spacing w:after="120" w:line="240" w:lineRule="auto"/>
        <w:ind w:left="1134" w:hanging="567"/>
        <w:jc w:val="both"/>
        <w:rPr>
          <w:rFonts w:ascii="Arial" w:eastAsia="SimSun" w:hAnsi="Arial" w:cs="Arial"/>
          <w:snapToGrid w:val="0"/>
          <w:lang w:val="es-ES_tradnl" w:eastAsia="zh-CN"/>
        </w:rPr>
      </w:pPr>
      <w:r w:rsidRPr="00D22E12">
        <w:rPr>
          <w:rFonts w:ascii="Arial" w:eastAsia="SimSun" w:hAnsi="Arial" w:cs="Arial"/>
          <w:snapToGrid w:val="0"/>
          <w:lang w:val="es-ES_tradnl" w:eastAsia="zh-CN"/>
        </w:rPr>
        <w:lastRenderedPageBreak/>
        <w:t>Al menos 15 000 usuarios en 140 países (base de referencia 6 500)</w:t>
      </w:r>
    </w:p>
    <w:p w14:paraId="10A28258" w14:textId="77777777" w:rsidR="00D22E12" w:rsidRPr="00D22E12" w:rsidRDefault="00D22E12" w:rsidP="00D22E12">
      <w:pPr>
        <w:numPr>
          <w:ilvl w:val="0"/>
          <w:numId w:val="36"/>
        </w:numPr>
        <w:spacing w:after="120" w:line="240" w:lineRule="auto"/>
        <w:ind w:left="1134" w:hanging="567"/>
        <w:jc w:val="both"/>
        <w:rPr>
          <w:rFonts w:ascii="Arial" w:eastAsia="SimSun" w:hAnsi="Arial" w:cs="Arial"/>
          <w:snapToGrid w:val="0"/>
          <w:lang w:val="es-ES_tradnl" w:eastAsia="zh-CN"/>
        </w:rPr>
      </w:pPr>
      <w:r w:rsidRPr="00D22E12">
        <w:rPr>
          <w:rFonts w:ascii="Arial" w:eastAsia="SimSun" w:hAnsi="Arial" w:cs="Arial"/>
          <w:snapToGrid w:val="0"/>
          <w:lang w:val="es-ES_tradnl" w:eastAsia="zh-CN"/>
        </w:rPr>
        <w:t>Al menos 1 000 nuevos conjuntos de datos que representan 20 millones de nuevos registros, accesibles en OBIS</w:t>
      </w:r>
    </w:p>
    <w:p w14:paraId="540E4179" w14:textId="77777777" w:rsidR="00D22E12" w:rsidRPr="00D22E12" w:rsidRDefault="00D22E12" w:rsidP="00D22E12">
      <w:pPr>
        <w:tabs>
          <w:tab w:val="left" w:pos="567"/>
        </w:tabs>
        <w:spacing w:before="240" w:after="120" w:line="240" w:lineRule="auto"/>
        <w:jc w:val="both"/>
        <w:rPr>
          <w:rFonts w:ascii="Arial" w:eastAsia="SimSun" w:hAnsi="Arial" w:cs="Arial"/>
          <w:i/>
          <w:iCs/>
          <w:snapToGrid w:val="0"/>
          <w:lang w:val="es-ES_tradnl" w:eastAsia="zh-CN"/>
        </w:rPr>
      </w:pPr>
      <w:r w:rsidRPr="00D22E12">
        <w:rPr>
          <w:rFonts w:ascii="Arial" w:eastAsia="SimSun" w:hAnsi="Arial" w:cs="Arial"/>
          <w:i/>
          <w:iCs/>
          <w:snapToGrid w:val="0"/>
          <w:lang w:val="es-ES_tradnl" w:eastAsia="zh-CN"/>
        </w:rPr>
        <w:t>Principales productos:</w:t>
      </w:r>
    </w:p>
    <w:p w14:paraId="41F29307" w14:textId="77777777" w:rsidR="00D22E12" w:rsidRPr="00D22E12" w:rsidRDefault="00D22E12" w:rsidP="00D22E12">
      <w:pPr>
        <w:numPr>
          <w:ilvl w:val="0"/>
          <w:numId w:val="36"/>
        </w:numPr>
        <w:spacing w:after="120" w:line="240" w:lineRule="auto"/>
        <w:ind w:left="1134" w:hanging="567"/>
        <w:jc w:val="both"/>
        <w:rPr>
          <w:rFonts w:ascii="Arial" w:eastAsia="SimSun" w:hAnsi="Arial" w:cs="Arial"/>
          <w:snapToGrid w:val="0"/>
          <w:lang w:val="es-ES_tradnl" w:eastAsia="zh-CN"/>
        </w:rPr>
      </w:pPr>
      <w:r w:rsidRPr="00D22E12">
        <w:rPr>
          <w:rFonts w:ascii="Arial" w:eastAsia="SimSun" w:hAnsi="Arial" w:cs="Arial"/>
          <w:snapToGrid w:val="0"/>
          <w:lang w:val="es-ES_tradnl" w:eastAsia="zh-CN"/>
        </w:rPr>
        <w:t>Sistema mundial de datos e información oceanográficos que proporciona datos e información oceanográficos fiables, de calidad controlada y archivados de forma segura</w:t>
      </w:r>
    </w:p>
    <w:p w14:paraId="11FF45BE" w14:textId="77777777" w:rsidR="00D22E12" w:rsidRPr="00D22E12" w:rsidRDefault="00D22E12" w:rsidP="00D22E12">
      <w:pPr>
        <w:numPr>
          <w:ilvl w:val="0"/>
          <w:numId w:val="36"/>
        </w:numPr>
        <w:spacing w:after="120" w:line="240" w:lineRule="auto"/>
        <w:ind w:left="1134" w:hanging="567"/>
        <w:jc w:val="both"/>
        <w:rPr>
          <w:rFonts w:ascii="Arial" w:eastAsia="SimSun" w:hAnsi="Arial" w:cs="Arial"/>
          <w:snapToGrid w:val="0"/>
          <w:lang w:val="es-ES_tradnl" w:eastAsia="zh-CN"/>
        </w:rPr>
      </w:pPr>
      <w:r w:rsidRPr="00D22E12">
        <w:rPr>
          <w:rFonts w:ascii="Arial" w:eastAsia="SimSun" w:hAnsi="Arial" w:cs="Arial"/>
          <w:snapToGrid w:val="0"/>
          <w:lang w:val="es-ES_tradnl" w:eastAsia="zh-CN"/>
        </w:rPr>
        <w:t xml:space="preserve">Habilitación de los Estados Miembros para que compartan y utilicen datos e información oceanográficos de calidad y aplicables a la presentación de informes sobre los ODS, contribuyendo al </w:t>
      </w:r>
      <w:r w:rsidRPr="00D22E12">
        <w:rPr>
          <w:rFonts w:ascii="Arial" w:eastAsia="SimSun" w:hAnsi="Arial" w:cs="Arial"/>
          <w:i/>
          <w:iCs/>
          <w:snapToGrid w:val="0"/>
          <w:lang w:val="es-ES_tradnl" w:eastAsia="zh-CN"/>
        </w:rPr>
        <w:t>Informe mundial sobre las ciencias oceánicas,</w:t>
      </w:r>
      <w:r w:rsidRPr="00D22E12">
        <w:rPr>
          <w:rFonts w:ascii="Arial" w:eastAsia="SimSun" w:hAnsi="Arial" w:cs="Arial"/>
          <w:snapToGrid w:val="0"/>
          <w:lang w:val="es-ES_tradnl" w:eastAsia="zh-CN"/>
        </w:rPr>
        <w:t xml:space="preserve"> el </w:t>
      </w:r>
      <w:r w:rsidRPr="00D22E12">
        <w:rPr>
          <w:rFonts w:ascii="Arial" w:eastAsia="SimSun" w:hAnsi="Arial" w:cs="Arial"/>
          <w:i/>
          <w:iCs/>
          <w:snapToGrid w:val="0"/>
          <w:lang w:val="es-ES_tradnl" w:eastAsia="zh-CN"/>
        </w:rPr>
        <w:t>Informe sobre el estado del océano</w:t>
      </w:r>
      <w:r w:rsidRPr="00D22E12">
        <w:rPr>
          <w:rFonts w:ascii="Arial" w:eastAsia="SimSun" w:hAnsi="Arial" w:cs="Arial"/>
          <w:snapToGrid w:val="0"/>
          <w:lang w:val="es-ES_tradnl" w:eastAsia="zh-CN"/>
        </w:rPr>
        <w:t xml:space="preserve"> y otros mecanismos de presentación de informes y marcos jurídicos</w:t>
      </w:r>
    </w:p>
    <w:p w14:paraId="09234778" w14:textId="77777777" w:rsidR="00D22E12" w:rsidRPr="00D22E12" w:rsidRDefault="00D22E12" w:rsidP="00D22E12">
      <w:pPr>
        <w:tabs>
          <w:tab w:val="left" w:pos="567"/>
        </w:tabs>
        <w:spacing w:after="240" w:line="240" w:lineRule="auto"/>
        <w:rPr>
          <w:rFonts w:ascii="Arial" w:eastAsia="SimSun" w:hAnsi="Arial" w:cs="Arial"/>
          <w:b/>
          <w:bCs/>
          <w:snapToGrid w:val="0"/>
          <w:lang w:val="es-ES_tradnl" w:eastAsia="zh-CN"/>
        </w:rPr>
      </w:pPr>
      <w:bookmarkStart w:id="0" w:name="_Hlk167446022"/>
      <w:r w:rsidRPr="00D22E12">
        <w:rPr>
          <w:rFonts w:ascii="Arial" w:eastAsia="SimSun" w:hAnsi="Arial" w:cs="Arial"/>
          <w:b/>
          <w:bCs/>
          <w:snapToGrid w:val="0"/>
          <w:lang w:val="es-ES_tradnl" w:eastAsia="zh-CN"/>
        </w:rPr>
        <w:t>Sistema Mundial de Observación del Océano (GOOS)</w:t>
      </w:r>
      <w:bookmarkEnd w:id="0"/>
    </w:p>
    <w:p w14:paraId="297977F9" w14:textId="77777777" w:rsidR="00D22E12" w:rsidRPr="00D22E12" w:rsidRDefault="00D22E12" w:rsidP="00D22E12">
      <w:pPr>
        <w:tabs>
          <w:tab w:val="left" w:pos="567"/>
        </w:tabs>
        <w:snapToGrid w:val="0"/>
        <w:spacing w:after="120" w:line="240" w:lineRule="auto"/>
        <w:jc w:val="both"/>
        <w:rPr>
          <w:rFonts w:ascii="Arial" w:eastAsia="SimSun" w:hAnsi="Arial" w:cs="Arial"/>
          <w:i/>
          <w:iCs/>
          <w:snapToGrid w:val="0"/>
          <w:lang w:val="es-ES_tradnl" w:eastAsia="zh-CN"/>
        </w:rPr>
      </w:pPr>
      <w:r w:rsidRPr="00D22E12">
        <w:rPr>
          <w:rFonts w:ascii="Arial" w:eastAsia="SimSun" w:hAnsi="Arial" w:cs="Arial"/>
          <w:i/>
          <w:iCs/>
          <w:snapToGrid w:val="0"/>
          <w:lang w:val="es-ES_tradnl" w:eastAsia="zh-CN"/>
        </w:rPr>
        <w:t>Prioridades para 2024-2025:</w:t>
      </w:r>
    </w:p>
    <w:p w14:paraId="33FC59D5" w14:textId="77777777" w:rsidR="00D22E12" w:rsidRPr="00D22E12" w:rsidRDefault="00D22E12" w:rsidP="00D22E12">
      <w:pPr>
        <w:numPr>
          <w:ilvl w:val="0"/>
          <w:numId w:val="48"/>
        </w:numPr>
        <w:tabs>
          <w:tab w:val="left" w:pos="567"/>
        </w:tabs>
        <w:snapToGrid w:val="0"/>
        <w:spacing w:after="120" w:line="240" w:lineRule="auto"/>
        <w:jc w:val="both"/>
        <w:rPr>
          <w:rFonts w:ascii="Arial" w:eastAsia="SimSun" w:hAnsi="Arial" w:cs="Arial"/>
          <w:snapToGrid w:val="0"/>
          <w:lang w:val="es-ES_tradnl" w:eastAsia="zh-CN"/>
        </w:rPr>
      </w:pPr>
      <w:r w:rsidRPr="00D22E12">
        <w:rPr>
          <w:rFonts w:ascii="Arial" w:eastAsia="SimSun" w:hAnsi="Arial" w:cs="Arial"/>
          <w:snapToGrid w:val="0"/>
          <w:lang w:val="es-ES_tradnl" w:eastAsia="zh-CN"/>
        </w:rPr>
        <w:t>aumentar el número de Estados Miembros que contribuyen a la promoción de la observación del océano mediante el GOOS y las alianzas regionales del GOOS, proporcionando datos e información fundamentales para las soluciones basadas en la ciencia;</w:t>
      </w:r>
    </w:p>
    <w:p w14:paraId="730F1A11" w14:textId="77777777" w:rsidR="00D22E12" w:rsidRPr="00D22E12" w:rsidRDefault="00D22E12" w:rsidP="00D22E12">
      <w:pPr>
        <w:numPr>
          <w:ilvl w:val="0"/>
          <w:numId w:val="48"/>
        </w:numPr>
        <w:tabs>
          <w:tab w:val="left" w:pos="567"/>
        </w:tabs>
        <w:snapToGrid w:val="0"/>
        <w:spacing w:after="120" w:line="240" w:lineRule="auto"/>
        <w:jc w:val="both"/>
        <w:rPr>
          <w:rFonts w:ascii="Arial" w:eastAsia="SimSun" w:hAnsi="Arial" w:cs="Arial"/>
          <w:snapToGrid w:val="0"/>
          <w:lang w:val="es-ES_tradnl" w:eastAsia="zh-CN"/>
        </w:rPr>
      </w:pPr>
      <w:r w:rsidRPr="00D22E12">
        <w:rPr>
          <w:rFonts w:ascii="Arial" w:eastAsia="SimSun" w:hAnsi="Arial" w:cs="Arial"/>
          <w:snapToGrid w:val="0"/>
          <w:lang w:val="es-ES_tradnl" w:eastAsia="zh-CN"/>
        </w:rPr>
        <w:t>el Marco para la observación de los océanos y la Estrategia 2030 establecen el marco y la orientación técnicos y sustantivos;</w:t>
      </w:r>
    </w:p>
    <w:p w14:paraId="2567E847" w14:textId="77777777" w:rsidR="00D22E12" w:rsidRPr="00D22E12" w:rsidRDefault="00D22E12" w:rsidP="00D22E12">
      <w:pPr>
        <w:numPr>
          <w:ilvl w:val="0"/>
          <w:numId w:val="48"/>
        </w:numPr>
        <w:tabs>
          <w:tab w:val="left" w:pos="567"/>
        </w:tabs>
        <w:snapToGrid w:val="0"/>
        <w:spacing w:after="240" w:line="240" w:lineRule="auto"/>
        <w:jc w:val="both"/>
        <w:rPr>
          <w:rFonts w:ascii="Arial" w:eastAsia="SimSun" w:hAnsi="Arial" w:cs="Arial"/>
          <w:snapToGrid w:val="0"/>
          <w:lang w:val="es-ES_tradnl" w:eastAsia="zh-CN"/>
        </w:rPr>
      </w:pPr>
      <w:r w:rsidRPr="00D22E12">
        <w:rPr>
          <w:rFonts w:ascii="Arial" w:eastAsia="SimSun" w:hAnsi="Arial" w:cs="Arial"/>
          <w:snapToGrid w:val="0"/>
          <w:lang w:val="es-ES_tradnl" w:eastAsia="zh-CN"/>
        </w:rPr>
        <w:t>el plan del Equipo de Gestión del GOOS ofrece una visión general de las actividades y los recursos y determina las necesidades, incluso más allá de 2025.</w:t>
      </w:r>
    </w:p>
    <w:p w14:paraId="1E46A710" w14:textId="77777777" w:rsidR="00D22E12" w:rsidRPr="00D22E12" w:rsidRDefault="00D22E12" w:rsidP="00D22E12">
      <w:pPr>
        <w:tabs>
          <w:tab w:val="left" w:pos="567"/>
        </w:tabs>
        <w:spacing w:before="240" w:after="120" w:line="240" w:lineRule="auto"/>
        <w:jc w:val="both"/>
        <w:rPr>
          <w:rFonts w:ascii="Arial" w:eastAsia="SimSun" w:hAnsi="Arial" w:cs="Arial"/>
          <w:i/>
          <w:iCs/>
          <w:snapToGrid w:val="0"/>
          <w:lang w:val="es-ES_tradnl" w:eastAsia="zh-CN"/>
        </w:rPr>
      </w:pPr>
      <w:r w:rsidRPr="00D22E12">
        <w:rPr>
          <w:rFonts w:ascii="Arial" w:eastAsia="SimSun" w:hAnsi="Arial" w:cs="Arial"/>
          <w:i/>
          <w:iCs/>
          <w:snapToGrid w:val="0"/>
          <w:lang w:val="es-ES_tradnl" w:eastAsia="zh-CN"/>
        </w:rPr>
        <w:t>Ejemplos de objetivos fijados:</w:t>
      </w:r>
    </w:p>
    <w:p w14:paraId="1783DE4B" w14:textId="77777777" w:rsidR="00D22E12" w:rsidRPr="00D22E12" w:rsidRDefault="00D22E12" w:rsidP="00D22E12">
      <w:pPr>
        <w:numPr>
          <w:ilvl w:val="0"/>
          <w:numId w:val="36"/>
        </w:numPr>
        <w:spacing w:after="120" w:line="240" w:lineRule="auto"/>
        <w:ind w:left="1134" w:hanging="567"/>
        <w:jc w:val="both"/>
        <w:rPr>
          <w:rFonts w:ascii="Arial" w:eastAsia="SimSun" w:hAnsi="Arial" w:cs="Arial"/>
          <w:snapToGrid w:val="0"/>
          <w:lang w:val="es-ES_tradnl" w:eastAsia="zh-CN"/>
        </w:rPr>
      </w:pPr>
      <w:r w:rsidRPr="00D22E12">
        <w:rPr>
          <w:rFonts w:ascii="Arial" w:eastAsia="SimSun" w:hAnsi="Arial" w:cs="Arial"/>
          <w:snapToGrid w:val="0"/>
          <w:lang w:val="es-ES_tradnl" w:eastAsia="zh-CN"/>
        </w:rPr>
        <w:t>Participación de 10 Estados Miembros adicionales (4 de África y 6 PEID) en la promoción de la observación del océano mediante el GOOS</w:t>
      </w:r>
    </w:p>
    <w:p w14:paraId="38F38FAE" w14:textId="77777777" w:rsidR="00D22E12" w:rsidRPr="00D22E12" w:rsidRDefault="00D22E12" w:rsidP="00D22E12">
      <w:pPr>
        <w:numPr>
          <w:ilvl w:val="0"/>
          <w:numId w:val="36"/>
        </w:numPr>
        <w:spacing w:after="120" w:line="240" w:lineRule="auto"/>
        <w:ind w:left="1134" w:hanging="567"/>
        <w:jc w:val="both"/>
        <w:rPr>
          <w:rFonts w:ascii="Arial" w:eastAsia="SimSun" w:hAnsi="Arial" w:cs="Arial"/>
          <w:b/>
          <w:bCs/>
          <w:snapToGrid w:val="0"/>
          <w:lang w:val="es-ES_tradnl" w:eastAsia="zh-CN"/>
        </w:rPr>
      </w:pPr>
      <w:r w:rsidRPr="00D22E12">
        <w:rPr>
          <w:rFonts w:ascii="Arial" w:eastAsia="SimSun" w:hAnsi="Arial" w:cs="Arial"/>
          <w:snapToGrid w:val="0"/>
          <w:lang w:val="es-ES_tradnl" w:eastAsia="zh-CN"/>
        </w:rPr>
        <w:t>Vigilancia activa por 12 Estados Miembros adicionales (5 de África y 7 PEID) de las variables biológicas oceánicas</w:t>
      </w:r>
    </w:p>
    <w:p w14:paraId="72DBD508" w14:textId="77777777" w:rsidR="00D22E12" w:rsidRPr="00D22E12" w:rsidRDefault="00D22E12" w:rsidP="00D22E12">
      <w:pPr>
        <w:tabs>
          <w:tab w:val="left" w:pos="567"/>
        </w:tabs>
        <w:spacing w:before="240" w:after="120" w:line="240" w:lineRule="auto"/>
        <w:jc w:val="both"/>
        <w:rPr>
          <w:rFonts w:ascii="Arial" w:eastAsia="SimSun" w:hAnsi="Arial" w:cs="Arial"/>
          <w:i/>
          <w:iCs/>
          <w:snapToGrid w:val="0"/>
          <w:lang w:val="es-ES_tradnl" w:eastAsia="zh-CN"/>
        </w:rPr>
      </w:pPr>
      <w:r w:rsidRPr="00D22E12">
        <w:rPr>
          <w:rFonts w:ascii="Arial" w:eastAsia="SimSun" w:hAnsi="Arial" w:cs="Arial"/>
          <w:i/>
          <w:iCs/>
          <w:snapToGrid w:val="0"/>
          <w:lang w:val="es-ES_tradnl" w:eastAsia="zh-CN"/>
        </w:rPr>
        <w:t>Principales productos:</w:t>
      </w:r>
    </w:p>
    <w:p w14:paraId="76889767" w14:textId="77777777" w:rsidR="00D22E12" w:rsidRPr="00D22E12" w:rsidRDefault="00D22E12" w:rsidP="00D22E12">
      <w:pPr>
        <w:tabs>
          <w:tab w:val="left" w:pos="567"/>
        </w:tabs>
        <w:spacing w:before="240" w:after="120" w:line="240" w:lineRule="auto"/>
        <w:jc w:val="both"/>
        <w:rPr>
          <w:rFonts w:ascii="Arial" w:eastAsia="SimSun" w:hAnsi="Arial" w:cs="Arial"/>
          <w:snapToGrid w:val="0"/>
          <w:u w:val="single"/>
          <w:lang w:val="es-ES_tradnl" w:eastAsia="zh-CN"/>
        </w:rPr>
      </w:pPr>
      <w:r w:rsidRPr="00D22E12">
        <w:rPr>
          <w:rFonts w:ascii="Arial" w:eastAsia="SimSun" w:hAnsi="Arial" w:cs="Arial"/>
          <w:snapToGrid w:val="0"/>
          <w:u w:val="single"/>
          <w:lang w:val="es-ES_tradnl" w:eastAsia="zh-CN"/>
        </w:rPr>
        <w:t>Diseño, desarrollo, colaboración y repercusiones del GOOS</w:t>
      </w:r>
    </w:p>
    <w:p w14:paraId="7125423A" w14:textId="77777777" w:rsidR="00D22E12" w:rsidRPr="00D22E12" w:rsidRDefault="00D22E12" w:rsidP="00D22E12">
      <w:pPr>
        <w:numPr>
          <w:ilvl w:val="0"/>
          <w:numId w:val="36"/>
        </w:numPr>
        <w:spacing w:after="120" w:line="240" w:lineRule="auto"/>
        <w:ind w:left="1134" w:hanging="567"/>
        <w:jc w:val="both"/>
        <w:rPr>
          <w:rFonts w:ascii="Arial" w:eastAsia="SimSun" w:hAnsi="Arial" w:cs="Arial"/>
          <w:snapToGrid w:val="0"/>
          <w:lang w:val="es-ES_tradnl" w:eastAsia="zh-CN"/>
        </w:rPr>
      </w:pPr>
      <w:r w:rsidRPr="00D22E12">
        <w:rPr>
          <w:rFonts w:ascii="Arial" w:eastAsia="SimSun" w:hAnsi="Arial" w:cs="Arial"/>
          <w:snapToGrid w:val="0"/>
          <w:lang w:val="es-ES_tradnl" w:eastAsia="zh-CN"/>
        </w:rPr>
        <w:t>Apoyo a los paneles de expertos del GOOS y las actividades entre paneles, incluidas las hojas de ruta o los planes de ejecución para la observación mundial del carbono en el océano (y las observaciones de la biodiversidad) a fin de responder a las necesidades de los mandatos pertinentes de las Naciones Unidas</w:t>
      </w:r>
    </w:p>
    <w:p w14:paraId="3D6A95FE" w14:textId="77777777" w:rsidR="00D22E12" w:rsidRPr="00D22E12" w:rsidRDefault="00D22E12" w:rsidP="00D22E12">
      <w:pPr>
        <w:numPr>
          <w:ilvl w:val="0"/>
          <w:numId w:val="36"/>
        </w:numPr>
        <w:spacing w:after="120" w:line="240" w:lineRule="auto"/>
        <w:ind w:left="1134" w:hanging="567"/>
        <w:jc w:val="both"/>
        <w:rPr>
          <w:rFonts w:ascii="Arial" w:eastAsia="SimSun" w:hAnsi="Arial" w:cs="Arial"/>
          <w:snapToGrid w:val="0"/>
          <w:lang w:val="es-ES_tradnl" w:eastAsia="zh-CN"/>
        </w:rPr>
      </w:pPr>
      <w:r w:rsidRPr="00D22E12">
        <w:rPr>
          <w:rFonts w:ascii="Arial" w:eastAsia="SimSun" w:hAnsi="Arial" w:cs="Arial"/>
          <w:snapToGrid w:val="0"/>
          <w:lang w:val="es-ES_tradnl" w:eastAsia="zh-CN"/>
        </w:rPr>
        <w:t>Evolución de la visión, la gobernanza y la integración de los sistemas en relación con los Estados Miembros, el Decenio del Océano, la comunidad científica, los encargados de formular políticas, las entidades pertinentes de las Naciones Unidas y los mandatos de acuerdos multilaterales y otras partes interesadas</w:t>
      </w:r>
    </w:p>
    <w:p w14:paraId="3D0912E8" w14:textId="77777777" w:rsidR="00D22E12" w:rsidRPr="00D22E12" w:rsidRDefault="00D22E12" w:rsidP="00D22E12">
      <w:pPr>
        <w:numPr>
          <w:ilvl w:val="0"/>
          <w:numId w:val="36"/>
        </w:numPr>
        <w:spacing w:after="120" w:line="240" w:lineRule="auto"/>
        <w:ind w:left="1134" w:hanging="567"/>
        <w:jc w:val="both"/>
        <w:rPr>
          <w:rFonts w:ascii="Arial" w:eastAsia="SimSun" w:hAnsi="Arial" w:cs="Arial"/>
          <w:snapToGrid w:val="0"/>
          <w:lang w:val="es-ES_tradnl" w:eastAsia="zh-CN"/>
        </w:rPr>
      </w:pPr>
      <w:r w:rsidRPr="00D22E12">
        <w:rPr>
          <w:rFonts w:ascii="Arial" w:eastAsia="SimSun" w:hAnsi="Arial" w:cs="Arial"/>
          <w:snapToGrid w:val="0"/>
          <w:lang w:val="es-ES_tradnl" w:eastAsia="zh-CN"/>
        </w:rPr>
        <w:t>Apoyo a la comunidad del GOOS y a los representantes de sus componentes para comunicar sobre el GOOS y promover las observaciones oceánicas</w:t>
      </w:r>
    </w:p>
    <w:p w14:paraId="20271BC2" w14:textId="77777777" w:rsidR="00D22E12" w:rsidRPr="00D22E12" w:rsidRDefault="00D22E12" w:rsidP="00D22E12">
      <w:pPr>
        <w:tabs>
          <w:tab w:val="left" w:pos="567"/>
        </w:tabs>
        <w:spacing w:before="240" w:after="120" w:line="240" w:lineRule="auto"/>
        <w:jc w:val="both"/>
        <w:rPr>
          <w:rFonts w:ascii="Arial" w:eastAsia="SimSun" w:hAnsi="Arial" w:cs="Arial"/>
          <w:snapToGrid w:val="0"/>
          <w:u w:val="single"/>
          <w:lang w:val="es-ES_tradnl" w:eastAsia="zh-CN"/>
        </w:rPr>
      </w:pPr>
      <w:r w:rsidRPr="00D22E12">
        <w:rPr>
          <w:rFonts w:ascii="Arial" w:eastAsia="SimSun" w:hAnsi="Arial" w:cs="Arial"/>
          <w:snapToGrid w:val="0"/>
          <w:u w:val="single"/>
          <w:lang w:val="es-ES_tradnl" w:eastAsia="zh-CN"/>
        </w:rPr>
        <w:t>Integración y suministro de los sistemas de observación</w:t>
      </w:r>
    </w:p>
    <w:p w14:paraId="1760B446" w14:textId="77777777" w:rsidR="00D22E12" w:rsidRPr="00D22E12" w:rsidRDefault="00D22E12" w:rsidP="00D22E12">
      <w:pPr>
        <w:numPr>
          <w:ilvl w:val="0"/>
          <w:numId w:val="36"/>
        </w:numPr>
        <w:spacing w:after="120" w:line="240" w:lineRule="auto"/>
        <w:ind w:left="1134" w:hanging="567"/>
        <w:jc w:val="both"/>
        <w:rPr>
          <w:rFonts w:ascii="Arial" w:eastAsia="SimSun" w:hAnsi="Arial" w:cs="Arial"/>
          <w:snapToGrid w:val="0"/>
          <w:lang w:val="es-ES_tradnl" w:eastAsia="zh-CN"/>
        </w:rPr>
      </w:pPr>
      <w:r w:rsidRPr="00D22E12">
        <w:rPr>
          <w:rFonts w:ascii="Arial" w:eastAsia="SimSun" w:hAnsi="Arial" w:cs="Arial"/>
          <w:snapToGrid w:val="0"/>
          <w:lang w:val="es-ES_tradnl" w:eastAsia="zh-CN"/>
        </w:rPr>
        <w:t xml:space="preserve">Integración y suministro de datos con </w:t>
      </w:r>
      <w:proofErr w:type="spellStart"/>
      <w:r w:rsidRPr="00D22E12">
        <w:rPr>
          <w:rFonts w:ascii="Arial" w:eastAsia="SimSun" w:hAnsi="Arial" w:cs="Arial"/>
          <w:snapToGrid w:val="0"/>
          <w:lang w:val="es-ES_tradnl" w:eastAsia="zh-CN"/>
        </w:rPr>
        <w:t>OceanOPS</w:t>
      </w:r>
      <w:proofErr w:type="spellEnd"/>
      <w:r w:rsidRPr="00D22E12">
        <w:rPr>
          <w:rFonts w:ascii="Arial" w:eastAsia="SimSun" w:hAnsi="Arial" w:cs="Arial"/>
          <w:snapToGrid w:val="0"/>
          <w:lang w:val="es-ES_tradnl" w:eastAsia="zh-CN"/>
        </w:rPr>
        <w:t>, el IODE y la OMM</w:t>
      </w:r>
    </w:p>
    <w:p w14:paraId="73F0B040" w14:textId="77777777" w:rsidR="00D22E12" w:rsidRPr="00D22E12" w:rsidRDefault="00D22E12" w:rsidP="00D22E12">
      <w:pPr>
        <w:numPr>
          <w:ilvl w:val="0"/>
          <w:numId w:val="36"/>
        </w:numPr>
        <w:spacing w:after="120" w:line="240" w:lineRule="auto"/>
        <w:ind w:left="1134" w:hanging="567"/>
        <w:jc w:val="both"/>
        <w:rPr>
          <w:rFonts w:ascii="Arial" w:eastAsia="SimSun" w:hAnsi="Arial" w:cs="Arial"/>
          <w:snapToGrid w:val="0"/>
          <w:lang w:val="es-ES_tradnl" w:eastAsia="zh-CN"/>
        </w:rPr>
      </w:pPr>
      <w:r w:rsidRPr="00D22E12">
        <w:rPr>
          <w:rFonts w:ascii="Arial" w:eastAsia="SimSun" w:hAnsi="Arial" w:cs="Arial"/>
          <w:snapToGrid w:val="0"/>
          <w:lang w:val="es-ES_tradnl" w:eastAsia="zh-CN"/>
        </w:rPr>
        <w:t>Fortalecimiento del apoyo a las alianzas regionales del GOOS y los puntos focales nacionales y del compromiso con ambos para impulsar las observaciones oceánicas</w:t>
      </w:r>
    </w:p>
    <w:p w14:paraId="73A68ABF" w14:textId="77777777" w:rsidR="00D22E12" w:rsidRPr="00D22E12" w:rsidRDefault="00D22E12" w:rsidP="00D22E12">
      <w:pPr>
        <w:numPr>
          <w:ilvl w:val="0"/>
          <w:numId w:val="36"/>
        </w:numPr>
        <w:spacing w:after="120" w:line="240" w:lineRule="auto"/>
        <w:ind w:left="1134" w:hanging="567"/>
        <w:jc w:val="both"/>
        <w:rPr>
          <w:rFonts w:ascii="Arial" w:eastAsia="SimSun" w:hAnsi="Arial" w:cs="Arial"/>
          <w:snapToGrid w:val="0"/>
          <w:lang w:val="es-ES_tradnl" w:eastAsia="zh-CN"/>
        </w:rPr>
      </w:pPr>
      <w:r w:rsidRPr="00D22E12">
        <w:rPr>
          <w:rFonts w:ascii="Arial" w:eastAsia="SimSun" w:hAnsi="Arial" w:cs="Arial"/>
          <w:snapToGrid w:val="0"/>
          <w:lang w:val="es-ES_tradnl" w:eastAsia="zh-CN"/>
        </w:rPr>
        <w:t>Apoyo a la ejecución y evolución de proyectos del GOOS</w:t>
      </w:r>
    </w:p>
    <w:p w14:paraId="5725B932" w14:textId="77777777" w:rsidR="00D22E12" w:rsidRPr="00D22E12" w:rsidRDefault="00D22E12" w:rsidP="00D22E12">
      <w:pPr>
        <w:tabs>
          <w:tab w:val="left" w:pos="567"/>
        </w:tabs>
        <w:spacing w:before="240" w:after="120" w:line="240" w:lineRule="auto"/>
        <w:jc w:val="both"/>
        <w:rPr>
          <w:rFonts w:ascii="Arial" w:eastAsia="SimSun" w:hAnsi="Arial" w:cs="Arial"/>
          <w:snapToGrid w:val="0"/>
          <w:u w:val="single"/>
          <w:lang w:val="es-ES_tradnl" w:eastAsia="zh-CN"/>
        </w:rPr>
      </w:pPr>
      <w:r w:rsidRPr="00D22E12">
        <w:rPr>
          <w:rFonts w:ascii="Arial" w:eastAsia="SimSun" w:hAnsi="Arial" w:cs="Arial"/>
          <w:snapToGrid w:val="0"/>
          <w:u w:val="single"/>
          <w:lang w:val="es-ES_tradnl" w:eastAsia="zh-CN"/>
        </w:rPr>
        <w:lastRenderedPageBreak/>
        <w:t>Sistemas y aplicaciones de predicción oceánica</w:t>
      </w:r>
    </w:p>
    <w:p w14:paraId="5A93BC5E" w14:textId="4A3C8947" w:rsidR="00D22E12" w:rsidRDefault="00D22E12" w:rsidP="00D22E12">
      <w:pPr>
        <w:numPr>
          <w:ilvl w:val="0"/>
          <w:numId w:val="36"/>
        </w:numPr>
        <w:spacing w:after="240" w:line="240" w:lineRule="auto"/>
        <w:ind w:left="1134" w:hanging="567"/>
        <w:jc w:val="both"/>
        <w:rPr>
          <w:rFonts w:asciiTheme="minorBidi" w:eastAsia="SimSun" w:hAnsiTheme="minorBidi"/>
          <w:b/>
          <w:bCs/>
          <w:snapToGrid w:val="0"/>
          <w:lang w:val="es-ES_tradnl" w:eastAsia="zh-CN"/>
        </w:rPr>
      </w:pPr>
      <w:r w:rsidRPr="00D22E12">
        <w:rPr>
          <w:rFonts w:ascii="Arial" w:eastAsia="SimSun" w:hAnsi="Arial" w:cs="Arial"/>
          <w:snapToGrid w:val="0"/>
          <w:lang w:val="es-ES_tradnl" w:eastAsia="zh-CN"/>
        </w:rPr>
        <w:t>Apoyo a la realización de predicciones operacionales, en particular con la OMM y el Equipo de Expertos sobre los Sistemas de Predicción Oceánica Operativa, y al desarrollo de las capacidades nacionales para evaluar y aumentar los niveles de preparación operacional.</w:t>
      </w:r>
    </w:p>
    <w:p w14:paraId="2507852A" w14:textId="1697DA05" w:rsidR="00B87CDB" w:rsidRPr="00107219" w:rsidRDefault="00B87CDB" w:rsidP="00B87CDB">
      <w:pPr>
        <w:pBdr>
          <w:bottom w:val="single" w:sz="4" w:space="1" w:color="auto"/>
        </w:pBdr>
        <w:tabs>
          <w:tab w:val="left" w:pos="567"/>
        </w:tabs>
        <w:snapToGrid w:val="0"/>
        <w:spacing w:after="0" w:line="240" w:lineRule="auto"/>
        <w:rPr>
          <w:rFonts w:asciiTheme="minorBidi" w:eastAsia="SimSun" w:hAnsiTheme="minorBidi"/>
          <w:b/>
          <w:bCs/>
          <w:snapToGrid w:val="0"/>
          <w:lang w:val="es-ES_tradnl" w:eastAsia="zh-CN"/>
        </w:rPr>
      </w:pPr>
      <w:r w:rsidRPr="00107219">
        <w:rPr>
          <w:rFonts w:asciiTheme="minorBidi" w:eastAsia="SimSun" w:hAnsiTheme="minorBidi"/>
          <w:b/>
          <w:bCs/>
          <w:snapToGrid w:val="0"/>
          <w:lang w:val="es-ES_tradnl" w:eastAsia="zh-CN"/>
        </w:rPr>
        <w:t>Función C - Alerta temprana y servicios</w:t>
      </w:r>
    </w:p>
    <w:p w14:paraId="21A18584" w14:textId="77777777" w:rsidR="00B87CDB" w:rsidRPr="00107219" w:rsidRDefault="00B87CDB" w:rsidP="00AD1F72">
      <w:pPr>
        <w:tabs>
          <w:tab w:val="left" w:pos="567"/>
        </w:tabs>
        <w:spacing w:before="240" w:after="0" w:line="240" w:lineRule="auto"/>
        <w:jc w:val="both"/>
        <w:rPr>
          <w:rFonts w:asciiTheme="minorBidi" w:eastAsia="SimSun" w:hAnsiTheme="minorBidi"/>
          <w:i/>
          <w:iCs/>
          <w:snapToGrid w:val="0"/>
          <w:lang w:val="es-ES_tradnl" w:eastAsia="zh-CN"/>
        </w:rPr>
      </w:pPr>
      <w:r w:rsidRPr="00107219">
        <w:rPr>
          <w:rFonts w:asciiTheme="minorBidi" w:eastAsia="SimSun" w:hAnsiTheme="minorBidi"/>
          <w:i/>
          <w:iCs/>
          <w:snapToGrid w:val="0"/>
          <w:lang w:val="es-ES_tradnl" w:eastAsia="zh-CN"/>
        </w:rPr>
        <w:t>Prioridades para 2024-2025:</w:t>
      </w:r>
    </w:p>
    <w:p w14:paraId="2F52EE67" w14:textId="24E79530" w:rsidR="00B87CDB" w:rsidRPr="00BE2496" w:rsidRDefault="00B87CDB" w:rsidP="00BE2496">
      <w:pPr>
        <w:pStyle w:val="Prrafodelista"/>
        <w:numPr>
          <w:ilvl w:val="0"/>
          <w:numId w:val="41"/>
        </w:numPr>
        <w:pBdr>
          <w:top w:val="nil"/>
          <w:left w:val="nil"/>
          <w:bottom w:val="nil"/>
          <w:right w:val="nil"/>
          <w:between w:val="nil"/>
        </w:pBdr>
        <w:shd w:val="clear" w:color="auto" w:fill="FFFFFF"/>
        <w:spacing w:before="240" w:after="240" w:line="240" w:lineRule="auto"/>
        <w:ind w:left="0" w:firstLine="0"/>
        <w:contextualSpacing w:val="0"/>
        <w:jc w:val="both"/>
        <w:rPr>
          <w:rFonts w:asciiTheme="minorBidi" w:eastAsia="SimSun" w:hAnsiTheme="minorBidi"/>
          <w:snapToGrid w:val="0"/>
          <w:lang w:val="es-ES_tradnl" w:eastAsia="zh-CN"/>
        </w:rPr>
      </w:pPr>
      <w:r w:rsidRPr="00BE2496">
        <w:rPr>
          <w:rFonts w:asciiTheme="minorBidi" w:eastAsia="SimSun" w:hAnsiTheme="minorBidi"/>
          <w:snapToGrid w:val="0"/>
          <w:lang w:val="es-ES_tradnl" w:eastAsia="zh-CN"/>
        </w:rPr>
        <w:t xml:space="preserve">La atención sigue centrada en apoyar la colaboración internacional a fin de aportar una contribución directa fundamental para la aplicación del Marco de </w:t>
      </w:r>
      <w:proofErr w:type="spellStart"/>
      <w:r w:rsidRPr="00BE2496">
        <w:rPr>
          <w:rFonts w:asciiTheme="minorBidi" w:eastAsia="SimSun" w:hAnsiTheme="minorBidi"/>
          <w:snapToGrid w:val="0"/>
          <w:lang w:val="es-ES_tradnl" w:eastAsia="zh-CN"/>
        </w:rPr>
        <w:t>Sendái</w:t>
      </w:r>
      <w:proofErr w:type="spellEnd"/>
      <w:r w:rsidRPr="00BE2496">
        <w:rPr>
          <w:rFonts w:asciiTheme="minorBidi" w:eastAsia="SimSun" w:hAnsiTheme="minorBidi"/>
          <w:snapToGrid w:val="0"/>
          <w:lang w:val="es-ES_tradnl" w:eastAsia="zh-CN"/>
        </w:rPr>
        <w:t xml:space="preserve"> para la Reducción del Riesgo de Desastres (2015-2030) mediante la coordinación de la red intergubernamental de los cuatro sistemas regionales de alerta contra los tsunamis y atenuación de sus efectos, actuando como organismo de normalización mundial en esta materia y coordinando 13 proveedores de servicios sobre tsunamis que prestan servicios operacionales de manera ininterrumpida.</w:t>
      </w:r>
    </w:p>
    <w:p w14:paraId="1B90B72B" w14:textId="7E6BAA2A" w:rsidR="00B87CDB" w:rsidRPr="00107219" w:rsidRDefault="00B87CDB" w:rsidP="00BE2496">
      <w:pPr>
        <w:pStyle w:val="Prrafodelista"/>
        <w:numPr>
          <w:ilvl w:val="0"/>
          <w:numId w:val="41"/>
        </w:numPr>
        <w:pBdr>
          <w:top w:val="nil"/>
          <w:left w:val="nil"/>
          <w:bottom w:val="nil"/>
          <w:right w:val="nil"/>
          <w:between w:val="nil"/>
        </w:pBdr>
        <w:shd w:val="clear" w:color="auto" w:fill="FFFFFF"/>
        <w:spacing w:before="240" w:after="240" w:line="240" w:lineRule="auto"/>
        <w:ind w:left="0" w:firstLine="0"/>
        <w:contextualSpacing w:val="0"/>
        <w:jc w:val="both"/>
        <w:rPr>
          <w:rFonts w:asciiTheme="minorBidi" w:eastAsia="SimSun" w:hAnsiTheme="minorBidi"/>
          <w:snapToGrid w:val="0"/>
          <w:lang w:val="es-ES_tradnl" w:eastAsia="zh-CN"/>
        </w:rPr>
      </w:pPr>
      <w:r w:rsidRPr="00107219">
        <w:rPr>
          <w:rFonts w:asciiTheme="minorBidi" w:eastAsia="SimSun" w:hAnsiTheme="minorBidi"/>
          <w:snapToGrid w:val="0"/>
          <w:lang w:val="es-ES_tradnl" w:eastAsia="zh-CN"/>
        </w:rPr>
        <w:t>Gracias a la coordinación de una amplia red de centros nacionales de alerta contra los tsunamis (NTWC) y puntos de contacto de alerta contra los tsunamis (TWFP), la COI podrá lograr grandes mejoras en la precisión y la rapidez de las alertas de tsunami, con un aumento del 100</w:t>
      </w:r>
      <w:r w:rsidR="00AD1F72">
        <w:rPr>
          <w:rFonts w:asciiTheme="minorBidi" w:eastAsia="SimSun" w:hAnsiTheme="minorBidi"/>
          <w:snapToGrid w:val="0"/>
          <w:lang w:val="es-ES_tradnl" w:eastAsia="zh-CN"/>
        </w:rPr>
        <w:t> </w:t>
      </w:r>
      <w:r w:rsidRPr="00107219">
        <w:rPr>
          <w:rFonts w:asciiTheme="minorBidi" w:eastAsia="SimSun" w:hAnsiTheme="minorBidi"/>
          <w:snapToGrid w:val="0"/>
          <w:lang w:val="es-ES_tradnl" w:eastAsia="zh-CN"/>
        </w:rPr>
        <w:t xml:space="preserve">% con respecto al nivel actual en el número de comunidades acreditadas por el programa Tsunami </w:t>
      </w:r>
      <w:proofErr w:type="spellStart"/>
      <w:r w:rsidRPr="00107219">
        <w:rPr>
          <w:rFonts w:asciiTheme="minorBidi" w:eastAsia="SimSun" w:hAnsiTheme="minorBidi"/>
          <w:snapToGrid w:val="0"/>
          <w:lang w:val="es-ES_tradnl" w:eastAsia="zh-CN"/>
        </w:rPr>
        <w:t>Ready</w:t>
      </w:r>
      <w:proofErr w:type="spellEnd"/>
      <w:r w:rsidRPr="00107219">
        <w:rPr>
          <w:rFonts w:asciiTheme="minorBidi" w:eastAsia="SimSun" w:hAnsiTheme="minorBidi"/>
          <w:snapToGrid w:val="0"/>
          <w:lang w:val="es-ES_tradnl" w:eastAsia="zh-CN"/>
        </w:rPr>
        <w:t xml:space="preserve">. El Programa de Reconocimiento Tsunami </w:t>
      </w:r>
      <w:proofErr w:type="spellStart"/>
      <w:r w:rsidRPr="00107219">
        <w:rPr>
          <w:rFonts w:asciiTheme="minorBidi" w:eastAsia="SimSun" w:hAnsiTheme="minorBidi"/>
          <w:snapToGrid w:val="0"/>
          <w:lang w:val="es-ES_tradnl" w:eastAsia="zh-CN"/>
        </w:rPr>
        <w:t>Ready</w:t>
      </w:r>
      <w:proofErr w:type="spellEnd"/>
      <w:r w:rsidRPr="00107219">
        <w:rPr>
          <w:rFonts w:asciiTheme="minorBidi" w:eastAsia="SimSun" w:hAnsiTheme="minorBidi"/>
          <w:snapToGrid w:val="0"/>
          <w:lang w:val="es-ES_tradnl" w:eastAsia="zh-CN"/>
        </w:rPr>
        <w:t xml:space="preserve"> de la UNESCO/COI, aprobado por el Consejo Ejecutivo de la COI en 2022, incluye 12 indicadores de evaluación, preparación y respuesta que ayudan a las comunidades en situación de riesgo a desarrollar las capacidades necesarias para responder de manera efectiva a las alertas y las amenazas de tsunami.</w:t>
      </w:r>
    </w:p>
    <w:p w14:paraId="19CFA69E" w14:textId="333F3C73" w:rsidR="00B87CDB" w:rsidRPr="00107219" w:rsidRDefault="00B87CDB" w:rsidP="00BE2496">
      <w:pPr>
        <w:pStyle w:val="Prrafodelista"/>
        <w:numPr>
          <w:ilvl w:val="0"/>
          <w:numId w:val="41"/>
        </w:numPr>
        <w:pBdr>
          <w:top w:val="nil"/>
          <w:left w:val="nil"/>
          <w:bottom w:val="nil"/>
          <w:right w:val="nil"/>
          <w:between w:val="nil"/>
        </w:pBdr>
        <w:shd w:val="clear" w:color="auto" w:fill="FFFFFF"/>
        <w:spacing w:before="240" w:after="240" w:line="240" w:lineRule="auto"/>
        <w:ind w:left="0" w:firstLine="0"/>
        <w:contextualSpacing w:val="0"/>
        <w:jc w:val="both"/>
        <w:rPr>
          <w:rFonts w:asciiTheme="minorBidi" w:eastAsia="SimSun" w:hAnsiTheme="minorBidi"/>
          <w:snapToGrid w:val="0"/>
          <w:lang w:val="es-ES_tradnl" w:eastAsia="zh-CN"/>
        </w:rPr>
      </w:pPr>
      <w:r w:rsidRPr="00107219">
        <w:rPr>
          <w:rFonts w:asciiTheme="minorBidi" w:eastAsia="SimSun" w:hAnsiTheme="minorBidi"/>
          <w:snapToGrid w:val="0"/>
          <w:lang w:val="es-ES_tradnl" w:eastAsia="zh-CN"/>
        </w:rPr>
        <w:t xml:space="preserve">En el contexto del </w:t>
      </w:r>
      <w:hyperlink r:id="rId33" w:history="1">
        <w:r w:rsidRPr="00107219">
          <w:rPr>
            <w:rFonts w:asciiTheme="minorBidi" w:eastAsia="SimSun" w:hAnsiTheme="minorBidi"/>
            <w:snapToGrid w:val="0"/>
            <w:color w:val="0000FF" w:themeColor="hyperlink"/>
            <w:u w:val="single"/>
            <w:lang w:val="es-ES_tradnl" w:eastAsia="zh-CN"/>
          </w:rPr>
          <w:t>Plan de Investigación, Desarrollo y Ejecución del Programa de Tsunamis del Decenio del Océano (2024-2030)</w:t>
        </w:r>
      </w:hyperlink>
      <w:r w:rsidRPr="00107219">
        <w:rPr>
          <w:rFonts w:asciiTheme="minorBidi" w:eastAsia="SimSun" w:hAnsiTheme="minorBidi"/>
          <w:snapToGrid w:val="0"/>
          <w:lang w:val="es-ES_tradnl" w:eastAsia="zh-CN"/>
        </w:rPr>
        <w:t xml:space="preserve">, los Estados Miembros deberán edificar bases técnicas para integrar servicios sobre tsunamis generados por fuentes no sísmicas, como los tsunamis generados por volcanes. Y, aún más importante, con el fin de reducir la repercusión social, la COI se fijará el objetivo de conseguir que el 100 % de las comunidades en situación de riesgo del Caribe, el Pacífico, el Índico, el Mediterráneo y el Atlántico Nororiental reciban la acreditación del programa Tsunami </w:t>
      </w:r>
      <w:proofErr w:type="spellStart"/>
      <w:r w:rsidRPr="00107219">
        <w:rPr>
          <w:rFonts w:asciiTheme="minorBidi" w:eastAsia="SimSun" w:hAnsiTheme="minorBidi"/>
          <w:snapToGrid w:val="0"/>
          <w:lang w:val="es-ES_tradnl" w:eastAsia="zh-CN"/>
        </w:rPr>
        <w:t>Ready</w:t>
      </w:r>
      <w:proofErr w:type="spellEnd"/>
      <w:r w:rsidRPr="00107219">
        <w:rPr>
          <w:rFonts w:asciiTheme="minorBidi" w:eastAsia="SimSun" w:hAnsiTheme="minorBidi"/>
          <w:snapToGrid w:val="0"/>
          <w:lang w:val="es-ES_tradnl" w:eastAsia="zh-CN"/>
        </w:rPr>
        <w:t xml:space="preserve"> de aquí a 2030. Dado que los PEID se consideran claramente un grupo prioritario en la Estrategia a Plazo Medio de la COI para 2022-2029, se hará especial hincapié en los PEID y los PMA.</w:t>
      </w:r>
    </w:p>
    <w:p w14:paraId="4E37C581" w14:textId="77777777" w:rsidR="00B87CDB" w:rsidRPr="00107219" w:rsidRDefault="00B87CDB" w:rsidP="00B87CDB">
      <w:pPr>
        <w:tabs>
          <w:tab w:val="left" w:pos="567"/>
        </w:tabs>
        <w:snapToGrid w:val="0"/>
        <w:spacing w:after="120" w:line="240" w:lineRule="auto"/>
        <w:jc w:val="both"/>
        <w:rPr>
          <w:rFonts w:asciiTheme="minorBidi" w:eastAsia="SimSun" w:hAnsiTheme="minorBidi"/>
          <w:i/>
          <w:iCs/>
          <w:snapToGrid w:val="0"/>
          <w:lang w:val="es-ES_tradnl" w:eastAsia="zh-CN"/>
        </w:rPr>
      </w:pPr>
      <w:r w:rsidRPr="00107219">
        <w:rPr>
          <w:rFonts w:asciiTheme="minorBidi" w:eastAsia="SimSun" w:hAnsiTheme="minorBidi"/>
          <w:i/>
          <w:iCs/>
          <w:snapToGrid w:val="0"/>
          <w:lang w:val="es-ES_tradnl" w:eastAsia="zh-CN"/>
        </w:rPr>
        <w:t>Ejemplos de objetivos fijados:</w:t>
      </w:r>
    </w:p>
    <w:p w14:paraId="4CA0B1FD" w14:textId="77777777" w:rsidR="00B87CDB" w:rsidRPr="00107219" w:rsidRDefault="00B87CDB" w:rsidP="00BE2496">
      <w:pPr>
        <w:numPr>
          <w:ilvl w:val="0"/>
          <w:numId w:val="36"/>
        </w:numPr>
        <w:spacing w:after="120" w:line="240" w:lineRule="auto"/>
        <w:ind w:left="1134" w:hanging="567"/>
        <w:jc w:val="both"/>
        <w:rPr>
          <w:rFonts w:asciiTheme="minorBidi" w:eastAsia="SimSun" w:hAnsiTheme="minorBidi"/>
          <w:snapToGrid w:val="0"/>
          <w:lang w:val="es-ES_tradnl" w:eastAsia="zh-CN"/>
        </w:rPr>
      </w:pPr>
      <w:r w:rsidRPr="00107219">
        <w:rPr>
          <w:rFonts w:asciiTheme="minorBidi" w:eastAsia="SimSun" w:hAnsiTheme="minorBidi"/>
          <w:snapToGrid w:val="0"/>
          <w:lang w:val="es-ES_tradnl" w:eastAsia="zh-CN"/>
        </w:rPr>
        <w:t>Capacitación de 15 Estados Miembros adicionales (5 más de África y 10 PEID adicionales) con mayor preparación y resiliencia ante los riesgos de tsunami y otros peligros oceánicos</w:t>
      </w:r>
    </w:p>
    <w:p w14:paraId="4BD925BB" w14:textId="77777777" w:rsidR="00B87CDB" w:rsidRPr="00107219" w:rsidRDefault="00B87CDB" w:rsidP="00BE2496">
      <w:pPr>
        <w:numPr>
          <w:ilvl w:val="0"/>
          <w:numId w:val="36"/>
        </w:numPr>
        <w:spacing w:after="120" w:line="240" w:lineRule="auto"/>
        <w:ind w:left="1134" w:hanging="567"/>
        <w:jc w:val="both"/>
        <w:rPr>
          <w:rFonts w:asciiTheme="minorBidi" w:eastAsia="SimSun" w:hAnsiTheme="minorBidi"/>
          <w:snapToGrid w:val="0"/>
          <w:lang w:val="es-ES_tradnl" w:eastAsia="zh-CN"/>
        </w:rPr>
      </w:pPr>
      <w:r w:rsidRPr="00107219">
        <w:rPr>
          <w:rFonts w:asciiTheme="minorBidi" w:eastAsia="SimSun" w:hAnsiTheme="minorBidi"/>
          <w:snapToGrid w:val="0"/>
          <w:lang w:val="es-ES_tradnl" w:eastAsia="zh-CN"/>
        </w:rPr>
        <w:t xml:space="preserve">Aumento del 100 % en el número de comunidades acreditadas por el programa Tsunami </w:t>
      </w:r>
      <w:proofErr w:type="spellStart"/>
      <w:r w:rsidRPr="00107219">
        <w:rPr>
          <w:rFonts w:asciiTheme="minorBidi" w:eastAsia="SimSun" w:hAnsiTheme="minorBidi"/>
          <w:snapToGrid w:val="0"/>
          <w:lang w:val="es-ES_tradnl" w:eastAsia="zh-CN"/>
        </w:rPr>
        <w:t>Ready</w:t>
      </w:r>
      <w:proofErr w:type="spellEnd"/>
      <w:r w:rsidRPr="00107219">
        <w:rPr>
          <w:rFonts w:asciiTheme="minorBidi" w:eastAsia="SimSun" w:hAnsiTheme="minorBidi"/>
          <w:snapToGrid w:val="0"/>
          <w:lang w:val="es-ES_tradnl" w:eastAsia="zh-CN"/>
        </w:rPr>
        <w:t>, con especial atención a los PEID y los PMA</w:t>
      </w:r>
    </w:p>
    <w:p w14:paraId="64894335" w14:textId="0F540244" w:rsidR="00B87CDB" w:rsidRPr="00107219" w:rsidRDefault="00B87CDB" w:rsidP="00BE2496">
      <w:pPr>
        <w:numPr>
          <w:ilvl w:val="0"/>
          <w:numId w:val="36"/>
        </w:numPr>
        <w:spacing w:after="120" w:line="240" w:lineRule="auto"/>
        <w:ind w:left="1134" w:hanging="567"/>
        <w:jc w:val="both"/>
        <w:rPr>
          <w:rFonts w:asciiTheme="minorBidi" w:eastAsia="SimSun" w:hAnsiTheme="minorBidi"/>
          <w:snapToGrid w:val="0"/>
          <w:lang w:val="es-ES_tradnl" w:eastAsia="zh-CN"/>
        </w:rPr>
      </w:pPr>
      <w:r w:rsidRPr="00107219">
        <w:rPr>
          <w:rFonts w:asciiTheme="minorBidi" w:eastAsia="SimSun" w:hAnsiTheme="minorBidi"/>
          <w:snapToGrid w:val="0"/>
          <w:lang w:val="es-ES_tradnl" w:eastAsia="zh-CN"/>
        </w:rPr>
        <w:t>8 Estados Miembros adicionales (4 de África y 2 PEID) con mayor capacidad de gestión de las floraciones de algas nocivas</w:t>
      </w:r>
    </w:p>
    <w:p w14:paraId="50384820" w14:textId="77777777" w:rsidR="00B87CDB" w:rsidRPr="00107219" w:rsidRDefault="00B87CDB" w:rsidP="00AD1F72">
      <w:pPr>
        <w:tabs>
          <w:tab w:val="left" w:pos="567"/>
        </w:tabs>
        <w:spacing w:before="240" w:after="120" w:line="240" w:lineRule="auto"/>
        <w:jc w:val="both"/>
        <w:rPr>
          <w:rFonts w:asciiTheme="minorBidi" w:eastAsia="SimSun" w:hAnsiTheme="minorBidi"/>
          <w:i/>
          <w:iCs/>
          <w:snapToGrid w:val="0"/>
          <w:lang w:val="es-ES_tradnl" w:eastAsia="zh-CN"/>
        </w:rPr>
      </w:pPr>
      <w:r w:rsidRPr="00107219">
        <w:rPr>
          <w:rFonts w:asciiTheme="minorBidi" w:eastAsia="SimSun" w:hAnsiTheme="minorBidi"/>
          <w:i/>
          <w:iCs/>
          <w:snapToGrid w:val="0"/>
          <w:lang w:val="es-ES_tradnl" w:eastAsia="zh-CN"/>
        </w:rPr>
        <w:t>Principales productos:</w:t>
      </w:r>
    </w:p>
    <w:p w14:paraId="1A33CAC5" w14:textId="77777777" w:rsidR="00B87CDB" w:rsidRPr="00107219" w:rsidRDefault="00B87CDB" w:rsidP="00BE2496">
      <w:pPr>
        <w:numPr>
          <w:ilvl w:val="0"/>
          <w:numId w:val="36"/>
        </w:numPr>
        <w:spacing w:after="120" w:line="240" w:lineRule="auto"/>
        <w:ind w:left="1134" w:hanging="567"/>
        <w:jc w:val="both"/>
        <w:rPr>
          <w:rFonts w:asciiTheme="minorBidi" w:eastAsia="SimSun" w:hAnsiTheme="minorBidi"/>
          <w:snapToGrid w:val="0"/>
          <w:lang w:val="es-ES_tradnl" w:eastAsia="zh-CN"/>
        </w:rPr>
      </w:pPr>
      <w:r w:rsidRPr="00107219">
        <w:rPr>
          <w:rFonts w:asciiTheme="minorBidi" w:eastAsia="SimSun" w:hAnsiTheme="minorBidi"/>
          <w:snapToGrid w:val="0"/>
          <w:lang w:val="es-ES_tradnl" w:eastAsia="zh-CN"/>
        </w:rPr>
        <w:t>Aumento del número de estaciones de medición del nivel del mar que contribuyen al Sistema Mundial de Observación del Nivel del Mar (GLOSS) en lo que se refiere a los peligros costeros, incluidos los tsunamis. Restauración de dos estaciones de la red básica del GLOSS en África Septentrional</w:t>
      </w:r>
    </w:p>
    <w:p w14:paraId="4FF6B005" w14:textId="77777777" w:rsidR="00B87CDB" w:rsidRPr="00107219" w:rsidRDefault="00B87CDB" w:rsidP="00BE2496">
      <w:pPr>
        <w:numPr>
          <w:ilvl w:val="0"/>
          <w:numId w:val="36"/>
        </w:numPr>
        <w:spacing w:after="120" w:line="240" w:lineRule="auto"/>
        <w:ind w:left="1134" w:hanging="567"/>
        <w:jc w:val="both"/>
        <w:rPr>
          <w:rFonts w:asciiTheme="minorBidi" w:eastAsia="SimSun" w:hAnsiTheme="minorBidi"/>
          <w:snapToGrid w:val="0"/>
          <w:lang w:val="es-ES_tradnl" w:eastAsia="zh-CN"/>
        </w:rPr>
      </w:pPr>
      <w:r w:rsidRPr="00107219">
        <w:rPr>
          <w:rFonts w:asciiTheme="minorBidi" w:eastAsia="SimSun" w:hAnsiTheme="minorBidi"/>
          <w:snapToGrid w:val="0"/>
          <w:lang w:val="es-ES_tradnl" w:eastAsia="zh-CN"/>
        </w:rPr>
        <w:t xml:space="preserve">Acreditación de 6 nuevas comunidades por el programa Tsunami </w:t>
      </w:r>
      <w:proofErr w:type="spellStart"/>
      <w:r w:rsidRPr="00107219">
        <w:rPr>
          <w:rFonts w:asciiTheme="minorBidi" w:eastAsia="SimSun" w:hAnsiTheme="minorBidi"/>
          <w:snapToGrid w:val="0"/>
          <w:lang w:val="es-ES_tradnl" w:eastAsia="zh-CN"/>
        </w:rPr>
        <w:t>Ready</w:t>
      </w:r>
      <w:proofErr w:type="spellEnd"/>
      <w:r w:rsidRPr="00107219">
        <w:rPr>
          <w:rFonts w:asciiTheme="minorBidi" w:eastAsia="SimSun" w:hAnsiTheme="minorBidi"/>
          <w:snapToGrid w:val="0"/>
          <w:lang w:val="es-ES_tradnl" w:eastAsia="zh-CN"/>
        </w:rPr>
        <w:t xml:space="preserve"> en 5 PEID de la región del Caribe, 2 comunidades en 2 PEID del océano Índico y 5 comunidades en 5 PEID del océano Pacífico (en total, 13 nuevas comunidades acreditadas por el programa Tsunami </w:t>
      </w:r>
      <w:proofErr w:type="spellStart"/>
      <w:r w:rsidRPr="00107219">
        <w:rPr>
          <w:rFonts w:asciiTheme="minorBidi" w:eastAsia="SimSun" w:hAnsiTheme="minorBidi"/>
          <w:snapToGrid w:val="0"/>
          <w:lang w:val="es-ES_tradnl" w:eastAsia="zh-CN"/>
        </w:rPr>
        <w:t>Ready</w:t>
      </w:r>
      <w:proofErr w:type="spellEnd"/>
      <w:r w:rsidRPr="00107219">
        <w:rPr>
          <w:rFonts w:asciiTheme="minorBidi" w:eastAsia="SimSun" w:hAnsiTheme="minorBidi"/>
          <w:snapToGrid w:val="0"/>
          <w:lang w:val="es-ES_tradnl" w:eastAsia="zh-CN"/>
        </w:rPr>
        <w:t xml:space="preserve"> en 12 PEID)</w:t>
      </w:r>
    </w:p>
    <w:p w14:paraId="45CBA275" w14:textId="77777777" w:rsidR="00B87CDB" w:rsidRPr="00107219" w:rsidRDefault="00B87CDB" w:rsidP="00BE2496">
      <w:pPr>
        <w:numPr>
          <w:ilvl w:val="0"/>
          <w:numId w:val="36"/>
        </w:numPr>
        <w:spacing w:after="120" w:line="240" w:lineRule="auto"/>
        <w:ind w:left="1134" w:hanging="567"/>
        <w:jc w:val="both"/>
        <w:rPr>
          <w:rFonts w:asciiTheme="minorBidi" w:eastAsia="SimSun" w:hAnsiTheme="minorBidi"/>
          <w:snapToGrid w:val="0"/>
          <w:lang w:val="es-ES_tradnl" w:eastAsia="zh-CN"/>
        </w:rPr>
      </w:pPr>
      <w:r w:rsidRPr="00107219">
        <w:rPr>
          <w:rFonts w:asciiTheme="minorBidi" w:eastAsia="SimSun" w:hAnsiTheme="minorBidi"/>
          <w:snapToGrid w:val="0"/>
          <w:lang w:val="es-ES_tradnl" w:eastAsia="zh-CN"/>
        </w:rPr>
        <w:lastRenderedPageBreak/>
        <w:t>Tres nuevos puntos de contacto de alerta contra los tsunamis (TWFP) en África y 4 en los PEID</w:t>
      </w:r>
    </w:p>
    <w:p w14:paraId="302438E6" w14:textId="77777777" w:rsidR="00B87CDB" w:rsidRPr="00107219" w:rsidRDefault="00B87CDB" w:rsidP="00BE2496">
      <w:pPr>
        <w:numPr>
          <w:ilvl w:val="0"/>
          <w:numId w:val="36"/>
        </w:numPr>
        <w:spacing w:after="120" w:line="240" w:lineRule="auto"/>
        <w:ind w:left="1134" w:hanging="567"/>
        <w:jc w:val="both"/>
        <w:rPr>
          <w:rFonts w:asciiTheme="minorBidi" w:eastAsia="SimSun" w:hAnsiTheme="minorBidi"/>
          <w:snapToGrid w:val="0"/>
          <w:lang w:val="es-ES_tradnl" w:eastAsia="zh-CN"/>
        </w:rPr>
      </w:pPr>
      <w:r w:rsidRPr="00107219">
        <w:rPr>
          <w:rFonts w:asciiTheme="minorBidi" w:eastAsia="SimSun" w:hAnsiTheme="minorBidi"/>
          <w:snapToGrid w:val="0"/>
          <w:lang w:val="es-ES_tradnl" w:eastAsia="zh-CN"/>
        </w:rPr>
        <w:t>Intensificación de la cooperación intersectorial con el Sector de Ciencias Exactas y Naturales y la Oficina de la UNESCO para los Estados del Pacífico a fin de fomentar el aprendizaje colectivo para afrontar mejor las amenazas comunes derivadas de riesgos geológicos (terremotos, desprendimiento de tierras, volcanes y tsunamis) en las islas del Pacífico</w:t>
      </w:r>
    </w:p>
    <w:p w14:paraId="78A79396" w14:textId="77777777" w:rsidR="00B87CDB" w:rsidRPr="00107219" w:rsidRDefault="00B87CDB" w:rsidP="00BE2496">
      <w:pPr>
        <w:numPr>
          <w:ilvl w:val="0"/>
          <w:numId w:val="36"/>
        </w:numPr>
        <w:spacing w:after="120" w:line="240" w:lineRule="auto"/>
        <w:ind w:left="1134" w:hanging="567"/>
        <w:jc w:val="both"/>
        <w:rPr>
          <w:rFonts w:asciiTheme="minorBidi" w:eastAsia="SimSun" w:hAnsiTheme="minorBidi"/>
          <w:snapToGrid w:val="0"/>
          <w:lang w:val="es-ES_tradnl" w:eastAsia="zh-CN"/>
        </w:rPr>
      </w:pPr>
      <w:r w:rsidRPr="00107219">
        <w:rPr>
          <w:rFonts w:asciiTheme="minorBidi" w:eastAsia="SimSun" w:hAnsiTheme="minorBidi"/>
          <w:snapToGrid w:val="0"/>
          <w:lang w:val="es-ES_tradnl" w:eastAsia="zh-CN"/>
        </w:rPr>
        <w:t>Liderazgo estratégico y toma de iniciativa por parte de programas dirigidos o patrocinados por la COI para definir prioridades acerca de la investigación sobre el océano y el clima, la investigación sobre el ciclo del carbono oceánico, la investigación sobre la desoxigenación y la eutrofización del océano, y las soluciones para las floraciones de algas nocivas</w:t>
      </w:r>
    </w:p>
    <w:p w14:paraId="484D2770" w14:textId="77777777" w:rsidR="00B87CDB" w:rsidRPr="00107219" w:rsidRDefault="00B87CDB" w:rsidP="00AD1F72">
      <w:pPr>
        <w:pBdr>
          <w:bottom w:val="single" w:sz="4" w:space="1" w:color="auto"/>
        </w:pBdr>
        <w:tabs>
          <w:tab w:val="left" w:pos="567"/>
        </w:tabs>
        <w:spacing w:before="240" w:after="240" w:line="240" w:lineRule="auto"/>
        <w:rPr>
          <w:rFonts w:asciiTheme="minorBidi" w:eastAsia="SimSun" w:hAnsiTheme="minorBidi"/>
          <w:b/>
          <w:bCs/>
          <w:snapToGrid w:val="0"/>
          <w:lang w:val="es-ES_tradnl" w:eastAsia="zh-CN"/>
        </w:rPr>
      </w:pPr>
      <w:r w:rsidRPr="00107219">
        <w:rPr>
          <w:rFonts w:asciiTheme="minorBidi" w:eastAsia="SimSun" w:hAnsiTheme="minorBidi"/>
          <w:b/>
          <w:bCs/>
          <w:snapToGrid w:val="0"/>
          <w:lang w:val="es-ES_tradnl" w:eastAsia="zh-CN"/>
        </w:rPr>
        <w:t>Función D - Evaluación e información para la formulación de políticas</w:t>
      </w:r>
    </w:p>
    <w:p w14:paraId="2FAE35F0" w14:textId="77777777" w:rsidR="00B87CDB" w:rsidRPr="00107219" w:rsidRDefault="00B87CDB" w:rsidP="00B87CDB">
      <w:pPr>
        <w:tabs>
          <w:tab w:val="left" w:pos="567"/>
        </w:tabs>
        <w:snapToGrid w:val="0"/>
        <w:spacing w:after="0" w:line="240" w:lineRule="auto"/>
        <w:jc w:val="both"/>
        <w:rPr>
          <w:rFonts w:asciiTheme="minorBidi" w:eastAsia="SimSun" w:hAnsiTheme="minorBidi"/>
          <w:i/>
          <w:iCs/>
          <w:snapToGrid w:val="0"/>
          <w:lang w:val="es-ES_tradnl" w:eastAsia="zh-CN"/>
        </w:rPr>
      </w:pPr>
      <w:r w:rsidRPr="00107219">
        <w:rPr>
          <w:rFonts w:asciiTheme="minorBidi" w:eastAsia="SimSun" w:hAnsiTheme="minorBidi"/>
          <w:i/>
          <w:iCs/>
          <w:snapToGrid w:val="0"/>
          <w:lang w:val="es-ES_tradnl" w:eastAsia="zh-CN"/>
        </w:rPr>
        <w:t>Prioridades para 2024-2025:</w:t>
      </w:r>
    </w:p>
    <w:p w14:paraId="520BEFF9" w14:textId="46E3B896" w:rsidR="00B87CDB" w:rsidRPr="00107219" w:rsidRDefault="00B87CDB" w:rsidP="00BE2496">
      <w:pPr>
        <w:pStyle w:val="Prrafodelista"/>
        <w:numPr>
          <w:ilvl w:val="0"/>
          <w:numId w:val="41"/>
        </w:numPr>
        <w:pBdr>
          <w:top w:val="nil"/>
          <w:left w:val="nil"/>
          <w:bottom w:val="nil"/>
          <w:right w:val="nil"/>
          <w:between w:val="nil"/>
        </w:pBdr>
        <w:shd w:val="clear" w:color="auto" w:fill="FFFFFF"/>
        <w:spacing w:before="240" w:after="240" w:line="240" w:lineRule="auto"/>
        <w:ind w:left="0" w:firstLine="0"/>
        <w:contextualSpacing w:val="0"/>
        <w:jc w:val="both"/>
        <w:rPr>
          <w:rFonts w:asciiTheme="minorBidi" w:eastAsia="SimSun" w:hAnsiTheme="minorBidi"/>
          <w:snapToGrid w:val="0"/>
          <w:lang w:val="es-ES_tradnl" w:eastAsia="zh-CN"/>
        </w:rPr>
      </w:pPr>
      <w:r w:rsidRPr="00107219">
        <w:rPr>
          <w:rFonts w:asciiTheme="minorBidi" w:eastAsia="SimSun" w:hAnsiTheme="minorBidi"/>
          <w:snapToGrid w:val="0"/>
          <w:lang w:val="es-ES_tradnl" w:eastAsia="zh-CN"/>
        </w:rPr>
        <w:t xml:space="preserve">Se hará hincapié en fortalecer el compromiso y las contribuciones de la COI en favor de iniciativas mundiales de evaluación, como la Evaluación Mundial de los Océanos y la Plataforma Intergubernamental Científico-Normativa sobre Diversidad Biológica y Servicios de los Ecosistemas (IPBES), así como en mejorar su propio proceso de evaluación y sus productos (desde la concepción hasta la difusión), como el </w:t>
      </w:r>
      <w:r w:rsidRPr="00107219">
        <w:rPr>
          <w:rFonts w:asciiTheme="minorBidi" w:eastAsia="SimSun" w:hAnsiTheme="minorBidi"/>
          <w:i/>
          <w:snapToGrid w:val="0"/>
          <w:lang w:val="es-ES_tradnl" w:eastAsia="zh-CN"/>
        </w:rPr>
        <w:t>Informe sobre el estado del océano</w:t>
      </w:r>
      <w:r w:rsidRPr="00107219">
        <w:rPr>
          <w:rFonts w:asciiTheme="minorBidi" w:eastAsia="SimSun" w:hAnsiTheme="minorBidi"/>
          <w:snapToGrid w:val="0"/>
          <w:lang w:val="es-ES_tradnl" w:eastAsia="zh-CN"/>
        </w:rPr>
        <w:t>, los productos elaborados por conducto del GESAMP y el proceso de presentación de informes relativo a las metas 14.3 y 14.a de los ODS. En el marco de reuniones mundiales sobre el océano, como la Conferencia de las Partes (COP) en el Convenio sobre la Diversidad Biológica (CDB), la COP en la Convención Marco de las Naciones Unidas sobre el Cambio Climático (CMNUCC) y la próxima Conferencia sobre el Océano de las Naciones Unidas de 2025, se elaborarán notas de políticas específicas para informar y sensibilizar a los Estados Miembros sobre los últimos descubrimientos científicos y las principales ideas para aumentar la inversión en investigación e infraestructuras oceánicas. Se ampliará la colaboración con otros asociados, pertenecientes o no a las Naciones Unidas, para cumplir esta función. Se reforzará la contribución al Mapa Batimétrico General de los Océanos (GEBCO) prestando especial atención a las actividades de educación y formación, así como a la comunicación y la divulgación. Además, se afianzará la labor de larga data de la COI relativa a la contaminación por nutrientes, ya que se finalizará más rápidamente la elaboración del indicador para el ODS 14.1.1 (Índice de potencial de eutrofización costera) y se colaborará con nuevos asociados a fin de poner en marcha una hoja de ruta para un océano mundial libre de los efectos nocivos de la contaminación.</w:t>
      </w:r>
    </w:p>
    <w:p w14:paraId="2F020DEE" w14:textId="77777777" w:rsidR="00B87CDB" w:rsidRPr="00107219" w:rsidRDefault="00B87CDB" w:rsidP="00B87CDB">
      <w:pPr>
        <w:tabs>
          <w:tab w:val="left" w:pos="567"/>
        </w:tabs>
        <w:snapToGrid w:val="0"/>
        <w:spacing w:after="120" w:line="240" w:lineRule="auto"/>
        <w:jc w:val="both"/>
        <w:rPr>
          <w:rFonts w:asciiTheme="minorBidi" w:eastAsia="SimSun" w:hAnsiTheme="minorBidi"/>
          <w:i/>
          <w:iCs/>
          <w:snapToGrid w:val="0"/>
          <w:lang w:val="es-ES_tradnl" w:eastAsia="zh-CN"/>
        </w:rPr>
      </w:pPr>
      <w:r w:rsidRPr="00107219">
        <w:rPr>
          <w:rFonts w:asciiTheme="minorBidi" w:eastAsia="SimSun" w:hAnsiTheme="minorBidi"/>
          <w:i/>
          <w:iCs/>
          <w:snapToGrid w:val="0"/>
          <w:lang w:val="es-ES_tradnl" w:eastAsia="zh-CN"/>
        </w:rPr>
        <w:t>Ejemplos de objetivos fijados:</w:t>
      </w:r>
    </w:p>
    <w:p w14:paraId="7CDD4191" w14:textId="77777777" w:rsidR="00B87CDB" w:rsidRPr="00107219" w:rsidRDefault="00B87CDB" w:rsidP="00BE2496">
      <w:pPr>
        <w:numPr>
          <w:ilvl w:val="0"/>
          <w:numId w:val="36"/>
        </w:numPr>
        <w:spacing w:after="120" w:line="240" w:lineRule="auto"/>
        <w:ind w:left="1134" w:hanging="567"/>
        <w:jc w:val="both"/>
        <w:rPr>
          <w:rFonts w:asciiTheme="minorBidi" w:eastAsia="SimSun" w:hAnsiTheme="minorBidi"/>
          <w:snapToGrid w:val="0"/>
          <w:lang w:val="es-ES_tradnl" w:eastAsia="zh-CN"/>
        </w:rPr>
      </w:pPr>
      <w:r w:rsidRPr="00107219">
        <w:rPr>
          <w:rFonts w:asciiTheme="minorBidi" w:eastAsia="SimSun" w:hAnsiTheme="minorBidi"/>
          <w:snapToGrid w:val="0"/>
          <w:lang w:val="es-ES_tradnl" w:eastAsia="zh-CN"/>
        </w:rPr>
        <w:t>5 Estados Miembros adicionales (3 de África y 1 PEID) que aportan datos e información a los procesos de evaluación del océano</w:t>
      </w:r>
    </w:p>
    <w:p w14:paraId="4F295D46" w14:textId="77777777" w:rsidR="00B87CDB" w:rsidRPr="00107219" w:rsidRDefault="00B87CDB" w:rsidP="00BE2496">
      <w:pPr>
        <w:numPr>
          <w:ilvl w:val="0"/>
          <w:numId w:val="36"/>
        </w:numPr>
        <w:spacing w:after="120" w:line="240" w:lineRule="auto"/>
        <w:ind w:left="1134" w:hanging="567"/>
        <w:jc w:val="both"/>
        <w:rPr>
          <w:rFonts w:asciiTheme="minorBidi" w:eastAsia="SimSun" w:hAnsiTheme="minorBidi"/>
          <w:snapToGrid w:val="0"/>
          <w:lang w:val="es-ES_tradnl" w:eastAsia="zh-CN"/>
        </w:rPr>
      </w:pPr>
      <w:r w:rsidRPr="00107219">
        <w:rPr>
          <w:rFonts w:asciiTheme="minorBidi" w:eastAsia="SimSun" w:hAnsiTheme="minorBidi"/>
          <w:snapToGrid w:val="0"/>
          <w:lang w:val="es-ES_tradnl" w:eastAsia="zh-CN"/>
        </w:rPr>
        <w:t xml:space="preserve">Un </w:t>
      </w:r>
      <w:r w:rsidRPr="00107219">
        <w:rPr>
          <w:rFonts w:asciiTheme="minorBidi" w:eastAsia="SimSun" w:hAnsiTheme="minorBidi"/>
          <w:i/>
          <w:snapToGrid w:val="0"/>
          <w:lang w:val="es-ES_tradnl" w:eastAsia="zh-CN"/>
        </w:rPr>
        <w:t>Informe sobre el estado del océano</w:t>
      </w:r>
      <w:r w:rsidRPr="00107219">
        <w:rPr>
          <w:rFonts w:asciiTheme="minorBidi" w:eastAsia="SimSun" w:hAnsiTheme="minorBidi"/>
          <w:snapToGrid w:val="0"/>
          <w:lang w:val="es-ES_tradnl" w:eastAsia="zh-CN"/>
        </w:rPr>
        <w:t xml:space="preserve"> de la UNESCO-COI finalizado y ampliamente difundido y comunicado</w:t>
      </w:r>
    </w:p>
    <w:p w14:paraId="00EC1B2E" w14:textId="77777777" w:rsidR="00B87CDB" w:rsidRPr="00107219" w:rsidRDefault="00B87CDB" w:rsidP="00BE2496">
      <w:pPr>
        <w:numPr>
          <w:ilvl w:val="0"/>
          <w:numId w:val="36"/>
        </w:numPr>
        <w:spacing w:after="120" w:line="240" w:lineRule="auto"/>
        <w:ind w:left="1134" w:hanging="567"/>
        <w:jc w:val="both"/>
        <w:rPr>
          <w:rFonts w:asciiTheme="minorBidi" w:eastAsia="SimSun" w:hAnsiTheme="minorBidi"/>
          <w:snapToGrid w:val="0"/>
          <w:lang w:val="es-ES_tradnl" w:eastAsia="zh-CN"/>
        </w:rPr>
      </w:pPr>
      <w:r w:rsidRPr="00107219">
        <w:rPr>
          <w:rFonts w:asciiTheme="minorBidi" w:eastAsia="SimSun" w:hAnsiTheme="minorBidi"/>
          <w:snapToGrid w:val="0"/>
          <w:lang w:val="es-ES_tradnl" w:eastAsia="zh-CN"/>
        </w:rPr>
        <w:t>Aumento del 50 % de la contribución de la UNESCO-COI a la labor del GEBCO</w:t>
      </w:r>
    </w:p>
    <w:p w14:paraId="7CDB5187" w14:textId="77777777" w:rsidR="00B87CDB" w:rsidRPr="00107219" w:rsidRDefault="00B87CDB" w:rsidP="00BE2496">
      <w:pPr>
        <w:numPr>
          <w:ilvl w:val="0"/>
          <w:numId w:val="36"/>
        </w:numPr>
        <w:spacing w:after="120" w:line="240" w:lineRule="auto"/>
        <w:ind w:left="1134" w:hanging="567"/>
        <w:jc w:val="both"/>
        <w:rPr>
          <w:rFonts w:asciiTheme="minorBidi" w:eastAsia="SimSun" w:hAnsiTheme="minorBidi"/>
          <w:snapToGrid w:val="0"/>
          <w:lang w:val="es-ES_tradnl" w:eastAsia="zh-CN"/>
        </w:rPr>
      </w:pPr>
      <w:r w:rsidRPr="00107219">
        <w:rPr>
          <w:rFonts w:asciiTheme="minorBidi" w:eastAsia="SimSun" w:hAnsiTheme="minorBidi"/>
          <w:snapToGrid w:val="0"/>
          <w:lang w:val="es-ES_tradnl" w:eastAsia="zh-CN"/>
        </w:rPr>
        <w:t>Apoyo específico a los Estados Miembros africanos y a los PEID en materia de desarrollo de capacidades relacionadas con la evaluación del océano, en cooperación con asociados pertinentes de las Naciones Unidas</w:t>
      </w:r>
    </w:p>
    <w:p w14:paraId="04D3B37D" w14:textId="77777777" w:rsidR="00B87CDB" w:rsidRPr="00107219" w:rsidRDefault="00B87CDB" w:rsidP="00BE2496">
      <w:pPr>
        <w:numPr>
          <w:ilvl w:val="0"/>
          <w:numId w:val="36"/>
        </w:numPr>
        <w:spacing w:after="120" w:line="240" w:lineRule="auto"/>
        <w:ind w:left="1134" w:hanging="567"/>
        <w:jc w:val="both"/>
        <w:rPr>
          <w:rFonts w:asciiTheme="minorBidi" w:eastAsia="SimSun" w:hAnsiTheme="minorBidi"/>
          <w:snapToGrid w:val="0"/>
          <w:lang w:val="es-ES_tradnl" w:eastAsia="zh-CN"/>
        </w:rPr>
      </w:pPr>
      <w:r w:rsidRPr="00107219">
        <w:rPr>
          <w:rFonts w:asciiTheme="minorBidi" w:eastAsia="SimSun" w:hAnsiTheme="minorBidi"/>
          <w:snapToGrid w:val="0"/>
          <w:lang w:val="es-ES_tradnl" w:eastAsia="zh-CN"/>
        </w:rPr>
        <w:t>Un indicador finalizado y validado para el ODS 14.1.1 (Índice de potencial de eutrofización costera)</w:t>
      </w:r>
    </w:p>
    <w:p w14:paraId="489982C6" w14:textId="77777777" w:rsidR="00B87CDB" w:rsidRPr="00107219" w:rsidRDefault="00B87CDB" w:rsidP="00BE2496">
      <w:pPr>
        <w:numPr>
          <w:ilvl w:val="0"/>
          <w:numId w:val="36"/>
        </w:numPr>
        <w:spacing w:after="120" w:line="240" w:lineRule="auto"/>
        <w:ind w:left="1134" w:hanging="567"/>
        <w:jc w:val="both"/>
        <w:rPr>
          <w:rFonts w:asciiTheme="minorBidi" w:eastAsia="SimSun" w:hAnsiTheme="minorBidi"/>
          <w:snapToGrid w:val="0"/>
          <w:lang w:val="es-ES_tradnl" w:eastAsia="zh-CN"/>
        </w:rPr>
      </w:pPr>
      <w:r w:rsidRPr="00107219">
        <w:rPr>
          <w:rFonts w:asciiTheme="minorBidi" w:eastAsia="SimSun" w:hAnsiTheme="minorBidi"/>
          <w:snapToGrid w:val="0"/>
          <w:lang w:val="es-ES_tradnl" w:eastAsia="zh-CN"/>
        </w:rPr>
        <w:t>Una iniciativa mundial para recopilar, compartir y evaluar datos sobre contaminación y sobre el efecto de los contaminantes, puesta en marcha con la UNESCO-COI como asociado principal</w:t>
      </w:r>
    </w:p>
    <w:p w14:paraId="443AC0E5" w14:textId="77777777" w:rsidR="00B87CDB" w:rsidRPr="00107219" w:rsidRDefault="00B87CDB" w:rsidP="00B87CDB">
      <w:pPr>
        <w:tabs>
          <w:tab w:val="left" w:pos="567"/>
        </w:tabs>
        <w:snapToGrid w:val="0"/>
        <w:spacing w:after="120" w:line="240" w:lineRule="auto"/>
        <w:jc w:val="both"/>
        <w:rPr>
          <w:rFonts w:asciiTheme="minorBidi" w:eastAsia="SimSun" w:hAnsiTheme="minorBidi"/>
          <w:i/>
          <w:iCs/>
          <w:snapToGrid w:val="0"/>
          <w:lang w:val="es-ES_tradnl" w:eastAsia="zh-CN"/>
        </w:rPr>
      </w:pPr>
      <w:r w:rsidRPr="00107219">
        <w:rPr>
          <w:rFonts w:asciiTheme="minorBidi" w:eastAsia="SimSun" w:hAnsiTheme="minorBidi"/>
          <w:i/>
          <w:iCs/>
          <w:snapToGrid w:val="0"/>
          <w:lang w:val="es-ES_tradnl" w:eastAsia="zh-CN"/>
        </w:rPr>
        <w:lastRenderedPageBreak/>
        <w:t>Principales productos:</w:t>
      </w:r>
    </w:p>
    <w:p w14:paraId="1D06D84D" w14:textId="77777777" w:rsidR="00B87CDB" w:rsidRPr="00107219" w:rsidRDefault="00B87CDB" w:rsidP="00BE2496">
      <w:pPr>
        <w:numPr>
          <w:ilvl w:val="0"/>
          <w:numId w:val="36"/>
        </w:numPr>
        <w:spacing w:after="120" w:line="240" w:lineRule="auto"/>
        <w:ind w:left="1134" w:hanging="567"/>
        <w:jc w:val="both"/>
        <w:rPr>
          <w:rFonts w:asciiTheme="minorBidi" w:eastAsia="SimSun" w:hAnsiTheme="minorBidi"/>
          <w:snapToGrid w:val="0"/>
          <w:lang w:val="es-ES_tradnl" w:eastAsia="zh-CN"/>
        </w:rPr>
      </w:pPr>
      <w:r w:rsidRPr="00107219">
        <w:rPr>
          <w:rFonts w:asciiTheme="minorBidi" w:eastAsia="SimSun" w:hAnsiTheme="minorBidi"/>
          <w:snapToGrid w:val="0"/>
          <w:lang w:val="es-ES_tradnl" w:eastAsia="zh-CN"/>
        </w:rPr>
        <w:t>Preparación de 3 notas de políticas que contribuyen al CDB, la CMNUCC y la Conferencia sobre el Océano de las Naciones Unidas de 2025</w:t>
      </w:r>
    </w:p>
    <w:p w14:paraId="2AA4C3E9" w14:textId="77777777" w:rsidR="00B87CDB" w:rsidRPr="00107219" w:rsidRDefault="00B87CDB" w:rsidP="00BE2496">
      <w:pPr>
        <w:numPr>
          <w:ilvl w:val="0"/>
          <w:numId w:val="36"/>
        </w:numPr>
        <w:spacing w:after="120" w:line="240" w:lineRule="auto"/>
        <w:ind w:left="1134" w:hanging="567"/>
        <w:jc w:val="both"/>
        <w:rPr>
          <w:rFonts w:asciiTheme="minorBidi" w:eastAsia="SimSun" w:hAnsiTheme="minorBidi"/>
          <w:snapToGrid w:val="0"/>
          <w:lang w:val="es-ES_tradnl" w:eastAsia="zh-CN"/>
        </w:rPr>
      </w:pPr>
      <w:r w:rsidRPr="00107219">
        <w:rPr>
          <w:rFonts w:asciiTheme="minorBidi" w:eastAsia="SimSun" w:hAnsiTheme="minorBidi"/>
          <w:snapToGrid w:val="0"/>
          <w:lang w:val="es-ES_tradnl" w:eastAsia="zh-CN"/>
        </w:rPr>
        <w:t>Edición de 2024 del Informe sobre el estado del océano</w:t>
      </w:r>
    </w:p>
    <w:p w14:paraId="0DFC957E" w14:textId="3E1D9117" w:rsidR="00B87CDB" w:rsidRPr="00107219" w:rsidRDefault="00B87CDB" w:rsidP="00BE2496">
      <w:pPr>
        <w:numPr>
          <w:ilvl w:val="0"/>
          <w:numId w:val="36"/>
        </w:numPr>
        <w:spacing w:after="120" w:line="240" w:lineRule="auto"/>
        <w:ind w:left="1134" w:hanging="567"/>
        <w:jc w:val="both"/>
        <w:rPr>
          <w:rFonts w:asciiTheme="minorBidi" w:eastAsia="SimSun" w:hAnsiTheme="minorBidi"/>
          <w:snapToGrid w:val="0"/>
          <w:lang w:val="es-ES_tradnl" w:eastAsia="zh-CN"/>
        </w:rPr>
      </w:pPr>
      <w:r w:rsidRPr="00107219">
        <w:rPr>
          <w:rFonts w:asciiTheme="minorBidi" w:eastAsia="SimSun" w:hAnsiTheme="minorBidi"/>
          <w:snapToGrid w:val="0"/>
          <w:lang w:val="es-ES_tradnl" w:eastAsia="zh-CN"/>
        </w:rPr>
        <w:t>Impartición de cursos regionales de formación sobre evaluación del océano en 2 regiones (África y el Caribe)</w:t>
      </w:r>
    </w:p>
    <w:p w14:paraId="2DFFC011" w14:textId="77777777" w:rsidR="00B87CDB" w:rsidRPr="00107219" w:rsidRDefault="00B87CDB" w:rsidP="00BE2496">
      <w:pPr>
        <w:numPr>
          <w:ilvl w:val="0"/>
          <w:numId w:val="36"/>
        </w:numPr>
        <w:spacing w:after="120" w:line="240" w:lineRule="auto"/>
        <w:ind w:left="1134" w:hanging="567"/>
        <w:jc w:val="both"/>
        <w:rPr>
          <w:rFonts w:asciiTheme="minorBidi" w:eastAsia="SimSun" w:hAnsiTheme="minorBidi"/>
          <w:snapToGrid w:val="0"/>
          <w:lang w:val="es-ES_tradnl" w:eastAsia="zh-CN"/>
        </w:rPr>
      </w:pPr>
      <w:r w:rsidRPr="00107219">
        <w:rPr>
          <w:rFonts w:asciiTheme="minorBidi" w:eastAsia="SimSun" w:hAnsiTheme="minorBidi"/>
          <w:snapToGrid w:val="0"/>
          <w:lang w:val="es-ES_tradnl" w:eastAsia="zh-CN"/>
        </w:rPr>
        <w:t>Una estrategia de educación y divulgación apoyada por el Comité de Orientación sobre el GEBCO</w:t>
      </w:r>
    </w:p>
    <w:p w14:paraId="477815FB" w14:textId="642016F5" w:rsidR="00B87CDB" w:rsidRPr="00107219" w:rsidRDefault="00B87CDB" w:rsidP="00BE2496">
      <w:pPr>
        <w:numPr>
          <w:ilvl w:val="0"/>
          <w:numId w:val="36"/>
        </w:numPr>
        <w:spacing w:after="120" w:line="240" w:lineRule="auto"/>
        <w:ind w:left="1134" w:hanging="567"/>
        <w:jc w:val="both"/>
        <w:rPr>
          <w:rFonts w:asciiTheme="minorBidi" w:eastAsia="SimSun" w:hAnsiTheme="minorBidi"/>
          <w:snapToGrid w:val="0"/>
          <w:lang w:val="es-ES_tradnl" w:eastAsia="zh-CN"/>
        </w:rPr>
      </w:pPr>
      <w:r w:rsidRPr="00107219">
        <w:rPr>
          <w:rFonts w:asciiTheme="minorBidi" w:eastAsia="SimSun" w:hAnsiTheme="minorBidi"/>
          <w:snapToGrid w:val="0"/>
          <w:lang w:val="es-ES_tradnl" w:eastAsia="zh-CN"/>
        </w:rPr>
        <w:t>Todos los Estados Miembros informan (o pueden informar) sobre el indicador 14.1.1 de los ODS relativo a la eutrofización costera empleando el Índice de potencial de eutrofización costera</w:t>
      </w:r>
    </w:p>
    <w:p w14:paraId="695AD569" w14:textId="77777777" w:rsidR="00B87CDB" w:rsidRPr="00107219" w:rsidRDefault="00B87CDB" w:rsidP="00AD1F72">
      <w:pPr>
        <w:pBdr>
          <w:bottom w:val="single" w:sz="4" w:space="1" w:color="auto"/>
        </w:pBdr>
        <w:tabs>
          <w:tab w:val="left" w:pos="567"/>
        </w:tabs>
        <w:spacing w:before="240" w:after="240" w:line="240" w:lineRule="auto"/>
        <w:jc w:val="both"/>
        <w:rPr>
          <w:rFonts w:asciiTheme="minorBidi" w:eastAsia="SimSun" w:hAnsiTheme="minorBidi"/>
          <w:b/>
          <w:bCs/>
          <w:snapToGrid w:val="0"/>
          <w:lang w:val="es-ES_tradnl" w:eastAsia="zh-CN"/>
        </w:rPr>
      </w:pPr>
      <w:r w:rsidRPr="00107219">
        <w:rPr>
          <w:rFonts w:asciiTheme="minorBidi" w:eastAsia="SimSun" w:hAnsiTheme="minorBidi"/>
          <w:b/>
          <w:bCs/>
          <w:snapToGrid w:val="0"/>
          <w:lang w:val="es-ES_tradnl" w:eastAsia="zh-CN"/>
        </w:rPr>
        <w:t>Función E - Gestión sostenible y gobernanza</w:t>
      </w:r>
    </w:p>
    <w:p w14:paraId="68C2EAFF" w14:textId="77777777" w:rsidR="00B87CDB" w:rsidRPr="00107219" w:rsidRDefault="00B87CDB" w:rsidP="00B87CDB">
      <w:pPr>
        <w:tabs>
          <w:tab w:val="left" w:pos="567"/>
        </w:tabs>
        <w:snapToGrid w:val="0"/>
        <w:spacing w:after="0" w:line="240" w:lineRule="auto"/>
        <w:jc w:val="both"/>
        <w:rPr>
          <w:rFonts w:asciiTheme="minorBidi" w:eastAsia="SimSun" w:hAnsiTheme="minorBidi"/>
          <w:i/>
          <w:iCs/>
          <w:snapToGrid w:val="0"/>
          <w:lang w:val="es-ES_tradnl" w:eastAsia="zh-CN"/>
        </w:rPr>
      </w:pPr>
      <w:r w:rsidRPr="00107219">
        <w:rPr>
          <w:rFonts w:asciiTheme="minorBidi" w:eastAsia="SimSun" w:hAnsiTheme="minorBidi"/>
          <w:i/>
          <w:iCs/>
          <w:snapToGrid w:val="0"/>
          <w:lang w:val="es-ES_tradnl" w:eastAsia="zh-CN"/>
        </w:rPr>
        <w:t>Prioridades para 2024-2025:</w:t>
      </w:r>
    </w:p>
    <w:p w14:paraId="522D5D95" w14:textId="1266AB91" w:rsidR="00B87CDB" w:rsidRPr="00107219" w:rsidRDefault="00B87CDB" w:rsidP="00BE2496">
      <w:pPr>
        <w:pStyle w:val="Prrafodelista"/>
        <w:numPr>
          <w:ilvl w:val="0"/>
          <w:numId w:val="41"/>
        </w:numPr>
        <w:pBdr>
          <w:top w:val="nil"/>
          <w:left w:val="nil"/>
          <w:bottom w:val="nil"/>
          <w:right w:val="nil"/>
          <w:between w:val="nil"/>
        </w:pBdr>
        <w:shd w:val="clear" w:color="auto" w:fill="FFFFFF"/>
        <w:spacing w:before="240" w:after="240" w:line="240" w:lineRule="auto"/>
        <w:ind w:left="0" w:firstLine="0"/>
        <w:contextualSpacing w:val="0"/>
        <w:jc w:val="both"/>
        <w:rPr>
          <w:rFonts w:asciiTheme="minorBidi" w:eastAsia="SimSun" w:hAnsiTheme="minorBidi"/>
          <w:snapToGrid w:val="0"/>
          <w:lang w:val="es-ES_tradnl" w:eastAsia="zh-CN"/>
        </w:rPr>
      </w:pPr>
      <w:r w:rsidRPr="00107219">
        <w:rPr>
          <w:rFonts w:asciiTheme="minorBidi" w:eastAsia="SimSun" w:hAnsiTheme="minorBidi"/>
          <w:snapToGrid w:val="0"/>
          <w:lang w:val="es-ES_tradnl" w:eastAsia="zh-CN"/>
        </w:rPr>
        <w:t>La COI sacará partido de su liderazgo en materia de planificación espacial marina (PEM) para prestar apoyo técnico en el plano regional, centrándose en las regiones de África Occidental y Central, el Pacífico Occidental y el Caribe, en cooperación con las subcomisiones regionales de la COI. Se liderará la elaboración de una estrategia para toda la COI sobre la planificación y gestión sostenibles del océano, así como de un programa específico para el Decenio del Océano. Se mejorarán las asociaciones de colaboración con el FMAM (Fondo para el Medio Ambiente Mundial), el PNUD (Programa de las Naciones Unidas para el Desarrollo) y la Comisión Europea para ofrecer aplicaciones de gestión basada en los ecosistemas en los planos regional y nacional. Se reforzará la participación y la notoriedad de la COI en procesos internacionales clave, en particular la Conferencia sobre el Océano de las Naciones Unidas de 2025, la COP 16 del CDB, las COP 29 y 30 de la CMCCNU y la fase preparatoria del acuerdo sobre la diversidad biológica marina de las zonas situadas fuera de la jurisdicción nacional. La Comisión renovará su estrategia de comunicación, examinará su declaración de visión y determinará los temas, públicos y canales de comunicación prioritarios, aprovechando el ecosistema del Decenio del Océano. El trabajo de las subcomisiones regionales se mejorará gracias a la creación de sinergias más fuertes con los mecanismos nacionales y regionales de políticas oceánicas y otros usuarios finales pertinentes de datos científicos.</w:t>
      </w:r>
    </w:p>
    <w:p w14:paraId="316BFA31" w14:textId="77777777" w:rsidR="00B87CDB" w:rsidRPr="00107219" w:rsidRDefault="00B87CDB" w:rsidP="00B87CDB">
      <w:pPr>
        <w:tabs>
          <w:tab w:val="left" w:pos="567"/>
        </w:tabs>
        <w:snapToGrid w:val="0"/>
        <w:spacing w:after="120" w:line="240" w:lineRule="auto"/>
        <w:jc w:val="both"/>
        <w:rPr>
          <w:rFonts w:asciiTheme="minorBidi" w:eastAsia="SimSun" w:hAnsiTheme="minorBidi"/>
          <w:i/>
          <w:iCs/>
          <w:snapToGrid w:val="0"/>
          <w:lang w:val="es-ES_tradnl" w:eastAsia="zh-CN"/>
        </w:rPr>
      </w:pPr>
      <w:r w:rsidRPr="00107219">
        <w:rPr>
          <w:rFonts w:asciiTheme="minorBidi" w:eastAsia="SimSun" w:hAnsiTheme="minorBidi"/>
          <w:i/>
          <w:iCs/>
          <w:snapToGrid w:val="0"/>
          <w:lang w:val="es-ES_tradnl" w:eastAsia="zh-CN"/>
        </w:rPr>
        <w:t>Ejemplos de objetivos fijados:</w:t>
      </w:r>
    </w:p>
    <w:p w14:paraId="1669F435" w14:textId="77777777" w:rsidR="00B87CDB" w:rsidRPr="00107219" w:rsidRDefault="00B87CDB" w:rsidP="00BE2496">
      <w:pPr>
        <w:numPr>
          <w:ilvl w:val="0"/>
          <w:numId w:val="36"/>
        </w:numPr>
        <w:spacing w:after="120" w:line="240" w:lineRule="auto"/>
        <w:ind w:left="1134" w:hanging="567"/>
        <w:jc w:val="both"/>
        <w:rPr>
          <w:rFonts w:asciiTheme="minorBidi" w:eastAsia="SimSun" w:hAnsiTheme="minorBidi"/>
          <w:snapToGrid w:val="0"/>
          <w:lang w:val="es-ES_tradnl" w:eastAsia="zh-CN"/>
        </w:rPr>
      </w:pPr>
      <w:r w:rsidRPr="00107219">
        <w:rPr>
          <w:rFonts w:asciiTheme="minorBidi" w:eastAsia="SimSun" w:hAnsiTheme="minorBidi"/>
          <w:snapToGrid w:val="0"/>
          <w:lang w:val="es-ES_tradnl" w:eastAsia="zh-CN"/>
        </w:rPr>
        <w:t xml:space="preserve">10 Estados Miembros adicionales (3 PEID y 3 de África) que recibieron apoyo para la aplicación de la gestión del océano basada en la ciencia </w:t>
      </w:r>
    </w:p>
    <w:p w14:paraId="79CA56E3" w14:textId="77777777" w:rsidR="00B87CDB" w:rsidRPr="00107219" w:rsidRDefault="00B87CDB" w:rsidP="00BE2496">
      <w:pPr>
        <w:numPr>
          <w:ilvl w:val="0"/>
          <w:numId w:val="36"/>
        </w:numPr>
        <w:spacing w:after="120" w:line="240" w:lineRule="auto"/>
        <w:ind w:left="1134" w:hanging="567"/>
        <w:jc w:val="both"/>
        <w:rPr>
          <w:rFonts w:asciiTheme="minorBidi" w:eastAsia="SimSun" w:hAnsiTheme="minorBidi"/>
          <w:snapToGrid w:val="0"/>
          <w:lang w:val="es-ES_tradnl" w:eastAsia="zh-CN"/>
        </w:rPr>
      </w:pPr>
      <w:r w:rsidRPr="00107219">
        <w:rPr>
          <w:rFonts w:asciiTheme="minorBidi" w:eastAsia="SimSun" w:hAnsiTheme="minorBidi"/>
          <w:snapToGrid w:val="0"/>
          <w:lang w:val="es-ES_tradnl" w:eastAsia="zh-CN"/>
        </w:rPr>
        <w:t>Aplicación de la metodología de evaluación rápida de la PEM en 4 Estados Miembros, lo que ha conducido a la adopción de planes de trabajo nacionales para institucionalizar los procesos de PEM y planificación sostenible del océano</w:t>
      </w:r>
    </w:p>
    <w:p w14:paraId="62744729" w14:textId="77777777" w:rsidR="00B87CDB" w:rsidRPr="00107219" w:rsidRDefault="00B87CDB" w:rsidP="00B87CDB">
      <w:pPr>
        <w:tabs>
          <w:tab w:val="left" w:pos="567"/>
        </w:tabs>
        <w:snapToGrid w:val="0"/>
        <w:spacing w:after="120" w:line="240" w:lineRule="auto"/>
        <w:jc w:val="both"/>
        <w:rPr>
          <w:rFonts w:asciiTheme="minorBidi" w:eastAsia="SimSun" w:hAnsiTheme="minorBidi"/>
          <w:i/>
          <w:iCs/>
          <w:snapToGrid w:val="0"/>
          <w:lang w:val="es-ES_tradnl" w:eastAsia="zh-CN"/>
        </w:rPr>
      </w:pPr>
      <w:r w:rsidRPr="00107219">
        <w:rPr>
          <w:rFonts w:asciiTheme="minorBidi" w:eastAsia="SimSun" w:hAnsiTheme="minorBidi"/>
          <w:i/>
          <w:iCs/>
          <w:snapToGrid w:val="0"/>
          <w:lang w:val="es-ES_tradnl" w:eastAsia="zh-CN"/>
        </w:rPr>
        <w:t>Principales productos:</w:t>
      </w:r>
    </w:p>
    <w:p w14:paraId="21DAE41C" w14:textId="77777777" w:rsidR="00B87CDB" w:rsidRPr="00107219" w:rsidRDefault="00B87CDB" w:rsidP="00AD1F72">
      <w:pPr>
        <w:numPr>
          <w:ilvl w:val="0"/>
          <w:numId w:val="36"/>
        </w:numPr>
        <w:spacing w:after="120" w:line="240" w:lineRule="auto"/>
        <w:ind w:left="1134" w:hanging="567"/>
        <w:jc w:val="both"/>
        <w:rPr>
          <w:rFonts w:asciiTheme="minorBidi" w:eastAsia="SimSun" w:hAnsiTheme="minorBidi"/>
          <w:snapToGrid w:val="0"/>
          <w:lang w:val="es-ES_tradnl" w:eastAsia="zh-CN"/>
        </w:rPr>
      </w:pPr>
      <w:r w:rsidRPr="00107219">
        <w:rPr>
          <w:rFonts w:asciiTheme="minorBidi" w:eastAsia="SimSun" w:hAnsiTheme="minorBidi"/>
          <w:snapToGrid w:val="0"/>
          <w:lang w:val="es-ES_tradnl" w:eastAsia="zh-CN"/>
        </w:rPr>
        <w:t>Elaboración de directrices internacionales sobre la inclusión del cambio climático, la conservación y los conocimientos indígenas y locales en los procesos de PEM</w:t>
      </w:r>
    </w:p>
    <w:p w14:paraId="656DD572" w14:textId="77777777" w:rsidR="00B87CDB" w:rsidRPr="00107219" w:rsidRDefault="00B87CDB" w:rsidP="00AD1F72">
      <w:pPr>
        <w:numPr>
          <w:ilvl w:val="0"/>
          <w:numId w:val="36"/>
        </w:numPr>
        <w:spacing w:after="120" w:line="240" w:lineRule="auto"/>
        <w:ind w:left="1134" w:hanging="567"/>
        <w:jc w:val="both"/>
        <w:rPr>
          <w:rFonts w:asciiTheme="minorBidi" w:eastAsia="SimSun" w:hAnsiTheme="minorBidi"/>
          <w:snapToGrid w:val="0"/>
          <w:lang w:val="es-ES_tradnl" w:eastAsia="zh-CN"/>
        </w:rPr>
      </w:pPr>
      <w:r w:rsidRPr="00107219">
        <w:rPr>
          <w:rFonts w:asciiTheme="minorBidi" w:eastAsia="SimSun" w:hAnsiTheme="minorBidi"/>
          <w:snapToGrid w:val="0"/>
          <w:lang w:val="es-ES_tradnl" w:eastAsia="zh-CN"/>
        </w:rPr>
        <w:t>Formulación de una nueva estrategia de comunicación de la COI</w:t>
      </w:r>
    </w:p>
    <w:p w14:paraId="41A256FF" w14:textId="0B44D179" w:rsidR="004614BD" w:rsidRDefault="00B87CDB" w:rsidP="00AD1F72">
      <w:pPr>
        <w:numPr>
          <w:ilvl w:val="0"/>
          <w:numId w:val="36"/>
        </w:numPr>
        <w:spacing w:after="120" w:line="240" w:lineRule="auto"/>
        <w:ind w:left="1134" w:hanging="567"/>
        <w:jc w:val="both"/>
        <w:rPr>
          <w:rFonts w:asciiTheme="minorBidi" w:eastAsia="SimSun" w:hAnsiTheme="minorBidi"/>
          <w:snapToGrid w:val="0"/>
          <w:lang w:val="es-ES_tradnl" w:eastAsia="zh-CN"/>
        </w:rPr>
      </w:pPr>
      <w:r w:rsidRPr="00107219">
        <w:rPr>
          <w:rFonts w:asciiTheme="minorBidi" w:eastAsia="SimSun" w:hAnsiTheme="minorBidi"/>
          <w:snapToGrid w:val="0"/>
          <w:lang w:val="es-ES_tradnl" w:eastAsia="zh-CN"/>
        </w:rPr>
        <w:t>Un evento de alto nivel organizado en el marco de la CMNUCC, el CDB y la Conferencia sobre el Océano de las Naciones Unidas en colaboración con los Estados Miembros y asociados, pertenecientes o no a las Naciones Unidas</w:t>
      </w:r>
    </w:p>
    <w:p w14:paraId="6A24CF9E" w14:textId="77777777" w:rsidR="004614BD" w:rsidRDefault="004614BD">
      <w:pPr>
        <w:rPr>
          <w:rFonts w:asciiTheme="minorBidi" w:eastAsia="SimSun" w:hAnsiTheme="minorBidi"/>
          <w:snapToGrid w:val="0"/>
          <w:lang w:val="es-ES_tradnl" w:eastAsia="zh-CN"/>
        </w:rPr>
      </w:pPr>
      <w:r>
        <w:rPr>
          <w:rFonts w:asciiTheme="minorBidi" w:eastAsia="SimSun" w:hAnsiTheme="minorBidi"/>
          <w:snapToGrid w:val="0"/>
          <w:lang w:val="es-ES_tradnl" w:eastAsia="zh-CN"/>
        </w:rPr>
        <w:br w:type="page"/>
      </w:r>
    </w:p>
    <w:p w14:paraId="0BF053A6" w14:textId="14503579" w:rsidR="00B87CDB" w:rsidRPr="00107219" w:rsidRDefault="00B87CDB" w:rsidP="00AD1F72">
      <w:pPr>
        <w:pBdr>
          <w:bottom w:val="single" w:sz="4" w:space="1" w:color="auto"/>
        </w:pBdr>
        <w:tabs>
          <w:tab w:val="left" w:pos="567"/>
        </w:tabs>
        <w:spacing w:before="240" w:after="240" w:line="240" w:lineRule="auto"/>
        <w:jc w:val="both"/>
        <w:rPr>
          <w:rFonts w:asciiTheme="minorBidi" w:eastAsia="SimSun" w:hAnsiTheme="minorBidi"/>
          <w:b/>
          <w:bCs/>
          <w:snapToGrid w:val="0"/>
          <w:lang w:val="es-ES_tradnl" w:eastAsia="zh-CN"/>
        </w:rPr>
      </w:pPr>
      <w:r w:rsidRPr="00107219">
        <w:rPr>
          <w:rFonts w:asciiTheme="minorBidi" w:eastAsia="SimSun" w:hAnsiTheme="minorBidi"/>
          <w:b/>
          <w:bCs/>
          <w:snapToGrid w:val="0"/>
          <w:lang w:val="es-ES_tradnl" w:eastAsia="zh-CN"/>
        </w:rPr>
        <w:t>Función F - Desarrollo de capacidades</w:t>
      </w:r>
    </w:p>
    <w:p w14:paraId="1DC5C712" w14:textId="77777777" w:rsidR="00B87CDB" w:rsidRPr="00107219" w:rsidRDefault="00B87CDB" w:rsidP="00AD1F72">
      <w:pPr>
        <w:tabs>
          <w:tab w:val="left" w:pos="567"/>
        </w:tabs>
        <w:spacing w:before="240" w:after="240" w:line="240" w:lineRule="auto"/>
        <w:jc w:val="both"/>
        <w:rPr>
          <w:rFonts w:asciiTheme="minorBidi" w:eastAsia="SimSun" w:hAnsiTheme="minorBidi"/>
          <w:b/>
          <w:bCs/>
          <w:snapToGrid w:val="0"/>
          <w:lang w:val="es-ES_tradnl" w:eastAsia="zh-CN"/>
        </w:rPr>
      </w:pPr>
      <w:r w:rsidRPr="00107219">
        <w:rPr>
          <w:rFonts w:asciiTheme="minorBidi" w:eastAsia="SimSun" w:hAnsiTheme="minorBidi"/>
          <w:b/>
          <w:bCs/>
          <w:snapToGrid w:val="0"/>
          <w:lang w:val="es-ES_tradnl" w:eastAsia="zh-CN"/>
        </w:rPr>
        <w:t>Coordinación</w:t>
      </w:r>
    </w:p>
    <w:p w14:paraId="194DB1FA" w14:textId="77777777" w:rsidR="00B87CDB" w:rsidRPr="00107219" w:rsidRDefault="00B87CDB" w:rsidP="00B87CDB">
      <w:pPr>
        <w:tabs>
          <w:tab w:val="left" w:pos="567"/>
        </w:tabs>
        <w:snapToGrid w:val="0"/>
        <w:spacing w:after="0" w:line="240" w:lineRule="auto"/>
        <w:jc w:val="both"/>
        <w:rPr>
          <w:rFonts w:asciiTheme="minorBidi" w:eastAsia="SimSun" w:hAnsiTheme="minorBidi"/>
          <w:i/>
          <w:iCs/>
          <w:snapToGrid w:val="0"/>
          <w:lang w:val="es-ES_tradnl" w:eastAsia="zh-CN"/>
        </w:rPr>
      </w:pPr>
      <w:r w:rsidRPr="00107219">
        <w:rPr>
          <w:rFonts w:asciiTheme="minorBidi" w:eastAsia="SimSun" w:hAnsiTheme="minorBidi"/>
          <w:i/>
          <w:iCs/>
          <w:snapToGrid w:val="0"/>
          <w:lang w:val="es-ES_tradnl" w:eastAsia="zh-CN"/>
        </w:rPr>
        <w:lastRenderedPageBreak/>
        <w:t>Prioridades para 2024-2025:</w:t>
      </w:r>
    </w:p>
    <w:p w14:paraId="38F23C7F" w14:textId="4DBA7DA5" w:rsidR="00B87CDB" w:rsidRPr="00107219" w:rsidRDefault="00B87CDB" w:rsidP="00BE2496">
      <w:pPr>
        <w:pStyle w:val="Prrafodelista"/>
        <w:numPr>
          <w:ilvl w:val="0"/>
          <w:numId w:val="41"/>
        </w:numPr>
        <w:pBdr>
          <w:top w:val="nil"/>
          <w:left w:val="nil"/>
          <w:bottom w:val="nil"/>
          <w:right w:val="nil"/>
          <w:between w:val="nil"/>
        </w:pBdr>
        <w:shd w:val="clear" w:color="auto" w:fill="FFFFFF"/>
        <w:spacing w:before="240" w:after="240" w:line="240" w:lineRule="auto"/>
        <w:ind w:left="0" w:firstLine="0"/>
        <w:contextualSpacing w:val="0"/>
        <w:jc w:val="both"/>
        <w:rPr>
          <w:rFonts w:asciiTheme="minorBidi" w:eastAsia="SimSun" w:hAnsiTheme="minorBidi"/>
          <w:snapToGrid w:val="0"/>
          <w:lang w:val="es-ES_tradnl" w:eastAsia="zh-CN"/>
        </w:rPr>
      </w:pPr>
      <w:r w:rsidRPr="00107219">
        <w:rPr>
          <w:rFonts w:asciiTheme="minorBidi" w:eastAsia="SimSun" w:hAnsiTheme="minorBidi"/>
          <w:snapToGrid w:val="0"/>
          <w:lang w:val="es-ES_tradnl" w:eastAsia="zh-CN"/>
        </w:rPr>
        <w:t xml:space="preserve">El desarrollo de capacidades es una función transversal esencial que permite a todos los Estados Miembros participar en la investigación y los servicios oceánicos y beneficiarse de ellos, guiándose por las prioridades de la </w:t>
      </w:r>
      <w:r w:rsidRPr="00107219">
        <w:rPr>
          <w:rFonts w:asciiTheme="minorBidi" w:eastAsia="SimSun" w:hAnsiTheme="minorBidi"/>
          <w:iCs/>
          <w:snapToGrid w:val="0"/>
          <w:lang w:val="es-ES_tradnl" w:eastAsia="zh-CN"/>
        </w:rPr>
        <w:t>Estrategia de Desarrollo de Capacidades de la COI (2023-2030)</w:t>
      </w:r>
      <w:r w:rsidRPr="00107219">
        <w:rPr>
          <w:rFonts w:asciiTheme="minorBidi" w:eastAsia="SimSun" w:hAnsiTheme="minorBidi"/>
          <w:snapToGrid w:val="0"/>
          <w:lang w:val="es-ES_tradnl" w:eastAsia="zh-CN"/>
        </w:rPr>
        <w:t xml:space="preserve"> y con el respaldo de plataformas como el centro de desarrollo de capacidades oceánicas (</w:t>
      </w:r>
      <w:proofErr w:type="spellStart"/>
      <w:r w:rsidRPr="00107219">
        <w:rPr>
          <w:rFonts w:asciiTheme="minorBidi" w:eastAsia="SimSun" w:hAnsiTheme="minorBidi"/>
          <w:snapToGrid w:val="0"/>
          <w:lang w:val="es-ES_tradnl" w:eastAsia="zh-CN"/>
        </w:rPr>
        <w:t>Ocean</w:t>
      </w:r>
      <w:proofErr w:type="spellEnd"/>
      <w:r w:rsidRPr="00107219">
        <w:rPr>
          <w:rFonts w:asciiTheme="minorBidi" w:eastAsia="SimSun" w:hAnsiTheme="minorBidi"/>
          <w:snapToGrid w:val="0"/>
          <w:lang w:val="es-ES_tradnl" w:eastAsia="zh-CN"/>
        </w:rPr>
        <w:t xml:space="preserve"> CD-Hub) de la COI y la Academia Mundial </w:t>
      </w:r>
      <w:proofErr w:type="spellStart"/>
      <w:r w:rsidRPr="00107219">
        <w:rPr>
          <w:rFonts w:asciiTheme="minorBidi" w:eastAsia="SimSun" w:hAnsiTheme="minorBidi"/>
          <w:snapToGrid w:val="0"/>
          <w:lang w:val="es-ES_tradnl" w:eastAsia="zh-CN"/>
        </w:rPr>
        <w:t>OceanTeacher</w:t>
      </w:r>
      <w:proofErr w:type="spellEnd"/>
      <w:r w:rsidRPr="00107219">
        <w:rPr>
          <w:rFonts w:asciiTheme="minorBidi" w:eastAsia="SimSun" w:hAnsiTheme="minorBidi"/>
          <w:snapToGrid w:val="0"/>
          <w:lang w:val="es-ES_tradnl" w:eastAsia="zh-CN"/>
        </w:rPr>
        <w:t xml:space="preserve">. </w:t>
      </w:r>
    </w:p>
    <w:p w14:paraId="40079CD1" w14:textId="77777777" w:rsidR="00B87CDB" w:rsidRPr="00107219" w:rsidRDefault="00B87CDB" w:rsidP="00B87CDB">
      <w:pPr>
        <w:tabs>
          <w:tab w:val="left" w:pos="567"/>
        </w:tabs>
        <w:snapToGrid w:val="0"/>
        <w:spacing w:after="120" w:line="240" w:lineRule="auto"/>
        <w:jc w:val="both"/>
        <w:rPr>
          <w:rFonts w:asciiTheme="minorBidi" w:eastAsia="SimSun" w:hAnsiTheme="minorBidi"/>
          <w:i/>
          <w:iCs/>
          <w:snapToGrid w:val="0"/>
          <w:lang w:val="es-ES_tradnl" w:eastAsia="zh-CN"/>
        </w:rPr>
      </w:pPr>
      <w:r w:rsidRPr="00107219">
        <w:rPr>
          <w:rFonts w:asciiTheme="minorBidi" w:eastAsia="SimSun" w:hAnsiTheme="minorBidi"/>
          <w:i/>
          <w:iCs/>
          <w:snapToGrid w:val="0"/>
          <w:lang w:val="es-ES_tradnl" w:eastAsia="zh-CN"/>
        </w:rPr>
        <w:t>Principales productos:</w:t>
      </w:r>
    </w:p>
    <w:p w14:paraId="7F17DF1B" w14:textId="77777777" w:rsidR="00B87CDB" w:rsidRPr="00107219" w:rsidRDefault="00B87CDB" w:rsidP="00AD1F72">
      <w:pPr>
        <w:numPr>
          <w:ilvl w:val="0"/>
          <w:numId w:val="36"/>
        </w:numPr>
        <w:spacing w:after="120" w:line="240" w:lineRule="auto"/>
        <w:ind w:left="1134" w:hanging="567"/>
        <w:jc w:val="both"/>
        <w:rPr>
          <w:rFonts w:asciiTheme="minorBidi" w:eastAsia="SimSun" w:hAnsiTheme="minorBidi"/>
          <w:snapToGrid w:val="0"/>
          <w:lang w:val="es-ES_tradnl" w:eastAsia="zh-CN"/>
        </w:rPr>
      </w:pPr>
      <w:r w:rsidRPr="00107219">
        <w:rPr>
          <w:rFonts w:asciiTheme="minorBidi" w:eastAsia="SimSun" w:hAnsiTheme="minorBidi"/>
          <w:snapToGrid w:val="0"/>
          <w:lang w:val="es-ES_tradnl" w:eastAsia="zh-CN"/>
        </w:rPr>
        <w:t xml:space="preserve">Se ampliará el </w:t>
      </w:r>
      <w:proofErr w:type="spellStart"/>
      <w:r w:rsidRPr="00107219">
        <w:rPr>
          <w:rFonts w:asciiTheme="minorBidi" w:eastAsia="SimSun" w:hAnsiTheme="minorBidi"/>
          <w:snapToGrid w:val="0"/>
          <w:lang w:val="es-ES_tradnl" w:eastAsia="zh-CN"/>
        </w:rPr>
        <w:t>Ocean</w:t>
      </w:r>
      <w:proofErr w:type="spellEnd"/>
      <w:r w:rsidRPr="00107219">
        <w:rPr>
          <w:rFonts w:asciiTheme="minorBidi" w:eastAsia="SimSun" w:hAnsiTheme="minorBidi"/>
          <w:snapToGrid w:val="0"/>
          <w:lang w:val="es-ES_tradnl" w:eastAsia="zh-CN"/>
        </w:rPr>
        <w:t xml:space="preserve"> CD-Hub de la COI para poner en práctica la adecuación de las necesidades a las oportunidades y ayudar a encontrar posibles colaboraciones y alianzas</w:t>
      </w:r>
    </w:p>
    <w:p w14:paraId="51D6FF33" w14:textId="77777777" w:rsidR="00B87CDB" w:rsidRPr="00107219" w:rsidRDefault="00B87CDB" w:rsidP="00AD1F72">
      <w:pPr>
        <w:numPr>
          <w:ilvl w:val="0"/>
          <w:numId w:val="36"/>
        </w:numPr>
        <w:spacing w:after="120" w:line="240" w:lineRule="auto"/>
        <w:ind w:left="1134" w:hanging="567"/>
        <w:jc w:val="both"/>
        <w:rPr>
          <w:rFonts w:asciiTheme="minorBidi" w:eastAsia="SimSun" w:hAnsiTheme="minorBidi"/>
          <w:snapToGrid w:val="0"/>
          <w:lang w:val="es-ES_tradnl" w:eastAsia="zh-CN"/>
        </w:rPr>
      </w:pPr>
      <w:r w:rsidRPr="00107219">
        <w:rPr>
          <w:rFonts w:asciiTheme="minorBidi" w:eastAsia="SimSun" w:hAnsiTheme="minorBidi"/>
          <w:snapToGrid w:val="0"/>
          <w:lang w:val="es-ES_tradnl" w:eastAsia="zh-CN"/>
        </w:rPr>
        <w:t>Las reuniones periódicas del Grupo de Expertos sobre Desarrollo de Capacidades guiarán la ejecución de las actividades ideadas en estrecha colaboración con las secretarías de los órganos subsidiarios regionales, así como con los programas mundiales y los órganos subsidiarios técnicos</w:t>
      </w:r>
    </w:p>
    <w:p w14:paraId="4009330D" w14:textId="77777777" w:rsidR="00B87CDB" w:rsidRPr="00107219" w:rsidRDefault="00B87CDB" w:rsidP="00AD1F72">
      <w:pPr>
        <w:numPr>
          <w:ilvl w:val="0"/>
          <w:numId w:val="36"/>
        </w:numPr>
        <w:spacing w:after="120" w:line="240" w:lineRule="auto"/>
        <w:ind w:left="1134" w:hanging="567"/>
        <w:jc w:val="both"/>
        <w:rPr>
          <w:rFonts w:asciiTheme="minorBidi" w:eastAsia="SimSun" w:hAnsiTheme="minorBidi"/>
          <w:snapToGrid w:val="0"/>
          <w:lang w:val="es-ES_tradnl" w:eastAsia="zh-CN"/>
        </w:rPr>
      </w:pPr>
      <w:r w:rsidRPr="00107219">
        <w:rPr>
          <w:rFonts w:asciiTheme="minorBidi" w:eastAsia="SimSun" w:hAnsiTheme="minorBidi"/>
          <w:snapToGrid w:val="0"/>
          <w:lang w:val="es-ES_tradnl" w:eastAsia="zh-CN"/>
        </w:rPr>
        <w:t>Refuerzo de la promoción y la divulgación para aumentar la visibilidad de las actividades de desarrollo de capacidades de la COI, incluida la publicación de folletos, como el folleto sobre la estrategia de desarrollo de capacidades, notas de políticas y otros materiales publicitarios</w:t>
      </w:r>
    </w:p>
    <w:p w14:paraId="2B40424A" w14:textId="419FB9D4" w:rsidR="00B87CDB" w:rsidRPr="00107219" w:rsidRDefault="00B87CDB" w:rsidP="00AD1F72">
      <w:pPr>
        <w:pBdr>
          <w:bottom w:val="single" w:sz="4" w:space="1" w:color="auto"/>
        </w:pBdr>
        <w:spacing w:before="240" w:after="240" w:line="240" w:lineRule="auto"/>
        <w:rPr>
          <w:rFonts w:asciiTheme="minorBidi" w:eastAsia="Times New Roman" w:hAnsiTheme="minorBidi"/>
          <w:b/>
          <w:bCs/>
          <w:snapToGrid w:val="0"/>
          <w:lang w:val="es-ES_tradnl" w:eastAsia="zh-CN"/>
        </w:rPr>
      </w:pPr>
      <w:r w:rsidRPr="00107219">
        <w:rPr>
          <w:rFonts w:asciiTheme="minorBidi" w:eastAsia="SimSun" w:hAnsiTheme="minorBidi"/>
          <w:b/>
          <w:bCs/>
          <w:snapToGrid w:val="0"/>
          <w:lang w:val="es-ES_tradnl" w:eastAsia="zh-CN"/>
        </w:rPr>
        <w:t>PRIORIDAD GLOBAL “ÁFRICA”</w:t>
      </w:r>
    </w:p>
    <w:p w14:paraId="247A8EF3" w14:textId="6227295A" w:rsidR="00B87CDB" w:rsidRPr="00107219" w:rsidRDefault="00B87CDB" w:rsidP="00BE2496">
      <w:pPr>
        <w:pStyle w:val="Prrafodelista"/>
        <w:numPr>
          <w:ilvl w:val="0"/>
          <w:numId w:val="41"/>
        </w:numPr>
        <w:pBdr>
          <w:top w:val="nil"/>
          <w:left w:val="nil"/>
          <w:bottom w:val="nil"/>
          <w:right w:val="nil"/>
          <w:between w:val="nil"/>
        </w:pBdr>
        <w:shd w:val="clear" w:color="auto" w:fill="FFFFFF"/>
        <w:spacing w:before="240" w:after="240" w:line="240" w:lineRule="auto"/>
        <w:ind w:left="0" w:firstLine="0"/>
        <w:contextualSpacing w:val="0"/>
        <w:jc w:val="both"/>
        <w:rPr>
          <w:rFonts w:asciiTheme="minorBidi" w:eastAsia="Times New Roman" w:hAnsiTheme="minorBidi"/>
          <w:snapToGrid w:val="0"/>
          <w:lang w:val="es-ES_tradnl" w:eastAsia="zh-CN"/>
        </w:rPr>
      </w:pPr>
      <w:r w:rsidRPr="00107219">
        <w:rPr>
          <w:rFonts w:asciiTheme="minorBidi" w:eastAsia="SimSun" w:hAnsiTheme="minorBidi"/>
          <w:snapToGrid w:val="0"/>
          <w:lang w:val="es-ES_tradnl" w:eastAsia="zh-CN"/>
        </w:rPr>
        <w:t>En 2022-2023 se pusieron en práctica tres grandes marcos estratégicos que sentaron las bases del trabajo futuro:</w:t>
      </w:r>
    </w:p>
    <w:p w14:paraId="0CCACEE1" w14:textId="77777777" w:rsidR="00B87CDB" w:rsidRPr="00107219" w:rsidRDefault="00B87CDB" w:rsidP="00AD1F72">
      <w:pPr>
        <w:numPr>
          <w:ilvl w:val="0"/>
          <w:numId w:val="36"/>
        </w:numPr>
        <w:spacing w:after="120" w:line="240" w:lineRule="auto"/>
        <w:ind w:left="1134" w:hanging="567"/>
        <w:jc w:val="both"/>
        <w:rPr>
          <w:rFonts w:asciiTheme="minorBidi" w:eastAsia="Times New Roman" w:hAnsiTheme="minorBidi"/>
          <w:snapToGrid w:val="0"/>
          <w:lang w:val="es-ES_tradnl" w:eastAsia="zh-CN"/>
        </w:rPr>
      </w:pPr>
      <w:r w:rsidRPr="00107219">
        <w:rPr>
          <w:rFonts w:asciiTheme="minorBidi" w:eastAsia="SimSun" w:hAnsiTheme="minorBidi"/>
          <w:snapToGrid w:val="0"/>
          <w:lang w:val="es-ES_tradnl" w:eastAsia="zh-CN"/>
        </w:rPr>
        <w:t>La Hoja de Ruta del Decenio del Océano para África, que fue el resultado de un sólido proceso participativo, se puso en marcha en mayo de 2022 y definió tres temas prioritarios, alineados con los objetivos del programa emblemático 5 de la prioridad global “África”. Se elaborará un marco de gestión sostenible del océano a finales de 2024.</w:t>
      </w:r>
    </w:p>
    <w:p w14:paraId="5B6F55F8" w14:textId="77777777" w:rsidR="00B87CDB" w:rsidRPr="00107219" w:rsidRDefault="00B87CDB" w:rsidP="00AD1F72">
      <w:pPr>
        <w:numPr>
          <w:ilvl w:val="0"/>
          <w:numId w:val="36"/>
        </w:numPr>
        <w:spacing w:after="120" w:line="240" w:lineRule="auto"/>
        <w:ind w:left="1134" w:hanging="567"/>
        <w:jc w:val="both"/>
        <w:rPr>
          <w:rFonts w:asciiTheme="minorBidi" w:eastAsia="Times New Roman" w:hAnsiTheme="minorBidi"/>
          <w:snapToGrid w:val="0"/>
          <w:lang w:val="es-ES_tradnl" w:eastAsia="zh-CN"/>
        </w:rPr>
      </w:pPr>
      <w:r w:rsidRPr="00107219">
        <w:rPr>
          <w:rFonts w:asciiTheme="minorBidi" w:eastAsia="SimSun" w:hAnsiTheme="minorBidi"/>
          <w:snapToGrid w:val="0"/>
          <w:lang w:val="es-ES_tradnl" w:eastAsia="zh-CN"/>
        </w:rPr>
        <w:t xml:space="preserve">La Asamblea de la COI aprobó la Estrategia de Desarrollo de Capacidades de la COI (2023-2030) que se está aplicando en los planos nacional y regional mediante el sistema de formación de la Academia Mundial </w:t>
      </w:r>
      <w:proofErr w:type="spellStart"/>
      <w:r w:rsidRPr="00107219">
        <w:rPr>
          <w:rFonts w:asciiTheme="minorBidi" w:eastAsia="SimSun" w:hAnsiTheme="minorBidi"/>
          <w:snapToGrid w:val="0"/>
          <w:lang w:val="es-ES_tradnl" w:eastAsia="zh-CN"/>
        </w:rPr>
        <w:t>OceanTeacher</w:t>
      </w:r>
      <w:proofErr w:type="spellEnd"/>
      <w:r w:rsidRPr="00107219">
        <w:rPr>
          <w:rFonts w:asciiTheme="minorBidi" w:eastAsia="SimSun" w:hAnsiTheme="minorBidi"/>
          <w:snapToGrid w:val="0"/>
          <w:lang w:val="es-ES_tradnl" w:eastAsia="zh-CN"/>
        </w:rPr>
        <w:t>, con el apoyo de actividades específicas ampliadas con fondos del Organismo Noruego de Cooperación para el Desarrollo (NORAD), y un programa sobre cultura oceánica.</w:t>
      </w:r>
    </w:p>
    <w:p w14:paraId="5941E8D4" w14:textId="77777777" w:rsidR="00B87CDB" w:rsidRPr="00107219" w:rsidRDefault="00B87CDB" w:rsidP="00AD1F72">
      <w:pPr>
        <w:numPr>
          <w:ilvl w:val="0"/>
          <w:numId w:val="36"/>
        </w:numPr>
        <w:spacing w:after="120" w:line="240" w:lineRule="auto"/>
        <w:ind w:left="1134" w:hanging="567"/>
        <w:jc w:val="both"/>
        <w:rPr>
          <w:rFonts w:asciiTheme="minorBidi" w:eastAsia="Times New Roman" w:hAnsiTheme="minorBidi"/>
          <w:snapToGrid w:val="0"/>
          <w:lang w:val="es-ES_tradnl" w:eastAsia="zh-CN"/>
        </w:rPr>
      </w:pPr>
      <w:r w:rsidRPr="00107219">
        <w:rPr>
          <w:rFonts w:asciiTheme="minorBidi" w:eastAsia="SimSun" w:hAnsiTheme="minorBidi"/>
          <w:snapToGrid w:val="0"/>
          <w:lang w:val="es-ES_tradnl" w:eastAsia="zh-CN"/>
        </w:rPr>
        <w:t>El nuevo mecanismo de desarrollo de capacidades del Decenio del Océano se puso en marcha con una inversión de 1,1 millones de dólares del Gobierno de Flandes (Reino de Bélgica) para apoyar las necesidades de refuerzo de capacidades de las personas e instituciones que participan en el Decenio del Océano, con un enfoque flexible y en función de la demanda.</w:t>
      </w:r>
    </w:p>
    <w:p w14:paraId="703441D7" w14:textId="68EC0A8D" w:rsidR="00B87CDB" w:rsidRPr="00107219" w:rsidRDefault="00B87CDB" w:rsidP="00BE2496">
      <w:pPr>
        <w:pStyle w:val="Prrafodelista"/>
        <w:numPr>
          <w:ilvl w:val="0"/>
          <w:numId w:val="41"/>
        </w:numPr>
        <w:pBdr>
          <w:top w:val="nil"/>
          <w:left w:val="nil"/>
          <w:bottom w:val="nil"/>
          <w:right w:val="nil"/>
          <w:between w:val="nil"/>
        </w:pBdr>
        <w:shd w:val="clear" w:color="auto" w:fill="FFFFFF"/>
        <w:spacing w:before="240" w:after="240" w:line="240" w:lineRule="auto"/>
        <w:ind w:left="0" w:firstLine="0"/>
        <w:contextualSpacing w:val="0"/>
        <w:jc w:val="both"/>
        <w:rPr>
          <w:rFonts w:asciiTheme="minorBidi" w:eastAsia="Times New Roman" w:hAnsiTheme="minorBidi"/>
          <w:snapToGrid w:val="0"/>
          <w:lang w:val="es-ES_tradnl" w:eastAsia="zh-CN"/>
        </w:rPr>
      </w:pPr>
      <w:r w:rsidRPr="00107219">
        <w:rPr>
          <w:rFonts w:asciiTheme="minorBidi" w:eastAsia="SimSun" w:hAnsiTheme="minorBidi"/>
          <w:snapToGrid w:val="0"/>
          <w:lang w:val="es-ES_tradnl" w:eastAsia="zh-CN"/>
        </w:rPr>
        <w:t>El presupuesto del 42</w:t>
      </w:r>
      <w:r w:rsidR="00AD1F72">
        <w:rPr>
          <w:rFonts w:asciiTheme="minorBidi" w:eastAsia="SimSun" w:hAnsiTheme="minorBidi"/>
          <w:snapToGrid w:val="0"/>
          <w:lang w:val="es-ES_tradnl" w:eastAsia="zh-CN"/>
        </w:rPr>
        <w:t> C/</w:t>
      </w:r>
      <w:r w:rsidRPr="00107219">
        <w:rPr>
          <w:rFonts w:asciiTheme="minorBidi" w:eastAsia="SimSun" w:hAnsiTheme="minorBidi"/>
          <w:snapToGrid w:val="0"/>
          <w:lang w:val="es-ES_tradnl" w:eastAsia="zh-CN"/>
        </w:rPr>
        <w:t>5 asignado a la prioridad global “África” es un 79 % mayor que el del 41</w:t>
      </w:r>
      <w:r w:rsidR="00AD1F72">
        <w:rPr>
          <w:rFonts w:asciiTheme="minorBidi" w:eastAsia="SimSun" w:hAnsiTheme="minorBidi"/>
          <w:snapToGrid w:val="0"/>
          <w:lang w:val="es-ES_tradnl" w:eastAsia="zh-CN"/>
        </w:rPr>
        <w:t> C/</w:t>
      </w:r>
      <w:r w:rsidRPr="00107219">
        <w:rPr>
          <w:rFonts w:asciiTheme="minorBidi" w:eastAsia="SimSun" w:hAnsiTheme="minorBidi"/>
          <w:snapToGrid w:val="0"/>
          <w:lang w:val="es-ES_tradnl" w:eastAsia="zh-CN"/>
        </w:rPr>
        <w:t>5 (5,6 millones de dólares) y representa el 26 % del presupuesto del marco presupuestario integrado de la COI, frente al 22 % en el 41</w:t>
      </w:r>
      <w:r w:rsidR="00AD1F72">
        <w:rPr>
          <w:rFonts w:asciiTheme="minorBidi" w:eastAsia="SimSun" w:hAnsiTheme="minorBidi"/>
          <w:snapToGrid w:val="0"/>
          <w:lang w:val="es-ES_tradnl" w:eastAsia="zh-CN"/>
        </w:rPr>
        <w:t> C/</w:t>
      </w:r>
      <w:r w:rsidRPr="00107219">
        <w:rPr>
          <w:rFonts w:asciiTheme="minorBidi" w:eastAsia="SimSun" w:hAnsiTheme="minorBidi"/>
          <w:snapToGrid w:val="0"/>
          <w:lang w:val="es-ES_tradnl" w:eastAsia="zh-CN"/>
        </w:rPr>
        <w:t>5.</w:t>
      </w:r>
    </w:p>
    <w:p w14:paraId="1FCEB6D0" w14:textId="36222AB5" w:rsidR="00B87CDB" w:rsidRPr="00107219" w:rsidRDefault="00B87CDB" w:rsidP="00BE2496">
      <w:pPr>
        <w:pStyle w:val="Prrafodelista"/>
        <w:numPr>
          <w:ilvl w:val="0"/>
          <w:numId w:val="41"/>
        </w:numPr>
        <w:pBdr>
          <w:top w:val="nil"/>
          <w:left w:val="nil"/>
          <w:bottom w:val="nil"/>
          <w:right w:val="nil"/>
          <w:between w:val="nil"/>
        </w:pBdr>
        <w:shd w:val="clear" w:color="auto" w:fill="FFFFFF"/>
        <w:spacing w:before="240" w:after="240" w:line="240" w:lineRule="auto"/>
        <w:ind w:left="0" w:firstLine="0"/>
        <w:contextualSpacing w:val="0"/>
        <w:jc w:val="both"/>
        <w:rPr>
          <w:rFonts w:asciiTheme="minorBidi" w:eastAsia="Times New Roman" w:hAnsiTheme="minorBidi"/>
          <w:snapToGrid w:val="0"/>
          <w:lang w:val="es-ES_tradnl" w:eastAsia="zh-CN"/>
        </w:rPr>
      </w:pPr>
      <w:r w:rsidRPr="00107219">
        <w:rPr>
          <w:rFonts w:asciiTheme="minorBidi" w:eastAsia="SimSun" w:hAnsiTheme="minorBidi"/>
          <w:snapToGrid w:val="0"/>
          <w:lang w:val="es-ES_tradnl" w:eastAsia="zh-CN"/>
        </w:rPr>
        <w:t>La Secretaría de la Subcomisión de la COI para África y Estados Insulares Adyacentes (Oficina de la UNESCO en Nairobi) se ha reforzado con un segundo puesto de plantilla de categoría P-3. La Oficina también albergará el centro regional de coordinación del Decenio.</w:t>
      </w:r>
    </w:p>
    <w:p w14:paraId="58481E01" w14:textId="3EF37568" w:rsidR="00B87CDB" w:rsidRPr="00107219" w:rsidRDefault="00B87CDB" w:rsidP="00BE2496">
      <w:pPr>
        <w:pStyle w:val="Prrafodelista"/>
        <w:numPr>
          <w:ilvl w:val="0"/>
          <w:numId w:val="41"/>
        </w:numPr>
        <w:pBdr>
          <w:top w:val="nil"/>
          <w:left w:val="nil"/>
          <w:bottom w:val="nil"/>
          <w:right w:val="nil"/>
          <w:between w:val="nil"/>
        </w:pBdr>
        <w:shd w:val="clear" w:color="auto" w:fill="FFFFFF"/>
        <w:spacing w:before="240" w:after="240" w:line="240" w:lineRule="auto"/>
        <w:ind w:left="0" w:firstLine="0"/>
        <w:contextualSpacing w:val="0"/>
        <w:jc w:val="both"/>
        <w:rPr>
          <w:rFonts w:asciiTheme="minorBidi" w:eastAsia="Times New Roman" w:hAnsiTheme="minorBidi"/>
          <w:snapToGrid w:val="0"/>
          <w:color w:val="000000"/>
          <w:lang w:val="es-ES_tradnl" w:eastAsia="zh-CN"/>
        </w:rPr>
      </w:pPr>
      <w:r w:rsidRPr="00107219">
        <w:rPr>
          <w:rFonts w:asciiTheme="minorBidi" w:eastAsia="SimSun" w:hAnsiTheme="minorBidi"/>
          <w:snapToGrid w:val="0"/>
          <w:lang w:val="es-ES_tradnl" w:eastAsia="zh-CN"/>
        </w:rPr>
        <w:t xml:space="preserve">Nuestro principal programa para el Decenio del Océano, titulado “Ciencia y conocimiento para una economía oceánica resiliente y sostenible en África”, se está elaborando con los cuatro elementos siguientes: </w:t>
      </w:r>
    </w:p>
    <w:p w14:paraId="61B40166" w14:textId="71F6FE80" w:rsidR="00B87CDB" w:rsidRPr="00107219" w:rsidRDefault="00B87CDB" w:rsidP="00AD1F72">
      <w:pPr>
        <w:numPr>
          <w:ilvl w:val="0"/>
          <w:numId w:val="40"/>
        </w:numPr>
        <w:spacing w:after="120" w:line="240" w:lineRule="auto"/>
        <w:ind w:left="1134" w:hanging="567"/>
        <w:jc w:val="both"/>
        <w:rPr>
          <w:rFonts w:asciiTheme="minorBidi" w:eastAsia="Times New Roman" w:hAnsiTheme="minorBidi"/>
          <w:snapToGrid w:val="0"/>
          <w:color w:val="000000"/>
          <w:lang w:val="es-ES_tradnl" w:eastAsia="zh-CN"/>
        </w:rPr>
      </w:pPr>
      <w:r w:rsidRPr="00107219">
        <w:rPr>
          <w:rFonts w:asciiTheme="minorBidi" w:eastAsia="SimSun" w:hAnsiTheme="minorBidi"/>
          <w:snapToGrid w:val="0"/>
          <w:lang w:val="es-ES_tradnl" w:eastAsia="zh-CN"/>
        </w:rPr>
        <w:t>gestión sostenible de los recursos marinos,</w:t>
      </w:r>
    </w:p>
    <w:p w14:paraId="51A69B9E" w14:textId="2B8E5875" w:rsidR="00B87CDB" w:rsidRPr="00107219" w:rsidRDefault="00B87CDB" w:rsidP="00AD1F72">
      <w:pPr>
        <w:numPr>
          <w:ilvl w:val="0"/>
          <w:numId w:val="40"/>
        </w:numPr>
        <w:spacing w:after="120" w:line="240" w:lineRule="auto"/>
        <w:ind w:left="1134" w:hanging="567"/>
        <w:jc w:val="both"/>
        <w:rPr>
          <w:rFonts w:asciiTheme="minorBidi" w:eastAsia="Times New Roman" w:hAnsiTheme="minorBidi"/>
          <w:snapToGrid w:val="0"/>
          <w:color w:val="000000"/>
          <w:lang w:val="es-ES_tradnl" w:eastAsia="zh-CN"/>
        </w:rPr>
      </w:pPr>
      <w:r w:rsidRPr="00107219">
        <w:rPr>
          <w:rFonts w:asciiTheme="minorBidi" w:eastAsia="SimSun" w:hAnsiTheme="minorBidi"/>
          <w:snapToGrid w:val="0"/>
          <w:lang w:val="es-ES_tradnl" w:eastAsia="zh-CN"/>
        </w:rPr>
        <w:lastRenderedPageBreak/>
        <w:t>cambio climático y biodiversidad marina,</w:t>
      </w:r>
    </w:p>
    <w:p w14:paraId="7FACD602" w14:textId="0EE43FF9" w:rsidR="00B87CDB" w:rsidRPr="00107219" w:rsidRDefault="00B87CDB" w:rsidP="00AD1F72">
      <w:pPr>
        <w:numPr>
          <w:ilvl w:val="0"/>
          <w:numId w:val="40"/>
        </w:numPr>
        <w:spacing w:after="120" w:line="240" w:lineRule="auto"/>
        <w:ind w:left="1134" w:hanging="567"/>
        <w:jc w:val="both"/>
        <w:rPr>
          <w:rFonts w:asciiTheme="minorBidi" w:eastAsia="Times New Roman" w:hAnsiTheme="minorBidi"/>
          <w:snapToGrid w:val="0"/>
          <w:color w:val="000000"/>
          <w:lang w:val="es-ES_tradnl" w:eastAsia="zh-CN"/>
        </w:rPr>
      </w:pPr>
      <w:r w:rsidRPr="00107219">
        <w:rPr>
          <w:rFonts w:asciiTheme="minorBidi" w:eastAsia="SimSun" w:hAnsiTheme="minorBidi"/>
          <w:snapToGrid w:val="0"/>
          <w:lang w:val="es-ES_tradnl" w:eastAsia="zh-CN"/>
        </w:rPr>
        <w:t>lucha contra la contaminación del océano con miras a mejorar la salud humana,</w:t>
      </w:r>
    </w:p>
    <w:p w14:paraId="249B1439" w14:textId="37D98443" w:rsidR="00B87CDB" w:rsidRPr="00107219" w:rsidRDefault="00B87CDB" w:rsidP="00AD1F72">
      <w:pPr>
        <w:numPr>
          <w:ilvl w:val="0"/>
          <w:numId w:val="40"/>
        </w:numPr>
        <w:spacing w:after="120" w:line="240" w:lineRule="auto"/>
        <w:ind w:left="1134" w:hanging="567"/>
        <w:jc w:val="both"/>
        <w:rPr>
          <w:rFonts w:asciiTheme="minorBidi" w:eastAsia="Times New Roman" w:hAnsiTheme="minorBidi"/>
          <w:snapToGrid w:val="0"/>
          <w:color w:val="000000"/>
          <w:lang w:val="es-ES_tradnl" w:eastAsia="zh-CN"/>
        </w:rPr>
      </w:pPr>
      <w:r w:rsidRPr="00107219">
        <w:rPr>
          <w:rFonts w:asciiTheme="minorBidi" w:eastAsia="SimSun" w:hAnsiTheme="minorBidi"/>
          <w:snapToGrid w:val="0"/>
          <w:lang w:val="es-ES_tradnl" w:eastAsia="zh-CN"/>
        </w:rPr>
        <w:t>fenómenos extremos y reducción del riesgo de desastres. Se pondrá en marcha un nuevo programa de formación sobre diseño conjunto para África, con el fin de crear conocimientos y capacidades que permitan diseñar actividades para el Decenio dirigidas por África.</w:t>
      </w:r>
    </w:p>
    <w:p w14:paraId="4252020E" w14:textId="50C47892" w:rsidR="00B87CDB" w:rsidRPr="00107219" w:rsidRDefault="00B87CDB" w:rsidP="00BE2496">
      <w:pPr>
        <w:pStyle w:val="Prrafodelista"/>
        <w:numPr>
          <w:ilvl w:val="0"/>
          <w:numId w:val="41"/>
        </w:numPr>
        <w:pBdr>
          <w:top w:val="nil"/>
          <w:left w:val="nil"/>
          <w:bottom w:val="nil"/>
          <w:right w:val="nil"/>
          <w:between w:val="nil"/>
        </w:pBdr>
        <w:shd w:val="clear" w:color="auto" w:fill="FFFFFF"/>
        <w:spacing w:before="240" w:after="240" w:line="240" w:lineRule="auto"/>
        <w:ind w:left="0" w:firstLine="0"/>
        <w:contextualSpacing w:val="0"/>
        <w:jc w:val="both"/>
        <w:rPr>
          <w:rFonts w:asciiTheme="minorBidi" w:eastAsia="Times New Roman" w:hAnsiTheme="minorBidi"/>
          <w:snapToGrid w:val="0"/>
          <w:color w:val="000000"/>
          <w:lang w:val="es-ES_tradnl" w:eastAsia="zh-CN"/>
        </w:rPr>
      </w:pPr>
      <w:r w:rsidRPr="00107219">
        <w:rPr>
          <w:rFonts w:asciiTheme="minorBidi" w:eastAsia="SimSun" w:hAnsiTheme="minorBidi"/>
          <w:snapToGrid w:val="0"/>
          <w:lang w:val="es-ES_tradnl" w:eastAsia="zh-CN"/>
        </w:rPr>
        <w:t>Continúa la colaboración con el Foro Belmont para crear nuevas oportunidades de financiación para las actividades del Decenio del Océano en África.</w:t>
      </w:r>
    </w:p>
    <w:p w14:paraId="5F25A56E" w14:textId="77777777" w:rsidR="00B87CDB" w:rsidRPr="00107219" w:rsidRDefault="00B87CDB" w:rsidP="00B87CDB">
      <w:pPr>
        <w:tabs>
          <w:tab w:val="left" w:pos="567"/>
        </w:tabs>
        <w:snapToGrid w:val="0"/>
        <w:spacing w:after="120" w:line="240" w:lineRule="auto"/>
        <w:jc w:val="both"/>
        <w:rPr>
          <w:rFonts w:asciiTheme="minorBidi" w:eastAsia="Times New Roman" w:hAnsiTheme="minorBidi"/>
          <w:i/>
          <w:iCs/>
          <w:snapToGrid w:val="0"/>
          <w:lang w:val="es-ES_tradnl" w:eastAsia="zh-CN"/>
        </w:rPr>
      </w:pPr>
      <w:r w:rsidRPr="00107219">
        <w:rPr>
          <w:rFonts w:asciiTheme="minorBidi" w:eastAsia="SimSun" w:hAnsiTheme="minorBidi"/>
          <w:i/>
          <w:iCs/>
          <w:snapToGrid w:val="0"/>
          <w:lang w:val="es-ES_tradnl" w:eastAsia="zh-CN"/>
        </w:rPr>
        <w:t>Prioridades para 2024-2025:</w:t>
      </w:r>
    </w:p>
    <w:p w14:paraId="42485EB4" w14:textId="77777777" w:rsidR="00B87CDB" w:rsidRPr="00107219" w:rsidRDefault="00B87CDB" w:rsidP="00AD1F72">
      <w:pPr>
        <w:numPr>
          <w:ilvl w:val="0"/>
          <w:numId w:val="36"/>
        </w:numPr>
        <w:spacing w:after="120" w:line="240" w:lineRule="auto"/>
        <w:ind w:left="1134" w:hanging="567"/>
        <w:jc w:val="both"/>
        <w:rPr>
          <w:rFonts w:asciiTheme="minorBidi" w:eastAsia="Times New Roman" w:hAnsiTheme="minorBidi"/>
          <w:snapToGrid w:val="0"/>
          <w:lang w:val="es-ES_tradnl" w:eastAsia="zh-CN"/>
        </w:rPr>
      </w:pPr>
      <w:r w:rsidRPr="00107219">
        <w:rPr>
          <w:rFonts w:asciiTheme="minorBidi" w:eastAsia="SimSun" w:hAnsiTheme="minorBidi"/>
          <w:snapToGrid w:val="0"/>
          <w:u w:val="single"/>
          <w:lang w:val="es-ES_tradnl" w:eastAsia="zh-CN"/>
        </w:rPr>
        <w:t>Datos y observaciones</w:t>
      </w:r>
      <w:r w:rsidRPr="00107219">
        <w:rPr>
          <w:rFonts w:asciiTheme="minorBidi" w:eastAsia="SimSun" w:hAnsiTheme="minorBidi"/>
          <w:snapToGrid w:val="0"/>
          <w:lang w:val="es-ES_tradnl" w:eastAsia="zh-CN"/>
        </w:rPr>
        <w:t xml:space="preserve"> (“no podemos gestionar aquello que no podemos medir”): respaldo a 26 Estados Miembros adicionales en materia de observaciones oceánicas y gestión de datos para facilitar el acceso de la comunidad de práctica regional a información, datos y productos del conocimiento oceánicos mundiales para su gestión, incorporando los conocimientos indígenas y locales</w:t>
      </w:r>
    </w:p>
    <w:p w14:paraId="6D65EEE3" w14:textId="77777777" w:rsidR="00B87CDB" w:rsidRPr="00107219" w:rsidRDefault="00B87CDB" w:rsidP="00AD1F72">
      <w:pPr>
        <w:numPr>
          <w:ilvl w:val="0"/>
          <w:numId w:val="36"/>
        </w:numPr>
        <w:spacing w:after="120" w:line="240" w:lineRule="auto"/>
        <w:ind w:left="1134" w:hanging="567"/>
        <w:jc w:val="both"/>
        <w:rPr>
          <w:rFonts w:asciiTheme="minorBidi" w:eastAsia="Times New Roman" w:hAnsiTheme="minorBidi"/>
          <w:snapToGrid w:val="0"/>
          <w:color w:val="000000"/>
          <w:lang w:val="es-ES_tradnl" w:eastAsia="zh-CN"/>
        </w:rPr>
      </w:pPr>
      <w:r w:rsidRPr="00107219">
        <w:rPr>
          <w:rFonts w:asciiTheme="minorBidi" w:eastAsia="SimSun" w:hAnsiTheme="minorBidi"/>
          <w:snapToGrid w:val="0"/>
          <w:lang w:val="es-ES_tradnl" w:eastAsia="zh-CN"/>
        </w:rPr>
        <w:t>Perfeccionamiento de un sistema africano de observaciones oceánicas que proporcionará datos para las estrategias nacionales de economía azul, conservación marina y cambio climático</w:t>
      </w:r>
    </w:p>
    <w:p w14:paraId="7A8A6FF3" w14:textId="77777777" w:rsidR="00B87CDB" w:rsidRPr="00107219" w:rsidRDefault="00B87CDB" w:rsidP="00AD1F72">
      <w:pPr>
        <w:numPr>
          <w:ilvl w:val="0"/>
          <w:numId w:val="36"/>
        </w:numPr>
        <w:spacing w:after="120" w:line="240" w:lineRule="auto"/>
        <w:ind w:left="1134" w:hanging="567"/>
        <w:jc w:val="both"/>
        <w:rPr>
          <w:rFonts w:asciiTheme="minorBidi" w:eastAsia="Times New Roman" w:hAnsiTheme="minorBidi"/>
          <w:snapToGrid w:val="0"/>
          <w:color w:val="000000"/>
          <w:lang w:val="es-ES_tradnl" w:eastAsia="zh-CN"/>
        </w:rPr>
      </w:pPr>
      <w:r w:rsidRPr="00107219">
        <w:rPr>
          <w:rFonts w:asciiTheme="minorBidi" w:eastAsia="SimSun" w:hAnsiTheme="minorBidi"/>
          <w:snapToGrid w:val="0"/>
          <w:u w:val="single"/>
          <w:lang w:val="es-ES_tradnl" w:eastAsia="zh-CN"/>
        </w:rPr>
        <w:t>Economía oceánica sostenible</w:t>
      </w:r>
      <w:r w:rsidRPr="00107219">
        <w:rPr>
          <w:rFonts w:asciiTheme="minorBidi" w:eastAsia="SimSun" w:hAnsiTheme="minorBidi"/>
          <w:snapToGrid w:val="0"/>
          <w:lang w:val="es-ES_tradnl" w:eastAsia="zh-CN"/>
        </w:rPr>
        <w:t>: apoyo a 10-15 países para la realización de talleres de planificación espacial marina (PEM) y la puesta a prueba de cooperación transfronteriza sobre PEM en la región del golfo de Guinea</w:t>
      </w:r>
    </w:p>
    <w:p w14:paraId="2BF5B64A" w14:textId="77777777" w:rsidR="00B87CDB" w:rsidRPr="00107219" w:rsidRDefault="00B87CDB" w:rsidP="00AD1F72">
      <w:pPr>
        <w:numPr>
          <w:ilvl w:val="0"/>
          <w:numId w:val="36"/>
        </w:numPr>
        <w:spacing w:after="120" w:line="240" w:lineRule="auto"/>
        <w:ind w:left="1134" w:hanging="567"/>
        <w:jc w:val="both"/>
        <w:rPr>
          <w:rFonts w:asciiTheme="minorBidi" w:eastAsia="Times New Roman" w:hAnsiTheme="minorBidi"/>
          <w:snapToGrid w:val="0"/>
          <w:color w:val="000000"/>
          <w:lang w:val="es-ES_tradnl" w:eastAsia="zh-CN"/>
        </w:rPr>
      </w:pPr>
      <w:r w:rsidRPr="00107219">
        <w:rPr>
          <w:rFonts w:asciiTheme="minorBidi" w:eastAsia="SimSun" w:hAnsiTheme="minorBidi"/>
          <w:snapToGrid w:val="0"/>
          <w:lang w:val="es-ES_tradnl" w:eastAsia="zh-CN"/>
        </w:rPr>
        <w:t>Creación de un foro periódico africano sobre PEM para compartir experiencias y desarrollar las capacidades de expertos en PEM de la región</w:t>
      </w:r>
    </w:p>
    <w:p w14:paraId="0C5EF5D9" w14:textId="77777777" w:rsidR="00B87CDB" w:rsidRPr="00107219" w:rsidRDefault="00B87CDB" w:rsidP="00AD1F72">
      <w:pPr>
        <w:numPr>
          <w:ilvl w:val="0"/>
          <w:numId w:val="36"/>
        </w:numPr>
        <w:spacing w:after="120" w:line="240" w:lineRule="auto"/>
        <w:ind w:left="1134" w:hanging="567"/>
        <w:jc w:val="both"/>
        <w:rPr>
          <w:rFonts w:asciiTheme="minorBidi" w:eastAsia="Times New Roman" w:hAnsiTheme="minorBidi"/>
          <w:snapToGrid w:val="0"/>
          <w:lang w:val="es-ES_tradnl" w:eastAsia="zh-CN"/>
        </w:rPr>
      </w:pPr>
      <w:r w:rsidRPr="00107219">
        <w:rPr>
          <w:rFonts w:asciiTheme="minorBidi" w:eastAsia="SimSun" w:hAnsiTheme="minorBidi"/>
          <w:snapToGrid w:val="0"/>
          <w:u w:val="single"/>
          <w:lang w:val="es-ES_tradnl" w:eastAsia="zh-CN"/>
        </w:rPr>
        <w:t>Alerta temprana</w:t>
      </w:r>
      <w:r w:rsidRPr="00107219">
        <w:rPr>
          <w:rFonts w:asciiTheme="minorBidi" w:eastAsia="SimSun" w:hAnsiTheme="minorBidi"/>
          <w:snapToGrid w:val="0"/>
          <w:lang w:val="es-ES_tradnl" w:eastAsia="zh-CN"/>
        </w:rPr>
        <w:t xml:space="preserve">: mejora de la preparación y resiliencia de 5 Estados Miembros adicionales ante los riesgos de tsunami y otros peligros oceánicos, y participación en el Programa de Reconocimiento Tsunami </w:t>
      </w:r>
      <w:proofErr w:type="spellStart"/>
      <w:r w:rsidRPr="00107219">
        <w:rPr>
          <w:rFonts w:asciiTheme="minorBidi" w:eastAsia="SimSun" w:hAnsiTheme="minorBidi"/>
          <w:snapToGrid w:val="0"/>
          <w:lang w:val="es-ES_tradnl" w:eastAsia="zh-CN"/>
        </w:rPr>
        <w:t>Ready</w:t>
      </w:r>
      <w:proofErr w:type="spellEnd"/>
      <w:r w:rsidRPr="00107219">
        <w:rPr>
          <w:rFonts w:asciiTheme="minorBidi" w:eastAsia="SimSun" w:hAnsiTheme="minorBidi"/>
          <w:snapToGrid w:val="0"/>
          <w:lang w:val="es-ES_tradnl" w:eastAsia="zh-CN"/>
        </w:rPr>
        <w:t xml:space="preserve"> de la UNESCO/COI de las comunidades en situación de riesgo de al menos 5 países africanos adicionales y 10 Estados insulares adicionales</w:t>
      </w:r>
    </w:p>
    <w:p w14:paraId="320A4BD1" w14:textId="77777777" w:rsidR="00B87CDB" w:rsidRPr="00107219" w:rsidRDefault="00B87CDB" w:rsidP="00AD1F72">
      <w:pPr>
        <w:numPr>
          <w:ilvl w:val="0"/>
          <w:numId w:val="36"/>
        </w:numPr>
        <w:spacing w:after="120" w:line="240" w:lineRule="auto"/>
        <w:ind w:left="1134" w:hanging="567"/>
        <w:jc w:val="both"/>
        <w:rPr>
          <w:rFonts w:asciiTheme="minorBidi" w:eastAsia="Times New Roman" w:hAnsiTheme="minorBidi"/>
          <w:snapToGrid w:val="0"/>
          <w:lang w:val="es-ES_tradnl" w:eastAsia="zh-CN"/>
        </w:rPr>
      </w:pPr>
      <w:r w:rsidRPr="00107219">
        <w:rPr>
          <w:rFonts w:asciiTheme="minorBidi" w:eastAsia="SimSun" w:hAnsiTheme="minorBidi"/>
          <w:snapToGrid w:val="0"/>
          <w:u w:val="single"/>
          <w:lang w:val="es-ES_tradnl" w:eastAsia="zh-CN"/>
        </w:rPr>
        <w:t>Desarrollo de capacidades</w:t>
      </w:r>
      <w:r w:rsidRPr="00107219">
        <w:rPr>
          <w:rFonts w:asciiTheme="minorBidi" w:eastAsia="SimSun" w:hAnsiTheme="minorBidi"/>
          <w:snapToGrid w:val="0"/>
          <w:lang w:val="es-ES_tradnl" w:eastAsia="zh-CN"/>
        </w:rPr>
        <w:t xml:space="preserve">: la Academia Mundial </w:t>
      </w:r>
      <w:proofErr w:type="spellStart"/>
      <w:r w:rsidRPr="00107219">
        <w:rPr>
          <w:rFonts w:asciiTheme="minorBidi" w:eastAsia="SimSun" w:hAnsiTheme="minorBidi"/>
          <w:snapToGrid w:val="0"/>
          <w:lang w:val="es-ES_tradnl" w:eastAsia="zh-CN"/>
        </w:rPr>
        <w:t>OceanTeacher</w:t>
      </w:r>
      <w:proofErr w:type="spellEnd"/>
      <w:r w:rsidRPr="00107219">
        <w:rPr>
          <w:rFonts w:asciiTheme="minorBidi" w:eastAsia="SimSun" w:hAnsiTheme="minorBidi"/>
          <w:snapToGrid w:val="0"/>
          <w:lang w:val="es-ES_tradnl" w:eastAsia="zh-CN"/>
        </w:rPr>
        <w:t xml:space="preserve"> ampliará su red mundial de centros de formación en África y aprovechará plenamente los conocimientos especializados regionales y locales para brindar una formación adaptada a las necesidades</w:t>
      </w:r>
    </w:p>
    <w:p w14:paraId="500B5D6D" w14:textId="77777777" w:rsidR="00B87CDB" w:rsidRPr="00107219" w:rsidRDefault="00B87CDB" w:rsidP="00AD1F72">
      <w:pPr>
        <w:numPr>
          <w:ilvl w:val="0"/>
          <w:numId w:val="36"/>
        </w:numPr>
        <w:spacing w:after="120" w:line="240" w:lineRule="auto"/>
        <w:ind w:left="1134" w:hanging="567"/>
        <w:jc w:val="both"/>
        <w:rPr>
          <w:rFonts w:asciiTheme="minorBidi" w:eastAsia="Times New Roman" w:hAnsiTheme="minorBidi"/>
          <w:snapToGrid w:val="0"/>
          <w:lang w:val="es-ES_tradnl" w:eastAsia="zh-CN"/>
        </w:rPr>
      </w:pPr>
      <w:r w:rsidRPr="00107219">
        <w:rPr>
          <w:rFonts w:asciiTheme="minorBidi" w:eastAsia="SimSun" w:hAnsiTheme="minorBidi"/>
          <w:snapToGrid w:val="0"/>
          <w:lang w:val="es-ES_tradnl" w:eastAsia="zh-CN"/>
        </w:rPr>
        <w:t>Iniciativas regionales sobre adaptación al cambio climático, incluida la preparación de notas de políticas para apoyar la participación de los delegados africanos en las COP, y facilitación de propuestas regionales por conducto del FMAM/fondo verde</w:t>
      </w:r>
    </w:p>
    <w:p w14:paraId="5F0C09E5" w14:textId="410F55B3" w:rsidR="00B87CDB" w:rsidRPr="00107219" w:rsidRDefault="00B87CDB" w:rsidP="00AD1F72">
      <w:pPr>
        <w:numPr>
          <w:ilvl w:val="0"/>
          <w:numId w:val="36"/>
        </w:numPr>
        <w:spacing w:after="120" w:line="240" w:lineRule="auto"/>
        <w:ind w:left="1134" w:hanging="567"/>
        <w:jc w:val="both"/>
        <w:rPr>
          <w:rFonts w:asciiTheme="minorBidi" w:eastAsia="Times New Roman" w:hAnsiTheme="minorBidi"/>
          <w:snapToGrid w:val="0"/>
          <w:color w:val="000000"/>
          <w:lang w:val="es-ES_tradnl" w:eastAsia="zh-CN"/>
        </w:rPr>
      </w:pPr>
      <w:r w:rsidRPr="00107219">
        <w:rPr>
          <w:rFonts w:asciiTheme="minorBidi" w:eastAsia="SimSun" w:hAnsiTheme="minorBidi"/>
          <w:snapToGrid w:val="0"/>
          <w:lang w:val="es-ES_tradnl" w:eastAsia="zh-CN"/>
        </w:rPr>
        <w:t xml:space="preserve">Expediciones oceanográficas regionales con el buque sudafricano de investigación oceanográfica </w:t>
      </w:r>
      <w:r w:rsidRPr="00107219">
        <w:rPr>
          <w:rFonts w:asciiTheme="minorBidi" w:eastAsia="SimSun" w:hAnsiTheme="minorBidi"/>
          <w:i/>
          <w:iCs/>
          <w:snapToGrid w:val="0"/>
          <w:lang w:val="es-ES_tradnl" w:eastAsia="zh-CN"/>
        </w:rPr>
        <w:t>SA</w:t>
      </w:r>
      <w:r w:rsidRPr="00107219">
        <w:rPr>
          <w:rFonts w:asciiTheme="minorBidi" w:eastAsia="SimSun" w:hAnsiTheme="minorBidi"/>
          <w:snapToGrid w:val="0"/>
          <w:lang w:val="es-ES_tradnl" w:eastAsia="zh-CN"/>
        </w:rPr>
        <w:t xml:space="preserve"> </w:t>
      </w:r>
      <w:proofErr w:type="spellStart"/>
      <w:r w:rsidRPr="00107219">
        <w:rPr>
          <w:rFonts w:asciiTheme="minorBidi" w:eastAsia="SimSun" w:hAnsiTheme="minorBidi"/>
          <w:i/>
          <w:iCs/>
          <w:snapToGrid w:val="0"/>
          <w:lang w:val="es-ES_tradnl" w:eastAsia="zh-CN"/>
        </w:rPr>
        <w:t>Agulhas</w:t>
      </w:r>
      <w:proofErr w:type="spellEnd"/>
      <w:r w:rsidRPr="00107219">
        <w:rPr>
          <w:rFonts w:asciiTheme="minorBidi" w:eastAsia="SimSun" w:hAnsiTheme="minorBidi"/>
          <w:i/>
          <w:iCs/>
          <w:snapToGrid w:val="0"/>
          <w:lang w:val="es-ES_tradnl" w:eastAsia="zh-CN"/>
        </w:rPr>
        <w:t xml:space="preserve"> II</w:t>
      </w:r>
      <w:r w:rsidRPr="00107219">
        <w:rPr>
          <w:rFonts w:asciiTheme="minorBidi" w:eastAsia="SimSun" w:hAnsiTheme="minorBidi"/>
          <w:snapToGrid w:val="0"/>
          <w:lang w:val="es-ES_tradnl" w:eastAsia="zh-CN"/>
        </w:rPr>
        <w:t xml:space="preserve">, el buque keniano de investigación oceanográfica </w:t>
      </w:r>
      <w:r w:rsidRPr="00107219">
        <w:rPr>
          <w:rFonts w:asciiTheme="minorBidi" w:eastAsia="SimSun" w:hAnsiTheme="minorBidi"/>
          <w:i/>
          <w:iCs/>
          <w:snapToGrid w:val="0"/>
          <w:lang w:val="es-ES_tradnl" w:eastAsia="zh-CN"/>
        </w:rPr>
        <w:t xml:space="preserve">RV </w:t>
      </w:r>
      <w:proofErr w:type="spellStart"/>
      <w:r w:rsidRPr="00107219">
        <w:rPr>
          <w:rFonts w:asciiTheme="minorBidi" w:eastAsia="SimSun" w:hAnsiTheme="minorBidi"/>
          <w:i/>
          <w:iCs/>
          <w:snapToGrid w:val="0"/>
          <w:lang w:val="es-ES_tradnl" w:eastAsia="zh-CN"/>
        </w:rPr>
        <w:t>Mtafiti</w:t>
      </w:r>
      <w:proofErr w:type="spellEnd"/>
      <w:r w:rsidRPr="00107219">
        <w:rPr>
          <w:rFonts w:asciiTheme="minorBidi" w:eastAsia="SimSun" w:hAnsiTheme="minorBidi"/>
          <w:snapToGrid w:val="0"/>
          <w:lang w:val="es-ES_tradnl" w:eastAsia="zh-CN"/>
        </w:rPr>
        <w:t xml:space="preserve"> y el buque noruego </w:t>
      </w:r>
      <w:proofErr w:type="spellStart"/>
      <w:r w:rsidRPr="00107219">
        <w:rPr>
          <w:rFonts w:asciiTheme="minorBidi" w:eastAsia="SimSun" w:hAnsiTheme="minorBidi"/>
          <w:i/>
          <w:iCs/>
          <w:snapToGrid w:val="0"/>
          <w:lang w:val="es-ES_tradnl" w:eastAsia="zh-CN"/>
        </w:rPr>
        <w:t>Dr</w:t>
      </w:r>
      <w:proofErr w:type="spellEnd"/>
      <w:r w:rsidRPr="00107219">
        <w:rPr>
          <w:rFonts w:asciiTheme="minorBidi" w:eastAsia="SimSun" w:hAnsiTheme="minorBidi"/>
          <w:i/>
          <w:iCs/>
          <w:snapToGrid w:val="0"/>
          <w:lang w:val="es-ES_tradnl" w:eastAsia="zh-CN"/>
        </w:rPr>
        <w:t xml:space="preserve"> </w:t>
      </w:r>
      <w:proofErr w:type="spellStart"/>
      <w:r w:rsidRPr="00107219">
        <w:rPr>
          <w:rFonts w:asciiTheme="minorBidi" w:eastAsia="SimSun" w:hAnsiTheme="minorBidi"/>
          <w:i/>
          <w:iCs/>
          <w:snapToGrid w:val="0"/>
          <w:lang w:val="es-ES_tradnl" w:eastAsia="zh-CN"/>
        </w:rPr>
        <w:t>Fridjhof</w:t>
      </w:r>
      <w:proofErr w:type="spellEnd"/>
      <w:r w:rsidRPr="00107219">
        <w:rPr>
          <w:rFonts w:asciiTheme="minorBidi" w:eastAsia="SimSun" w:hAnsiTheme="minorBidi"/>
          <w:i/>
          <w:iCs/>
          <w:snapToGrid w:val="0"/>
          <w:lang w:val="es-ES_tradnl" w:eastAsia="zh-CN"/>
        </w:rPr>
        <w:t xml:space="preserve"> </w:t>
      </w:r>
      <w:proofErr w:type="spellStart"/>
      <w:r w:rsidRPr="00107219">
        <w:rPr>
          <w:rFonts w:asciiTheme="minorBidi" w:eastAsia="SimSun" w:hAnsiTheme="minorBidi"/>
          <w:i/>
          <w:iCs/>
          <w:snapToGrid w:val="0"/>
          <w:lang w:val="es-ES_tradnl" w:eastAsia="zh-CN"/>
        </w:rPr>
        <w:t>Nansen</w:t>
      </w:r>
      <w:proofErr w:type="spellEnd"/>
      <w:r w:rsidRPr="00107219">
        <w:rPr>
          <w:rFonts w:asciiTheme="minorBidi" w:eastAsia="SimSun" w:hAnsiTheme="minorBidi"/>
          <w:snapToGrid w:val="0"/>
          <w:lang w:val="es-ES_tradnl" w:eastAsia="zh-CN"/>
        </w:rPr>
        <w:t>, gestionado por la FAO</w:t>
      </w:r>
    </w:p>
    <w:p w14:paraId="6BE47439" w14:textId="77777777" w:rsidR="00B87CDB" w:rsidRPr="00107219" w:rsidRDefault="00B87CDB" w:rsidP="00AD1F72">
      <w:pPr>
        <w:numPr>
          <w:ilvl w:val="0"/>
          <w:numId w:val="36"/>
        </w:numPr>
        <w:spacing w:after="120" w:line="240" w:lineRule="auto"/>
        <w:ind w:left="1134" w:hanging="567"/>
        <w:jc w:val="both"/>
        <w:rPr>
          <w:rFonts w:asciiTheme="minorBidi" w:eastAsia="Times New Roman" w:hAnsiTheme="minorBidi"/>
          <w:snapToGrid w:val="0"/>
          <w:lang w:val="es-ES_tradnl" w:eastAsia="zh-CN"/>
        </w:rPr>
      </w:pPr>
      <w:r w:rsidRPr="00107219">
        <w:rPr>
          <w:rFonts w:asciiTheme="minorBidi" w:eastAsia="SimSun" w:hAnsiTheme="minorBidi"/>
          <w:snapToGrid w:val="0"/>
          <w:lang w:val="es-ES_tradnl" w:eastAsia="zh-CN"/>
        </w:rPr>
        <w:t>Acceso de al menos 5 Estados Miembros adicionales a recursos y programas de formación multilingües sobre cultura oceánica</w:t>
      </w:r>
    </w:p>
    <w:p w14:paraId="364BAD56" w14:textId="2EB3C167" w:rsidR="00B87CDB" w:rsidRPr="00107219" w:rsidRDefault="00B87CDB" w:rsidP="00AD1F72">
      <w:pPr>
        <w:numPr>
          <w:ilvl w:val="0"/>
          <w:numId w:val="36"/>
        </w:numPr>
        <w:spacing w:after="120" w:line="240" w:lineRule="auto"/>
        <w:ind w:left="1134" w:hanging="567"/>
        <w:jc w:val="both"/>
        <w:rPr>
          <w:rFonts w:asciiTheme="minorBidi" w:eastAsia="Times New Roman" w:hAnsiTheme="minorBidi"/>
          <w:snapToGrid w:val="0"/>
          <w:lang w:val="es-ES_tradnl" w:eastAsia="zh-CN"/>
        </w:rPr>
      </w:pPr>
      <w:r w:rsidRPr="00107219">
        <w:rPr>
          <w:rFonts w:asciiTheme="minorBidi" w:eastAsia="SimSun" w:hAnsiTheme="minorBidi"/>
          <w:snapToGrid w:val="0"/>
          <w:lang w:val="es-ES_tradnl" w:eastAsia="zh-CN"/>
        </w:rPr>
        <w:t>Mayor ampliación, con el apoyo de un coordinador específico, de la red de profesionales del océano que inician su carrera (con centros ya establecidos en 4 países —Nigeria, Marruecos, el Senegal y el Togo— apoyados por el NORAD)</w:t>
      </w:r>
    </w:p>
    <w:p w14:paraId="33A2EDAD" w14:textId="77777777" w:rsidR="00B87CDB" w:rsidRPr="00107219" w:rsidRDefault="00B87CDB" w:rsidP="00AD1F72">
      <w:pPr>
        <w:pBdr>
          <w:bottom w:val="single" w:sz="4" w:space="1" w:color="auto"/>
        </w:pBdr>
        <w:spacing w:before="240" w:after="240" w:line="240" w:lineRule="auto"/>
        <w:rPr>
          <w:rFonts w:asciiTheme="minorBidi" w:eastAsia="Times New Roman" w:hAnsiTheme="minorBidi"/>
          <w:b/>
          <w:bCs/>
          <w:snapToGrid w:val="0"/>
          <w:lang w:val="es-ES_tradnl" w:eastAsia="zh-CN"/>
        </w:rPr>
      </w:pPr>
      <w:r w:rsidRPr="00107219">
        <w:rPr>
          <w:rFonts w:asciiTheme="minorBidi" w:eastAsia="SimSun" w:hAnsiTheme="minorBidi"/>
          <w:b/>
          <w:bCs/>
          <w:snapToGrid w:val="0"/>
          <w:lang w:val="es-ES_tradnl" w:eastAsia="zh-CN"/>
        </w:rPr>
        <w:t>PEQUEÑOS ESTADOS INSULARES EN DESARROLLO</w:t>
      </w:r>
    </w:p>
    <w:p w14:paraId="5E1C306A" w14:textId="20B7AE70" w:rsidR="00B87CDB" w:rsidRPr="00107219" w:rsidRDefault="00B87CDB" w:rsidP="00BE2496">
      <w:pPr>
        <w:pStyle w:val="Prrafodelista"/>
        <w:numPr>
          <w:ilvl w:val="0"/>
          <w:numId w:val="41"/>
        </w:numPr>
        <w:pBdr>
          <w:top w:val="nil"/>
          <w:left w:val="nil"/>
          <w:bottom w:val="nil"/>
          <w:right w:val="nil"/>
          <w:between w:val="nil"/>
        </w:pBdr>
        <w:shd w:val="clear" w:color="auto" w:fill="FFFFFF"/>
        <w:spacing w:before="240" w:after="240" w:line="240" w:lineRule="auto"/>
        <w:ind w:left="0" w:firstLine="0"/>
        <w:contextualSpacing w:val="0"/>
        <w:jc w:val="both"/>
        <w:rPr>
          <w:rFonts w:asciiTheme="minorBidi" w:eastAsia="SimSun" w:hAnsiTheme="minorBidi"/>
          <w:snapToGrid w:val="0"/>
          <w:lang w:val="es-ES_tradnl" w:eastAsia="zh-CN"/>
        </w:rPr>
      </w:pPr>
      <w:r w:rsidRPr="00107219">
        <w:rPr>
          <w:rFonts w:asciiTheme="minorBidi" w:eastAsia="SimSun" w:hAnsiTheme="minorBidi"/>
          <w:snapToGrid w:val="0"/>
          <w:lang w:val="es-ES_tradnl" w:eastAsia="zh-CN"/>
        </w:rPr>
        <w:t>Está previsto que las actividades de apoyo a los PEID se beneficien de un aumento de recursos de 3,3 millones de dólares (+46 % en comparación con el 41</w:t>
      </w:r>
      <w:r w:rsidR="00AD1F72">
        <w:rPr>
          <w:rFonts w:asciiTheme="minorBidi" w:eastAsia="SimSun" w:hAnsiTheme="minorBidi"/>
          <w:snapToGrid w:val="0"/>
          <w:lang w:val="es-ES_tradnl" w:eastAsia="zh-CN"/>
        </w:rPr>
        <w:t> C/</w:t>
      </w:r>
      <w:r w:rsidRPr="00107219">
        <w:rPr>
          <w:rFonts w:asciiTheme="minorBidi" w:eastAsia="SimSun" w:hAnsiTheme="minorBidi"/>
          <w:snapToGrid w:val="0"/>
          <w:lang w:val="es-ES_tradnl" w:eastAsia="zh-CN"/>
        </w:rPr>
        <w:t xml:space="preserve">5). Se propone crear un nuevo puesto </w:t>
      </w:r>
      <w:r w:rsidRPr="00107219">
        <w:rPr>
          <w:rFonts w:asciiTheme="minorBidi" w:eastAsia="SimSun" w:hAnsiTheme="minorBidi"/>
          <w:snapToGrid w:val="0"/>
          <w:lang w:val="es-ES_tradnl" w:eastAsia="zh-CN"/>
        </w:rPr>
        <w:lastRenderedPageBreak/>
        <w:t>de contratación internacional de categoría P-3 para reforzar la acción en favor de los PEID del Pacífico y un contrato de personal de proyectos para el Caribe.</w:t>
      </w:r>
    </w:p>
    <w:p w14:paraId="7A7A2F91" w14:textId="77777777" w:rsidR="00B87CDB" w:rsidRPr="00107219" w:rsidRDefault="00B87CDB" w:rsidP="00AD1F72">
      <w:pPr>
        <w:keepNext/>
        <w:tabs>
          <w:tab w:val="left" w:pos="567"/>
        </w:tabs>
        <w:snapToGrid w:val="0"/>
        <w:spacing w:after="0" w:line="240" w:lineRule="auto"/>
        <w:jc w:val="both"/>
        <w:rPr>
          <w:rFonts w:asciiTheme="minorBidi" w:eastAsia="SimSun" w:hAnsiTheme="minorBidi"/>
          <w:i/>
          <w:iCs/>
          <w:snapToGrid w:val="0"/>
          <w:color w:val="000000"/>
          <w:lang w:val="es-ES_tradnl" w:eastAsia="zh-CN"/>
        </w:rPr>
      </w:pPr>
      <w:r w:rsidRPr="00107219">
        <w:rPr>
          <w:rFonts w:asciiTheme="minorBidi" w:eastAsia="SimSun" w:hAnsiTheme="minorBidi"/>
          <w:i/>
          <w:iCs/>
          <w:snapToGrid w:val="0"/>
          <w:lang w:val="es-ES_tradnl" w:eastAsia="zh-CN"/>
        </w:rPr>
        <w:t>Prioridades para 2024-2025:</w:t>
      </w:r>
    </w:p>
    <w:p w14:paraId="0BB9DD21" w14:textId="594DC07E" w:rsidR="00B87CDB" w:rsidRPr="00107219" w:rsidRDefault="00B87CDB" w:rsidP="00BE2496">
      <w:pPr>
        <w:pStyle w:val="Prrafodelista"/>
        <w:numPr>
          <w:ilvl w:val="0"/>
          <w:numId w:val="41"/>
        </w:numPr>
        <w:pBdr>
          <w:top w:val="nil"/>
          <w:left w:val="nil"/>
          <w:bottom w:val="nil"/>
          <w:right w:val="nil"/>
          <w:between w:val="nil"/>
        </w:pBdr>
        <w:shd w:val="clear" w:color="auto" w:fill="FFFFFF"/>
        <w:spacing w:before="240" w:after="240" w:line="240" w:lineRule="auto"/>
        <w:ind w:left="0" w:firstLine="0"/>
        <w:contextualSpacing w:val="0"/>
        <w:jc w:val="both"/>
        <w:rPr>
          <w:rFonts w:asciiTheme="minorBidi" w:eastAsia="SimSun" w:hAnsiTheme="minorBidi"/>
          <w:snapToGrid w:val="0"/>
          <w:color w:val="000000"/>
          <w:lang w:val="es-ES_tradnl" w:eastAsia="zh-CN"/>
        </w:rPr>
      </w:pPr>
      <w:r w:rsidRPr="00107219">
        <w:rPr>
          <w:rFonts w:asciiTheme="minorBidi" w:eastAsia="SimSun" w:hAnsiTheme="minorBidi"/>
          <w:snapToGrid w:val="0"/>
          <w:lang w:val="es-ES_tradnl" w:eastAsia="zh-CN"/>
        </w:rPr>
        <w:t xml:space="preserve">Las alianzas con organizaciones asociadas del Atlántico y el Pacífico permitirán la colaboración con las cuencas oceánicas de las que no se ocupa ningún órgano subsidiario regional de la COI. Las inversiones específicas permitirán la aplicación de enfoques adaptados en el desarrollo de capacidades según las necesidades y las prioridades específicas de los PEID, lo que contribuirá a la ejecución de la </w:t>
      </w:r>
      <w:r w:rsidRPr="00107219">
        <w:rPr>
          <w:rFonts w:asciiTheme="minorBidi" w:eastAsia="SimSun" w:hAnsiTheme="minorBidi"/>
          <w:iCs/>
          <w:snapToGrid w:val="0"/>
          <w:lang w:val="es-ES_tradnl" w:eastAsia="zh-CN"/>
        </w:rPr>
        <w:t>Estrategia Operacional para los PEID (2023-2029) de la UNESCO</w:t>
      </w:r>
      <w:r w:rsidRPr="00107219">
        <w:rPr>
          <w:rFonts w:asciiTheme="minorBidi" w:eastAsia="SimSun" w:hAnsiTheme="minorBidi"/>
          <w:snapToGrid w:val="0"/>
          <w:lang w:val="es-ES_tradnl" w:eastAsia="zh-CN"/>
        </w:rPr>
        <w:t xml:space="preserve"> y los aceleradores conexos. Se reforzarán considerablemente las actividades relacionadas con la cultura oceánica y el Programa Intersectorial 2 (IP2) en los PEID.</w:t>
      </w:r>
    </w:p>
    <w:p w14:paraId="7464F9ED" w14:textId="6147D0E4" w:rsidR="00B87CDB" w:rsidRPr="00107219" w:rsidRDefault="00B87CDB" w:rsidP="00BE2496">
      <w:pPr>
        <w:pStyle w:val="Prrafodelista"/>
        <w:numPr>
          <w:ilvl w:val="0"/>
          <w:numId w:val="41"/>
        </w:numPr>
        <w:pBdr>
          <w:top w:val="nil"/>
          <w:left w:val="nil"/>
          <w:bottom w:val="nil"/>
          <w:right w:val="nil"/>
          <w:between w:val="nil"/>
        </w:pBdr>
        <w:shd w:val="clear" w:color="auto" w:fill="FFFFFF"/>
        <w:spacing w:before="240" w:after="240" w:line="240" w:lineRule="auto"/>
        <w:ind w:left="0" w:firstLine="0"/>
        <w:contextualSpacing w:val="0"/>
        <w:jc w:val="both"/>
        <w:rPr>
          <w:rFonts w:asciiTheme="minorBidi" w:eastAsia="SimSun" w:hAnsiTheme="minorBidi"/>
          <w:snapToGrid w:val="0"/>
          <w:color w:val="000000"/>
          <w:lang w:val="es-ES_tradnl" w:eastAsia="zh-CN"/>
        </w:rPr>
      </w:pPr>
      <w:r w:rsidRPr="00107219">
        <w:rPr>
          <w:rFonts w:asciiTheme="minorBidi" w:eastAsia="SimSun" w:hAnsiTheme="minorBidi"/>
          <w:snapToGrid w:val="0"/>
          <w:lang w:val="es-ES_tradnl" w:eastAsia="zh-CN"/>
        </w:rPr>
        <w:t>Prestando una especial atención a la resiliencia ante los tsunamis y otros peligros relacionados con el océano, el objetivo es que el 100</w:t>
      </w:r>
      <w:r w:rsidR="00AD1F72">
        <w:rPr>
          <w:rFonts w:asciiTheme="minorBidi" w:eastAsia="SimSun" w:hAnsiTheme="minorBidi"/>
          <w:snapToGrid w:val="0"/>
          <w:lang w:val="es-ES_tradnl" w:eastAsia="zh-CN"/>
        </w:rPr>
        <w:t> </w:t>
      </w:r>
      <w:r w:rsidRPr="00107219">
        <w:rPr>
          <w:rFonts w:asciiTheme="minorBidi" w:eastAsia="SimSun" w:hAnsiTheme="minorBidi"/>
          <w:snapToGrid w:val="0"/>
          <w:lang w:val="es-ES_tradnl" w:eastAsia="zh-CN"/>
        </w:rPr>
        <w:t xml:space="preserve">% de las comunidades en situación de riesgo del Caribe, el Pacífico, el Índico, el Mediterráneo y el Atlántico Nororiental reciban la acreditación del programa Tsunami </w:t>
      </w:r>
      <w:proofErr w:type="spellStart"/>
      <w:r w:rsidRPr="00107219">
        <w:rPr>
          <w:rFonts w:asciiTheme="minorBidi" w:eastAsia="SimSun" w:hAnsiTheme="minorBidi"/>
          <w:snapToGrid w:val="0"/>
          <w:lang w:val="es-ES_tradnl" w:eastAsia="zh-CN"/>
        </w:rPr>
        <w:t>Ready</w:t>
      </w:r>
      <w:proofErr w:type="spellEnd"/>
      <w:r w:rsidRPr="00107219">
        <w:rPr>
          <w:rFonts w:asciiTheme="minorBidi" w:eastAsia="SimSun" w:hAnsiTheme="minorBidi"/>
          <w:snapToGrid w:val="0"/>
          <w:lang w:val="es-ES_tradnl" w:eastAsia="zh-CN"/>
        </w:rPr>
        <w:t xml:space="preserve"> de aquí a 2030. La contribución de la COI a la nueva iniciativa Blue </w:t>
      </w:r>
      <w:proofErr w:type="spellStart"/>
      <w:r w:rsidRPr="00107219">
        <w:rPr>
          <w:rFonts w:asciiTheme="minorBidi" w:eastAsia="SimSun" w:hAnsiTheme="minorBidi"/>
          <w:snapToGrid w:val="0"/>
          <w:lang w:val="es-ES_tradnl" w:eastAsia="zh-CN"/>
        </w:rPr>
        <w:t>Wisdom</w:t>
      </w:r>
      <w:proofErr w:type="spellEnd"/>
      <w:r w:rsidRPr="00107219">
        <w:rPr>
          <w:rFonts w:asciiTheme="minorBidi" w:eastAsia="SimSun" w:hAnsiTheme="minorBidi"/>
          <w:snapToGrid w:val="0"/>
          <w:lang w:val="es-ES_tradnl" w:eastAsia="zh-CN"/>
        </w:rPr>
        <w:t xml:space="preserve"> —orientada a facilitar la incorporación de los conocimientos locales e indígenas a la conservación del océano y el agua— se centrará especialmente en los PEID:</w:t>
      </w:r>
    </w:p>
    <w:p w14:paraId="60D4E91D" w14:textId="77777777" w:rsidR="00B87CDB" w:rsidRPr="00107219" w:rsidRDefault="00B87CDB" w:rsidP="00AD1F72">
      <w:pPr>
        <w:numPr>
          <w:ilvl w:val="0"/>
          <w:numId w:val="36"/>
        </w:numPr>
        <w:spacing w:after="120" w:line="240" w:lineRule="auto"/>
        <w:ind w:left="1134" w:hanging="567"/>
        <w:jc w:val="both"/>
        <w:rPr>
          <w:rFonts w:asciiTheme="minorBidi" w:eastAsia="Times New Roman" w:hAnsiTheme="minorBidi"/>
          <w:snapToGrid w:val="0"/>
          <w:lang w:val="es-ES_tradnl" w:eastAsia="zh-CN"/>
        </w:rPr>
      </w:pPr>
      <w:r w:rsidRPr="00107219">
        <w:rPr>
          <w:rFonts w:asciiTheme="minorBidi" w:eastAsia="SimSun" w:hAnsiTheme="minorBidi"/>
          <w:snapToGrid w:val="0"/>
          <w:lang w:val="es-ES_tradnl" w:eastAsia="zh-CN"/>
        </w:rPr>
        <w:t>apoyo a 10 PEID adicionales en materia de observación del océano y gestión de datos por medio del Sistema Mundial de Observación del Océano (GOOS) y el Sistema de Datos e Información Oceanográficos (ODIS) de la COI;</w:t>
      </w:r>
    </w:p>
    <w:p w14:paraId="62FFECA7" w14:textId="77777777" w:rsidR="00B87CDB" w:rsidRPr="00107219" w:rsidRDefault="00B87CDB" w:rsidP="00AD1F72">
      <w:pPr>
        <w:numPr>
          <w:ilvl w:val="0"/>
          <w:numId w:val="36"/>
        </w:numPr>
        <w:spacing w:after="120" w:line="240" w:lineRule="auto"/>
        <w:ind w:left="1134" w:hanging="567"/>
        <w:jc w:val="both"/>
        <w:rPr>
          <w:rFonts w:asciiTheme="minorBidi" w:eastAsia="Times New Roman" w:hAnsiTheme="minorBidi"/>
          <w:snapToGrid w:val="0"/>
          <w:lang w:val="es-ES_tradnl" w:eastAsia="zh-CN"/>
        </w:rPr>
      </w:pPr>
      <w:r w:rsidRPr="00107219">
        <w:rPr>
          <w:rFonts w:asciiTheme="minorBidi" w:eastAsia="SimSun" w:hAnsiTheme="minorBidi"/>
          <w:snapToGrid w:val="0"/>
          <w:lang w:val="es-ES_tradnl" w:eastAsia="zh-CN"/>
        </w:rPr>
        <w:t>capacitación de 10 PEID adicionales con mayor preparación y resiliencia ante los riesgos de tsunami y otros peligros oceánicos;</w:t>
      </w:r>
    </w:p>
    <w:p w14:paraId="0F26AAD2" w14:textId="77777777" w:rsidR="00B87CDB" w:rsidRPr="00107219" w:rsidRDefault="00B87CDB" w:rsidP="00AD1F72">
      <w:pPr>
        <w:numPr>
          <w:ilvl w:val="0"/>
          <w:numId w:val="36"/>
        </w:numPr>
        <w:spacing w:after="120" w:line="240" w:lineRule="auto"/>
        <w:ind w:left="1134" w:hanging="567"/>
        <w:jc w:val="both"/>
        <w:rPr>
          <w:rFonts w:asciiTheme="minorBidi" w:eastAsia="Times New Roman" w:hAnsiTheme="minorBidi"/>
          <w:snapToGrid w:val="0"/>
          <w:lang w:val="es-ES_tradnl" w:eastAsia="zh-CN"/>
        </w:rPr>
      </w:pPr>
      <w:r w:rsidRPr="00107219">
        <w:rPr>
          <w:rFonts w:asciiTheme="minorBidi" w:eastAsia="SimSun" w:hAnsiTheme="minorBidi"/>
          <w:snapToGrid w:val="0"/>
          <w:lang w:val="es-ES_tradnl" w:eastAsia="zh-CN"/>
        </w:rPr>
        <w:t xml:space="preserve">al menos una comunidad con la acreditación Tsunami </w:t>
      </w:r>
      <w:proofErr w:type="spellStart"/>
      <w:r w:rsidRPr="00107219">
        <w:rPr>
          <w:rFonts w:asciiTheme="minorBidi" w:eastAsia="SimSun" w:hAnsiTheme="minorBidi"/>
          <w:snapToGrid w:val="0"/>
          <w:lang w:val="es-ES_tradnl" w:eastAsia="zh-CN"/>
        </w:rPr>
        <w:t>Ready</w:t>
      </w:r>
      <w:proofErr w:type="spellEnd"/>
      <w:r w:rsidRPr="00107219">
        <w:rPr>
          <w:rFonts w:asciiTheme="minorBidi" w:eastAsia="SimSun" w:hAnsiTheme="minorBidi"/>
          <w:snapToGrid w:val="0"/>
          <w:lang w:val="es-ES_tradnl" w:eastAsia="zh-CN"/>
        </w:rPr>
        <w:t xml:space="preserve"> en 10 PEID adicionales.</w:t>
      </w:r>
    </w:p>
    <w:p w14:paraId="52386A0F" w14:textId="0BE9A019" w:rsidR="00B87CDB" w:rsidRPr="00107219" w:rsidRDefault="00B87CDB" w:rsidP="00BE2496">
      <w:pPr>
        <w:pStyle w:val="Prrafodelista"/>
        <w:numPr>
          <w:ilvl w:val="0"/>
          <w:numId w:val="41"/>
        </w:numPr>
        <w:pBdr>
          <w:top w:val="nil"/>
          <w:left w:val="nil"/>
          <w:bottom w:val="nil"/>
          <w:right w:val="nil"/>
          <w:between w:val="nil"/>
        </w:pBdr>
        <w:shd w:val="clear" w:color="auto" w:fill="FFFFFF"/>
        <w:spacing w:before="240" w:after="240" w:line="240" w:lineRule="auto"/>
        <w:ind w:left="0" w:firstLine="0"/>
        <w:contextualSpacing w:val="0"/>
        <w:jc w:val="both"/>
        <w:rPr>
          <w:rFonts w:asciiTheme="minorBidi" w:eastAsia="SimSun" w:hAnsiTheme="minorBidi"/>
          <w:snapToGrid w:val="0"/>
          <w:color w:val="000000"/>
          <w:lang w:val="es-ES_tradnl" w:eastAsia="zh-CN"/>
        </w:rPr>
      </w:pPr>
      <w:r w:rsidRPr="00107219">
        <w:rPr>
          <w:rFonts w:asciiTheme="minorBidi" w:eastAsia="SimSun" w:hAnsiTheme="minorBidi"/>
          <w:snapToGrid w:val="0"/>
          <w:lang w:val="es-ES_tradnl" w:eastAsia="zh-CN"/>
        </w:rPr>
        <w:t>La COI liderará la ejecución del programa de aceleración 2 (“Fortalecer de manera sostenible el conocimiento del océano, la planificación territorial y las capacidades de gestión del agua de los PEID para favorecer el crecimiento de sus economías azules”) de la Estrategia Operacional para los PEID (2023-2029) de la UNESCO.</w:t>
      </w:r>
    </w:p>
    <w:p w14:paraId="5949B0DE" w14:textId="61D4B301" w:rsidR="00B87CDB" w:rsidRPr="00107219" w:rsidRDefault="00B87CDB" w:rsidP="00BE2496">
      <w:pPr>
        <w:pStyle w:val="Prrafodelista"/>
        <w:numPr>
          <w:ilvl w:val="0"/>
          <w:numId w:val="41"/>
        </w:numPr>
        <w:pBdr>
          <w:top w:val="nil"/>
          <w:left w:val="nil"/>
          <w:bottom w:val="nil"/>
          <w:right w:val="nil"/>
          <w:between w:val="nil"/>
        </w:pBdr>
        <w:shd w:val="clear" w:color="auto" w:fill="FFFFFF"/>
        <w:spacing w:before="240" w:after="240" w:line="240" w:lineRule="auto"/>
        <w:ind w:left="0" w:firstLine="0"/>
        <w:contextualSpacing w:val="0"/>
        <w:jc w:val="both"/>
        <w:rPr>
          <w:rFonts w:asciiTheme="minorBidi" w:eastAsia="SimSun" w:hAnsiTheme="minorBidi"/>
          <w:snapToGrid w:val="0"/>
          <w:color w:val="000000"/>
          <w:lang w:val="es-ES_tradnl" w:eastAsia="zh-CN"/>
        </w:rPr>
      </w:pPr>
      <w:r w:rsidRPr="00107219">
        <w:rPr>
          <w:rFonts w:asciiTheme="minorBidi" w:eastAsia="SimSun" w:hAnsiTheme="minorBidi"/>
          <w:snapToGrid w:val="0"/>
          <w:lang w:val="es-ES_tradnl" w:eastAsia="zh-CN"/>
        </w:rPr>
        <w:t>El marco garantizará que los PEID reciban apoyo para preparar y aplicar una planificación y gestión sostenibles del océano y el agua en el marco del Decenio del Océano, y que se facilite la colaboración, el intercambio y el aprendizaje interregional e intrarregional entre los PEID.</w:t>
      </w:r>
    </w:p>
    <w:p w14:paraId="7B13124E" w14:textId="77777777" w:rsidR="00B87CDB" w:rsidRPr="00107219" w:rsidRDefault="00B87CDB" w:rsidP="00B87CDB">
      <w:pPr>
        <w:tabs>
          <w:tab w:val="left" w:pos="567"/>
        </w:tabs>
        <w:snapToGrid w:val="0"/>
        <w:spacing w:after="120" w:line="240" w:lineRule="auto"/>
        <w:jc w:val="both"/>
        <w:rPr>
          <w:rFonts w:asciiTheme="minorBidi" w:eastAsia="SimSun" w:hAnsiTheme="minorBidi"/>
          <w:i/>
          <w:iCs/>
          <w:snapToGrid w:val="0"/>
          <w:color w:val="000000"/>
          <w:lang w:val="es-ES_tradnl" w:eastAsia="zh-CN"/>
        </w:rPr>
      </w:pPr>
      <w:r w:rsidRPr="00107219">
        <w:rPr>
          <w:rFonts w:asciiTheme="minorBidi" w:eastAsia="SimSun" w:hAnsiTheme="minorBidi"/>
          <w:i/>
          <w:iCs/>
          <w:snapToGrid w:val="0"/>
          <w:lang w:val="es-ES_tradnl" w:eastAsia="zh-CN"/>
        </w:rPr>
        <w:t>Principales productos:</w:t>
      </w:r>
    </w:p>
    <w:p w14:paraId="25B23C7D" w14:textId="77777777" w:rsidR="00B87CDB" w:rsidRPr="00107219" w:rsidRDefault="00B87CDB" w:rsidP="00AD1F72">
      <w:pPr>
        <w:numPr>
          <w:ilvl w:val="0"/>
          <w:numId w:val="36"/>
        </w:numPr>
        <w:spacing w:after="120" w:line="240" w:lineRule="auto"/>
        <w:ind w:left="1134" w:hanging="567"/>
        <w:jc w:val="both"/>
        <w:rPr>
          <w:rFonts w:asciiTheme="minorBidi" w:eastAsia="SimSun" w:hAnsiTheme="minorBidi"/>
          <w:snapToGrid w:val="0"/>
          <w:color w:val="000000"/>
          <w:lang w:val="es-ES_tradnl" w:eastAsia="zh-CN"/>
        </w:rPr>
      </w:pPr>
      <w:r w:rsidRPr="00107219">
        <w:rPr>
          <w:rFonts w:asciiTheme="minorBidi" w:eastAsia="SimSun" w:hAnsiTheme="minorBidi"/>
          <w:snapToGrid w:val="0"/>
          <w:lang w:val="es-ES_tradnl" w:eastAsia="zh-CN"/>
        </w:rPr>
        <w:t>Elaboración de un programa de planes oceánicos sostenibles en los PEID en el contexto del programa del Decenio del Océano sobre la planificación sostenible del océano</w:t>
      </w:r>
    </w:p>
    <w:p w14:paraId="41C74E84" w14:textId="5E12DA5E" w:rsidR="00B87CDB" w:rsidRPr="00107219" w:rsidRDefault="00B87CDB" w:rsidP="00AD1F72">
      <w:pPr>
        <w:numPr>
          <w:ilvl w:val="0"/>
          <w:numId w:val="36"/>
        </w:numPr>
        <w:spacing w:after="120" w:line="240" w:lineRule="auto"/>
        <w:ind w:left="1134" w:hanging="567"/>
        <w:jc w:val="both"/>
        <w:rPr>
          <w:rFonts w:asciiTheme="minorBidi" w:eastAsia="SimSun" w:hAnsiTheme="minorBidi"/>
          <w:snapToGrid w:val="0"/>
          <w:color w:val="000000"/>
          <w:lang w:val="es-ES_tradnl" w:eastAsia="zh-CN"/>
        </w:rPr>
      </w:pPr>
      <w:r w:rsidRPr="00107219">
        <w:rPr>
          <w:rFonts w:asciiTheme="minorBidi" w:eastAsia="SimSun" w:hAnsiTheme="minorBidi"/>
          <w:snapToGrid w:val="0"/>
          <w:lang w:val="es-ES_tradnl" w:eastAsia="zh-CN"/>
        </w:rPr>
        <w:t>Creación y respaldo de un marco regional de conocimientos indígenas y locales para garantizar la plena participación de los poseedores de dichos conocimientos en el Decenio del Océano y asegurar el intercambio y la colaboración de sistemas de conocimientos alternativos a fin de complementar las ciencias oceánicas y favorecer la gestión sostenible del océano</w:t>
      </w:r>
    </w:p>
    <w:p w14:paraId="161C0642" w14:textId="77777777" w:rsidR="00B87CDB" w:rsidRPr="00107219" w:rsidRDefault="00B87CDB" w:rsidP="00AD1F72">
      <w:pPr>
        <w:numPr>
          <w:ilvl w:val="0"/>
          <w:numId w:val="36"/>
        </w:numPr>
        <w:spacing w:after="120" w:line="240" w:lineRule="auto"/>
        <w:ind w:left="1134" w:hanging="567"/>
        <w:jc w:val="both"/>
        <w:rPr>
          <w:rFonts w:asciiTheme="minorBidi" w:eastAsia="SimSun" w:hAnsiTheme="minorBidi"/>
          <w:snapToGrid w:val="0"/>
          <w:color w:val="000000"/>
          <w:lang w:val="es-ES_tradnl" w:eastAsia="zh-CN"/>
        </w:rPr>
      </w:pPr>
      <w:r w:rsidRPr="00107219">
        <w:rPr>
          <w:rFonts w:asciiTheme="minorBidi" w:eastAsia="SimSun" w:hAnsiTheme="minorBidi"/>
          <w:snapToGrid w:val="0"/>
          <w:lang w:val="es-ES_tradnl" w:eastAsia="zh-CN"/>
        </w:rPr>
        <w:t>Concepción y puesta en marcha de nuevas iniciativas de desarrollo de capacidades para los PEID por conducto del mecanismo de desarrollo de capacidades del Decenio del Océano y la Sección de Fortalecimiento de las Capacidades de la COI</w:t>
      </w:r>
    </w:p>
    <w:p w14:paraId="5B2921B3" w14:textId="3E4E54AA" w:rsidR="00B87CDB" w:rsidRPr="00AD1F72" w:rsidRDefault="00B87CDB" w:rsidP="00B87CDB">
      <w:pPr>
        <w:numPr>
          <w:ilvl w:val="0"/>
          <w:numId w:val="36"/>
        </w:numPr>
        <w:spacing w:after="0" w:line="240" w:lineRule="auto"/>
        <w:ind w:left="1134" w:hanging="567"/>
        <w:jc w:val="both"/>
        <w:rPr>
          <w:rFonts w:asciiTheme="minorBidi" w:eastAsia="Times New Roman" w:hAnsiTheme="minorBidi"/>
          <w:snapToGrid w:val="0"/>
          <w:lang w:val="es-ES_tradnl" w:eastAsia="zh-CN"/>
        </w:rPr>
      </w:pPr>
      <w:r w:rsidRPr="00AD1F72">
        <w:rPr>
          <w:rFonts w:asciiTheme="minorBidi" w:eastAsia="SimSun" w:hAnsiTheme="minorBidi"/>
          <w:snapToGrid w:val="0"/>
          <w:lang w:val="es-ES_tradnl" w:eastAsia="zh-CN"/>
        </w:rPr>
        <w:t>Concepción conjunta y puesta en marcha de un nuevo foro de intercambio y colaboración entre los PEID en el marco del Decenio del Océano para promover la cooperación entre esos países</w:t>
      </w:r>
      <w:r w:rsidRPr="00AD1F72">
        <w:rPr>
          <w:rFonts w:asciiTheme="minorBidi" w:eastAsia="Times New Roman" w:hAnsiTheme="minorBidi"/>
          <w:snapToGrid w:val="0"/>
          <w:lang w:val="es-ES_tradnl" w:eastAsia="zh-CN"/>
        </w:rPr>
        <w:br w:type="page"/>
      </w:r>
    </w:p>
    <w:p w14:paraId="53FEA6A5" w14:textId="77777777" w:rsidR="00B87CDB" w:rsidRPr="00107219" w:rsidRDefault="00B87CDB" w:rsidP="00B87CDB">
      <w:pPr>
        <w:autoSpaceDE w:val="0"/>
        <w:autoSpaceDN w:val="0"/>
        <w:adjustRightInd w:val="0"/>
        <w:spacing w:after="0" w:line="240" w:lineRule="auto"/>
        <w:jc w:val="center"/>
        <w:rPr>
          <w:rFonts w:asciiTheme="minorBidi" w:eastAsia="SimSun" w:hAnsiTheme="minorBidi"/>
          <w:b/>
          <w:bCs/>
          <w:color w:val="000000"/>
          <w:lang w:val="es-ES_tradnl" w:eastAsia="zh-CN"/>
        </w:rPr>
      </w:pPr>
      <w:r w:rsidRPr="00107219">
        <w:rPr>
          <w:rFonts w:asciiTheme="minorBidi" w:eastAsia="SimSun" w:hAnsiTheme="minorBidi"/>
          <w:b/>
          <w:bCs/>
          <w:snapToGrid w:val="0"/>
          <w:lang w:val="es-ES_tradnl" w:eastAsia="zh-CN"/>
        </w:rPr>
        <w:lastRenderedPageBreak/>
        <w:t>CUENTA ESPECIAL PARA LA UTILIZACIÓN DE LA CONTRIBUCIÓN DE 2023 DE LOS ESTADOS UNIDOS DE AMÉRICA</w:t>
      </w:r>
    </w:p>
    <w:p w14:paraId="58FF08E1" w14:textId="75430B61" w:rsidR="00B87CDB" w:rsidRPr="00107219" w:rsidRDefault="00B87CDB" w:rsidP="00BE2496">
      <w:pPr>
        <w:pStyle w:val="Prrafodelista"/>
        <w:numPr>
          <w:ilvl w:val="0"/>
          <w:numId w:val="41"/>
        </w:numPr>
        <w:pBdr>
          <w:top w:val="nil"/>
          <w:left w:val="nil"/>
          <w:bottom w:val="nil"/>
          <w:right w:val="nil"/>
          <w:between w:val="nil"/>
        </w:pBdr>
        <w:shd w:val="clear" w:color="auto" w:fill="FFFFFF"/>
        <w:spacing w:before="240" w:after="240" w:line="240" w:lineRule="auto"/>
        <w:ind w:left="0" w:firstLine="0"/>
        <w:contextualSpacing w:val="0"/>
        <w:jc w:val="both"/>
        <w:rPr>
          <w:rFonts w:asciiTheme="minorBidi" w:eastAsia="SimSun" w:hAnsiTheme="minorBidi"/>
          <w:snapToGrid w:val="0"/>
          <w:lang w:val="es-ES_tradnl" w:eastAsia="zh-CN"/>
        </w:rPr>
      </w:pPr>
      <w:r w:rsidRPr="00107219">
        <w:rPr>
          <w:rFonts w:asciiTheme="minorBidi" w:eastAsia="SimSun" w:hAnsiTheme="minorBidi"/>
          <w:snapToGrid w:val="0"/>
          <w:lang w:val="es-ES_tradnl" w:eastAsia="zh-CN"/>
        </w:rPr>
        <w:t>Tras la reincorporación a la UNESCO de los Estados Unidos de América con efecto a partir del 10 de julio de 2023, la COI podría beneficiarse de 1,5 millones de dólares de la contribución de dicho país a la UNESCO para el periodo comprendido entre el 10 de julio y el 31 de diciembre de 2023 (ref.</w:t>
      </w:r>
      <w:r w:rsidR="00AD1F72">
        <w:rPr>
          <w:rFonts w:asciiTheme="minorBidi" w:eastAsia="SimSun" w:hAnsiTheme="minorBidi"/>
          <w:snapToGrid w:val="0"/>
          <w:lang w:val="es-ES_tradnl" w:eastAsia="zh-CN"/>
        </w:rPr>
        <w:t> </w:t>
      </w:r>
      <w:hyperlink r:id="rId34" w:history="1">
        <w:r w:rsidRPr="00107219">
          <w:rPr>
            <w:rFonts w:asciiTheme="minorBidi" w:eastAsia="SimSun" w:hAnsiTheme="minorBidi"/>
            <w:snapToGrid w:val="0"/>
            <w:color w:val="0000FF" w:themeColor="hyperlink"/>
            <w:u w:val="single"/>
            <w:lang w:val="es-ES_tradnl" w:eastAsia="zh-CN"/>
          </w:rPr>
          <w:t>217</w:t>
        </w:r>
        <w:r w:rsidR="00AD1F72">
          <w:rPr>
            <w:rFonts w:asciiTheme="minorBidi" w:eastAsia="SimSun" w:hAnsiTheme="minorBidi"/>
            <w:snapToGrid w:val="0"/>
            <w:color w:val="0000FF" w:themeColor="hyperlink"/>
            <w:u w:val="single"/>
            <w:lang w:val="es-ES_tradnl" w:eastAsia="zh-CN"/>
          </w:rPr>
          <w:t> EX/</w:t>
        </w:r>
        <w:r w:rsidRPr="00107219">
          <w:rPr>
            <w:rFonts w:asciiTheme="minorBidi" w:eastAsia="SimSun" w:hAnsiTheme="minorBidi"/>
            <w:snapToGrid w:val="0"/>
            <w:color w:val="0000FF" w:themeColor="hyperlink"/>
            <w:u w:val="single"/>
            <w:lang w:val="es-ES_tradnl" w:eastAsia="zh-CN"/>
          </w:rPr>
          <w:t>30.II</w:t>
        </w:r>
      </w:hyperlink>
      <w:r w:rsidRPr="00107219">
        <w:rPr>
          <w:rFonts w:asciiTheme="minorBidi" w:eastAsia="SimSun" w:hAnsiTheme="minorBidi"/>
          <w:snapToGrid w:val="0"/>
          <w:lang w:val="es-ES_tradnl" w:eastAsia="zh-CN"/>
        </w:rPr>
        <w:t>).</w:t>
      </w:r>
    </w:p>
    <w:p w14:paraId="4B04845E" w14:textId="6AD4A9C0" w:rsidR="00B87CDB" w:rsidRPr="00107219" w:rsidRDefault="00B87CDB" w:rsidP="00BE2496">
      <w:pPr>
        <w:pStyle w:val="Prrafodelista"/>
        <w:numPr>
          <w:ilvl w:val="0"/>
          <w:numId w:val="41"/>
        </w:numPr>
        <w:pBdr>
          <w:top w:val="nil"/>
          <w:left w:val="nil"/>
          <w:bottom w:val="nil"/>
          <w:right w:val="nil"/>
          <w:between w:val="nil"/>
        </w:pBdr>
        <w:shd w:val="clear" w:color="auto" w:fill="FFFFFF"/>
        <w:spacing w:before="240" w:after="240" w:line="240" w:lineRule="auto"/>
        <w:ind w:left="0" w:firstLine="0"/>
        <w:contextualSpacing w:val="0"/>
        <w:jc w:val="both"/>
        <w:rPr>
          <w:rFonts w:asciiTheme="minorBidi" w:eastAsia="SimSun" w:hAnsiTheme="minorBidi"/>
          <w:color w:val="000000"/>
          <w:lang w:val="es-ES_tradnl" w:eastAsia="zh-CN"/>
        </w:rPr>
      </w:pPr>
      <w:r w:rsidRPr="00107219">
        <w:rPr>
          <w:rFonts w:asciiTheme="minorBidi" w:eastAsia="SimSun" w:hAnsiTheme="minorBidi"/>
          <w:snapToGrid w:val="0"/>
          <w:lang w:val="es-ES_tradnl" w:eastAsia="zh-CN"/>
        </w:rPr>
        <w:t>Con esta financiación, la COI ampliará sus actividades en los siguientes ámbitos:</w:t>
      </w:r>
    </w:p>
    <w:p w14:paraId="0756E1D1" w14:textId="738AB71E" w:rsidR="00B87CDB" w:rsidRPr="00107219" w:rsidRDefault="00B87CDB" w:rsidP="00B87CDB">
      <w:pPr>
        <w:autoSpaceDE w:val="0"/>
        <w:autoSpaceDN w:val="0"/>
        <w:adjustRightInd w:val="0"/>
        <w:spacing w:after="240" w:line="240" w:lineRule="auto"/>
        <w:ind w:left="1276" w:hanging="567"/>
        <w:jc w:val="both"/>
        <w:rPr>
          <w:rFonts w:asciiTheme="minorBidi" w:eastAsia="SimSun" w:hAnsiTheme="minorBidi"/>
          <w:color w:val="000000"/>
          <w:lang w:val="es-ES_tradnl" w:eastAsia="zh-CN"/>
        </w:rPr>
      </w:pPr>
      <w:r w:rsidRPr="00107219">
        <w:rPr>
          <w:rFonts w:asciiTheme="minorBidi" w:eastAsia="SimSun" w:hAnsiTheme="minorBidi"/>
          <w:snapToGrid w:val="0"/>
          <w:lang w:val="es-ES_tradnl" w:eastAsia="zh-CN"/>
        </w:rPr>
        <w:t>a)</w:t>
      </w:r>
      <w:r w:rsidRPr="00107219">
        <w:rPr>
          <w:rFonts w:asciiTheme="minorBidi" w:eastAsia="SimSun" w:hAnsiTheme="minorBidi"/>
          <w:snapToGrid w:val="0"/>
          <w:lang w:val="es-ES_tradnl" w:eastAsia="zh-CN"/>
        </w:rPr>
        <w:tab/>
        <w:t xml:space="preserve">Elaboración de un </w:t>
      </w:r>
      <w:r w:rsidRPr="00107219">
        <w:rPr>
          <w:rFonts w:asciiTheme="minorBidi" w:eastAsia="SimSun" w:hAnsiTheme="minorBidi"/>
          <w:b/>
          <w:bCs/>
          <w:snapToGrid w:val="0"/>
          <w:lang w:val="es-ES_tradnl" w:eastAsia="zh-CN"/>
        </w:rPr>
        <w:t>marco de planificación y gestión sostenibles del océano</w:t>
      </w:r>
      <w:r w:rsidRPr="00107219">
        <w:rPr>
          <w:rFonts w:asciiTheme="minorBidi" w:eastAsia="SimSun" w:hAnsiTheme="minorBidi"/>
          <w:snapToGrid w:val="0"/>
          <w:lang w:val="es-ES_tradnl" w:eastAsia="zh-CN"/>
        </w:rPr>
        <w:t xml:space="preserve"> para toda la COI y prestación de </w:t>
      </w:r>
      <w:r w:rsidRPr="00107219">
        <w:rPr>
          <w:rFonts w:asciiTheme="minorBidi" w:eastAsia="SimSun" w:hAnsiTheme="minorBidi"/>
          <w:b/>
          <w:bCs/>
          <w:snapToGrid w:val="0"/>
          <w:lang w:val="es-ES_tradnl" w:eastAsia="zh-CN"/>
        </w:rPr>
        <w:t>apoyo técnico a los países costeros</w:t>
      </w:r>
      <w:r w:rsidRPr="00107219">
        <w:rPr>
          <w:rFonts w:asciiTheme="minorBidi" w:eastAsia="SimSun" w:hAnsiTheme="minorBidi"/>
          <w:snapToGrid w:val="0"/>
          <w:lang w:val="es-ES_tradnl" w:eastAsia="zh-CN"/>
        </w:rPr>
        <w:t xml:space="preserve"> en forma de herramientas para la toma de decisiones, evaluaciones de ecosistemas, productos de datos e información para sectores económicos y políticos específicos relacionados con el océano, desarrollo de capacidades y una red de profesionales que podrán ayudarse mutuamente intercambiando mejores prácticas. Esto responderá a las crecientes demandas de los Estados Miembros y otras partes interesadas acerca de la elaboración de planes de gestión sostenible del océano basados en la ciencia que garanticen su resiliencia ante el cambio climático, así como la puesta en marcha de servicios científicos en favor de una economía oceánica sostenible. El marco se basará en los programas de la UNESCO-COI sobre ciencias, observación y datos oceánicos, servicios de alerta temprana y evaluaciones, y será una importante contribución de la UNESCO a los resultados de la Conferencia sobre el Océano de las Naciones Unidas que se celebrará en Niza (Francia) en 2025.</w:t>
      </w:r>
    </w:p>
    <w:p w14:paraId="4C2858B0" w14:textId="311FC23A" w:rsidR="00B87CDB" w:rsidRPr="00107219" w:rsidRDefault="00B87CDB" w:rsidP="00AD1F72">
      <w:pPr>
        <w:autoSpaceDE w:val="0"/>
        <w:autoSpaceDN w:val="0"/>
        <w:adjustRightInd w:val="0"/>
        <w:spacing w:after="0" w:line="240" w:lineRule="auto"/>
        <w:ind w:left="1276" w:hanging="567"/>
        <w:jc w:val="both"/>
        <w:rPr>
          <w:rFonts w:asciiTheme="minorBidi" w:eastAsia="SimSun" w:hAnsiTheme="minorBidi"/>
          <w:lang w:val="es-ES_tradnl" w:eastAsia="zh-CN"/>
        </w:rPr>
      </w:pPr>
      <w:r w:rsidRPr="00107219">
        <w:rPr>
          <w:rFonts w:asciiTheme="minorBidi" w:eastAsia="SimSun" w:hAnsiTheme="minorBidi"/>
          <w:snapToGrid w:val="0"/>
          <w:lang w:val="es-ES_tradnl" w:eastAsia="zh-CN"/>
        </w:rPr>
        <w:t>b)</w:t>
      </w:r>
      <w:r w:rsidRPr="00107219">
        <w:rPr>
          <w:rFonts w:asciiTheme="minorBidi" w:eastAsia="SimSun" w:hAnsiTheme="minorBidi"/>
          <w:snapToGrid w:val="0"/>
          <w:lang w:val="es-ES_tradnl" w:eastAsia="zh-CN"/>
        </w:rPr>
        <w:tab/>
        <w:t xml:space="preserve">Inversiones específicas para </w:t>
      </w:r>
      <w:r w:rsidRPr="00107219">
        <w:rPr>
          <w:rFonts w:asciiTheme="minorBidi" w:eastAsia="SimSun" w:hAnsiTheme="minorBidi"/>
          <w:b/>
          <w:bCs/>
          <w:snapToGrid w:val="0"/>
          <w:lang w:val="es-ES_tradnl" w:eastAsia="zh-CN"/>
        </w:rPr>
        <w:t>fortalecer las capacidades de la Secretaría de IOCARIBE</w:t>
      </w:r>
      <w:r w:rsidRPr="00107219">
        <w:rPr>
          <w:rFonts w:asciiTheme="minorBidi" w:eastAsia="SimSun" w:hAnsiTheme="minorBidi"/>
          <w:snapToGrid w:val="0"/>
          <w:lang w:val="es-ES_tradnl" w:eastAsia="zh-CN"/>
        </w:rPr>
        <w:t xml:space="preserve"> y elaboración de un nuevo marco programático para abordar las necesidades de la </w:t>
      </w:r>
      <w:r w:rsidRPr="00107219">
        <w:rPr>
          <w:rFonts w:asciiTheme="minorBidi" w:eastAsia="SimSun" w:hAnsiTheme="minorBidi"/>
          <w:b/>
          <w:bCs/>
          <w:snapToGrid w:val="0"/>
          <w:lang w:val="es-ES_tradnl" w:eastAsia="zh-CN"/>
        </w:rPr>
        <w:t>región de los PEID del Pacífico</w:t>
      </w:r>
      <w:r w:rsidRPr="00107219">
        <w:rPr>
          <w:rFonts w:asciiTheme="minorBidi" w:eastAsia="SimSun" w:hAnsiTheme="minorBidi"/>
          <w:snapToGrid w:val="0"/>
          <w:lang w:val="es-ES_tradnl" w:eastAsia="zh-CN"/>
        </w:rPr>
        <w:t xml:space="preserve">, con miras a mejorar las oportunidades de poner en marcha medidas aceleradas y transformadoras para alcanzar los ODS en los PEID basándose en la ciencia, los datos y la información oceánicos y en soluciones innovadoras para encontrar respuestas basadas en la naturaleza. Esas inversiones, que sacarán provecho del Decenio del Océano y su cartera de actividades dedicadas a los PEID, respaldarán la ejecución de la </w:t>
      </w:r>
      <w:r w:rsidRPr="00107219">
        <w:rPr>
          <w:rFonts w:asciiTheme="minorBidi" w:eastAsia="SimSun" w:hAnsiTheme="minorBidi"/>
          <w:iCs/>
          <w:snapToGrid w:val="0"/>
          <w:lang w:val="es-ES_tradnl" w:eastAsia="zh-CN"/>
        </w:rPr>
        <w:t>Estrategia Operacional para los PEID de la UNESCO</w:t>
      </w:r>
      <w:r w:rsidRPr="00107219">
        <w:rPr>
          <w:rFonts w:asciiTheme="minorBidi" w:eastAsia="SimSun" w:hAnsiTheme="minorBidi"/>
          <w:snapToGrid w:val="0"/>
          <w:lang w:val="es-ES_tradnl" w:eastAsia="zh-CN"/>
        </w:rPr>
        <w:t xml:space="preserve"> y las actividades lideradas por la COI relacionadas con los aceleradores en favor de los PEID de la UNESCO, en el marco de la Conferencia de las Naciones Unidas sobre los PEID de 2024 y el nuevo programa mundial para los PEID que surgirá (COI).</w:t>
      </w:r>
      <w:r w:rsidRPr="00107219">
        <w:rPr>
          <w:rFonts w:asciiTheme="minorBidi" w:eastAsia="SimSun" w:hAnsiTheme="minorBidi"/>
          <w:lang w:val="es-ES_tradnl" w:eastAsia="zh-CN"/>
        </w:rPr>
        <w:br w:type="page"/>
      </w:r>
    </w:p>
    <w:p w14:paraId="42DF41A9" w14:textId="605247B4" w:rsidR="00B87CDB" w:rsidRPr="00107219" w:rsidRDefault="00B87CDB" w:rsidP="00B87CDB">
      <w:pPr>
        <w:autoSpaceDE w:val="0"/>
        <w:autoSpaceDN w:val="0"/>
        <w:adjustRightInd w:val="0"/>
        <w:spacing w:after="0" w:line="240" w:lineRule="auto"/>
        <w:jc w:val="center"/>
        <w:rPr>
          <w:rFonts w:asciiTheme="minorBidi" w:eastAsia="SimSun" w:hAnsiTheme="minorBidi"/>
          <w:b/>
          <w:bCs/>
          <w:snapToGrid w:val="0"/>
          <w:lang w:val="es-ES_tradnl" w:eastAsia="zh-CN"/>
        </w:rPr>
      </w:pPr>
      <w:r w:rsidRPr="00107219">
        <w:rPr>
          <w:rFonts w:asciiTheme="minorBidi" w:eastAsia="SimSun" w:hAnsiTheme="minorBidi"/>
          <w:b/>
          <w:bCs/>
          <w:snapToGrid w:val="0"/>
          <w:lang w:val="es-ES_tradnl" w:eastAsia="zh-CN"/>
        </w:rPr>
        <w:lastRenderedPageBreak/>
        <w:t>Parte III</w:t>
      </w:r>
    </w:p>
    <w:p w14:paraId="09E6D58D" w14:textId="4BD3789E" w:rsidR="00B87CDB" w:rsidRPr="00107219" w:rsidRDefault="00B87CDB" w:rsidP="00B87CDB">
      <w:pPr>
        <w:autoSpaceDE w:val="0"/>
        <w:autoSpaceDN w:val="0"/>
        <w:adjustRightInd w:val="0"/>
        <w:spacing w:after="0" w:line="240" w:lineRule="auto"/>
        <w:jc w:val="center"/>
        <w:rPr>
          <w:rFonts w:asciiTheme="minorBidi" w:eastAsia="SimSun" w:hAnsiTheme="minorBidi"/>
          <w:b/>
          <w:bCs/>
          <w:snapToGrid w:val="0"/>
          <w:lang w:val="es-ES_tradnl" w:eastAsia="zh-CN"/>
        </w:rPr>
      </w:pPr>
      <w:r w:rsidRPr="00107219">
        <w:rPr>
          <w:rFonts w:asciiTheme="minorBidi" w:eastAsia="SimSun" w:hAnsiTheme="minorBidi"/>
          <w:b/>
          <w:bCs/>
          <w:snapToGrid w:val="0"/>
          <w:lang w:val="es-ES_tradnl" w:eastAsia="zh-CN"/>
        </w:rPr>
        <w:t>Propuestas preliminares para el Proyecto de 43</w:t>
      </w:r>
      <w:r w:rsidR="00AD1F72">
        <w:rPr>
          <w:rFonts w:asciiTheme="minorBidi" w:eastAsia="SimSun" w:hAnsiTheme="minorBidi"/>
          <w:b/>
          <w:bCs/>
          <w:snapToGrid w:val="0"/>
          <w:lang w:val="es-ES_tradnl" w:eastAsia="zh-CN"/>
        </w:rPr>
        <w:t> C/</w:t>
      </w:r>
      <w:r w:rsidRPr="00107219">
        <w:rPr>
          <w:rFonts w:asciiTheme="minorBidi" w:eastAsia="SimSun" w:hAnsiTheme="minorBidi"/>
          <w:b/>
          <w:bCs/>
          <w:snapToGrid w:val="0"/>
          <w:lang w:val="es-ES_tradnl" w:eastAsia="zh-CN"/>
        </w:rPr>
        <w:t>5</w:t>
      </w:r>
    </w:p>
    <w:p w14:paraId="19A4177A" w14:textId="2A6B0822" w:rsidR="00B87CDB" w:rsidRPr="00107219" w:rsidRDefault="00B87CDB" w:rsidP="00AD1F72">
      <w:pPr>
        <w:autoSpaceDE w:val="0"/>
        <w:autoSpaceDN w:val="0"/>
        <w:adjustRightInd w:val="0"/>
        <w:spacing w:after="0" w:line="240" w:lineRule="auto"/>
        <w:jc w:val="center"/>
        <w:rPr>
          <w:rFonts w:asciiTheme="minorBidi" w:eastAsia="SimSun" w:hAnsiTheme="minorBidi"/>
          <w:b/>
          <w:bCs/>
          <w:snapToGrid w:val="0"/>
          <w:lang w:val="es-ES_tradnl" w:eastAsia="zh-CN"/>
        </w:rPr>
      </w:pPr>
      <w:r w:rsidRPr="00107219">
        <w:rPr>
          <w:rFonts w:asciiTheme="minorBidi" w:eastAsia="SimSun" w:hAnsiTheme="minorBidi"/>
          <w:b/>
          <w:bCs/>
          <w:snapToGrid w:val="0"/>
          <w:lang w:val="es-ES_tradnl" w:eastAsia="zh-CN"/>
        </w:rPr>
        <w:t>Programa y Presupuesto para 2026-2029 (primer bienio, 2026-2027)</w:t>
      </w:r>
    </w:p>
    <w:p w14:paraId="7F7C9666" w14:textId="0EA162A7" w:rsidR="00B87CDB" w:rsidRPr="00107219" w:rsidRDefault="00B87CDB" w:rsidP="00AD1F72">
      <w:pPr>
        <w:pStyle w:val="Prrafodelista"/>
        <w:numPr>
          <w:ilvl w:val="0"/>
          <w:numId w:val="41"/>
        </w:numPr>
        <w:pBdr>
          <w:top w:val="nil"/>
          <w:left w:val="nil"/>
          <w:bottom w:val="nil"/>
          <w:right w:val="nil"/>
          <w:between w:val="nil"/>
        </w:pBdr>
        <w:shd w:val="clear" w:color="auto" w:fill="FFFFFF"/>
        <w:spacing w:before="240" w:after="240" w:line="240" w:lineRule="auto"/>
        <w:ind w:left="0" w:firstLine="0"/>
        <w:contextualSpacing w:val="0"/>
        <w:jc w:val="both"/>
        <w:rPr>
          <w:rFonts w:asciiTheme="minorBidi" w:eastAsia="SimSun" w:hAnsiTheme="minorBidi"/>
          <w:color w:val="000000"/>
          <w:lang w:val="es-ES_tradnl" w:eastAsia="zh-CN"/>
        </w:rPr>
      </w:pPr>
      <w:r w:rsidRPr="00107219">
        <w:rPr>
          <w:rFonts w:asciiTheme="minorBidi" w:eastAsia="SimSun" w:hAnsiTheme="minorBidi"/>
          <w:snapToGrid w:val="0"/>
          <w:lang w:val="es-ES_tradnl" w:eastAsia="zh-CN"/>
        </w:rPr>
        <w:t xml:space="preserve">El Programa y Presupuesto de la COI para el próximo cuatrienio (2026-2029) seguirá guiándose por </w:t>
      </w:r>
      <w:r w:rsidRPr="00107219">
        <w:rPr>
          <w:rFonts w:asciiTheme="minorBidi" w:eastAsia="SimSun" w:hAnsiTheme="minorBidi"/>
          <w:b/>
          <w:bCs/>
          <w:snapToGrid w:val="0"/>
          <w:lang w:val="es-ES_tradnl" w:eastAsia="zh-CN"/>
        </w:rPr>
        <w:t>la misión, la visión, los objetivos de alto nivel y las funciones</w:t>
      </w:r>
      <w:r w:rsidRPr="00107219">
        <w:rPr>
          <w:rFonts w:asciiTheme="minorBidi" w:eastAsia="SimSun" w:hAnsiTheme="minorBidi"/>
          <w:snapToGrid w:val="0"/>
          <w:lang w:val="es-ES_tradnl" w:eastAsia="zh-CN"/>
        </w:rPr>
        <w:t xml:space="preserve"> de la COI que se definen en su Estrategia a Plazo Medio para 2022-2029. </w:t>
      </w:r>
    </w:p>
    <w:p w14:paraId="69A2B56C" w14:textId="1E57D6D8" w:rsidR="00B87CDB" w:rsidRPr="00107219" w:rsidRDefault="00B87CDB" w:rsidP="00BE2496">
      <w:pPr>
        <w:pStyle w:val="Prrafodelista"/>
        <w:numPr>
          <w:ilvl w:val="0"/>
          <w:numId w:val="41"/>
        </w:numPr>
        <w:pBdr>
          <w:top w:val="nil"/>
          <w:left w:val="nil"/>
          <w:bottom w:val="nil"/>
          <w:right w:val="nil"/>
          <w:between w:val="nil"/>
        </w:pBdr>
        <w:shd w:val="clear" w:color="auto" w:fill="FFFFFF"/>
        <w:spacing w:before="240" w:after="240" w:line="240" w:lineRule="auto"/>
        <w:ind w:left="0" w:firstLine="0"/>
        <w:contextualSpacing w:val="0"/>
        <w:jc w:val="both"/>
        <w:rPr>
          <w:rFonts w:asciiTheme="minorBidi" w:eastAsia="SimSun" w:hAnsiTheme="minorBidi"/>
          <w:color w:val="000000"/>
          <w:lang w:val="es-ES_tradnl" w:eastAsia="zh-CN"/>
        </w:rPr>
      </w:pPr>
      <w:r w:rsidRPr="00107219">
        <w:rPr>
          <w:rFonts w:asciiTheme="minorBidi" w:eastAsia="SimSun" w:hAnsiTheme="minorBidi"/>
          <w:snapToGrid w:val="0"/>
          <w:lang w:val="es-ES_tradnl" w:eastAsia="zh-CN"/>
        </w:rPr>
        <w:t xml:space="preserve">Este programa cuatrienal, que concluirá justo antes del Decenio del Océano y de la meta de 2030 fijada para los ODS, se elaborará para reflejar las prioridades de los Estados Miembros definidas en las resoluciones y decisiones de los órganos rectores de la COI y se nutrirá del proceso de consulta “La COI y el futuro del océano”, ya que haremos un balance y examinaremos de qué manera nuestra labor puede contribuir mejor a un mayor cambio en materia de desarrollo en las esferas de nuestro mandato. </w:t>
      </w:r>
    </w:p>
    <w:p w14:paraId="2216DF81" w14:textId="16AF7A2F" w:rsidR="00B87CDB" w:rsidRPr="00107219" w:rsidRDefault="00B87CDB" w:rsidP="00BE2496">
      <w:pPr>
        <w:pStyle w:val="Prrafodelista"/>
        <w:numPr>
          <w:ilvl w:val="0"/>
          <w:numId w:val="41"/>
        </w:numPr>
        <w:pBdr>
          <w:top w:val="nil"/>
          <w:left w:val="nil"/>
          <w:bottom w:val="nil"/>
          <w:right w:val="nil"/>
          <w:between w:val="nil"/>
        </w:pBdr>
        <w:shd w:val="clear" w:color="auto" w:fill="FFFFFF"/>
        <w:spacing w:before="240" w:after="240" w:line="240" w:lineRule="auto"/>
        <w:ind w:left="0" w:firstLine="0"/>
        <w:contextualSpacing w:val="0"/>
        <w:jc w:val="both"/>
        <w:rPr>
          <w:rFonts w:asciiTheme="minorBidi" w:eastAsia="SimSun" w:hAnsiTheme="minorBidi"/>
          <w:b/>
          <w:bCs/>
          <w:color w:val="000000"/>
          <w:lang w:val="es-ES_tradnl" w:eastAsia="zh-CN"/>
        </w:rPr>
      </w:pPr>
      <w:r w:rsidRPr="00107219">
        <w:rPr>
          <w:rFonts w:asciiTheme="minorBidi" w:eastAsia="SimSun" w:hAnsiTheme="minorBidi"/>
          <w:snapToGrid w:val="0"/>
          <w:lang w:val="es-ES_tradnl" w:eastAsia="zh-CN"/>
        </w:rPr>
        <w:t>En este contexto, y a la espera de los resultados de la consulta mencionada de los Estados Miembros, se propone que la labor de la COI en el primer bienio del 43</w:t>
      </w:r>
      <w:r w:rsidR="00AD1F72">
        <w:rPr>
          <w:rFonts w:asciiTheme="minorBidi" w:eastAsia="SimSun" w:hAnsiTheme="minorBidi"/>
          <w:snapToGrid w:val="0"/>
          <w:lang w:val="es-ES_tradnl" w:eastAsia="zh-CN"/>
        </w:rPr>
        <w:t> C/</w:t>
      </w:r>
      <w:r w:rsidRPr="00107219">
        <w:rPr>
          <w:rFonts w:asciiTheme="minorBidi" w:eastAsia="SimSun" w:hAnsiTheme="minorBidi"/>
          <w:snapToGrid w:val="0"/>
          <w:lang w:val="es-ES_tradnl" w:eastAsia="zh-CN"/>
        </w:rPr>
        <w:t xml:space="preserve">5 siga brindando respaldo de la manera siguiente: </w:t>
      </w:r>
    </w:p>
    <w:p w14:paraId="62892796" w14:textId="77777777" w:rsidR="00B87CDB" w:rsidRPr="00107219" w:rsidRDefault="00B87CDB" w:rsidP="00B87CDB">
      <w:pPr>
        <w:pBdr>
          <w:top w:val="nil"/>
          <w:left w:val="nil"/>
          <w:bottom w:val="nil"/>
          <w:right w:val="nil"/>
          <w:between w:val="nil"/>
        </w:pBdr>
        <w:shd w:val="clear" w:color="auto" w:fill="FFFFFF"/>
        <w:tabs>
          <w:tab w:val="left" w:pos="709"/>
        </w:tabs>
        <w:snapToGrid w:val="0"/>
        <w:spacing w:after="240" w:line="240" w:lineRule="auto"/>
        <w:jc w:val="both"/>
        <w:rPr>
          <w:rFonts w:asciiTheme="minorBidi" w:eastAsia="SimSun" w:hAnsiTheme="minorBidi"/>
          <w:b/>
          <w:bCs/>
          <w:color w:val="000000"/>
          <w:lang w:val="es-ES_tradnl" w:eastAsia="zh-CN"/>
        </w:rPr>
      </w:pPr>
      <w:r w:rsidRPr="00107219">
        <w:rPr>
          <w:rFonts w:asciiTheme="minorBidi" w:eastAsia="SimSun" w:hAnsiTheme="minorBidi"/>
          <w:b/>
          <w:bCs/>
          <w:snapToGrid w:val="0"/>
          <w:u w:val="single"/>
          <w:lang w:val="es-ES_tradnl" w:eastAsia="zh-CN"/>
        </w:rPr>
        <w:t>Producto 1 de la COI</w:t>
      </w:r>
      <w:r w:rsidRPr="00107219">
        <w:rPr>
          <w:rFonts w:asciiTheme="minorBidi" w:eastAsia="SimSun" w:hAnsiTheme="minorBidi"/>
          <w:b/>
          <w:bCs/>
          <w:snapToGrid w:val="0"/>
          <w:lang w:val="es-ES_tradnl" w:eastAsia="zh-CN"/>
        </w:rPr>
        <w:t>: Prestación de un apoyo fundamental a los Estados Miembros para fortalecer su capacidad de realizar investigaciones científicas marinas, generar conocimientos y elaborar y aplicar herramientas, servicios y políticas basados en la ciencia a fin de invertir el deterioro de la salud del océano y acelerar la transición hacia una gestión sostenible de los riesgos y las oportunidades relacionados con el océano.</w:t>
      </w:r>
    </w:p>
    <w:p w14:paraId="42C08986" w14:textId="5E909636" w:rsidR="00B87CDB" w:rsidRPr="00107219" w:rsidRDefault="00B87CDB" w:rsidP="00BE2496">
      <w:pPr>
        <w:pStyle w:val="Prrafodelista"/>
        <w:numPr>
          <w:ilvl w:val="0"/>
          <w:numId w:val="41"/>
        </w:numPr>
        <w:pBdr>
          <w:top w:val="nil"/>
          <w:left w:val="nil"/>
          <w:bottom w:val="nil"/>
          <w:right w:val="nil"/>
          <w:between w:val="nil"/>
        </w:pBdr>
        <w:shd w:val="clear" w:color="auto" w:fill="FFFFFF"/>
        <w:spacing w:before="240" w:after="240" w:line="240" w:lineRule="auto"/>
        <w:ind w:left="0" w:firstLine="0"/>
        <w:contextualSpacing w:val="0"/>
        <w:jc w:val="both"/>
        <w:rPr>
          <w:rFonts w:asciiTheme="minorBidi" w:eastAsia="SimSun" w:hAnsiTheme="minorBidi"/>
          <w:color w:val="000000"/>
          <w:lang w:val="es-ES_tradnl" w:eastAsia="zh-CN"/>
        </w:rPr>
      </w:pPr>
      <w:r w:rsidRPr="00107219">
        <w:rPr>
          <w:rFonts w:asciiTheme="minorBidi" w:eastAsia="SimSun" w:hAnsiTheme="minorBidi"/>
          <w:snapToGrid w:val="0"/>
          <w:lang w:val="es-ES_tradnl" w:eastAsia="zh-CN"/>
        </w:rPr>
        <w:t>De conformidad con la resolución A-32/4 de la Asamblea de la COI (2023), la Secretaría hará todo lo posible por reflejar en la propuesta de Proyecto de Programa y Presupuesto para 2026-2029 (primer bienio 2026-2027) las prioridades de la COI en lo que respecta a las observaciones sostenidas a largo plazo y la gestión de datos e información, así como los órganos subsidiarios y actividades regionales y el fortalecimiento de las capacidades de los Estados Miembros, que son fundamentales, entre otras cosas, para lo siguiente:</w:t>
      </w:r>
    </w:p>
    <w:p w14:paraId="6F689FF6" w14:textId="77777777" w:rsidR="00B87CDB" w:rsidRPr="00107219" w:rsidRDefault="00B87CDB" w:rsidP="00AD1F72">
      <w:pPr>
        <w:numPr>
          <w:ilvl w:val="0"/>
          <w:numId w:val="36"/>
        </w:numPr>
        <w:spacing w:after="120" w:line="240" w:lineRule="auto"/>
        <w:ind w:left="1134" w:hanging="567"/>
        <w:jc w:val="both"/>
        <w:rPr>
          <w:rFonts w:asciiTheme="minorBidi" w:eastAsia="SimSun" w:hAnsiTheme="minorBidi"/>
          <w:color w:val="000000"/>
          <w:lang w:val="es-ES_tradnl" w:eastAsia="zh-CN"/>
        </w:rPr>
      </w:pPr>
      <w:r w:rsidRPr="00107219">
        <w:rPr>
          <w:rFonts w:asciiTheme="minorBidi" w:eastAsia="SimSun" w:hAnsiTheme="minorBidi"/>
          <w:snapToGrid w:val="0"/>
          <w:lang w:val="es-ES_tradnl" w:eastAsia="zh-CN"/>
        </w:rPr>
        <w:t>un océano saludable y mantenimiento de los servicios de los ecosistemas oceánicos;</w:t>
      </w:r>
    </w:p>
    <w:p w14:paraId="1BCD88BF" w14:textId="77777777" w:rsidR="00B87CDB" w:rsidRPr="00107219" w:rsidRDefault="00B87CDB" w:rsidP="00AD1F72">
      <w:pPr>
        <w:numPr>
          <w:ilvl w:val="0"/>
          <w:numId w:val="36"/>
        </w:numPr>
        <w:spacing w:after="120" w:line="240" w:lineRule="auto"/>
        <w:ind w:left="1134" w:hanging="567"/>
        <w:jc w:val="both"/>
        <w:rPr>
          <w:rFonts w:asciiTheme="minorBidi" w:eastAsia="SimSun" w:hAnsiTheme="minorBidi"/>
          <w:color w:val="000000"/>
          <w:lang w:val="es-ES_tradnl" w:eastAsia="zh-CN"/>
        </w:rPr>
      </w:pPr>
      <w:r w:rsidRPr="00107219">
        <w:rPr>
          <w:rFonts w:asciiTheme="minorBidi" w:eastAsia="SimSun" w:hAnsiTheme="minorBidi"/>
          <w:snapToGrid w:val="0"/>
          <w:lang w:val="es-ES_tradnl" w:eastAsia="zh-CN"/>
        </w:rPr>
        <w:t>sistemas de alerta eficaces y preparación frente a los tsunamis y otros peligros relacionados con el océano;</w:t>
      </w:r>
    </w:p>
    <w:p w14:paraId="3703BBEA" w14:textId="77777777" w:rsidR="00B87CDB" w:rsidRPr="00107219" w:rsidRDefault="00B87CDB" w:rsidP="00AD1F72">
      <w:pPr>
        <w:numPr>
          <w:ilvl w:val="0"/>
          <w:numId w:val="36"/>
        </w:numPr>
        <w:spacing w:after="120" w:line="240" w:lineRule="auto"/>
        <w:ind w:left="1134" w:hanging="567"/>
        <w:jc w:val="both"/>
        <w:rPr>
          <w:rFonts w:asciiTheme="minorBidi" w:eastAsia="SimSun" w:hAnsiTheme="minorBidi"/>
          <w:color w:val="000000"/>
          <w:lang w:val="es-ES_tradnl" w:eastAsia="zh-CN"/>
        </w:rPr>
      </w:pPr>
      <w:r w:rsidRPr="00107219">
        <w:rPr>
          <w:rFonts w:asciiTheme="minorBidi" w:eastAsia="SimSun" w:hAnsiTheme="minorBidi"/>
          <w:snapToGrid w:val="0"/>
          <w:lang w:val="es-ES_tradnl" w:eastAsia="zh-CN"/>
        </w:rPr>
        <w:t>resiliencia ante el cambio climático y contribución a su mitigación;</w:t>
      </w:r>
    </w:p>
    <w:p w14:paraId="254CC026" w14:textId="77777777" w:rsidR="00B87CDB" w:rsidRPr="00107219" w:rsidRDefault="00B87CDB" w:rsidP="00AD1F72">
      <w:pPr>
        <w:numPr>
          <w:ilvl w:val="0"/>
          <w:numId w:val="36"/>
        </w:numPr>
        <w:spacing w:after="120" w:line="240" w:lineRule="auto"/>
        <w:ind w:left="1134" w:hanging="567"/>
        <w:jc w:val="both"/>
        <w:rPr>
          <w:rFonts w:asciiTheme="minorBidi" w:eastAsia="SimSun" w:hAnsiTheme="minorBidi"/>
          <w:color w:val="000000"/>
          <w:lang w:val="es-ES_tradnl" w:eastAsia="zh-CN"/>
        </w:rPr>
      </w:pPr>
      <w:r w:rsidRPr="00107219">
        <w:rPr>
          <w:rFonts w:asciiTheme="minorBidi" w:eastAsia="SimSun" w:hAnsiTheme="minorBidi"/>
          <w:snapToGrid w:val="0"/>
          <w:lang w:val="es-ES_tradnl" w:eastAsia="zh-CN"/>
        </w:rPr>
        <w:t>servicios con fundamento científico para la economía oceánica sostenible; y</w:t>
      </w:r>
    </w:p>
    <w:p w14:paraId="0C7437DE" w14:textId="77777777" w:rsidR="00B87CDB" w:rsidRPr="00107219" w:rsidRDefault="00B87CDB" w:rsidP="00AD1F72">
      <w:pPr>
        <w:numPr>
          <w:ilvl w:val="0"/>
          <w:numId w:val="36"/>
        </w:numPr>
        <w:spacing w:after="120" w:line="240" w:lineRule="auto"/>
        <w:ind w:left="1134" w:hanging="567"/>
        <w:jc w:val="both"/>
        <w:rPr>
          <w:rFonts w:asciiTheme="minorBidi" w:eastAsia="SimSun" w:hAnsiTheme="minorBidi"/>
          <w:color w:val="000000"/>
          <w:lang w:val="es-ES_tradnl" w:eastAsia="zh-CN"/>
        </w:rPr>
      </w:pPr>
      <w:r w:rsidRPr="00107219">
        <w:rPr>
          <w:rFonts w:asciiTheme="minorBidi" w:eastAsia="SimSun" w:hAnsiTheme="minorBidi"/>
          <w:snapToGrid w:val="0"/>
          <w:lang w:val="es-ES_tradnl" w:eastAsia="zh-CN"/>
        </w:rPr>
        <w:t>prospectiva sobre cuestiones emergentes en el ámbito de las ciencias oceánicas.</w:t>
      </w:r>
    </w:p>
    <w:p w14:paraId="7DDC350A" w14:textId="66117B30" w:rsidR="007C13AF" w:rsidRPr="00B87CDB" w:rsidRDefault="00B87CDB" w:rsidP="00BE2496">
      <w:pPr>
        <w:pStyle w:val="Prrafodelista"/>
        <w:numPr>
          <w:ilvl w:val="0"/>
          <w:numId w:val="41"/>
        </w:numPr>
        <w:pBdr>
          <w:top w:val="nil"/>
          <w:left w:val="nil"/>
          <w:bottom w:val="nil"/>
          <w:right w:val="nil"/>
          <w:between w:val="nil"/>
        </w:pBdr>
        <w:shd w:val="clear" w:color="auto" w:fill="FFFFFF"/>
        <w:spacing w:before="240" w:after="240" w:line="240" w:lineRule="auto"/>
        <w:ind w:left="0" w:firstLine="0"/>
        <w:contextualSpacing w:val="0"/>
        <w:jc w:val="both"/>
        <w:rPr>
          <w:rFonts w:ascii="Arial" w:eastAsia="Times New Roman" w:hAnsi="Arial" w:cs="Arial"/>
          <w:snapToGrid w:val="0"/>
          <w:szCs w:val="24"/>
          <w:lang w:val="es-ES"/>
        </w:rPr>
      </w:pPr>
      <w:r w:rsidRPr="00107219">
        <w:rPr>
          <w:rFonts w:asciiTheme="minorBidi" w:eastAsia="SimSun" w:hAnsiTheme="minorBidi"/>
          <w:snapToGrid w:val="0"/>
          <w:lang w:val="es-ES_tradnl" w:eastAsia="zh-CN"/>
        </w:rPr>
        <w:t>En el marco de su ambición por generar y aplicar conocimientos científicos para lograr los objetivos de alto nivel mencionados, se prestará especial atención a garantizar que todos los Estados Miembros tengan la capacidad de alcanzarlos, en consonancia con las prioridades globales “África” e “Igualdad de género” y los grupos prioritarios “PEID” y “Jóvenes” de la UNESCO.</w:t>
      </w:r>
    </w:p>
    <w:sectPr w:rsidR="007C13AF" w:rsidRPr="00B87CDB" w:rsidSect="008C6D8E">
      <w:headerReference w:type="default" r:id="rId35"/>
      <w:pgSz w:w="11906" w:h="16838" w:code="9"/>
      <w:pgMar w:top="1418" w:right="991" w:bottom="1134" w:left="1134" w:header="680" w:footer="680" w:gutter="0"/>
      <w:pgNumType w:start="1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F1A35" w14:textId="77777777" w:rsidR="00375780" w:rsidRDefault="00375780">
      <w:pPr>
        <w:spacing w:after="0" w:line="240" w:lineRule="auto"/>
      </w:pPr>
      <w:r>
        <w:separator/>
      </w:r>
    </w:p>
  </w:endnote>
  <w:endnote w:type="continuationSeparator" w:id="0">
    <w:p w14:paraId="1DA843CE" w14:textId="77777777" w:rsidR="00375780" w:rsidRDefault="00375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D38F2" w14:textId="77777777" w:rsidR="00375780" w:rsidRDefault="00375780">
      <w:pPr>
        <w:spacing w:after="0" w:line="240" w:lineRule="auto"/>
      </w:pPr>
      <w:r>
        <w:separator/>
      </w:r>
    </w:p>
  </w:footnote>
  <w:footnote w:type="continuationSeparator" w:id="0">
    <w:p w14:paraId="055C3446" w14:textId="77777777" w:rsidR="00375780" w:rsidRDefault="00375780">
      <w:pPr>
        <w:spacing w:after="0" w:line="240" w:lineRule="auto"/>
      </w:pPr>
      <w:r>
        <w:continuationSeparator/>
      </w:r>
    </w:p>
  </w:footnote>
  <w:footnote w:id="1">
    <w:p w14:paraId="4643938C" w14:textId="4D4CC412" w:rsidR="00D22E12" w:rsidRPr="00EA3318" w:rsidRDefault="00D22E12" w:rsidP="00D22E12">
      <w:pPr>
        <w:pStyle w:val="Textonotapie"/>
        <w:ind w:left="567" w:hanging="567"/>
        <w:jc w:val="both"/>
        <w:rPr>
          <w:rFonts w:asciiTheme="minorBidi" w:hAnsiTheme="minorBidi"/>
          <w:lang w:val="es-ES"/>
        </w:rPr>
      </w:pPr>
      <w:r w:rsidRPr="00EA3318">
        <w:rPr>
          <w:rStyle w:val="Refdenotaalpie"/>
          <w:rFonts w:asciiTheme="minorBidi" w:hAnsiTheme="minorBidi"/>
          <w:lang w:val="es-ES"/>
        </w:rPr>
        <w:footnoteRef/>
      </w:r>
      <w:r w:rsidRPr="00EA3318">
        <w:rPr>
          <w:rFonts w:asciiTheme="minorBidi" w:hAnsiTheme="minorBidi"/>
          <w:lang w:val="es-ES"/>
        </w:rPr>
        <w:tab/>
      </w:r>
      <w:r w:rsidRPr="00D22E12">
        <w:rPr>
          <w:rFonts w:asciiTheme="minorBidi" w:hAnsiTheme="minorBidi"/>
          <w:sz w:val="18"/>
          <w:szCs w:val="18"/>
          <w:lang w:val="es-ES"/>
        </w:rPr>
        <w:t>Los contenidos son registros de metadatos que pueden describir documentos, conjuntos de datos, información sobre expertos, instituciones, buques de investigación, proyectos y oportunidades de formación.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9F3FB" w14:textId="3AEAB3E7" w:rsidR="00270E93" w:rsidRPr="000833BB" w:rsidRDefault="000833BB" w:rsidP="00DE4989">
    <w:pPr>
      <w:pStyle w:val="Encabezado"/>
    </w:pPr>
    <w:r w:rsidRPr="000833BB">
      <w:rPr>
        <w:rFonts w:ascii="Arial" w:hAnsi="Arial" w:cs="Arial"/>
        <w:caps/>
        <w:lang w:val="es-ES"/>
      </w:rPr>
      <w:t>IOC/</w:t>
    </w:r>
    <w:r w:rsidR="00DE4989" w:rsidRPr="00DE4989">
      <w:rPr>
        <w:rFonts w:ascii="Arial" w:hAnsi="Arial" w:cs="Arial"/>
        <w:caps/>
        <w:lang w:val="es-ES"/>
      </w:rPr>
      <w:t>EC-57</w:t>
    </w:r>
    <w:r w:rsidR="00270E93" w:rsidRPr="000833BB">
      <w:rPr>
        <w:rFonts w:ascii="Arial" w:hAnsi="Arial" w:cs="Arial"/>
        <w:caps/>
        <w:lang w:val="es-ES"/>
      </w:rPr>
      <w:t>/</w:t>
    </w:r>
    <w:sdt>
      <w:sdtPr>
        <w:rPr>
          <w:rFonts w:ascii="Arial" w:hAnsi="Arial" w:cs="Arial"/>
          <w:lang w:val="es-ES"/>
        </w:rPr>
        <w:alias w:val="SIGNATURA"/>
        <w:tag w:val=""/>
        <w:id w:val="-1763675956"/>
        <w:dataBinding w:prefixMappings="xmlns:ns0='http://purl.org/dc/elements/1.1/' xmlns:ns1='http://schemas.openxmlformats.org/package/2006/metadata/core-properties' " w:xpath="/ns1:coreProperties[1]/ns1:keywords[1]" w:storeItemID="{6C3C8BC8-F283-45AE-878A-BAB7291924A1}"/>
        <w15:color w:val="FF0000"/>
        <w:text/>
      </w:sdtPr>
      <w:sdtEndPr/>
      <w:sdtContent>
        <w:r w:rsidR="007A33C0">
          <w:rPr>
            <w:rFonts w:ascii="Arial" w:hAnsi="Arial" w:cs="Arial"/>
            <w:lang w:val="es-ES"/>
          </w:rPr>
          <w:t>5.1.Doc(1)</w:t>
        </w:r>
      </w:sdtContent>
    </w:sdt>
    <w:r w:rsidR="00270E93" w:rsidRPr="000833BB">
      <w:rPr>
        <w:rFonts w:ascii="Arial" w:hAnsi="Arial" w:cs="Arial"/>
        <w:lang w:val="es-ES"/>
      </w:rPr>
      <w:t xml:space="preserve"> – pág. </w:t>
    </w:r>
    <w:r w:rsidR="00270E93" w:rsidRPr="000833BB">
      <w:rPr>
        <w:rFonts w:ascii="Arial" w:hAnsi="Arial" w:cs="Arial"/>
        <w:lang w:val="es-ES"/>
      </w:rPr>
      <w:fldChar w:fldCharType="begin"/>
    </w:r>
    <w:r w:rsidR="00270E93" w:rsidRPr="000833BB">
      <w:rPr>
        <w:rFonts w:ascii="Arial" w:hAnsi="Arial" w:cs="Arial"/>
        <w:lang w:val="es-ES"/>
      </w:rPr>
      <w:instrText>PAGE   \* MERGEFORMAT</w:instrText>
    </w:r>
    <w:r w:rsidR="00270E93" w:rsidRPr="000833BB">
      <w:rPr>
        <w:rFonts w:ascii="Arial" w:hAnsi="Arial" w:cs="Arial"/>
        <w:lang w:val="es-ES"/>
      </w:rPr>
      <w:fldChar w:fldCharType="separate"/>
    </w:r>
    <w:r w:rsidR="00270E93" w:rsidRPr="000833BB">
      <w:rPr>
        <w:rFonts w:ascii="Arial" w:hAnsi="Arial" w:cs="Arial"/>
        <w:lang w:val="es-ES"/>
      </w:rPr>
      <w:t>1</w:t>
    </w:r>
    <w:r w:rsidR="00270E93" w:rsidRPr="000833BB">
      <w:rPr>
        <w:rFonts w:ascii="Arial" w:hAnsi="Arial" w:cs="Arial"/>
        <w:lang w:val="es-E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C4282" w14:textId="1B887546" w:rsidR="000833BB" w:rsidRPr="000833BB" w:rsidRDefault="000833BB" w:rsidP="00DE4989">
    <w:pPr>
      <w:pStyle w:val="Encabezado"/>
      <w:jc w:val="right"/>
      <w:rPr>
        <w:rFonts w:asciiTheme="minorBidi" w:hAnsiTheme="minorBidi"/>
      </w:rPr>
    </w:pPr>
    <w:r w:rsidRPr="000833BB">
      <w:rPr>
        <w:rFonts w:asciiTheme="minorBidi" w:hAnsiTheme="minorBidi"/>
        <w:caps/>
        <w:lang w:val="es-ES"/>
      </w:rPr>
      <w:t>IOC/</w:t>
    </w:r>
    <w:r w:rsidR="00DE4989" w:rsidRPr="00DE4989">
      <w:rPr>
        <w:rFonts w:asciiTheme="minorBidi" w:hAnsiTheme="minorBidi"/>
        <w:caps/>
        <w:lang w:val="es-ES"/>
      </w:rPr>
      <w:t>EC-57</w:t>
    </w:r>
    <w:r w:rsidRPr="000833BB">
      <w:rPr>
        <w:rFonts w:asciiTheme="minorBidi" w:hAnsiTheme="minorBidi"/>
        <w:caps/>
        <w:lang w:val="es-ES"/>
      </w:rPr>
      <w:t>/</w:t>
    </w:r>
    <w:sdt>
      <w:sdtPr>
        <w:rPr>
          <w:rFonts w:asciiTheme="minorBidi" w:hAnsiTheme="minorBidi"/>
          <w:lang w:val="es-ES"/>
        </w:rPr>
        <w:alias w:val="SIGNATURA"/>
        <w:tag w:val=""/>
        <w:id w:val="191198000"/>
        <w:temporary/>
        <w:dataBinding w:prefixMappings="xmlns:ns0='http://purl.org/dc/elements/1.1/' xmlns:ns1='http://schemas.openxmlformats.org/package/2006/metadata/core-properties' " w:xpath="/ns1:coreProperties[1]/ns1:keywords[1]" w:storeItemID="{6C3C8BC8-F283-45AE-878A-BAB7291924A1}"/>
        <w15:color w:val="000000"/>
        <w:text/>
      </w:sdtPr>
      <w:sdtEndPr/>
      <w:sdtContent>
        <w:r w:rsidR="007A33C0">
          <w:rPr>
            <w:rFonts w:asciiTheme="minorBidi" w:hAnsiTheme="minorBidi"/>
            <w:lang w:val="es-ES"/>
          </w:rPr>
          <w:t>5.1.Doc(1)</w:t>
        </w:r>
      </w:sdtContent>
    </w:sdt>
    <w:r w:rsidRPr="000833BB">
      <w:rPr>
        <w:rFonts w:asciiTheme="minorBidi" w:hAnsiTheme="minorBidi"/>
        <w:lang w:val="es-ES"/>
      </w:rPr>
      <w:t xml:space="preserve"> – pág. </w:t>
    </w:r>
    <w:r w:rsidRPr="000833BB">
      <w:rPr>
        <w:rFonts w:asciiTheme="minorBidi" w:hAnsiTheme="minorBidi"/>
        <w:lang w:val="es-ES"/>
      </w:rPr>
      <w:fldChar w:fldCharType="begin"/>
    </w:r>
    <w:r w:rsidRPr="000833BB">
      <w:rPr>
        <w:rFonts w:asciiTheme="minorBidi" w:hAnsiTheme="minorBidi"/>
        <w:lang w:val="es-ES"/>
      </w:rPr>
      <w:instrText>PAGE   \* MERGEFORMAT</w:instrText>
    </w:r>
    <w:r w:rsidRPr="000833BB">
      <w:rPr>
        <w:rFonts w:asciiTheme="minorBidi" w:hAnsiTheme="minorBidi"/>
        <w:lang w:val="es-ES"/>
      </w:rPr>
      <w:fldChar w:fldCharType="separate"/>
    </w:r>
    <w:r w:rsidRPr="000833BB">
      <w:rPr>
        <w:rFonts w:asciiTheme="minorBidi" w:hAnsiTheme="minorBidi"/>
        <w:lang w:val="es-ES"/>
      </w:rPr>
      <w:t>2</w:t>
    </w:r>
    <w:r w:rsidRPr="000833BB">
      <w:rPr>
        <w:rFonts w:asciiTheme="minorBidi" w:hAnsiTheme="minorBidi"/>
        <w:lang w:val="es-E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15A6A" w14:textId="2042CE64" w:rsidR="001B1C86" w:rsidRDefault="001B1C86" w:rsidP="007A33C0">
    <w:pPr>
      <w:pStyle w:val="Encabezado"/>
      <w:tabs>
        <w:tab w:val="clear" w:pos="4536"/>
        <w:tab w:val="clear" w:pos="9072"/>
      </w:tabs>
      <w:spacing w:after="520"/>
      <w:ind w:left="6096"/>
      <w:rPr>
        <w:rFonts w:ascii="Arial" w:eastAsia="SimSun" w:hAnsi="Arial" w:cs="Arial"/>
        <w:snapToGrid w:val="0"/>
        <w:lang w:val="es-ES_tradnl" w:eastAsia="zh-CN"/>
      </w:rPr>
    </w:pPr>
    <w:r w:rsidRPr="000833BB">
      <w:rPr>
        <w:rFonts w:cs="Arial"/>
        <w:b/>
        <w:caps/>
        <w:noProof/>
        <w:lang w:eastAsia="fr-FR"/>
      </w:rPr>
      <w:drawing>
        <wp:anchor distT="0" distB="0" distL="114300" distR="114300" simplePos="0" relativeHeight="251665408" behindDoc="0" locked="0" layoutInCell="1" allowOverlap="1" wp14:anchorId="231B5662" wp14:editId="6ACDB947">
          <wp:simplePos x="0" y="0"/>
          <wp:positionH relativeFrom="column">
            <wp:posOffset>-4445</wp:posOffset>
          </wp:positionH>
          <wp:positionV relativeFrom="page">
            <wp:posOffset>711361</wp:posOffset>
          </wp:positionV>
          <wp:extent cx="1578610" cy="1047115"/>
          <wp:effectExtent l="0" t="0" r="2540" b="635"/>
          <wp:wrapNone/>
          <wp:docPr id="1479152345" name="Picture 69222619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78610" cy="1047115"/>
                  </a:xfrm>
                  <a:prstGeom prst="rect">
                    <a:avLst/>
                  </a:prstGeom>
                </pic:spPr>
              </pic:pic>
            </a:graphicData>
          </a:graphic>
          <wp14:sizeRelH relativeFrom="page">
            <wp14:pctWidth>0</wp14:pctWidth>
          </wp14:sizeRelH>
          <wp14:sizeRelV relativeFrom="page">
            <wp14:pctHeight>0</wp14:pctHeight>
          </wp14:sizeRelV>
        </wp:anchor>
      </w:drawing>
    </w:r>
    <w:r w:rsidRPr="000833BB">
      <w:rPr>
        <w:rFonts w:cs="Arial"/>
        <w:b/>
        <w:caps/>
        <w:noProof/>
        <w:lang w:eastAsia="fr-FR"/>
      </w:rPr>
      <mc:AlternateContent>
        <mc:Choice Requires="wps">
          <w:drawing>
            <wp:anchor distT="0" distB="0" distL="114300" distR="114300" simplePos="0" relativeHeight="251666432" behindDoc="0" locked="0" layoutInCell="1" allowOverlap="1" wp14:anchorId="7149C42A" wp14:editId="35F76456">
              <wp:simplePos x="0" y="0"/>
              <wp:positionH relativeFrom="column">
                <wp:posOffset>-4098</wp:posOffset>
              </wp:positionH>
              <wp:positionV relativeFrom="paragraph">
                <wp:posOffset>-22800</wp:posOffset>
              </wp:positionV>
              <wp:extent cx="1578610" cy="284672"/>
              <wp:effectExtent l="0" t="0" r="2540" b="1270"/>
              <wp:wrapNone/>
              <wp:docPr id="1225859581" name="Text Box 1225859581"/>
              <wp:cNvGraphicFramePr/>
              <a:graphic xmlns:a="http://schemas.openxmlformats.org/drawingml/2006/main">
                <a:graphicData uri="http://schemas.microsoft.com/office/word/2010/wordprocessingShape">
                  <wps:wsp>
                    <wps:cNvSpPr txBox="1"/>
                    <wps:spPr>
                      <a:xfrm>
                        <a:off x="0" y="0"/>
                        <a:ext cx="1578610" cy="284672"/>
                      </a:xfrm>
                      <a:prstGeom prst="rect">
                        <a:avLst/>
                      </a:prstGeom>
                      <a:solidFill>
                        <a:schemeClr val="lt1"/>
                      </a:solidFill>
                      <a:ln w="6350">
                        <a:noFill/>
                      </a:ln>
                    </wps:spPr>
                    <wps:txbx>
                      <w:txbxContent>
                        <w:p w14:paraId="6ED1126D" w14:textId="77777777" w:rsidR="001B1C86" w:rsidRPr="00EA1C02" w:rsidRDefault="001B1C86">
                          <w:pPr>
                            <w:rPr>
                              <w:lang w:val="es-ES"/>
                            </w:rPr>
                          </w:pPr>
                          <w:r w:rsidRPr="00EA1C02">
                            <w:rPr>
                              <w:rFonts w:ascii="Arial" w:hAnsi="Arial" w:cs="Arial"/>
                              <w:lang w:val="es-ES"/>
                            </w:rPr>
                            <w:t>Distribución limitada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49C42A" id="_x0000_t202" coordsize="21600,21600" o:spt="202" path="m,l,21600r21600,l21600,xe">
              <v:stroke joinstyle="miter"/>
              <v:path gradientshapeok="t" o:connecttype="rect"/>
            </v:shapetype>
            <v:shape id="Text Box 1225859581" o:spid="_x0000_s1027" type="#_x0000_t202" style="position:absolute;left:0;text-align:left;margin-left:-.3pt;margin-top:-1.8pt;width:124.3pt;height:22.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" fillcolor="white [3201]" stroked="f" strokeweight=".5pt">
              <v:textbox>
                <w:txbxContent>
                  <w:p w14:paraId="6ED1126D" w14:textId="77777777" w:rsidR="001B1C86" w:rsidRPr="00EA1C02" w:rsidRDefault="001B1C86">
                    <w:pPr>
                      <w:rPr>
                        <w:lang w:val="es-ES"/>
                      </w:rPr>
                    </w:pPr>
                    <w:r w:rsidRPr="00EA1C02">
                      <w:rPr>
                        <w:rFonts w:ascii="Arial" w:hAnsi="Arial" w:cs="Arial"/>
                        <w:lang w:val="es-ES"/>
                      </w:rPr>
                      <w:t>Distribución limitada</w:t>
                    </w:r>
                  </w:p>
                </w:txbxContent>
              </v:textbox>
            </v:shape>
          </w:pict>
        </mc:Fallback>
      </mc:AlternateContent>
    </w:r>
    <w:r w:rsidRPr="000833BB">
      <w:rPr>
        <w:rFonts w:ascii="Arial" w:hAnsi="Arial" w:cs="Arial"/>
        <w:b/>
        <w:bCs/>
        <w:caps/>
        <w:sz w:val="36"/>
        <w:szCs w:val="36"/>
        <w:lang w:val="es-ES"/>
      </w:rPr>
      <w:t>IOC/</w:t>
    </w:r>
    <w:r>
      <w:rPr>
        <w:rFonts w:ascii="Arial" w:hAnsi="Arial" w:cs="Arial"/>
        <w:b/>
        <w:bCs/>
        <w:caps/>
        <w:sz w:val="36"/>
        <w:szCs w:val="36"/>
        <w:lang w:val="es-ES"/>
      </w:rPr>
      <w:t>EC</w:t>
    </w:r>
    <w:r w:rsidRPr="000833BB">
      <w:rPr>
        <w:rFonts w:ascii="Arial" w:hAnsi="Arial" w:cs="Arial"/>
        <w:b/>
        <w:bCs/>
        <w:caps/>
        <w:sz w:val="36"/>
        <w:szCs w:val="36"/>
        <w:lang w:val="es-ES"/>
      </w:rPr>
      <w:t>-</w:t>
    </w:r>
    <w:r>
      <w:rPr>
        <w:rFonts w:ascii="Arial" w:hAnsi="Arial" w:cs="Arial"/>
        <w:b/>
        <w:bCs/>
        <w:caps/>
        <w:sz w:val="36"/>
        <w:szCs w:val="36"/>
        <w:lang w:val="es-ES"/>
      </w:rPr>
      <w:t>57</w:t>
    </w:r>
    <w:r w:rsidRPr="000833BB">
      <w:rPr>
        <w:rFonts w:ascii="Arial" w:hAnsi="Arial" w:cs="Arial"/>
        <w:b/>
        <w:bCs/>
        <w:caps/>
        <w:sz w:val="36"/>
        <w:szCs w:val="36"/>
        <w:lang w:val="es-ES"/>
      </w:rPr>
      <w:t>/</w:t>
    </w:r>
    <w:sdt>
      <w:sdtPr>
        <w:rPr>
          <w:rFonts w:ascii="Arial" w:hAnsi="Arial" w:cs="Arial"/>
          <w:b/>
          <w:bCs/>
          <w:sz w:val="36"/>
          <w:szCs w:val="36"/>
          <w:lang w:val="es-ES"/>
        </w:rPr>
        <w:alias w:val="SIGNATURA"/>
        <w:tag w:val=""/>
        <w:id w:val="726568414"/>
        <w:dataBinding w:prefixMappings="xmlns:ns0='http://purl.org/dc/elements/1.1/' xmlns:ns1='http://schemas.openxmlformats.org/package/2006/metadata/core-properties' " w:xpath="/ns1:coreProperties[1]/ns1:keywords[1]" w:storeItemID="{6C3C8BC8-F283-45AE-878A-BAB7291924A1}"/>
        <w15:color w:val="FF0000"/>
        <w:text/>
      </w:sdtPr>
      <w:sdtEndPr/>
      <w:sdtContent>
        <w:r w:rsidR="007A33C0" w:rsidRPr="007A33C0">
          <w:rPr>
            <w:rFonts w:ascii="Arial" w:hAnsi="Arial" w:cs="Arial"/>
            <w:b/>
            <w:bCs/>
            <w:sz w:val="36"/>
            <w:szCs w:val="36"/>
            <w:lang w:val="es-ES"/>
          </w:rPr>
          <w:t>5.1.Doc(1)</w:t>
        </w:r>
      </w:sdtContent>
    </w:sdt>
    <w:r w:rsidRPr="00EA1C02">
      <w:rPr>
        <w:rFonts w:asciiTheme="minorBidi" w:hAnsiTheme="minorBidi"/>
        <w:b/>
        <w:bCs/>
        <w:sz w:val="36"/>
        <w:szCs w:val="36"/>
        <w:lang w:val="es-ES"/>
      </w:rPr>
      <w:br/>
    </w:r>
    <w:r w:rsidRPr="00EA1C02">
      <w:rPr>
        <w:rFonts w:ascii="Arial" w:hAnsi="Arial" w:cs="Arial"/>
        <w:lang w:val="es-ES"/>
      </w:rPr>
      <w:t>París,</w:t>
    </w:r>
    <w:r w:rsidRPr="00EA1C02">
      <w:rPr>
        <w:rFonts w:ascii="Arial" w:eastAsia="Times New Roman" w:hAnsi="Arial" w:cs="Arial"/>
        <w:snapToGrid w:val="0"/>
        <w:lang w:val="es-ES_tradnl"/>
      </w:rPr>
      <w:t xml:space="preserve"> </w:t>
    </w:r>
    <w:r w:rsidR="007A33C0">
      <w:rPr>
        <w:rFonts w:ascii="Arial" w:eastAsia="Times New Roman" w:hAnsi="Arial" w:cs="Arial"/>
        <w:snapToGrid w:val="0"/>
        <w:lang w:val="es-ES"/>
      </w:rPr>
      <w:t>25 de abril de 2024</w:t>
    </w:r>
    <w:r w:rsidRPr="00EA1C02">
      <w:rPr>
        <w:rFonts w:ascii="Arial" w:eastAsia="Times New Roman" w:hAnsi="Arial" w:cs="Arial"/>
        <w:lang w:val="es-ES_tradnl"/>
      </w:rPr>
      <w:br/>
    </w:r>
    <w:r w:rsidRPr="00EA1C02">
      <w:rPr>
        <w:rFonts w:ascii="Arial" w:eastAsia="SimSun" w:hAnsi="Arial" w:cs="Arial"/>
        <w:snapToGrid w:val="0"/>
        <w:lang w:val="es-ES_tradnl" w:eastAsia="zh-CN"/>
      </w:rPr>
      <w:t xml:space="preserve">Original: </w:t>
    </w:r>
    <w:sdt>
      <w:sdtPr>
        <w:rPr>
          <w:rFonts w:ascii="Arial" w:eastAsia="SimSun" w:hAnsi="Arial" w:cs="Arial"/>
          <w:snapToGrid w:val="0"/>
          <w:lang w:val="es-ES_tradnl" w:eastAsia="zh-CN"/>
        </w:rPr>
        <w:alias w:val="idioma"/>
        <w:tag w:val="idioma"/>
        <w:id w:val="1110786095"/>
        <w:temporary/>
        <w15:color w:val="FF0000"/>
        <w:dropDownList>
          <w:listItem w:value="Choose an item."/>
          <w:listItem w:displayText="inglés" w:value="inglés"/>
          <w:listItem w:displayText="francés" w:value="francés"/>
          <w:listItem w:displayText="francés e inglés" w:value="francés e inglés"/>
        </w:dropDownList>
      </w:sdtPr>
      <w:sdtEndPr/>
      <w:sdtContent>
        <w:r w:rsidRPr="00EA1C02">
          <w:rPr>
            <w:rFonts w:ascii="Arial" w:eastAsia="SimSun" w:hAnsi="Arial" w:cs="Arial"/>
            <w:snapToGrid w:val="0"/>
            <w:lang w:val="es-ES_tradnl" w:eastAsia="zh-CN"/>
          </w:rPr>
          <w:t>inglés</w:t>
        </w:r>
      </w:sdtContent>
    </w:sdt>
  </w:p>
  <w:p w14:paraId="14469251" w14:textId="77777777" w:rsidR="001B1C86" w:rsidRPr="00334B9F" w:rsidRDefault="001B1C86" w:rsidP="00A12059">
    <w:pPr>
      <w:tabs>
        <w:tab w:val="left" w:pos="-1440"/>
        <w:tab w:val="left" w:pos="-720"/>
      </w:tabs>
      <w:spacing w:before="1800" w:after="0" w:line="240" w:lineRule="auto"/>
      <w:jc w:val="center"/>
      <w:rPr>
        <w:rFonts w:ascii="Arial" w:hAnsi="Arial" w:cs="Arial"/>
        <w:b/>
        <w:lang w:val="es-ES"/>
      </w:rPr>
    </w:pPr>
    <w:r w:rsidRPr="00334B9F">
      <w:rPr>
        <w:rFonts w:ascii="Arial" w:hAnsi="Arial" w:cs="Arial"/>
        <w:b/>
        <w:bCs/>
        <w:lang w:val="es-ES"/>
      </w:rPr>
      <w:t>COMISIÓN OCEANOGRÁFICA INTERGUBERNAMENTAL</w:t>
    </w:r>
  </w:p>
  <w:p w14:paraId="7267DFED" w14:textId="77777777" w:rsidR="001B1C86" w:rsidRPr="00334B9F" w:rsidRDefault="001B1C86" w:rsidP="00334B9F">
    <w:pPr>
      <w:tabs>
        <w:tab w:val="left" w:pos="-1440"/>
        <w:tab w:val="left" w:pos="-720"/>
      </w:tabs>
      <w:spacing w:after="0" w:line="240" w:lineRule="auto"/>
      <w:jc w:val="center"/>
      <w:rPr>
        <w:rFonts w:ascii="Arial" w:hAnsi="Arial" w:cs="Arial"/>
        <w:bCs/>
        <w:lang w:val="es-ES"/>
      </w:rPr>
    </w:pPr>
    <w:r w:rsidRPr="00334B9F">
      <w:rPr>
        <w:rFonts w:ascii="Arial" w:hAnsi="Arial" w:cs="Arial"/>
        <w:bCs/>
        <w:lang w:val="es-ES"/>
      </w:rPr>
      <w:t>(de la UNESCO)</w:t>
    </w:r>
  </w:p>
  <w:p w14:paraId="16067146" w14:textId="77777777" w:rsidR="001B1C86" w:rsidRPr="00DE4989" w:rsidRDefault="001B1C86" w:rsidP="00DE4989">
    <w:pPr>
      <w:tabs>
        <w:tab w:val="left" w:pos="-1440"/>
        <w:tab w:val="left" w:pos="-720"/>
        <w:tab w:val="center" w:pos="4677"/>
      </w:tabs>
      <w:spacing w:before="240" w:after="600" w:line="240" w:lineRule="auto"/>
      <w:jc w:val="center"/>
      <w:rPr>
        <w:rFonts w:ascii="Arial" w:hAnsi="Arial" w:cs="Arial"/>
        <w:bCs/>
        <w:lang w:val="es-ES"/>
      </w:rPr>
    </w:pPr>
    <w:r>
      <w:rPr>
        <w:rFonts w:ascii="Arial" w:hAnsi="Arial" w:cs="Arial"/>
        <w:b/>
        <w:bCs/>
        <w:lang w:val="es-ES"/>
      </w:rPr>
      <w:t>57</w:t>
    </w:r>
    <w:r w:rsidRPr="00334B9F">
      <w:rPr>
        <w:rFonts w:ascii="Arial" w:hAnsi="Arial" w:cs="Arial"/>
        <w:b/>
        <w:bCs/>
        <w:lang w:val="es-ES"/>
      </w:rPr>
      <w:t xml:space="preserve">ª reunión del </w:t>
    </w:r>
    <w:r w:rsidRPr="00DE4989">
      <w:rPr>
        <w:rFonts w:ascii="Arial" w:hAnsi="Arial" w:cs="Arial"/>
        <w:b/>
        <w:bCs/>
        <w:lang w:val="es-ES"/>
      </w:rPr>
      <w:t>Consejo Ejecutivo</w:t>
    </w:r>
    <w:r w:rsidRPr="00334B9F">
      <w:rPr>
        <w:rFonts w:ascii="Arial" w:hAnsi="Arial" w:cs="Arial"/>
        <w:bCs/>
        <w:lang w:val="es-ES"/>
      </w:rPr>
      <w:br/>
      <w:t xml:space="preserve">UNESCO, </w:t>
    </w:r>
    <w:r w:rsidRPr="00DE4989">
      <w:rPr>
        <w:rFonts w:ascii="Arial" w:hAnsi="Arial" w:cs="Arial"/>
        <w:bCs/>
        <w:lang w:val="es-ES"/>
      </w:rPr>
      <w:t>25</w:t>
    </w:r>
    <w:r>
      <w:rPr>
        <w:rFonts w:ascii="Arial" w:hAnsi="Arial" w:cs="Arial"/>
        <w:bCs/>
        <w:lang w:val="es-ES"/>
      </w:rPr>
      <w:t>-</w:t>
    </w:r>
    <w:r w:rsidRPr="00DE4989">
      <w:rPr>
        <w:rFonts w:ascii="Arial" w:hAnsi="Arial" w:cs="Arial"/>
        <w:bCs/>
        <w:lang w:val="es-ES"/>
      </w:rPr>
      <w:t xml:space="preserve">28 </w:t>
    </w:r>
    <w:r>
      <w:rPr>
        <w:rFonts w:ascii="Arial" w:hAnsi="Arial" w:cs="Arial"/>
        <w:bCs/>
        <w:lang w:val="es-ES"/>
      </w:rPr>
      <w:t xml:space="preserve">de junio de </w:t>
    </w:r>
    <w:r w:rsidRPr="00DE4989">
      <w:rPr>
        <w:rFonts w:ascii="Arial" w:hAnsi="Arial" w:cs="Arial"/>
        <w:bCs/>
        <w:lang w:val="es-ES"/>
      </w:rPr>
      <w:t>2024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C2D08" w14:textId="58385CFA" w:rsidR="008C6D8E" w:rsidRPr="000833BB" w:rsidRDefault="008C6D8E" w:rsidP="00DE4989">
    <w:pPr>
      <w:pStyle w:val="Encabezado"/>
      <w:jc w:val="right"/>
      <w:rPr>
        <w:rFonts w:asciiTheme="minorBidi" w:hAnsiTheme="minorBidi"/>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E4B29" w14:textId="0618ADCB" w:rsidR="008C6D8E" w:rsidRPr="000833BB" w:rsidRDefault="008C6D8E" w:rsidP="008C6D8E">
    <w:pPr>
      <w:pStyle w:val="Encabezado"/>
      <w:jc w:val="right"/>
      <w:rPr>
        <w:rFonts w:asciiTheme="minorBidi" w:hAnsiTheme="minorBidi"/>
      </w:rPr>
    </w:pPr>
    <w:r w:rsidRPr="008C6D8E">
      <w:rPr>
        <w:rFonts w:asciiTheme="minorBidi" w:hAnsiTheme="minorBidi"/>
        <w:lang w:val="es-ES"/>
      </w:rPr>
      <w:t>IOC/EC-57/</w:t>
    </w:r>
    <w:sdt>
      <w:sdtPr>
        <w:rPr>
          <w:rFonts w:asciiTheme="minorBidi" w:hAnsiTheme="minorBidi"/>
          <w:lang w:val="es-ES"/>
        </w:rPr>
        <w:alias w:val="SIGNATURA"/>
        <w:tag w:val=""/>
        <w:id w:val="1352447645"/>
        <w:dataBinding w:prefixMappings="xmlns:ns0='http://purl.org/dc/elements/1.1/' xmlns:ns1='http://schemas.openxmlformats.org/package/2006/metadata/core-properties' " w:xpath="/ns1:coreProperties[1]/ns1:keywords[1]" w:storeItemID="{6C3C8BC8-F283-45AE-878A-BAB7291924A1}"/>
        <w15:color w:val="FF0000"/>
        <w:text/>
      </w:sdtPr>
      <w:sdtContent>
        <w:r w:rsidRPr="008C6D8E">
          <w:rPr>
            <w:rFonts w:asciiTheme="minorBidi" w:hAnsiTheme="minorBidi"/>
            <w:lang w:val="es-ES"/>
          </w:rPr>
          <w:t>5.1.Doc(1)</w:t>
        </w:r>
      </w:sdtContent>
    </w:sdt>
    <w:r w:rsidRPr="008C6D8E">
      <w:rPr>
        <w:rFonts w:asciiTheme="minorBidi" w:hAnsiTheme="minorBidi"/>
        <w:lang w:val="es-ES"/>
      </w:rPr>
      <w:t xml:space="preserve"> – pág. </w:t>
    </w:r>
    <w:r w:rsidRPr="008C6D8E">
      <w:rPr>
        <w:rFonts w:asciiTheme="minorBidi" w:hAnsiTheme="minorBidi"/>
        <w:lang w:val="es-ES"/>
      </w:rPr>
      <w:fldChar w:fldCharType="begin"/>
    </w:r>
    <w:r w:rsidRPr="008C6D8E">
      <w:rPr>
        <w:rFonts w:asciiTheme="minorBidi" w:hAnsiTheme="minorBidi"/>
        <w:lang w:val="es-ES"/>
      </w:rPr>
      <w:instrText>PAGE   \* MERGEFORMAT</w:instrText>
    </w:r>
    <w:r w:rsidRPr="008C6D8E">
      <w:rPr>
        <w:rFonts w:asciiTheme="minorBidi" w:hAnsiTheme="minorBidi"/>
        <w:lang w:val="es-ES"/>
      </w:rPr>
      <w:fldChar w:fldCharType="separate"/>
    </w:r>
    <w:r w:rsidRPr="008C6D8E">
      <w:rPr>
        <w:rFonts w:asciiTheme="minorBidi" w:hAnsiTheme="minorBidi"/>
        <w:lang w:val="es-ES"/>
      </w:rPr>
      <w:t>2</w:t>
    </w:r>
    <w:r w:rsidRPr="008C6D8E">
      <w:rPr>
        <w:rFonts w:asciiTheme="minorBidi" w:hAnsiTheme="minorBidi"/>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1600"/>
    <w:multiLevelType w:val="multilevel"/>
    <w:tmpl w:val="CC2E7E6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00077E"/>
    <w:multiLevelType w:val="hybridMultilevel"/>
    <w:tmpl w:val="1EA2961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2B1693F"/>
    <w:multiLevelType w:val="multilevel"/>
    <w:tmpl w:val="4E2A32C0"/>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5E37869"/>
    <w:multiLevelType w:val="hybridMultilevel"/>
    <w:tmpl w:val="DDA0E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3138AA"/>
    <w:multiLevelType w:val="hybridMultilevel"/>
    <w:tmpl w:val="427CF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154F4B"/>
    <w:multiLevelType w:val="hybridMultilevel"/>
    <w:tmpl w:val="745A204A"/>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15:restartNumberingAfterBreak="0">
    <w:nsid w:val="0B3112D7"/>
    <w:multiLevelType w:val="multilevel"/>
    <w:tmpl w:val="4EF80814"/>
    <w:lvl w:ilvl="0">
      <w:start w:val="1"/>
      <w:numFmt w:val="decimal"/>
      <w:lvlText w:val="%1."/>
      <w:lvlJc w:val="left"/>
      <w:pPr>
        <w:ind w:left="930" w:hanging="570"/>
      </w:pPr>
      <w:rPr>
        <w:rFonts w:hint="default"/>
        <w:color w:val="auto"/>
      </w:rPr>
    </w:lvl>
    <w:lvl w:ilvl="1">
      <w:start w:val="1"/>
      <w:numFmt w:val="decimal"/>
      <w:isLgl/>
      <w:lvlText w:val="%1.%2"/>
      <w:lvlJc w:val="left"/>
      <w:pPr>
        <w:ind w:left="957" w:hanging="39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7" w15:restartNumberingAfterBreak="0">
    <w:nsid w:val="0BEF147E"/>
    <w:multiLevelType w:val="hybridMultilevel"/>
    <w:tmpl w:val="6AEEB90C"/>
    <w:lvl w:ilvl="0" w:tplc="BFDE339C">
      <w:start w:val="1"/>
      <w:numFmt w:val="bullet"/>
      <w:lvlText w:val=""/>
      <w:lvlJc w:val="left"/>
      <w:pPr>
        <w:ind w:left="720" w:hanging="360"/>
      </w:pPr>
      <w:rPr>
        <w:rFonts w:ascii="Symbol" w:hAnsi="Symbol" w:hint="default"/>
        <w:b w:val="0"/>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DAA652E"/>
    <w:multiLevelType w:val="multilevel"/>
    <w:tmpl w:val="CC2E7E6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E0A502D"/>
    <w:multiLevelType w:val="hybridMultilevel"/>
    <w:tmpl w:val="DEECB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BD5143"/>
    <w:multiLevelType w:val="multilevel"/>
    <w:tmpl w:val="8D706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692C36"/>
    <w:multiLevelType w:val="hybridMultilevel"/>
    <w:tmpl w:val="179CF96A"/>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86B7C8B"/>
    <w:multiLevelType w:val="multilevel"/>
    <w:tmpl w:val="4E963232"/>
    <w:lvl w:ilvl="0">
      <w:start w:val="2"/>
      <w:numFmt w:val="decimal"/>
      <w:lvlText w:val="%1."/>
      <w:lvlJc w:val="left"/>
      <w:pPr>
        <w:ind w:left="360" w:hanging="360"/>
      </w:pPr>
      <w:rPr>
        <w:rFonts w:hint="default"/>
        <w:color w:val="auto"/>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A277E55"/>
    <w:multiLevelType w:val="hybridMultilevel"/>
    <w:tmpl w:val="98882438"/>
    <w:lvl w:ilvl="0" w:tplc="D51C4A8E">
      <w:start w:val="1"/>
      <w:numFmt w:val="lowerRoman"/>
      <w:lvlText w:val="%1)"/>
      <w:lvlJc w:val="left"/>
      <w:pPr>
        <w:ind w:left="720" w:hanging="360"/>
      </w:pPr>
      <w:rPr>
        <w:rFonts w:eastAsiaTheme="minorHAnsi" w:hint="default"/>
        <w:b w:val="0"/>
        <w:i w:val="0"/>
        <w:caps w:val="0"/>
        <w:strike w:val="0"/>
        <w:dstrike w:val="0"/>
        <w:vanish w:val="0"/>
        <w:sz w:val="2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902DD7"/>
    <w:multiLevelType w:val="hybridMultilevel"/>
    <w:tmpl w:val="FE78E686"/>
    <w:lvl w:ilvl="0" w:tplc="040C0017">
      <w:start w:val="1"/>
      <w:numFmt w:val="lowerLetter"/>
      <w:lvlText w:val="%1)"/>
      <w:lvlJc w:val="left"/>
      <w:pPr>
        <w:ind w:left="924" w:hanging="564"/>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2694201"/>
    <w:multiLevelType w:val="hybridMultilevel"/>
    <w:tmpl w:val="8500B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A12A32"/>
    <w:multiLevelType w:val="hybridMultilevel"/>
    <w:tmpl w:val="0F5A764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22D46521"/>
    <w:multiLevelType w:val="hybridMultilevel"/>
    <w:tmpl w:val="9B1C225E"/>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3D30F29"/>
    <w:multiLevelType w:val="multilevel"/>
    <w:tmpl w:val="800A875E"/>
    <w:lvl w:ilvl="0">
      <w:start w:val="4"/>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52E08D7"/>
    <w:multiLevelType w:val="multilevel"/>
    <w:tmpl w:val="B9F2133A"/>
    <w:lvl w:ilvl="0">
      <w:start w:val="11"/>
      <w:numFmt w:val="decimal"/>
      <w:lvlText w:val="%1"/>
      <w:lvlJc w:val="left"/>
      <w:pPr>
        <w:ind w:left="540" w:hanging="540"/>
      </w:pPr>
      <w:rPr>
        <w:rFonts w:hint="default"/>
      </w:rPr>
    </w:lvl>
    <w:lvl w:ilvl="1">
      <w:start w:val="2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6A11900"/>
    <w:multiLevelType w:val="multilevel"/>
    <w:tmpl w:val="4E2A32C0"/>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9CB0307"/>
    <w:multiLevelType w:val="multilevel"/>
    <w:tmpl w:val="766CB20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4B3376"/>
    <w:multiLevelType w:val="hybridMultilevel"/>
    <w:tmpl w:val="CE66DAB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31182BBC"/>
    <w:multiLevelType w:val="multilevel"/>
    <w:tmpl w:val="2B584442"/>
    <w:lvl w:ilvl="0">
      <w:start w:val="3"/>
      <w:numFmt w:val="decimal"/>
      <w:lvlText w:val="%1"/>
      <w:lvlJc w:val="left"/>
      <w:pPr>
        <w:ind w:left="420" w:hanging="420"/>
      </w:pPr>
      <w:rPr>
        <w:rFonts w:eastAsia="Times New Roman" w:hint="default"/>
      </w:rPr>
    </w:lvl>
    <w:lvl w:ilvl="1">
      <w:start w:val="30"/>
      <w:numFmt w:val="decimal"/>
      <w:lvlText w:val="%1.%2"/>
      <w:lvlJc w:val="left"/>
      <w:pPr>
        <w:ind w:left="420" w:hanging="4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4" w15:restartNumberingAfterBreak="0">
    <w:nsid w:val="38CD465B"/>
    <w:multiLevelType w:val="hybridMultilevel"/>
    <w:tmpl w:val="C73CD57A"/>
    <w:lvl w:ilvl="0" w:tplc="040C0001">
      <w:start w:val="1"/>
      <w:numFmt w:val="bullet"/>
      <w:lvlText w:val=""/>
      <w:lvlJc w:val="left"/>
      <w:pPr>
        <w:ind w:left="3554" w:hanging="360"/>
      </w:pPr>
      <w:rPr>
        <w:rFonts w:ascii="Symbol" w:hAnsi="Symbol" w:hint="default"/>
      </w:rPr>
    </w:lvl>
    <w:lvl w:ilvl="1" w:tplc="040C0003" w:tentative="1">
      <w:start w:val="1"/>
      <w:numFmt w:val="bullet"/>
      <w:lvlText w:val="o"/>
      <w:lvlJc w:val="left"/>
      <w:pPr>
        <w:ind w:left="4274" w:hanging="360"/>
      </w:pPr>
      <w:rPr>
        <w:rFonts w:ascii="Courier New" w:hAnsi="Courier New" w:cs="Courier New" w:hint="default"/>
      </w:rPr>
    </w:lvl>
    <w:lvl w:ilvl="2" w:tplc="040C0005" w:tentative="1">
      <w:start w:val="1"/>
      <w:numFmt w:val="bullet"/>
      <w:lvlText w:val=""/>
      <w:lvlJc w:val="left"/>
      <w:pPr>
        <w:ind w:left="4994" w:hanging="360"/>
      </w:pPr>
      <w:rPr>
        <w:rFonts w:ascii="Wingdings" w:hAnsi="Wingdings" w:hint="default"/>
      </w:rPr>
    </w:lvl>
    <w:lvl w:ilvl="3" w:tplc="040C0001" w:tentative="1">
      <w:start w:val="1"/>
      <w:numFmt w:val="bullet"/>
      <w:lvlText w:val=""/>
      <w:lvlJc w:val="left"/>
      <w:pPr>
        <w:ind w:left="5714" w:hanging="360"/>
      </w:pPr>
      <w:rPr>
        <w:rFonts w:ascii="Symbol" w:hAnsi="Symbol" w:hint="default"/>
      </w:rPr>
    </w:lvl>
    <w:lvl w:ilvl="4" w:tplc="040C0003" w:tentative="1">
      <w:start w:val="1"/>
      <w:numFmt w:val="bullet"/>
      <w:lvlText w:val="o"/>
      <w:lvlJc w:val="left"/>
      <w:pPr>
        <w:ind w:left="6434" w:hanging="360"/>
      </w:pPr>
      <w:rPr>
        <w:rFonts w:ascii="Courier New" w:hAnsi="Courier New" w:cs="Courier New" w:hint="default"/>
      </w:rPr>
    </w:lvl>
    <w:lvl w:ilvl="5" w:tplc="040C0005" w:tentative="1">
      <w:start w:val="1"/>
      <w:numFmt w:val="bullet"/>
      <w:lvlText w:val=""/>
      <w:lvlJc w:val="left"/>
      <w:pPr>
        <w:ind w:left="7154" w:hanging="360"/>
      </w:pPr>
      <w:rPr>
        <w:rFonts w:ascii="Wingdings" w:hAnsi="Wingdings" w:hint="default"/>
      </w:rPr>
    </w:lvl>
    <w:lvl w:ilvl="6" w:tplc="040C0001" w:tentative="1">
      <w:start w:val="1"/>
      <w:numFmt w:val="bullet"/>
      <w:lvlText w:val=""/>
      <w:lvlJc w:val="left"/>
      <w:pPr>
        <w:ind w:left="7874" w:hanging="360"/>
      </w:pPr>
      <w:rPr>
        <w:rFonts w:ascii="Symbol" w:hAnsi="Symbol" w:hint="default"/>
      </w:rPr>
    </w:lvl>
    <w:lvl w:ilvl="7" w:tplc="040C0003" w:tentative="1">
      <w:start w:val="1"/>
      <w:numFmt w:val="bullet"/>
      <w:lvlText w:val="o"/>
      <w:lvlJc w:val="left"/>
      <w:pPr>
        <w:ind w:left="8594" w:hanging="360"/>
      </w:pPr>
      <w:rPr>
        <w:rFonts w:ascii="Courier New" w:hAnsi="Courier New" w:cs="Courier New" w:hint="default"/>
      </w:rPr>
    </w:lvl>
    <w:lvl w:ilvl="8" w:tplc="040C0005" w:tentative="1">
      <w:start w:val="1"/>
      <w:numFmt w:val="bullet"/>
      <w:lvlText w:val=""/>
      <w:lvlJc w:val="left"/>
      <w:pPr>
        <w:ind w:left="9314" w:hanging="360"/>
      </w:pPr>
      <w:rPr>
        <w:rFonts w:ascii="Wingdings" w:hAnsi="Wingdings" w:hint="default"/>
      </w:rPr>
    </w:lvl>
  </w:abstractNum>
  <w:abstractNum w:abstractNumId="25" w15:restartNumberingAfterBreak="0">
    <w:nsid w:val="3A5D37FD"/>
    <w:multiLevelType w:val="hybridMultilevel"/>
    <w:tmpl w:val="3B8263C2"/>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6" w15:restartNumberingAfterBreak="0">
    <w:nsid w:val="3ACB4AD3"/>
    <w:multiLevelType w:val="multilevel"/>
    <w:tmpl w:val="9DF2F00E"/>
    <w:lvl w:ilvl="0">
      <w:start w:val="2"/>
      <w:numFmt w:val="decimal"/>
      <w:lvlText w:val="%1"/>
      <w:lvlJc w:val="left"/>
      <w:pPr>
        <w:ind w:left="420" w:hanging="420"/>
      </w:pPr>
      <w:rPr>
        <w:rFonts w:hint="default"/>
      </w:rPr>
    </w:lvl>
    <w:lvl w:ilvl="1">
      <w:start w:val="3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F3468FB"/>
    <w:multiLevelType w:val="hybridMultilevel"/>
    <w:tmpl w:val="4EF0E1F4"/>
    <w:lvl w:ilvl="0" w:tplc="04090001">
      <w:start w:val="1"/>
      <w:numFmt w:val="bullet"/>
      <w:lvlText w:val=""/>
      <w:lvlJc w:val="left"/>
      <w:pPr>
        <w:ind w:left="1571"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8" w15:restartNumberingAfterBreak="0">
    <w:nsid w:val="409A0388"/>
    <w:multiLevelType w:val="hybridMultilevel"/>
    <w:tmpl w:val="2BBC1A18"/>
    <w:lvl w:ilvl="0" w:tplc="792E3FFA">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43861B9D"/>
    <w:multiLevelType w:val="hybridMultilevel"/>
    <w:tmpl w:val="FF3406DC"/>
    <w:lvl w:ilvl="0" w:tplc="6D0824AA">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43DF0EE0"/>
    <w:multiLevelType w:val="hybridMultilevel"/>
    <w:tmpl w:val="2572FCE2"/>
    <w:lvl w:ilvl="0" w:tplc="4BE4DCEC">
      <w:start w:val="1"/>
      <w:numFmt w:val="decimal"/>
      <w:lvlText w:val="%1."/>
      <w:lvlJc w:val="left"/>
      <w:pPr>
        <w:ind w:left="3338" w:hanging="360"/>
      </w:pPr>
      <w:rPr>
        <w:rFonts w:ascii="Arial" w:eastAsia="Times New Roman" w:hAnsi="Arial" w:cs="Arial" w:hint="default"/>
        <w:b w:val="0"/>
        <w:bCs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4C343EC5"/>
    <w:multiLevelType w:val="hybridMultilevel"/>
    <w:tmpl w:val="A87E6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D725BC"/>
    <w:multiLevelType w:val="hybridMultilevel"/>
    <w:tmpl w:val="EAAEC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6820B1"/>
    <w:multiLevelType w:val="hybridMultilevel"/>
    <w:tmpl w:val="BCF46C88"/>
    <w:lvl w:ilvl="0" w:tplc="BF0486EE">
      <w:start w:val="12"/>
      <w:numFmt w:val="decimal"/>
      <w:lvlText w:val="%1."/>
      <w:lvlJc w:val="left"/>
      <w:pPr>
        <w:ind w:left="3338" w:hanging="360"/>
      </w:pPr>
      <w:rPr>
        <w:rFonts w:ascii="Arial" w:eastAsia="Times New Roman" w:hAnsi="Arial" w:cs="Arial" w:hint="default"/>
        <w:b w:val="0"/>
        <w:bCs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1630337"/>
    <w:multiLevelType w:val="hybridMultilevel"/>
    <w:tmpl w:val="03C2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126216"/>
    <w:multiLevelType w:val="multilevel"/>
    <w:tmpl w:val="6B0284D4"/>
    <w:lvl w:ilvl="0">
      <w:start w:val="3"/>
      <w:numFmt w:val="decimal"/>
      <w:lvlText w:val="%1"/>
      <w:lvlJc w:val="left"/>
      <w:pPr>
        <w:ind w:left="420" w:hanging="420"/>
      </w:pPr>
      <w:rPr>
        <w:rFonts w:eastAsia="Times New Roman" w:hint="default"/>
      </w:rPr>
    </w:lvl>
    <w:lvl w:ilvl="1">
      <w:start w:val="45"/>
      <w:numFmt w:val="decimal"/>
      <w:lvlText w:val="%1.%2"/>
      <w:lvlJc w:val="left"/>
      <w:pPr>
        <w:ind w:left="420" w:hanging="4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36" w15:restartNumberingAfterBreak="0">
    <w:nsid w:val="567A5BA0"/>
    <w:multiLevelType w:val="hybridMultilevel"/>
    <w:tmpl w:val="4EF6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CC0157"/>
    <w:multiLevelType w:val="hybridMultilevel"/>
    <w:tmpl w:val="3738F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E235B9"/>
    <w:multiLevelType w:val="multilevel"/>
    <w:tmpl w:val="4E2A32C0"/>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CE03CAD"/>
    <w:multiLevelType w:val="multilevel"/>
    <w:tmpl w:val="CC2E7E6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0B54B75"/>
    <w:multiLevelType w:val="multilevel"/>
    <w:tmpl w:val="2F7870B2"/>
    <w:lvl w:ilvl="0">
      <w:start w:val="11"/>
      <w:numFmt w:val="decimal"/>
      <w:lvlText w:val="%1"/>
      <w:lvlJc w:val="left"/>
      <w:pPr>
        <w:ind w:left="540" w:hanging="540"/>
      </w:pPr>
      <w:rPr>
        <w:rFonts w:hint="default"/>
      </w:rPr>
    </w:lvl>
    <w:lvl w:ilvl="1">
      <w:start w:val="2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155537E"/>
    <w:multiLevelType w:val="hybridMultilevel"/>
    <w:tmpl w:val="B05E9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30E5AF9"/>
    <w:multiLevelType w:val="hybridMultilevel"/>
    <w:tmpl w:val="A28E90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3D3717E"/>
    <w:multiLevelType w:val="hybridMultilevel"/>
    <w:tmpl w:val="B42CA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5BD575A"/>
    <w:multiLevelType w:val="multilevel"/>
    <w:tmpl w:val="CC2E7E6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86126B5"/>
    <w:multiLevelType w:val="hybridMultilevel"/>
    <w:tmpl w:val="B9348754"/>
    <w:lvl w:ilvl="0" w:tplc="BFDE339C">
      <w:start w:val="1"/>
      <w:numFmt w:val="bullet"/>
      <w:lvlText w:val=""/>
      <w:lvlJc w:val="left"/>
      <w:pPr>
        <w:ind w:left="720" w:hanging="360"/>
      </w:pPr>
      <w:rPr>
        <w:rFonts w:ascii="Symbol" w:hAnsi="Symbol" w:hint="default"/>
        <w:b w:val="0"/>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E881416"/>
    <w:multiLevelType w:val="hybridMultilevel"/>
    <w:tmpl w:val="94A4FADC"/>
    <w:lvl w:ilvl="0" w:tplc="D9204C92">
      <w:start w:val="2"/>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151662"/>
    <w:multiLevelType w:val="hybridMultilevel"/>
    <w:tmpl w:val="B6A44560"/>
    <w:lvl w:ilvl="0" w:tplc="040C0001">
      <w:start w:val="1"/>
      <w:numFmt w:val="bullet"/>
      <w:lvlText w:val=""/>
      <w:lvlJc w:val="left"/>
      <w:pPr>
        <w:ind w:left="3554" w:hanging="360"/>
      </w:pPr>
      <w:rPr>
        <w:rFonts w:ascii="Symbol" w:hAnsi="Symbol" w:hint="default"/>
      </w:rPr>
    </w:lvl>
    <w:lvl w:ilvl="1" w:tplc="040C0003">
      <w:start w:val="1"/>
      <w:numFmt w:val="bullet"/>
      <w:lvlText w:val="o"/>
      <w:lvlJc w:val="left"/>
      <w:pPr>
        <w:ind w:left="4274" w:hanging="360"/>
      </w:pPr>
      <w:rPr>
        <w:rFonts w:ascii="Courier New" w:hAnsi="Courier New" w:cs="Courier New" w:hint="default"/>
      </w:rPr>
    </w:lvl>
    <w:lvl w:ilvl="2" w:tplc="040C0005" w:tentative="1">
      <w:start w:val="1"/>
      <w:numFmt w:val="bullet"/>
      <w:lvlText w:val=""/>
      <w:lvlJc w:val="left"/>
      <w:pPr>
        <w:ind w:left="4994" w:hanging="360"/>
      </w:pPr>
      <w:rPr>
        <w:rFonts w:ascii="Wingdings" w:hAnsi="Wingdings" w:hint="default"/>
      </w:rPr>
    </w:lvl>
    <w:lvl w:ilvl="3" w:tplc="040C0001" w:tentative="1">
      <w:start w:val="1"/>
      <w:numFmt w:val="bullet"/>
      <w:lvlText w:val=""/>
      <w:lvlJc w:val="left"/>
      <w:pPr>
        <w:ind w:left="5714" w:hanging="360"/>
      </w:pPr>
      <w:rPr>
        <w:rFonts w:ascii="Symbol" w:hAnsi="Symbol" w:hint="default"/>
      </w:rPr>
    </w:lvl>
    <w:lvl w:ilvl="4" w:tplc="040C0003" w:tentative="1">
      <w:start w:val="1"/>
      <w:numFmt w:val="bullet"/>
      <w:lvlText w:val="o"/>
      <w:lvlJc w:val="left"/>
      <w:pPr>
        <w:ind w:left="6434" w:hanging="360"/>
      </w:pPr>
      <w:rPr>
        <w:rFonts w:ascii="Courier New" w:hAnsi="Courier New" w:cs="Courier New" w:hint="default"/>
      </w:rPr>
    </w:lvl>
    <w:lvl w:ilvl="5" w:tplc="040C0005" w:tentative="1">
      <w:start w:val="1"/>
      <w:numFmt w:val="bullet"/>
      <w:lvlText w:val=""/>
      <w:lvlJc w:val="left"/>
      <w:pPr>
        <w:ind w:left="7154" w:hanging="360"/>
      </w:pPr>
      <w:rPr>
        <w:rFonts w:ascii="Wingdings" w:hAnsi="Wingdings" w:hint="default"/>
      </w:rPr>
    </w:lvl>
    <w:lvl w:ilvl="6" w:tplc="040C0001" w:tentative="1">
      <w:start w:val="1"/>
      <w:numFmt w:val="bullet"/>
      <w:lvlText w:val=""/>
      <w:lvlJc w:val="left"/>
      <w:pPr>
        <w:ind w:left="7874" w:hanging="360"/>
      </w:pPr>
      <w:rPr>
        <w:rFonts w:ascii="Symbol" w:hAnsi="Symbol" w:hint="default"/>
      </w:rPr>
    </w:lvl>
    <w:lvl w:ilvl="7" w:tplc="040C0003" w:tentative="1">
      <w:start w:val="1"/>
      <w:numFmt w:val="bullet"/>
      <w:lvlText w:val="o"/>
      <w:lvlJc w:val="left"/>
      <w:pPr>
        <w:ind w:left="8594" w:hanging="360"/>
      </w:pPr>
      <w:rPr>
        <w:rFonts w:ascii="Courier New" w:hAnsi="Courier New" w:cs="Courier New" w:hint="default"/>
      </w:rPr>
    </w:lvl>
    <w:lvl w:ilvl="8" w:tplc="040C0005" w:tentative="1">
      <w:start w:val="1"/>
      <w:numFmt w:val="bullet"/>
      <w:lvlText w:val=""/>
      <w:lvlJc w:val="left"/>
      <w:pPr>
        <w:ind w:left="9314" w:hanging="360"/>
      </w:pPr>
      <w:rPr>
        <w:rFonts w:ascii="Wingdings" w:hAnsi="Wingdings" w:hint="default"/>
      </w:rPr>
    </w:lvl>
  </w:abstractNum>
  <w:abstractNum w:abstractNumId="48" w15:restartNumberingAfterBreak="0">
    <w:nsid w:val="7AB963E5"/>
    <w:multiLevelType w:val="hybridMultilevel"/>
    <w:tmpl w:val="84705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E414518"/>
    <w:multiLevelType w:val="multilevel"/>
    <w:tmpl w:val="CC2E7E6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EFB33D0"/>
    <w:multiLevelType w:val="multilevel"/>
    <w:tmpl w:val="4E2A32C0"/>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613101711">
    <w:abstractNumId w:val="6"/>
  </w:num>
  <w:num w:numId="2" w16cid:durableId="267583594">
    <w:abstractNumId w:val="50"/>
  </w:num>
  <w:num w:numId="3" w16cid:durableId="878198530">
    <w:abstractNumId w:val="7"/>
  </w:num>
  <w:num w:numId="4" w16cid:durableId="1787313475">
    <w:abstractNumId w:val="45"/>
  </w:num>
  <w:num w:numId="5" w16cid:durableId="86653882">
    <w:abstractNumId w:val="42"/>
  </w:num>
  <w:num w:numId="6" w16cid:durableId="1537502511">
    <w:abstractNumId w:val="3"/>
  </w:num>
  <w:num w:numId="7" w16cid:durableId="710149218">
    <w:abstractNumId w:val="1"/>
  </w:num>
  <w:num w:numId="8" w16cid:durableId="1730612573">
    <w:abstractNumId w:val="38"/>
  </w:num>
  <w:num w:numId="9" w16cid:durableId="1618222396">
    <w:abstractNumId w:val="47"/>
  </w:num>
  <w:num w:numId="10" w16cid:durableId="700936135">
    <w:abstractNumId w:val="24"/>
  </w:num>
  <w:num w:numId="11" w16cid:durableId="2067293719">
    <w:abstractNumId w:val="35"/>
  </w:num>
  <w:num w:numId="12" w16cid:durableId="1522205117">
    <w:abstractNumId w:val="23"/>
  </w:num>
  <w:num w:numId="13" w16cid:durableId="255600244">
    <w:abstractNumId w:val="18"/>
  </w:num>
  <w:num w:numId="14" w16cid:durableId="1993867633">
    <w:abstractNumId w:val="34"/>
  </w:num>
  <w:num w:numId="15" w16cid:durableId="1206527266">
    <w:abstractNumId w:val="25"/>
  </w:num>
  <w:num w:numId="16" w16cid:durableId="206839737">
    <w:abstractNumId w:val="27"/>
  </w:num>
  <w:num w:numId="17" w16cid:durableId="153648711">
    <w:abstractNumId w:val="16"/>
  </w:num>
  <w:num w:numId="18" w16cid:durableId="610089407">
    <w:abstractNumId w:val="22"/>
  </w:num>
  <w:num w:numId="19" w16cid:durableId="866407410">
    <w:abstractNumId w:val="5"/>
  </w:num>
  <w:num w:numId="20" w16cid:durableId="1816025921">
    <w:abstractNumId w:val="20"/>
  </w:num>
  <w:num w:numId="21" w16cid:durableId="658460240">
    <w:abstractNumId w:val="2"/>
  </w:num>
  <w:num w:numId="22" w16cid:durableId="17321873">
    <w:abstractNumId w:val="12"/>
  </w:num>
  <w:num w:numId="23" w16cid:durableId="640884953">
    <w:abstractNumId w:val="29"/>
  </w:num>
  <w:num w:numId="24" w16cid:durableId="1985117544">
    <w:abstractNumId w:val="39"/>
  </w:num>
  <w:num w:numId="25" w16cid:durableId="1124230968">
    <w:abstractNumId w:val="8"/>
  </w:num>
  <w:num w:numId="26" w16cid:durableId="1408725679">
    <w:abstractNumId w:val="0"/>
  </w:num>
  <w:num w:numId="27" w16cid:durableId="28381495">
    <w:abstractNumId w:val="49"/>
  </w:num>
  <w:num w:numId="28" w16cid:durableId="1799254483">
    <w:abstractNumId w:val="19"/>
  </w:num>
  <w:num w:numId="29" w16cid:durableId="119303775">
    <w:abstractNumId w:val="40"/>
  </w:num>
  <w:num w:numId="30" w16cid:durableId="245920030">
    <w:abstractNumId w:val="44"/>
  </w:num>
  <w:num w:numId="31" w16cid:durableId="1559516330">
    <w:abstractNumId w:val="26"/>
  </w:num>
  <w:num w:numId="32" w16cid:durableId="207843251">
    <w:abstractNumId w:val="30"/>
  </w:num>
  <w:num w:numId="33" w16cid:durableId="471294105">
    <w:abstractNumId w:val="21"/>
  </w:num>
  <w:num w:numId="34" w16cid:durableId="1790975718">
    <w:abstractNumId w:val="10"/>
  </w:num>
  <w:num w:numId="35" w16cid:durableId="1539010097">
    <w:abstractNumId w:val="41"/>
  </w:num>
  <w:num w:numId="36" w16cid:durableId="284583624">
    <w:abstractNumId w:val="48"/>
  </w:num>
  <w:num w:numId="37" w16cid:durableId="1614049904">
    <w:abstractNumId w:val="31"/>
  </w:num>
  <w:num w:numId="38" w16cid:durableId="427237614">
    <w:abstractNumId w:val="37"/>
  </w:num>
  <w:num w:numId="39" w16cid:durableId="1485970729">
    <w:abstractNumId w:val="4"/>
  </w:num>
  <w:num w:numId="40" w16cid:durableId="351764199">
    <w:abstractNumId w:val="13"/>
  </w:num>
  <w:num w:numId="41" w16cid:durableId="1636639180">
    <w:abstractNumId w:val="33"/>
  </w:num>
  <w:num w:numId="42" w16cid:durableId="2141148861">
    <w:abstractNumId w:val="46"/>
  </w:num>
  <w:num w:numId="43" w16cid:durableId="1539007838">
    <w:abstractNumId w:val="14"/>
  </w:num>
  <w:num w:numId="44" w16cid:durableId="1147475425">
    <w:abstractNumId w:val="11"/>
  </w:num>
  <w:num w:numId="45" w16cid:durableId="2063433024">
    <w:abstractNumId w:val="17"/>
  </w:num>
  <w:num w:numId="46" w16cid:durableId="1006400972">
    <w:abstractNumId w:val="43"/>
  </w:num>
  <w:num w:numId="47" w16cid:durableId="1389264427">
    <w:abstractNumId w:val="32"/>
  </w:num>
  <w:num w:numId="48" w16cid:durableId="1766263457">
    <w:abstractNumId w:val="28"/>
  </w:num>
  <w:num w:numId="49" w16cid:durableId="179246590">
    <w:abstractNumId w:val="15"/>
  </w:num>
  <w:num w:numId="50" w16cid:durableId="1678459523">
    <w:abstractNumId w:val="9"/>
  </w:num>
  <w:num w:numId="51" w16cid:durableId="197906910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567"/>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3C0"/>
    <w:rsid w:val="00001124"/>
    <w:rsid w:val="00003B9C"/>
    <w:rsid w:val="00011FAE"/>
    <w:rsid w:val="00012EF5"/>
    <w:rsid w:val="00013C44"/>
    <w:rsid w:val="00014BFA"/>
    <w:rsid w:val="00026076"/>
    <w:rsid w:val="0002762D"/>
    <w:rsid w:val="00030B00"/>
    <w:rsid w:val="00030F5F"/>
    <w:rsid w:val="00031988"/>
    <w:rsid w:val="00043BE3"/>
    <w:rsid w:val="00047058"/>
    <w:rsid w:val="000510F9"/>
    <w:rsid w:val="00051DB3"/>
    <w:rsid w:val="00052718"/>
    <w:rsid w:val="00053057"/>
    <w:rsid w:val="0005619B"/>
    <w:rsid w:val="000579C1"/>
    <w:rsid w:val="00061790"/>
    <w:rsid w:val="000654B5"/>
    <w:rsid w:val="00070E39"/>
    <w:rsid w:val="0007215D"/>
    <w:rsid w:val="00072EB8"/>
    <w:rsid w:val="00073A25"/>
    <w:rsid w:val="000749F6"/>
    <w:rsid w:val="00081CC1"/>
    <w:rsid w:val="000833BB"/>
    <w:rsid w:val="000940A3"/>
    <w:rsid w:val="000A02BF"/>
    <w:rsid w:val="000A470F"/>
    <w:rsid w:val="000A7DDB"/>
    <w:rsid w:val="000B5761"/>
    <w:rsid w:val="000C538E"/>
    <w:rsid w:val="000C6DAB"/>
    <w:rsid w:val="000D1F55"/>
    <w:rsid w:val="000D2A30"/>
    <w:rsid w:val="000D6D14"/>
    <w:rsid w:val="000E0B71"/>
    <w:rsid w:val="000F0829"/>
    <w:rsid w:val="000F4B74"/>
    <w:rsid w:val="00116936"/>
    <w:rsid w:val="00120BAB"/>
    <w:rsid w:val="0012211B"/>
    <w:rsid w:val="00123669"/>
    <w:rsid w:val="001239A7"/>
    <w:rsid w:val="00127F1F"/>
    <w:rsid w:val="00134AC2"/>
    <w:rsid w:val="001350A1"/>
    <w:rsid w:val="0014066D"/>
    <w:rsid w:val="0014069C"/>
    <w:rsid w:val="00141C6C"/>
    <w:rsid w:val="001433BF"/>
    <w:rsid w:val="00143417"/>
    <w:rsid w:val="00143A88"/>
    <w:rsid w:val="00145297"/>
    <w:rsid w:val="00150C0A"/>
    <w:rsid w:val="00150D2D"/>
    <w:rsid w:val="0015688A"/>
    <w:rsid w:val="001622B1"/>
    <w:rsid w:val="00165003"/>
    <w:rsid w:val="001705F1"/>
    <w:rsid w:val="001729AE"/>
    <w:rsid w:val="00194051"/>
    <w:rsid w:val="0019439C"/>
    <w:rsid w:val="0019554A"/>
    <w:rsid w:val="00197D0B"/>
    <w:rsid w:val="001A41ED"/>
    <w:rsid w:val="001B039D"/>
    <w:rsid w:val="001B1C86"/>
    <w:rsid w:val="001B49DB"/>
    <w:rsid w:val="001B5EA7"/>
    <w:rsid w:val="001C6BE2"/>
    <w:rsid w:val="001C78DF"/>
    <w:rsid w:val="001D1A62"/>
    <w:rsid w:val="001D2380"/>
    <w:rsid w:val="001E6937"/>
    <w:rsid w:val="001F1FB4"/>
    <w:rsid w:val="001F5749"/>
    <w:rsid w:val="0020213B"/>
    <w:rsid w:val="00202379"/>
    <w:rsid w:val="00204839"/>
    <w:rsid w:val="00204F05"/>
    <w:rsid w:val="002157AC"/>
    <w:rsid w:val="002178D7"/>
    <w:rsid w:val="002206D6"/>
    <w:rsid w:val="00224E63"/>
    <w:rsid w:val="002265A1"/>
    <w:rsid w:val="00233BBA"/>
    <w:rsid w:val="0025449D"/>
    <w:rsid w:val="00254B55"/>
    <w:rsid w:val="00255E52"/>
    <w:rsid w:val="00255F85"/>
    <w:rsid w:val="00261FAE"/>
    <w:rsid w:val="002626A8"/>
    <w:rsid w:val="00266A07"/>
    <w:rsid w:val="0026705C"/>
    <w:rsid w:val="00270E93"/>
    <w:rsid w:val="002711F4"/>
    <w:rsid w:val="002712C1"/>
    <w:rsid w:val="0027196C"/>
    <w:rsid w:val="00277F4D"/>
    <w:rsid w:val="00281171"/>
    <w:rsid w:val="00284946"/>
    <w:rsid w:val="002859BD"/>
    <w:rsid w:val="00286E69"/>
    <w:rsid w:val="0029100C"/>
    <w:rsid w:val="002948EB"/>
    <w:rsid w:val="00297A5B"/>
    <w:rsid w:val="002A7B0B"/>
    <w:rsid w:val="002B29F8"/>
    <w:rsid w:val="002B72C5"/>
    <w:rsid w:val="002B770D"/>
    <w:rsid w:val="002C0BC2"/>
    <w:rsid w:val="002D1160"/>
    <w:rsid w:val="002D3768"/>
    <w:rsid w:val="002D4E94"/>
    <w:rsid w:val="002D636B"/>
    <w:rsid w:val="002D65B4"/>
    <w:rsid w:val="002D70E7"/>
    <w:rsid w:val="002D7CB8"/>
    <w:rsid w:val="002E1324"/>
    <w:rsid w:val="002E2565"/>
    <w:rsid w:val="002E6ABC"/>
    <w:rsid w:val="002F5445"/>
    <w:rsid w:val="002F7AAC"/>
    <w:rsid w:val="003034C8"/>
    <w:rsid w:val="00306D56"/>
    <w:rsid w:val="00306F1A"/>
    <w:rsid w:val="00313A39"/>
    <w:rsid w:val="00314DB3"/>
    <w:rsid w:val="003203AD"/>
    <w:rsid w:val="00322F2B"/>
    <w:rsid w:val="00323A09"/>
    <w:rsid w:val="00327DFF"/>
    <w:rsid w:val="00334B9F"/>
    <w:rsid w:val="00344D12"/>
    <w:rsid w:val="003450BB"/>
    <w:rsid w:val="00345B0A"/>
    <w:rsid w:val="00347E12"/>
    <w:rsid w:val="0035159F"/>
    <w:rsid w:val="003550B6"/>
    <w:rsid w:val="003637B7"/>
    <w:rsid w:val="00364478"/>
    <w:rsid w:val="00365FF0"/>
    <w:rsid w:val="00367ECB"/>
    <w:rsid w:val="00375780"/>
    <w:rsid w:val="00376033"/>
    <w:rsid w:val="0037708B"/>
    <w:rsid w:val="00384530"/>
    <w:rsid w:val="0038481A"/>
    <w:rsid w:val="003849FB"/>
    <w:rsid w:val="003B603D"/>
    <w:rsid w:val="003D2D9C"/>
    <w:rsid w:val="003D38D7"/>
    <w:rsid w:val="003E19E8"/>
    <w:rsid w:val="003F4FA5"/>
    <w:rsid w:val="00405F89"/>
    <w:rsid w:val="00410AE0"/>
    <w:rsid w:val="00420B86"/>
    <w:rsid w:val="00421184"/>
    <w:rsid w:val="0042210B"/>
    <w:rsid w:val="004249A4"/>
    <w:rsid w:val="004264A1"/>
    <w:rsid w:val="004274D9"/>
    <w:rsid w:val="0043784B"/>
    <w:rsid w:val="00437BC1"/>
    <w:rsid w:val="0044007E"/>
    <w:rsid w:val="0044331D"/>
    <w:rsid w:val="00443561"/>
    <w:rsid w:val="00445A68"/>
    <w:rsid w:val="00450AEF"/>
    <w:rsid w:val="004538B0"/>
    <w:rsid w:val="0045729C"/>
    <w:rsid w:val="00460EF5"/>
    <w:rsid w:val="004614BD"/>
    <w:rsid w:val="00465932"/>
    <w:rsid w:val="00466DC8"/>
    <w:rsid w:val="00467D31"/>
    <w:rsid w:val="00471683"/>
    <w:rsid w:val="00475C34"/>
    <w:rsid w:val="0048778E"/>
    <w:rsid w:val="00495349"/>
    <w:rsid w:val="004A0A53"/>
    <w:rsid w:val="004A5C3C"/>
    <w:rsid w:val="004A76DC"/>
    <w:rsid w:val="004B0DD3"/>
    <w:rsid w:val="004B12B7"/>
    <w:rsid w:val="004B2E7B"/>
    <w:rsid w:val="004B2EB3"/>
    <w:rsid w:val="004B39C5"/>
    <w:rsid w:val="004B7C72"/>
    <w:rsid w:val="004C0FDD"/>
    <w:rsid w:val="004C2F3F"/>
    <w:rsid w:val="004C4896"/>
    <w:rsid w:val="004C68A9"/>
    <w:rsid w:val="004D3883"/>
    <w:rsid w:val="004E4896"/>
    <w:rsid w:val="004E6698"/>
    <w:rsid w:val="004F3539"/>
    <w:rsid w:val="004F40A4"/>
    <w:rsid w:val="004F5827"/>
    <w:rsid w:val="00502D2E"/>
    <w:rsid w:val="00513B3B"/>
    <w:rsid w:val="005157B2"/>
    <w:rsid w:val="00520B54"/>
    <w:rsid w:val="00525FF3"/>
    <w:rsid w:val="00532970"/>
    <w:rsid w:val="0054578B"/>
    <w:rsid w:val="005530B7"/>
    <w:rsid w:val="00572A20"/>
    <w:rsid w:val="00577B72"/>
    <w:rsid w:val="00581E76"/>
    <w:rsid w:val="005919C0"/>
    <w:rsid w:val="005A2C93"/>
    <w:rsid w:val="005A5CD8"/>
    <w:rsid w:val="005B1954"/>
    <w:rsid w:val="005B4334"/>
    <w:rsid w:val="005C1238"/>
    <w:rsid w:val="005C5EDA"/>
    <w:rsid w:val="005D2590"/>
    <w:rsid w:val="005D32F9"/>
    <w:rsid w:val="005D37C6"/>
    <w:rsid w:val="005D3BD6"/>
    <w:rsid w:val="005E0976"/>
    <w:rsid w:val="005E1C29"/>
    <w:rsid w:val="005E1E61"/>
    <w:rsid w:val="005E3F02"/>
    <w:rsid w:val="005E4395"/>
    <w:rsid w:val="005E4A11"/>
    <w:rsid w:val="005E534C"/>
    <w:rsid w:val="005F1A2E"/>
    <w:rsid w:val="00602C73"/>
    <w:rsid w:val="00604E47"/>
    <w:rsid w:val="00606C59"/>
    <w:rsid w:val="00606D0A"/>
    <w:rsid w:val="00610898"/>
    <w:rsid w:val="00617C8D"/>
    <w:rsid w:val="0062013D"/>
    <w:rsid w:val="006251BB"/>
    <w:rsid w:val="006316C7"/>
    <w:rsid w:val="00636A71"/>
    <w:rsid w:val="00636C3C"/>
    <w:rsid w:val="00651FC3"/>
    <w:rsid w:val="00653992"/>
    <w:rsid w:val="00653A18"/>
    <w:rsid w:val="00657ABB"/>
    <w:rsid w:val="0067576D"/>
    <w:rsid w:val="0067607D"/>
    <w:rsid w:val="00676A26"/>
    <w:rsid w:val="00681B52"/>
    <w:rsid w:val="0068784D"/>
    <w:rsid w:val="006932B7"/>
    <w:rsid w:val="00693F9D"/>
    <w:rsid w:val="0069405E"/>
    <w:rsid w:val="006A433F"/>
    <w:rsid w:val="006A7653"/>
    <w:rsid w:val="006B4B9F"/>
    <w:rsid w:val="006C125F"/>
    <w:rsid w:val="006D18BE"/>
    <w:rsid w:val="006D293A"/>
    <w:rsid w:val="006D7279"/>
    <w:rsid w:val="006F45EE"/>
    <w:rsid w:val="006F6140"/>
    <w:rsid w:val="006F70D0"/>
    <w:rsid w:val="00702FD6"/>
    <w:rsid w:val="00703FA3"/>
    <w:rsid w:val="00706E5E"/>
    <w:rsid w:val="007125AB"/>
    <w:rsid w:val="00715D11"/>
    <w:rsid w:val="007229F7"/>
    <w:rsid w:val="00723B7D"/>
    <w:rsid w:val="0072433F"/>
    <w:rsid w:val="00726845"/>
    <w:rsid w:val="00732A6C"/>
    <w:rsid w:val="007340C3"/>
    <w:rsid w:val="00740F0B"/>
    <w:rsid w:val="0075108B"/>
    <w:rsid w:val="00752E99"/>
    <w:rsid w:val="007548C8"/>
    <w:rsid w:val="007555FC"/>
    <w:rsid w:val="00756C9E"/>
    <w:rsid w:val="00760C5B"/>
    <w:rsid w:val="00771964"/>
    <w:rsid w:val="0077257B"/>
    <w:rsid w:val="007742AC"/>
    <w:rsid w:val="00776A7F"/>
    <w:rsid w:val="00783ADF"/>
    <w:rsid w:val="007870B6"/>
    <w:rsid w:val="0079702C"/>
    <w:rsid w:val="007A0A94"/>
    <w:rsid w:val="007A33C0"/>
    <w:rsid w:val="007A4B03"/>
    <w:rsid w:val="007A5629"/>
    <w:rsid w:val="007A61E2"/>
    <w:rsid w:val="007A7D68"/>
    <w:rsid w:val="007C13AF"/>
    <w:rsid w:val="007C17D6"/>
    <w:rsid w:val="007C361D"/>
    <w:rsid w:val="007C54A0"/>
    <w:rsid w:val="007C633A"/>
    <w:rsid w:val="007D306C"/>
    <w:rsid w:val="007D7802"/>
    <w:rsid w:val="007E360D"/>
    <w:rsid w:val="00801556"/>
    <w:rsid w:val="00802BA9"/>
    <w:rsid w:val="0080779E"/>
    <w:rsid w:val="00812CB9"/>
    <w:rsid w:val="00813385"/>
    <w:rsid w:val="008272AD"/>
    <w:rsid w:val="008402A4"/>
    <w:rsid w:val="008507B6"/>
    <w:rsid w:val="00850D6F"/>
    <w:rsid w:val="00866FCE"/>
    <w:rsid w:val="00874EBB"/>
    <w:rsid w:val="00882F3D"/>
    <w:rsid w:val="00886260"/>
    <w:rsid w:val="00887583"/>
    <w:rsid w:val="00896CE6"/>
    <w:rsid w:val="00896F8F"/>
    <w:rsid w:val="008A05FA"/>
    <w:rsid w:val="008A26F9"/>
    <w:rsid w:val="008B2A0F"/>
    <w:rsid w:val="008C6D8E"/>
    <w:rsid w:val="008C717E"/>
    <w:rsid w:val="008D0811"/>
    <w:rsid w:val="008D6AAA"/>
    <w:rsid w:val="008E1404"/>
    <w:rsid w:val="008F7946"/>
    <w:rsid w:val="00910AD1"/>
    <w:rsid w:val="00914A6C"/>
    <w:rsid w:val="0091655F"/>
    <w:rsid w:val="00916D06"/>
    <w:rsid w:val="00917D62"/>
    <w:rsid w:val="00920088"/>
    <w:rsid w:val="009265F1"/>
    <w:rsid w:val="00941800"/>
    <w:rsid w:val="00943E4A"/>
    <w:rsid w:val="00944170"/>
    <w:rsid w:val="00944F03"/>
    <w:rsid w:val="009556BB"/>
    <w:rsid w:val="00961BD2"/>
    <w:rsid w:val="00965D7C"/>
    <w:rsid w:val="00966E6D"/>
    <w:rsid w:val="00967335"/>
    <w:rsid w:val="00967F10"/>
    <w:rsid w:val="0097217F"/>
    <w:rsid w:val="00973B58"/>
    <w:rsid w:val="00977AF6"/>
    <w:rsid w:val="009910CB"/>
    <w:rsid w:val="00996950"/>
    <w:rsid w:val="009A7585"/>
    <w:rsid w:val="009B2EE5"/>
    <w:rsid w:val="009B3153"/>
    <w:rsid w:val="009C4DF3"/>
    <w:rsid w:val="009D64ED"/>
    <w:rsid w:val="009E649A"/>
    <w:rsid w:val="009F4778"/>
    <w:rsid w:val="009F4F33"/>
    <w:rsid w:val="00A00643"/>
    <w:rsid w:val="00A12059"/>
    <w:rsid w:val="00A179B5"/>
    <w:rsid w:val="00A17C67"/>
    <w:rsid w:val="00A2058F"/>
    <w:rsid w:val="00A205C0"/>
    <w:rsid w:val="00A219A0"/>
    <w:rsid w:val="00A26D04"/>
    <w:rsid w:val="00A27E58"/>
    <w:rsid w:val="00A3322E"/>
    <w:rsid w:val="00A45F32"/>
    <w:rsid w:val="00A53889"/>
    <w:rsid w:val="00A55839"/>
    <w:rsid w:val="00A62288"/>
    <w:rsid w:val="00A70AF2"/>
    <w:rsid w:val="00A724AD"/>
    <w:rsid w:val="00A72E9D"/>
    <w:rsid w:val="00A74E52"/>
    <w:rsid w:val="00A75C53"/>
    <w:rsid w:val="00A77FEC"/>
    <w:rsid w:val="00A80786"/>
    <w:rsid w:val="00A8508E"/>
    <w:rsid w:val="00A86313"/>
    <w:rsid w:val="00A90DE6"/>
    <w:rsid w:val="00A92993"/>
    <w:rsid w:val="00A96C4A"/>
    <w:rsid w:val="00AA06AA"/>
    <w:rsid w:val="00AA0E2E"/>
    <w:rsid w:val="00AA4697"/>
    <w:rsid w:val="00AA591A"/>
    <w:rsid w:val="00AA5C17"/>
    <w:rsid w:val="00AB04F6"/>
    <w:rsid w:val="00AB7F8C"/>
    <w:rsid w:val="00AC630E"/>
    <w:rsid w:val="00AD1F72"/>
    <w:rsid w:val="00AD267C"/>
    <w:rsid w:val="00AD3CFA"/>
    <w:rsid w:val="00AD57AF"/>
    <w:rsid w:val="00AD57D6"/>
    <w:rsid w:val="00AE0227"/>
    <w:rsid w:val="00AE32AB"/>
    <w:rsid w:val="00AE565F"/>
    <w:rsid w:val="00AE681E"/>
    <w:rsid w:val="00B001AA"/>
    <w:rsid w:val="00B00700"/>
    <w:rsid w:val="00B02BB6"/>
    <w:rsid w:val="00B1527D"/>
    <w:rsid w:val="00B1622A"/>
    <w:rsid w:val="00B17DDC"/>
    <w:rsid w:val="00B256F1"/>
    <w:rsid w:val="00B370E8"/>
    <w:rsid w:val="00B4031C"/>
    <w:rsid w:val="00B43948"/>
    <w:rsid w:val="00B52F96"/>
    <w:rsid w:val="00B5752F"/>
    <w:rsid w:val="00B61624"/>
    <w:rsid w:val="00B6340F"/>
    <w:rsid w:val="00B6356B"/>
    <w:rsid w:val="00B7427E"/>
    <w:rsid w:val="00B81F61"/>
    <w:rsid w:val="00B87471"/>
    <w:rsid w:val="00B87B7D"/>
    <w:rsid w:val="00B87CDB"/>
    <w:rsid w:val="00B92E4C"/>
    <w:rsid w:val="00B92FEB"/>
    <w:rsid w:val="00B96635"/>
    <w:rsid w:val="00BA6958"/>
    <w:rsid w:val="00BB3BC0"/>
    <w:rsid w:val="00BB4A4E"/>
    <w:rsid w:val="00BC1101"/>
    <w:rsid w:val="00BC113B"/>
    <w:rsid w:val="00BC2DDD"/>
    <w:rsid w:val="00BC44C3"/>
    <w:rsid w:val="00BC4654"/>
    <w:rsid w:val="00BD08D7"/>
    <w:rsid w:val="00BD2373"/>
    <w:rsid w:val="00BD5360"/>
    <w:rsid w:val="00BD775C"/>
    <w:rsid w:val="00BE2496"/>
    <w:rsid w:val="00BE7E2B"/>
    <w:rsid w:val="00BF22FA"/>
    <w:rsid w:val="00BF3B76"/>
    <w:rsid w:val="00C03AB7"/>
    <w:rsid w:val="00C04E89"/>
    <w:rsid w:val="00C06866"/>
    <w:rsid w:val="00C07114"/>
    <w:rsid w:val="00C17AD1"/>
    <w:rsid w:val="00C258EF"/>
    <w:rsid w:val="00C319A2"/>
    <w:rsid w:val="00C32A7F"/>
    <w:rsid w:val="00C3549F"/>
    <w:rsid w:val="00C37485"/>
    <w:rsid w:val="00C40ABD"/>
    <w:rsid w:val="00C4782B"/>
    <w:rsid w:val="00C53D3C"/>
    <w:rsid w:val="00C54A92"/>
    <w:rsid w:val="00C567E8"/>
    <w:rsid w:val="00C623A9"/>
    <w:rsid w:val="00C6619B"/>
    <w:rsid w:val="00C7698D"/>
    <w:rsid w:val="00C76C09"/>
    <w:rsid w:val="00C83846"/>
    <w:rsid w:val="00C92BD2"/>
    <w:rsid w:val="00C94F69"/>
    <w:rsid w:val="00C96422"/>
    <w:rsid w:val="00C97229"/>
    <w:rsid w:val="00CA30DF"/>
    <w:rsid w:val="00CA3A8C"/>
    <w:rsid w:val="00CA5A49"/>
    <w:rsid w:val="00CA7A62"/>
    <w:rsid w:val="00CA7D04"/>
    <w:rsid w:val="00CB750C"/>
    <w:rsid w:val="00CC150C"/>
    <w:rsid w:val="00CC771B"/>
    <w:rsid w:val="00CD211A"/>
    <w:rsid w:val="00CD261E"/>
    <w:rsid w:val="00CD4C9D"/>
    <w:rsid w:val="00CE22EE"/>
    <w:rsid w:val="00CF2755"/>
    <w:rsid w:val="00CF37EE"/>
    <w:rsid w:val="00CF65BD"/>
    <w:rsid w:val="00CF6EBD"/>
    <w:rsid w:val="00D04509"/>
    <w:rsid w:val="00D16395"/>
    <w:rsid w:val="00D17316"/>
    <w:rsid w:val="00D1760D"/>
    <w:rsid w:val="00D21E0B"/>
    <w:rsid w:val="00D22A91"/>
    <w:rsid w:val="00D22E12"/>
    <w:rsid w:val="00D267FC"/>
    <w:rsid w:val="00D32645"/>
    <w:rsid w:val="00D32A85"/>
    <w:rsid w:val="00D36CE6"/>
    <w:rsid w:val="00D4294F"/>
    <w:rsid w:val="00D46FD1"/>
    <w:rsid w:val="00D504EA"/>
    <w:rsid w:val="00D62092"/>
    <w:rsid w:val="00D634B1"/>
    <w:rsid w:val="00D65CC9"/>
    <w:rsid w:val="00D71C7E"/>
    <w:rsid w:val="00D7270B"/>
    <w:rsid w:val="00D75217"/>
    <w:rsid w:val="00D767B3"/>
    <w:rsid w:val="00D83DCA"/>
    <w:rsid w:val="00D916DA"/>
    <w:rsid w:val="00D97F2A"/>
    <w:rsid w:val="00DA05DC"/>
    <w:rsid w:val="00DA23EC"/>
    <w:rsid w:val="00DB15C8"/>
    <w:rsid w:val="00DB1AEF"/>
    <w:rsid w:val="00DC1CF3"/>
    <w:rsid w:val="00DC507A"/>
    <w:rsid w:val="00DC5A95"/>
    <w:rsid w:val="00DD066B"/>
    <w:rsid w:val="00DD6645"/>
    <w:rsid w:val="00DD702D"/>
    <w:rsid w:val="00DE23F2"/>
    <w:rsid w:val="00DE4989"/>
    <w:rsid w:val="00DF06A2"/>
    <w:rsid w:val="00E02A5C"/>
    <w:rsid w:val="00E043D4"/>
    <w:rsid w:val="00E063E4"/>
    <w:rsid w:val="00E07476"/>
    <w:rsid w:val="00E0779E"/>
    <w:rsid w:val="00E119DC"/>
    <w:rsid w:val="00E12245"/>
    <w:rsid w:val="00E131F0"/>
    <w:rsid w:val="00E16F19"/>
    <w:rsid w:val="00E20898"/>
    <w:rsid w:val="00E2598B"/>
    <w:rsid w:val="00E32A62"/>
    <w:rsid w:val="00E345A8"/>
    <w:rsid w:val="00E44A86"/>
    <w:rsid w:val="00E44B85"/>
    <w:rsid w:val="00E44BD4"/>
    <w:rsid w:val="00E44DB0"/>
    <w:rsid w:val="00E522A5"/>
    <w:rsid w:val="00E5424A"/>
    <w:rsid w:val="00E579CC"/>
    <w:rsid w:val="00E65C8C"/>
    <w:rsid w:val="00E67938"/>
    <w:rsid w:val="00E7235D"/>
    <w:rsid w:val="00E73136"/>
    <w:rsid w:val="00E76283"/>
    <w:rsid w:val="00E80EB2"/>
    <w:rsid w:val="00E83E68"/>
    <w:rsid w:val="00E869C8"/>
    <w:rsid w:val="00E8712D"/>
    <w:rsid w:val="00E8714A"/>
    <w:rsid w:val="00E935D2"/>
    <w:rsid w:val="00E956F4"/>
    <w:rsid w:val="00EA0456"/>
    <w:rsid w:val="00EA1C02"/>
    <w:rsid w:val="00EA2AA2"/>
    <w:rsid w:val="00EA4B2A"/>
    <w:rsid w:val="00EA4BD0"/>
    <w:rsid w:val="00EA60D9"/>
    <w:rsid w:val="00EB7202"/>
    <w:rsid w:val="00EC0632"/>
    <w:rsid w:val="00EC3164"/>
    <w:rsid w:val="00EC402F"/>
    <w:rsid w:val="00ED0003"/>
    <w:rsid w:val="00ED5129"/>
    <w:rsid w:val="00ED707D"/>
    <w:rsid w:val="00EE25C5"/>
    <w:rsid w:val="00EE6C43"/>
    <w:rsid w:val="00EF168C"/>
    <w:rsid w:val="00EF4408"/>
    <w:rsid w:val="00EF6F4C"/>
    <w:rsid w:val="00EF7445"/>
    <w:rsid w:val="00F045F1"/>
    <w:rsid w:val="00F11431"/>
    <w:rsid w:val="00F1242E"/>
    <w:rsid w:val="00F13274"/>
    <w:rsid w:val="00F227C5"/>
    <w:rsid w:val="00F30FD9"/>
    <w:rsid w:val="00F3218A"/>
    <w:rsid w:val="00F352B2"/>
    <w:rsid w:val="00F43693"/>
    <w:rsid w:val="00F45776"/>
    <w:rsid w:val="00F46CC0"/>
    <w:rsid w:val="00F51001"/>
    <w:rsid w:val="00F57FB2"/>
    <w:rsid w:val="00F60397"/>
    <w:rsid w:val="00F70B3C"/>
    <w:rsid w:val="00F70FB2"/>
    <w:rsid w:val="00F72A9C"/>
    <w:rsid w:val="00F73A4A"/>
    <w:rsid w:val="00F77793"/>
    <w:rsid w:val="00F9022C"/>
    <w:rsid w:val="00F94591"/>
    <w:rsid w:val="00F94F77"/>
    <w:rsid w:val="00F9513F"/>
    <w:rsid w:val="00FA3F67"/>
    <w:rsid w:val="00FA581A"/>
    <w:rsid w:val="00FA69AB"/>
    <w:rsid w:val="00FA7938"/>
    <w:rsid w:val="00FC0F09"/>
    <w:rsid w:val="00FC181B"/>
    <w:rsid w:val="00FC5CE2"/>
    <w:rsid w:val="00FC679D"/>
    <w:rsid w:val="00FD2411"/>
    <w:rsid w:val="00FD2498"/>
    <w:rsid w:val="00FD3C60"/>
    <w:rsid w:val="00FD509F"/>
    <w:rsid w:val="00FD639A"/>
    <w:rsid w:val="00FE0802"/>
    <w:rsid w:val="00FE5FAA"/>
    <w:rsid w:val="00FF0CD9"/>
    <w:rsid w:val="00FF2770"/>
    <w:rsid w:val="00FF2929"/>
    <w:rsid w:val="00FF4A3C"/>
    <w:rsid w:val="00FF6C00"/>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51D87C"/>
  <w15:docId w15:val="{40E3C351-974D-47A9-ACDC-9593AB839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729C"/>
    <w:rPr>
      <w:rFonts w:eastAsiaTheme="minorHAnsi"/>
      <w:lang w:eastAsia="en-US"/>
    </w:rPr>
  </w:style>
  <w:style w:type="paragraph" w:styleId="Ttulo1">
    <w:name w:val="heading 1"/>
    <w:basedOn w:val="Normal"/>
    <w:next w:val="Normal"/>
    <w:link w:val="Ttulo1Car"/>
    <w:qFormat/>
    <w:rsid w:val="00A62288"/>
    <w:pPr>
      <w:keepNext/>
      <w:keepLines/>
      <w:tabs>
        <w:tab w:val="left" w:pos="567"/>
      </w:tabs>
      <w:snapToGrid w:val="0"/>
      <w:spacing w:before="240" w:after="240" w:line="240" w:lineRule="auto"/>
      <w:jc w:val="center"/>
      <w:outlineLvl w:val="0"/>
    </w:pPr>
    <w:rPr>
      <w:rFonts w:ascii="Arial" w:eastAsia="Times New Roman" w:hAnsi="Arial" w:cs="Times New Roman"/>
      <w:b/>
      <w:bCs/>
      <w:snapToGrid w:val="0"/>
      <w:kern w:val="28"/>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62288"/>
    <w:rPr>
      <w:rFonts w:ascii="Arial" w:eastAsia="Times New Roman" w:hAnsi="Arial" w:cs="Times New Roman"/>
      <w:b/>
      <w:bCs/>
      <w:snapToGrid w:val="0"/>
      <w:kern w:val="28"/>
      <w:szCs w:val="24"/>
      <w:lang w:eastAsia="en-US"/>
    </w:rPr>
  </w:style>
  <w:style w:type="paragraph" w:styleId="Encabezado">
    <w:name w:val="header"/>
    <w:basedOn w:val="Normal"/>
    <w:link w:val="EncabezadoCar"/>
    <w:unhideWhenUsed/>
    <w:rsid w:val="00A62288"/>
    <w:pPr>
      <w:tabs>
        <w:tab w:val="center" w:pos="4536"/>
        <w:tab w:val="right" w:pos="9072"/>
      </w:tabs>
      <w:spacing w:after="0" w:line="240" w:lineRule="auto"/>
    </w:pPr>
  </w:style>
  <w:style w:type="character" w:customStyle="1" w:styleId="EncabezadoCar">
    <w:name w:val="Encabezado Car"/>
    <w:basedOn w:val="Fuentedeprrafopredeter"/>
    <w:link w:val="Encabezado"/>
    <w:rsid w:val="00A62288"/>
    <w:rPr>
      <w:rFonts w:eastAsiaTheme="minorHAnsi"/>
      <w:lang w:eastAsia="en-US"/>
    </w:rPr>
  </w:style>
  <w:style w:type="paragraph" w:customStyle="1" w:styleId="cote">
    <w:name w:val="cote"/>
    <w:basedOn w:val="Normal"/>
    <w:qFormat/>
    <w:rsid w:val="00A62288"/>
    <w:pPr>
      <w:tabs>
        <w:tab w:val="left" w:pos="567"/>
      </w:tabs>
      <w:snapToGrid w:val="0"/>
      <w:spacing w:after="0" w:line="240" w:lineRule="auto"/>
    </w:pPr>
    <w:rPr>
      <w:rFonts w:ascii="Arial" w:eastAsia="SimSun" w:hAnsi="Arial" w:cs="Times New Roman"/>
      <w:snapToGrid w:val="0"/>
      <w:szCs w:val="24"/>
      <w:lang w:eastAsia="zh-CN"/>
    </w:rPr>
  </w:style>
  <w:style w:type="paragraph" w:styleId="Prrafodelista">
    <w:name w:val="List Paragraph"/>
    <w:aliases w:val="ADB List Paragraph,Dot pt,List Paragraph Char Char Char,Indicator Text,Numbered Para 1,List Paragraph12,Bullet Points,MAIN CONTENT,Bullet 1,Light Grid - Accent 31,References,Indent Paragraph,stil3,List Paragraph (numbered (a))"/>
    <w:basedOn w:val="Normal"/>
    <w:link w:val="PrrafodelistaCar"/>
    <w:uiPriority w:val="34"/>
    <w:qFormat/>
    <w:rsid w:val="00A62288"/>
    <w:pPr>
      <w:ind w:left="720"/>
      <w:contextualSpacing/>
    </w:pPr>
  </w:style>
  <w:style w:type="paragraph" w:styleId="Piedepgina">
    <w:name w:val="footer"/>
    <w:basedOn w:val="Normal"/>
    <w:link w:val="PiedepginaCar"/>
    <w:uiPriority w:val="99"/>
    <w:unhideWhenUsed/>
    <w:rsid w:val="00A62288"/>
    <w:pPr>
      <w:tabs>
        <w:tab w:val="center" w:pos="4703"/>
        <w:tab w:val="right" w:pos="9406"/>
      </w:tabs>
      <w:spacing w:after="0" w:line="240" w:lineRule="auto"/>
    </w:pPr>
  </w:style>
  <w:style w:type="character" w:customStyle="1" w:styleId="PiedepginaCar">
    <w:name w:val="Pie de página Car"/>
    <w:basedOn w:val="Fuentedeprrafopredeter"/>
    <w:link w:val="Piedepgina"/>
    <w:uiPriority w:val="99"/>
    <w:rsid w:val="00A62288"/>
    <w:rPr>
      <w:rFonts w:eastAsiaTheme="minorHAnsi"/>
      <w:lang w:eastAsia="en-US"/>
    </w:rPr>
  </w:style>
  <w:style w:type="character" w:styleId="Refdecomentario">
    <w:name w:val="annotation reference"/>
    <w:basedOn w:val="Fuentedeprrafopredeter"/>
    <w:uiPriority w:val="99"/>
    <w:semiHidden/>
    <w:unhideWhenUsed/>
    <w:rsid w:val="00A62288"/>
    <w:rPr>
      <w:sz w:val="16"/>
      <w:szCs w:val="16"/>
    </w:rPr>
  </w:style>
  <w:style w:type="paragraph" w:styleId="Textocomentario">
    <w:name w:val="annotation text"/>
    <w:basedOn w:val="Normal"/>
    <w:link w:val="TextocomentarioCar"/>
    <w:uiPriority w:val="99"/>
    <w:semiHidden/>
    <w:unhideWhenUsed/>
    <w:rsid w:val="00A6228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62288"/>
    <w:rPr>
      <w:rFonts w:eastAsiaTheme="minorHAnsi"/>
      <w:sz w:val="20"/>
      <w:szCs w:val="20"/>
      <w:lang w:eastAsia="en-US"/>
    </w:rPr>
  </w:style>
  <w:style w:type="paragraph" w:styleId="Textodeglobo">
    <w:name w:val="Balloon Text"/>
    <w:basedOn w:val="Normal"/>
    <w:link w:val="TextodegloboCar"/>
    <w:uiPriority w:val="99"/>
    <w:semiHidden/>
    <w:unhideWhenUsed/>
    <w:rsid w:val="00A6228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62288"/>
    <w:rPr>
      <w:rFonts w:ascii="Segoe UI" w:eastAsiaTheme="minorHAnsi" w:hAnsi="Segoe UI" w:cs="Segoe UI"/>
      <w:sz w:val="18"/>
      <w:szCs w:val="18"/>
      <w:lang w:eastAsia="en-US"/>
    </w:rPr>
  </w:style>
  <w:style w:type="paragraph" w:styleId="Asuntodelcomentario">
    <w:name w:val="annotation subject"/>
    <w:basedOn w:val="Textocomentario"/>
    <w:next w:val="Textocomentario"/>
    <w:link w:val="AsuntodelcomentarioCar"/>
    <w:uiPriority w:val="99"/>
    <w:semiHidden/>
    <w:unhideWhenUsed/>
    <w:rsid w:val="00577B72"/>
    <w:rPr>
      <w:b/>
      <w:bCs/>
    </w:rPr>
  </w:style>
  <w:style w:type="character" w:customStyle="1" w:styleId="AsuntodelcomentarioCar">
    <w:name w:val="Asunto del comentario Car"/>
    <w:basedOn w:val="TextocomentarioCar"/>
    <w:link w:val="Asuntodelcomentario"/>
    <w:uiPriority w:val="99"/>
    <w:semiHidden/>
    <w:rsid w:val="00577B72"/>
    <w:rPr>
      <w:rFonts w:eastAsiaTheme="minorHAnsi"/>
      <w:b/>
      <w:bCs/>
      <w:sz w:val="20"/>
      <w:szCs w:val="20"/>
      <w:lang w:eastAsia="en-US"/>
    </w:rPr>
  </w:style>
  <w:style w:type="paragraph" w:customStyle="1" w:styleId="b">
    <w:name w:val="(b)"/>
    <w:basedOn w:val="Normal"/>
    <w:link w:val="bCar"/>
    <w:rsid w:val="005C5EDA"/>
    <w:pPr>
      <w:tabs>
        <w:tab w:val="left" w:pos="-737"/>
        <w:tab w:val="left" w:pos="1134"/>
      </w:tabs>
      <w:snapToGrid w:val="0"/>
      <w:spacing w:after="240" w:line="240" w:lineRule="auto"/>
      <w:ind w:left="1134" w:hanging="567"/>
      <w:jc w:val="both"/>
    </w:pPr>
    <w:rPr>
      <w:rFonts w:ascii="Arial" w:eastAsiaTheme="minorEastAsia" w:hAnsi="Arial" w:cs="Times New Roman"/>
      <w:snapToGrid w:val="0"/>
      <w:szCs w:val="24"/>
      <w:lang w:val="en-GB"/>
    </w:rPr>
  </w:style>
  <w:style w:type="character" w:customStyle="1" w:styleId="bCar">
    <w:name w:val="(b) Car"/>
    <w:link w:val="b"/>
    <w:locked/>
    <w:rsid w:val="005C5EDA"/>
    <w:rPr>
      <w:rFonts w:ascii="Arial" w:hAnsi="Arial" w:cs="Times New Roman"/>
      <w:snapToGrid w:val="0"/>
      <w:szCs w:val="24"/>
      <w:lang w:val="en-GB" w:eastAsia="en-US"/>
    </w:rPr>
  </w:style>
  <w:style w:type="paragraph" w:customStyle="1" w:styleId="Marge">
    <w:name w:val="Marge"/>
    <w:basedOn w:val="Normal"/>
    <w:link w:val="MargeCar"/>
    <w:rsid w:val="00313A39"/>
    <w:pPr>
      <w:tabs>
        <w:tab w:val="left" w:pos="567"/>
      </w:tabs>
      <w:snapToGrid w:val="0"/>
      <w:spacing w:after="240" w:line="240" w:lineRule="auto"/>
      <w:jc w:val="both"/>
    </w:pPr>
    <w:rPr>
      <w:rFonts w:ascii="Arial" w:eastAsia="Times New Roman" w:hAnsi="Arial" w:cs="Times New Roman"/>
      <w:snapToGrid w:val="0"/>
      <w:szCs w:val="24"/>
    </w:rPr>
  </w:style>
  <w:style w:type="character" w:customStyle="1" w:styleId="MargeCar">
    <w:name w:val="Marge Car"/>
    <w:link w:val="Marge"/>
    <w:rsid w:val="00313A39"/>
    <w:rPr>
      <w:rFonts w:ascii="Arial" w:eastAsia="Times New Roman" w:hAnsi="Arial" w:cs="Times New Roman"/>
      <w:snapToGrid w:val="0"/>
      <w:szCs w:val="24"/>
      <w:lang w:eastAsia="en-US"/>
    </w:rPr>
  </w:style>
  <w:style w:type="paragraph" w:customStyle="1" w:styleId="ENTCG">
    <w:name w:val="ENTCG"/>
    <w:basedOn w:val="Normal"/>
    <w:rsid w:val="00313A39"/>
    <w:pPr>
      <w:tabs>
        <w:tab w:val="left" w:pos="567"/>
      </w:tabs>
      <w:snapToGrid w:val="0"/>
      <w:spacing w:after="0" w:line="240" w:lineRule="auto"/>
    </w:pPr>
    <w:rPr>
      <w:rFonts w:ascii="Times New Roman" w:eastAsia="SimSun" w:hAnsi="Times New Roman" w:cs="Times New Roman"/>
      <w:snapToGrid w:val="0"/>
      <w:sz w:val="34"/>
      <w:szCs w:val="20"/>
      <w:lang w:eastAsia="zh-CN"/>
    </w:rPr>
  </w:style>
  <w:style w:type="table" w:styleId="Tablaconcuadrcula">
    <w:name w:val="Table Grid"/>
    <w:basedOn w:val="Tablanormal"/>
    <w:rsid w:val="007C13AF"/>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Resumen">
    <w:name w:val="Texto_Resumen"/>
    <w:basedOn w:val="Normal"/>
    <w:qFormat/>
    <w:rsid w:val="007C13AF"/>
    <w:pPr>
      <w:keepNext/>
      <w:tabs>
        <w:tab w:val="left" w:pos="567"/>
      </w:tabs>
      <w:snapToGrid w:val="0"/>
      <w:spacing w:before="240" w:after="240" w:line="240" w:lineRule="auto"/>
      <w:jc w:val="both"/>
    </w:pPr>
    <w:rPr>
      <w:rFonts w:ascii="Arial" w:eastAsia="Times New Roman" w:hAnsi="Arial" w:cs="Times New Roman"/>
      <w:snapToGrid w:val="0"/>
      <w:szCs w:val="24"/>
      <w:lang w:val="es-ES"/>
    </w:rPr>
  </w:style>
  <w:style w:type="character" w:customStyle="1" w:styleId="MargeChar">
    <w:name w:val="Marge Char"/>
    <w:rsid w:val="007C13AF"/>
    <w:rPr>
      <w:rFonts w:ascii="Arial" w:hAnsi="Arial"/>
      <w:snapToGrid w:val="0"/>
      <w:sz w:val="22"/>
      <w:szCs w:val="24"/>
      <w:lang w:val="es-ES_tradnl" w:eastAsia="zh-CN"/>
    </w:rPr>
  </w:style>
  <w:style w:type="paragraph" w:customStyle="1" w:styleId="Ttulo10">
    <w:name w:val="Título1"/>
    <w:basedOn w:val="Normal"/>
    <w:qFormat/>
    <w:rsid w:val="007C13AF"/>
    <w:pPr>
      <w:tabs>
        <w:tab w:val="left" w:pos="567"/>
      </w:tabs>
      <w:snapToGrid w:val="0"/>
      <w:spacing w:before="240" w:after="240" w:line="240" w:lineRule="auto"/>
      <w:jc w:val="center"/>
    </w:pPr>
    <w:rPr>
      <w:rFonts w:ascii="Arial" w:eastAsia="SimSun" w:hAnsi="Arial" w:cs="Times New Roman"/>
      <w:b/>
      <w:bCs/>
      <w:caps/>
      <w:snapToGrid w:val="0"/>
      <w:szCs w:val="24"/>
      <w:lang w:val="es-ES" w:eastAsia="zh-CN"/>
    </w:rPr>
  </w:style>
  <w:style w:type="character" w:styleId="Hipervnculo">
    <w:name w:val="Hyperlink"/>
    <w:basedOn w:val="Fuentedeprrafopredeter"/>
    <w:uiPriority w:val="99"/>
    <w:rsid w:val="00AA591A"/>
    <w:rPr>
      <w:color w:val="0000FF" w:themeColor="hyperlink"/>
      <w:u w:val="single"/>
    </w:rPr>
  </w:style>
  <w:style w:type="character" w:customStyle="1" w:styleId="PrrafodelistaCar">
    <w:name w:val="Párrafo de lista Car"/>
    <w:aliases w:val="ADB List Paragraph Car,Dot pt Car,List Paragraph Char Char Char Car,Indicator Text Car,Numbered Para 1 Car,List Paragraph12 Car,Bullet Points Car,MAIN CONTENT Car,Bullet 1 Car,Light Grid - Accent 31 Car,References Car,stil3 Car"/>
    <w:link w:val="Prrafodelista"/>
    <w:uiPriority w:val="34"/>
    <w:qFormat/>
    <w:locked/>
    <w:rsid w:val="00AA591A"/>
    <w:rPr>
      <w:rFonts w:eastAsiaTheme="minorHAnsi"/>
      <w:lang w:eastAsia="en-US"/>
    </w:rPr>
  </w:style>
  <w:style w:type="character" w:customStyle="1" w:styleId="None">
    <w:name w:val="None"/>
    <w:rsid w:val="00AA591A"/>
  </w:style>
  <w:style w:type="character" w:styleId="Mencinsinresolver">
    <w:name w:val="Unresolved Mention"/>
    <w:basedOn w:val="Fuentedeprrafopredeter"/>
    <w:uiPriority w:val="99"/>
    <w:semiHidden/>
    <w:unhideWhenUsed/>
    <w:rsid w:val="00AA591A"/>
    <w:rPr>
      <w:color w:val="605E5C"/>
      <w:shd w:val="clear" w:color="auto" w:fill="E1DFDD"/>
    </w:rPr>
  </w:style>
  <w:style w:type="paragraph" w:styleId="Textonotapie">
    <w:name w:val="footnote text"/>
    <w:basedOn w:val="Normal"/>
    <w:link w:val="TextonotapieCar"/>
    <w:uiPriority w:val="99"/>
    <w:semiHidden/>
    <w:unhideWhenUsed/>
    <w:rsid w:val="00D22E1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22E12"/>
    <w:rPr>
      <w:rFonts w:eastAsiaTheme="minorHAnsi"/>
      <w:sz w:val="20"/>
      <w:szCs w:val="20"/>
      <w:lang w:eastAsia="en-US"/>
    </w:rPr>
  </w:style>
  <w:style w:type="character" w:styleId="Refdenotaalpie">
    <w:name w:val="footnote reference"/>
    <w:aliases w:val="16 Point,Superscript 6 Point,BVI fnr,nota pié di pagina,ftref,Footnote Refernece,Footnote Reference Number,Footnotes refss,Footnote Reference1, BVI fnr,FO,footnote ref,(NECG) Footnote Reference,Ref,de nota al pie,Footnote,note bp"/>
    <w:basedOn w:val="Fuentedeprrafopredeter"/>
    <w:link w:val="CarattereCharCarattereCarattereCharCarattereCharCarattereCharCharCharCharChar"/>
    <w:qFormat/>
    <w:rsid w:val="00D22E12"/>
    <w:rPr>
      <w:vertAlign w:val="superscript"/>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link w:val="Refdenotaalpie"/>
    <w:rsid w:val="00D22E12"/>
    <w:pPr>
      <w:spacing w:before="120" w:after="160" w:line="240" w:lineRule="exact"/>
    </w:pPr>
    <w:rPr>
      <w:rFonts w:eastAsiaTheme="minorEastAsia"/>
      <w:vertAlign w:val="superscript"/>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ceanexpert.org/document/32845"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unesdoc.unesco.org/ark:/48223/pf0000386789_spa"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oceanexpert.org/document/7788" TargetMode="External"/><Relationship Id="rId33" Type="http://schemas.openxmlformats.org/officeDocument/2006/relationships/hyperlink" Target="https://unesdoc.unesco.org/ark:/48223/pf0000386603.locale=fr"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unesdoc.unesco.org/ark:/48223/pf0000373231.locale=fr" TargetMode="External"/><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unesdoc.unesco.org/ark:/48223/pf0000387982.locale=en" TargetMode="External"/><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hyperlink" Target="https://unesdoc.unesco.org/ark:/48223/pf0000389188.locale=fr" TargetMode="External"/><Relationship Id="rId19" Type="http://schemas.openxmlformats.org/officeDocument/2006/relationships/image" Target="media/image9.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unesdoc.unesco.org/ark:/48223/pf0000387982.locale=en"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image" Target="media/image15.emf"/><Relationship Id="rId35" Type="http://schemas.openxmlformats.org/officeDocument/2006/relationships/header" Target="header5.xml"/></Relationships>
</file>

<file path=word/_rels/header3.xml.rels><?xml version="1.0" encoding="UTF-8" standalone="yes"?>
<Relationships xmlns="http://schemas.openxmlformats.org/package/2006/relationships"><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M:\spanish\Pool\IOC\CONSEIL%20EX\.Modelo%20IOC-EC-57%20(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F33D6-CB5D-49D0-9D66-2427DAAC3B9B}">
  <ds:schemaRefs>
    <ds:schemaRef ds:uri="http://schemas.openxmlformats.org/officeDocument/2006/bibliography"/>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.Modelo IOC-EC-57 (2024).dotx</Template>
  <TotalTime>0</TotalTime>
  <Pages>29</Pages>
  <Words>6203</Words>
  <Characters>34118</Characters>
  <Application>Microsoft Office Word</Application>
  <DocSecurity>0</DocSecurity>
  <Lines>284</Lines>
  <Paragraphs>80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57ª reunión del Consejo Ejecutivo de la COI</vt:lpstr>
      <vt:lpstr>Xxx</vt:lpstr>
    </vt:vector>
  </TitlesOfParts>
  <Company>UNESCO</Company>
  <LinksUpToDate>false</LinksUpToDate>
  <CharactersWithSpaces>40241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57ª reunión del Consejo Ejecutivo de la COI</dc:title>
  <dc:subject>IOC/EC-57/5.1.Doc(1)</dc:subject>
  <dc:creator>Burgos Pratx, Juan Pablo</dc:creator>
  <cp:keywords>5.1.Doc(1)</cp:keywords>
  <dc:description/>
  <cp:lastModifiedBy>Burgos Pratx, Juan Pablo</cp:lastModifiedBy>
  <cp:revision>2</cp:revision>
  <cp:lastPrinted>2019-10-31T08:57:00Z</cp:lastPrinted>
  <dcterms:created xsi:type="dcterms:W3CDTF">2024-05-24T12:42:00Z</dcterms:created>
  <dcterms:modified xsi:type="dcterms:W3CDTF">2024-05-24T12:42:00Z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DCPMS">
    <vt:lpwstr>202402762</vt:lpwstr>
  </property>
  <property fmtid="{D5CDD505-2E9C-101B-9397-08002B2CF9AE}" pid="3" name="Language">
    <vt:lpwstr>S</vt:lpwstr>
  </property>
</Properties>
</file>