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A9BC" w14:textId="3C05FDD0" w:rsidR="00546B77" w:rsidRPr="00201098" w:rsidRDefault="00201098" w:rsidP="00201098">
      <w:pPr>
        <w:spacing w:line="276" w:lineRule="auto"/>
        <w:contextualSpacing/>
        <w:jc w:val="both"/>
        <w:rPr>
          <w:b/>
          <w:bCs/>
          <w:sz w:val="32"/>
          <w:szCs w:val="32"/>
        </w:rPr>
      </w:pPr>
      <w:r w:rsidRPr="00201098">
        <w:rPr>
          <w:b/>
          <w:bCs/>
          <w:sz w:val="32"/>
          <w:szCs w:val="32"/>
        </w:rPr>
        <w:t>17TH SESSION OF THE INTERGOVERNMENTAL COORDINATION GROUP FOR THE TSUNAMI AND OTHER COASTAL HAZARDS WARNING SYSTEMS FOR THE CARIBBEAN AND ADJACENT REGIONS, MANAGUA, NICARAGUA, MAY 06-09, 2024</w:t>
      </w:r>
    </w:p>
    <w:p w14:paraId="1C6B4F5B" w14:textId="77777777" w:rsidR="00201098" w:rsidRPr="00201098" w:rsidRDefault="00201098" w:rsidP="00201098">
      <w:pPr>
        <w:spacing w:line="276" w:lineRule="auto"/>
        <w:contextualSpacing/>
        <w:jc w:val="both"/>
        <w:rPr>
          <w:sz w:val="32"/>
          <w:szCs w:val="32"/>
        </w:rPr>
      </w:pPr>
    </w:p>
    <w:p w14:paraId="59778281" w14:textId="1B63A8E2" w:rsidR="00201098" w:rsidRPr="00201098" w:rsidRDefault="00201098" w:rsidP="00201098">
      <w:pPr>
        <w:spacing w:line="276" w:lineRule="auto"/>
        <w:contextualSpacing/>
        <w:jc w:val="both"/>
        <w:rPr>
          <w:b/>
          <w:bCs/>
          <w:sz w:val="32"/>
          <w:szCs w:val="32"/>
        </w:rPr>
      </w:pPr>
      <w:r w:rsidRPr="00201098">
        <w:rPr>
          <w:b/>
          <w:bCs/>
          <w:sz w:val="32"/>
          <w:szCs w:val="32"/>
        </w:rPr>
        <w:t xml:space="preserve">Working Group 4 - Tsunami </w:t>
      </w:r>
      <w:r w:rsidR="001238AB">
        <w:rPr>
          <w:b/>
          <w:bCs/>
          <w:sz w:val="32"/>
          <w:szCs w:val="32"/>
        </w:rPr>
        <w:t>R</w:t>
      </w:r>
      <w:r w:rsidRPr="00201098">
        <w:rPr>
          <w:b/>
          <w:bCs/>
          <w:sz w:val="32"/>
          <w:szCs w:val="32"/>
        </w:rPr>
        <w:t>eady Report</w:t>
      </w:r>
    </w:p>
    <w:p w14:paraId="2DDD0310" w14:textId="77777777" w:rsidR="00201098" w:rsidRDefault="00201098" w:rsidP="00201098">
      <w:pPr>
        <w:spacing w:line="276" w:lineRule="auto"/>
        <w:contextualSpacing/>
        <w:rPr>
          <w:sz w:val="24"/>
          <w:szCs w:val="24"/>
        </w:rPr>
      </w:pPr>
    </w:p>
    <w:p w14:paraId="110E8B6A" w14:textId="77777777" w:rsidR="00201098" w:rsidRDefault="00201098" w:rsidP="00201098">
      <w:pPr>
        <w:spacing w:line="276" w:lineRule="auto"/>
        <w:contextualSpacing/>
        <w:rPr>
          <w:sz w:val="24"/>
          <w:szCs w:val="24"/>
        </w:rPr>
      </w:pPr>
    </w:p>
    <w:p w14:paraId="0AE4C064" w14:textId="77777777" w:rsidR="00201098" w:rsidRDefault="00201098" w:rsidP="00201098">
      <w:pPr>
        <w:spacing w:line="276" w:lineRule="auto"/>
        <w:contextualSpacing/>
        <w:rPr>
          <w:sz w:val="24"/>
          <w:szCs w:val="24"/>
        </w:rPr>
      </w:pPr>
    </w:p>
    <w:p w14:paraId="41AB6B32" w14:textId="77777777" w:rsidR="00201098" w:rsidRDefault="00201098" w:rsidP="00201098">
      <w:pPr>
        <w:spacing w:line="276" w:lineRule="auto"/>
        <w:contextualSpacing/>
        <w:rPr>
          <w:sz w:val="24"/>
          <w:szCs w:val="24"/>
        </w:rPr>
      </w:pPr>
    </w:p>
    <w:p w14:paraId="67E640BE" w14:textId="77777777" w:rsidR="00201098" w:rsidRDefault="00201098" w:rsidP="00201098">
      <w:pPr>
        <w:spacing w:line="276" w:lineRule="auto"/>
        <w:contextualSpacing/>
        <w:rPr>
          <w:sz w:val="24"/>
          <w:szCs w:val="24"/>
        </w:rPr>
      </w:pPr>
    </w:p>
    <w:p w14:paraId="6E8CE120" w14:textId="77777777" w:rsidR="00201098" w:rsidRDefault="00201098" w:rsidP="00201098">
      <w:pPr>
        <w:spacing w:line="276" w:lineRule="auto"/>
        <w:contextualSpacing/>
        <w:rPr>
          <w:sz w:val="24"/>
          <w:szCs w:val="24"/>
        </w:rPr>
      </w:pPr>
    </w:p>
    <w:p w14:paraId="3ED5E8EC" w14:textId="77777777" w:rsidR="00201098" w:rsidRDefault="00201098" w:rsidP="00201098">
      <w:pPr>
        <w:spacing w:line="276" w:lineRule="auto"/>
        <w:contextualSpacing/>
        <w:rPr>
          <w:sz w:val="24"/>
          <w:szCs w:val="24"/>
        </w:rPr>
      </w:pPr>
    </w:p>
    <w:p w14:paraId="7F22CF87" w14:textId="77777777" w:rsidR="00201098" w:rsidRDefault="00201098" w:rsidP="00201098">
      <w:pPr>
        <w:spacing w:line="276" w:lineRule="auto"/>
        <w:contextualSpacing/>
        <w:rPr>
          <w:sz w:val="24"/>
          <w:szCs w:val="24"/>
        </w:rPr>
      </w:pPr>
    </w:p>
    <w:p w14:paraId="5896F54A" w14:textId="77777777" w:rsidR="00201098" w:rsidRDefault="00201098" w:rsidP="00201098">
      <w:pPr>
        <w:spacing w:line="276" w:lineRule="auto"/>
        <w:contextualSpacing/>
        <w:rPr>
          <w:sz w:val="24"/>
          <w:szCs w:val="24"/>
        </w:rPr>
      </w:pPr>
    </w:p>
    <w:p w14:paraId="4D6C11AC" w14:textId="77777777" w:rsidR="00201098" w:rsidRDefault="00201098" w:rsidP="00201098">
      <w:pPr>
        <w:spacing w:line="276" w:lineRule="auto"/>
        <w:contextualSpacing/>
        <w:rPr>
          <w:sz w:val="24"/>
          <w:szCs w:val="24"/>
        </w:rPr>
      </w:pPr>
    </w:p>
    <w:p w14:paraId="745085F1" w14:textId="77777777" w:rsidR="00201098" w:rsidRDefault="00201098" w:rsidP="00201098">
      <w:pPr>
        <w:spacing w:line="276" w:lineRule="auto"/>
        <w:contextualSpacing/>
        <w:rPr>
          <w:sz w:val="24"/>
          <w:szCs w:val="24"/>
        </w:rPr>
      </w:pPr>
    </w:p>
    <w:p w14:paraId="480624DC" w14:textId="77777777" w:rsidR="00201098" w:rsidRDefault="00201098" w:rsidP="00201098">
      <w:pPr>
        <w:spacing w:line="276" w:lineRule="auto"/>
        <w:contextualSpacing/>
        <w:rPr>
          <w:sz w:val="24"/>
          <w:szCs w:val="24"/>
        </w:rPr>
      </w:pPr>
    </w:p>
    <w:p w14:paraId="378EEEC8" w14:textId="77777777" w:rsidR="00201098" w:rsidRDefault="00201098" w:rsidP="00201098">
      <w:pPr>
        <w:spacing w:line="276" w:lineRule="auto"/>
        <w:contextualSpacing/>
        <w:rPr>
          <w:sz w:val="24"/>
          <w:szCs w:val="24"/>
        </w:rPr>
      </w:pPr>
    </w:p>
    <w:p w14:paraId="0BC06233" w14:textId="77777777" w:rsidR="00201098" w:rsidRDefault="00201098" w:rsidP="00201098">
      <w:pPr>
        <w:spacing w:line="276" w:lineRule="auto"/>
        <w:contextualSpacing/>
        <w:rPr>
          <w:sz w:val="24"/>
          <w:szCs w:val="24"/>
        </w:rPr>
      </w:pPr>
    </w:p>
    <w:p w14:paraId="58B0F8F9" w14:textId="77777777" w:rsidR="00201098" w:rsidRDefault="00201098" w:rsidP="00201098">
      <w:pPr>
        <w:spacing w:line="276" w:lineRule="auto"/>
        <w:contextualSpacing/>
        <w:rPr>
          <w:sz w:val="24"/>
          <w:szCs w:val="24"/>
        </w:rPr>
      </w:pPr>
    </w:p>
    <w:p w14:paraId="42475BE2" w14:textId="77777777" w:rsidR="00201098" w:rsidRDefault="00201098" w:rsidP="00201098">
      <w:pPr>
        <w:spacing w:line="276" w:lineRule="auto"/>
        <w:contextualSpacing/>
        <w:rPr>
          <w:sz w:val="24"/>
          <w:szCs w:val="24"/>
        </w:rPr>
      </w:pPr>
    </w:p>
    <w:p w14:paraId="06D0E581" w14:textId="77777777" w:rsidR="00201098" w:rsidRDefault="00201098" w:rsidP="00201098">
      <w:pPr>
        <w:spacing w:line="276" w:lineRule="auto"/>
        <w:contextualSpacing/>
        <w:rPr>
          <w:sz w:val="24"/>
          <w:szCs w:val="24"/>
        </w:rPr>
      </w:pPr>
    </w:p>
    <w:p w14:paraId="24385955" w14:textId="77777777" w:rsidR="00201098" w:rsidRDefault="00201098" w:rsidP="00201098">
      <w:pPr>
        <w:spacing w:line="276" w:lineRule="auto"/>
        <w:contextualSpacing/>
        <w:rPr>
          <w:sz w:val="24"/>
          <w:szCs w:val="24"/>
        </w:rPr>
      </w:pPr>
    </w:p>
    <w:p w14:paraId="2DD6641B" w14:textId="77777777" w:rsidR="00201098" w:rsidRDefault="00201098" w:rsidP="00201098">
      <w:pPr>
        <w:spacing w:line="276" w:lineRule="auto"/>
        <w:contextualSpacing/>
        <w:rPr>
          <w:sz w:val="24"/>
          <w:szCs w:val="24"/>
        </w:rPr>
      </w:pPr>
    </w:p>
    <w:p w14:paraId="53C5A319" w14:textId="77777777" w:rsidR="00201098" w:rsidRDefault="00201098" w:rsidP="00201098">
      <w:pPr>
        <w:spacing w:line="276" w:lineRule="auto"/>
        <w:contextualSpacing/>
        <w:rPr>
          <w:sz w:val="24"/>
          <w:szCs w:val="24"/>
        </w:rPr>
      </w:pPr>
    </w:p>
    <w:p w14:paraId="31F271ED" w14:textId="77777777" w:rsidR="00201098" w:rsidRDefault="00201098" w:rsidP="00201098">
      <w:pPr>
        <w:spacing w:line="276" w:lineRule="auto"/>
        <w:contextualSpacing/>
        <w:rPr>
          <w:sz w:val="24"/>
          <w:szCs w:val="24"/>
        </w:rPr>
      </w:pPr>
    </w:p>
    <w:p w14:paraId="2CA612E1" w14:textId="77777777" w:rsidR="00201098" w:rsidRDefault="00201098" w:rsidP="00201098">
      <w:pPr>
        <w:spacing w:line="276" w:lineRule="auto"/>
        <w:contextualSpacing/>
        <w:rPr>
          <w:sz w:val="24"/>
          <w:szCs w:val="24"/>
        </w:rPr>
      </w:pPr>
    </w:p>
    <w:p w14:paraId="5FFDC0CF" w14:textId="77777777" w:rsidR="00201098" w:rsidRPr="00201098" w:rsidRDefault="00201098" w:rsidP="00201098">
      <w:pPr>
        <w:spacing w:line="276" w:lineRule="auto"/>
        <w:contextualSpacing/>
        <w:rPr>
          <w:sz w:val="24"/>
          <w:szCs w:val="24"/>
        </w:rPr>
      </w:pPr>
    </w:p>
    <w:p w14:paraId="1E0193C1" w14:textId="77777777" w:rsidR="00201098" w:rsidRPr="00201098" w:rsidRDefault="00201098" w:rsidP="00201098">
      <w:pPr>
        <w:spacing w:line="276" w:lineRule="auto"/>
        <w:contextualSpacing/>
        <w:rPr>
          <w:sz w:val="24"/>
          <w:szCs w:val="24"/>
        </w:rPr>
      </w:pPr>
    </w:p>
    <w:p w14:paraId="73871128" w14:textId="77777777" w:rsidR="00201098" w:rsidRPr="00201098" w:rsidRDefault="00201098" w:rsidP="00201098">
      <w:pPr>
        <w:spacing w:line="276" w:lineRule="auto"/>
        <w:contextualSpacing/>
        <w:rPr>
          <w:b/>
          <w:bCs/>
          <w:sz w:val="24"/>
          <w:szCs w:val="24"/>
        </w:rPr>
      </w:pPr>
      <w:r w:rsidRPr="00201098">
        <w:rPr>
          <w:b/>
          <w:bCs/>
          <w:sz w:val="24"/>
          <w:szCs w:val="24"/>
        </w:rPr>
        <w:t>Prepared by</w:t>
      </w:r>
    </w:p>
    <w:p w14:paraId="1FAA24D8" w14:textId="77777777" w:rsidR="00201098" w:rsidRDefault="00201098" w:rsidP="00201098">
      <w:pPr>
        <w:spacing w:line="276" w:lineRule="auto"/>
        <w:contextualSpacing/>
        <w:rPr>
          <w:b/>
          <w:bCs/>
          <w:sz w:val="24"/>
          <w:szCs w:val="24"/>
        </w:rPr>
      </w:pPr>
      <w:r w:rsidRPr="00201098">
        <w:rPr>
          <w:b/>
          <w:bCs/>
          <w:sz w:val="24"/>
          <w:szCs w:val="24"/>
        </w:rPr>
        <w:t>Mr. Fabian Hinds</w:t>
      </w:r>
    </w:p>
    <w:p w14:paraId="5D5428F1" w14:textId="77777777" w:rsidR="00201098" w:rsidRPr="00201098" w:rsidRDefault="00201098" w:rsidP="00201098">
      <w:pPr>
        <w:spacing w:line="276" w:lineRule="auto"/>
        <w:contextualSpacing/>
        <w:rPr>
          <w:b/>
          <w:bCs/>
          <w:sz w:val="24"/>
          <w:szCs w:val="24"/>
        </w:rPr>
      </w:pPr>
      <w:r w:rsidRPr="00201098">
        <w:rPr>
          <w:b/>
          <w:bCs/>
          <w:sz w:val="24"/>
          <w:szCs w:val="24"/>
        </w:rPr>
        <w:t>Vice-Chair, Tsunami Ready (WG4)</w:t>
      </w:r>
    </w:p>
    <w:p w14:paraId="1173A8EC" w14:textId="00B3816B" w:rsidR="00201098" w:rsidRDefault="00201098" w:rsidP="00201098">
      <w:pPr>
        <w:spacing w:line="276" w:lineRule="auto"/>
        <w:contextualSpacing/>
        <w:rPr>
          <w:b/>
          <w:bCs/>
          <w:sz w:val="24"/>
          <w:szCs w:val="24"/>
        </w:rPr>
      </w:pPr>
      <w:r w:rsidRPr="00201098">
        <w:rPr>
          <w:b/>
          <w:bCs/>
          <w:sz w:val="24"/>
          <w:szCs w:val="24"/>
        </w:rPr>
        <w:t>Coastal Planner, Coastal Zone Management Unit, Barbados</w:t>
      </w:r>
    </w:p>
    <w:p w14:paraId="6CF932DE" w14:textId="77777777" w:rsidR="002522E1" w:rsidRDefault="002522E1" w:rsidP="00201098">
      <w:pPr>
        <w:spacing w:line="276" w:lineRule="auto"/>
        <w:contextualSpacing/>
        <w:rPr>
          <w:sz w:val="24"/>
          <w:szCs w:val="24"/>
        </w:rPr>
        <w:sectPr w:rsidR="002522E1" w:rsidSect="002C6237">
          <w:foot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200"/>
        <w:gridCol w:w="985"/>
      </w:tblGrid>
      <w:tr w:rsidR="00201098" w14:paraId="223D5B63" w14:textId="77777777" w:rsidTr="008D37B4">
        <w:tc>
          <w:tcPr>
            <w:tcW w:w="1165" w:type="dxa"/>
          </w:tcPr>
          <w:p w14:paraId="33C84D99" w14:textId="1551D45A" w:rsidR="00201098" w:rsidRPr="008D37B4" w:rsidRDefault="008D37B4" w:rsidP="00201098">
            <w:pPr>
              <w:spacing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8D37B4">
              <w:rPr>
                <w:b/>
                <w:bCs/>
                <w:sz w:val="24"/>
                <w:szCs w:val="24"/>
              </w:rPr>
              <w:lastRenderedPageBreak/>
              <w:t>Section</w:t>
            </w:r>
          </w:p>
        </w:tc>
        <w:tc>
          <w:tcPr>
            <w:tcW w:w="7200" w:type="dxa"/>
          </w:tcPr>
          <w:p w14:paraId="2655B449" w14:textId="11ECA00F" w:rsidR="00201098" w:rsidRPr="008D37B4" w:rsidRDefault="00201098" w:rsidP="00201098">
            <w:pPr>
              <w:spacing w:line="276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14:paraId="40F215DB" w14:textId="0B71126B" w:rsidR="00201098" w:rsidRPr="008D37B4" w:rsidRDefault="008D37B4" w:rsidP="00201098">
            <w:pPr>
              <w:spacing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8D37B4">
              <w:rPr>
                <w:b/>
                <w:bCs/>
                <w:sz w:val="24"/>
                <w:szCs w:val="24"/>
              </w:rPr>
              <w:t>Page</w:t>
            </w:r>
          </w:p>
        </w:tc>
      </w:tr>
      <w:tr w:rsidR="00201098" w14:paraId="3B84F9C5" w14:textId="77777777" w:rsidTr="008D37B4">
        <w:tc>
          <w:tcPr>
            <w:tcW w:w="1165" w:type="dxa"/>
          </w:tcPr>
          <w:p w14:paraId="26E79CDD" w14:textId="4426C119" w:rsidR="00201098" w:rsidRDefault="00E717E7" w:rsidP="00201098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7200" w:type="dxa"/>
          </w:tcPr>
          <w:p w14:paraId="1E799118" w14:textId="0DB619D8" w:rsidR="00201098" w:rsidRDefault="008D37B4" w:rsidP="0020109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D37B4">
              <w:rPr>
                <w:sz w:val="24"/>
                <w:szCs w:val="24"/>
              </w:rPr>
              <w:t xml:space="preserve">Working Group 4 – Tsunami Ready </w:t>
            </w:r>
            <w:r>
              <w:rPr>
                <w:sz w:val="24"/>
                <w:szCs w:val="24"/>
              </w:rPr>
              <w:t xml:space="preserve">(Confirmed </w:t>
            </w:r>
            <w:r w:rsidRPr="008D37B4">
              <w:rPr>
                <w:sz w:val="24"/>
                <w:szCs w:val="24"/>
              </w:rPr>
              <w:t>Members</w:t>
            </w:r>
            <w:r>
              <w:rPr>
                <w:sz w:val="24"/>
                <w:szCs w:val="24"/>
              </w:rPr>
              <w:t xml:space="preserve"> (2023-2025)</w:t>
            </w:r>
          </w:p>
        </w:tc>
        <w:tc>
          <w:tcPr>
            <w:tcW w:w="985" w:type="dxa"/>
          </w:tcPr>
          <w:p w14:paraId="38C01225" w14:textId="6CF0E51E" w:rsidR="00201098" w:rsidRDefault="002522E1" w:rsidP="00201098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01098" w14:paraId="211A4816" w14:textId="77777777" w:rsidTr="008D37B4">
        <w:tc>
          <w:tcPr>
            <w:tcW w:w="1165" w:type="dxa"/>
          </w:tcPr>
          <w:p w14:paraId="776EDCB8" w14:textId="533FBB04" w:rsidR="00201098" w:rsidRDefault="002522E1" w:rsidP="00201098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7200" w:type="dxa"/>
          </w:tcPr>
          <w:p w14:paraId="73167D18" w14:textId="5BA96C8C" w:rsidR="00201098" w:rsidRDefault="00E717E7" w:rsidP="0020109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717E7">
              <w:rPr>
                <w:sz w:val="24"/>
                <w:szCs w:val="24"/>
              </w:rPr>
              <w:t xml:space="preserve">Working Group 4 – </w:t>
            </w:r>
            <w:r>
              <w:rPr>
                <w:sz w:val="24"/>
                <w:szCs w:val="24"/>
              </w:rPr>
              <w:t>T</w:t>
            </w:r>
            <w:r w:rsidRPr="00E717E7">
              <w:rPr>
                <w:sz w:val="24"/>
                <w:szCs w:val="24"/>
              </w:rPr>
              <w:t xml:space="preserve">sunami Ready </w:t>
            </w:r>
            <w:r w:rsidR="008D37B4">
              <w:rPr>
                <w:sz w:val="24"/>
                <w:szCs w:val="24"/>
              </w:rPr>
              <w:t>Objectives</w:t>
            </w:r>
          </w:p>
        </w:tc>
        <w:tc>
          <w:tcPr>
            <w:tcW w:w="985" w:type="dxa"/>
          </w:tcPr>
          <w:p w14:paraId="40CA0478" w14:textId="4EF66FB4" w:rsidR="00201098" w:rsidRDefault="002522E1" w:rsidP="00201098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01098" w14:paraId="1066C6D4" w14:textId="77777777" w:rsidTr="008D37B4">
        <w:tc>
          <w:tcPr>
            <w:tcW w:w="1165" w:type="dxa"/>
          </w:tcPr>
          <w:p w14:paraId="084C3B54" w14:textId="33F4D35C" w:rsidR="00201098" w:rsidRDefault="002522E1" w:rsidP="00201098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7200" w:type="dxa"/>
          </w:tcPr>
          <w:p w14:paraId="6F8CB5FE" w14:textId="3FE5DE84" w:rsidR="00201098" w:rsidRDefault="008D37B4" w:rsidP="0020109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D37B4">
              <w:rPr>
                <w:sz w:val="24"/>
                <w:szCs w:val="24"/>
              </w:rPr>
              <w:t xml:space="preserve">Feedback Survey on Implementation of UNESCO IOC Tsunami Ready Recognition </w:t>
            </w:r>
            <w:proofErr w:type="spellStart"/>
            <w:r w:rsidRPr="008D37B4">
              <w:rPr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985" w:type="dxa"/>
          </w:tcPr>
          <w:p w14:paraId="042EBF1F" w14:textId="525D51FA" w:rsidR="00201098" w:rsidRDefault="002522E1" w:rsidP="00201098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01098" w14:paraId="3CD9219C" w14:textId="77777777" w:rsidTr="008D37B4">
        <w:tc>
          <w:tcPr>
            <w:tcW w:w="1165" w:type="dxa"/>
          </w:tcPr>
          <w:p w14:paraId="51E68031" w14:textId="7A54A165" w:rsidR="00201098" w:rsidRDefault="002522E1" w:rsidP="00201098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7200" w:type="dxa"/>
          </w:tcPr>
          <w:p w14:paraId="12D0B517" w14:textId="2B734E2D" w:rsidR="00201098" w:rsidRDefault="008D37B4" w:rsidP="0020109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D37B4">
              <w:rPr>
                <w:sz w:val="24"/>
                <w:szCs w:val="24"/>
              </w:rPr>
              <w:t>Survey implementation strategy</w:t>
            </w:r>
          </w:p>
        </w:tc>
        <w:tc>
          <w:tcPr>
            <w:tcW w:w="985" w:type="dxa"/>
          </w:tcPr>
          <w:p w14:paraId="6BBFEC4C" w14:textId="611ED0B0" w:rsidR="00201098" w:rsidRDefault="002522E1" w:rsidP="00201098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01098" w14:paraId="2DCA3850" w14:textId="77777777" w:rsidTr="008D37B4">
        <w:tc>
          <w:tcPr>
            <w:tcW w:w="1165" w:type="dxa"/>
          </w:tcPr>
          <w:p w14:paraId="70EB3D34" w14:textId="5453EA52" w:rsidR="00201098" w:rsidRDefault="002522E1" w:rsidP="00201098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</w:t>
            </w:r>
          </w:p>
        </w:tc>
        <w:tc>
          <w:tcPr>
            <w:tcW w:w="7200" w:type="dxa"/>
          </w:tcPr>
          <w:p w14:paraId="0B97E470" w14:textId="73AD4395" w:rsidR="00201098" w:rsidRDefault="008D37B4" w:rsidP="0020109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D37B4">
              <w:rPr>
                <w:sz w:val="24"/>
                <w:szCs w:val="24"/>
              </w:rPr>
              <w:t>The way forward</w:t>
            </w:r>
          </w:p>
        </w:tc>
        <w:tc>
          <w:tcPr>
            <w:tcW w:w="985" w:type="dxa"/>
          </w:tcPr>
          <w:p w14:paraId="5D234991" w14:textId="7638ED37" w:rsidR="00201098" w:rsidRDefault="002522E1" w:rsidP="00201098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31390C6C" w14:textId="77777777" w:rsidR="002522E1" w:rsidRDefault="002522E1" w:rsidP="00201098">
      <w:pPr>
        <w:spacing w:line="276" w:lineRule="auto"/>
        <w:contextualSpacing/>
        <w:rPr>
          <w:sz w:val="24"/>
          <w:szCs w:val="24"/>
        </w:rPr>
        <w:sectPr w:rsidR="002522E1" w:rsidSect="002C623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7438DC" w14:textId="22864CC1" w:rsidR="008D37B4" w:rsidRPr="008D37B4" w:rsidRDefault="00E717E7" w:rsidP="00354FE2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1.0</w:t>
      </w:r>
      <w:r>
        <w:rPr>
          <w:b/>
          <w:bCs/>
          <w:sz w:val="24"/>
          <w:szCs w:val="24"/>
        </w:rPr>
        <w:tab/>
      </w:r>
      <w:r w:rsidR="008D37B4" w:rsidRPr="008D37B4">
        <w:rPr>
          <w:b/>
          <w:bCs/>
          <w:sz w:val="24"/>
          <w:szCs w:val="24"/>
        </w:rPr>
        <w:t>Working Group 4 - tsunami ready – Confirmed members (2023-2025)</w:t>
      </w:r>
    </w:p>
    <w:p w14:paraId="51339D9C" w14:textId="13890DEC" w:rsidR="008D37B4" w:rsidRDefault="008D37B4" w:rsidP="00354FE2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The m</w:t>
      </w:r>
      <w:r w:rsidRPr="008D37B4">
        <w:rPr>
          <w:sz w:val="24"/>
          <w:szCs w:val="24"/>
        </w:rPr>
        <w:t xml:space="preserve">embership of </w:t>
      </w:r>
      <w:r>
        <w:rPr>
          <w:sz w:val="24"/>
          <w:szCs w:val="24"/>
        </w:rPr>
        <w:t>Working Group (</w:t>
      </w:r>
      <w:r w:rsidRPr="008D37B4">
        <w:rPr>
          <w:sz w:val="24"/>
          <w:szCs w:val="24"/>
        </w:rPr>
        <w:t>WG</w:t>
      </w:r>
      <w:r>
        <w:rPr>
          <w:sz w:val="24"/>
          <w:szCs w:val="24"/>
        </w:rPr>
        <w:t>)</w:t>
      </w:r>
      <w:r w:rsidRPr="008D37B4">
        <w:rPr>
          <w:sz w:val="24"/>
          <w:szCs w:val="24"/>
        </w:rPr>
        <w:t xml:space="preserve"> 4 – Tsunami Ready were confirmed during the January 09, </w:t>
      </w:r>
      <w:proofErr w:type="gramStart"/>
      <w:r w:rsidRPr="008D37B4">
        <w:rPr>
          <w:sz w:val="24"/>
          <w:szCs w:val="24"/>
        </w:rPr>
        <w:t>2024</w:t>
      </w:r>
      <w:proofErr w:type="gramEnd"/>
      <w:r w:rsidRPr="008D37B4">
        <w:rPr>
          <w:sz w:val="24"/>
          <w:szCs w:val="24"/>
        </w:rPr>
        <w:t xml:space="preserve"> ICG/CARIBE EWS WG4 meeting</w:t>
      </w:r>
      <w:r>
        <w:rPr>
          <w:sz w:val="24"/>
          <w:szCs w:val="24"/>
        </w:rPr>
        <w:t xml:space="preserve"> under the chairmanship of Dr. Silvia Chacon-</w:t>
      </w:r>
      <w:proofErr w:type="spellStart"/>
      <w:r>
        <w:rPr>
          <w:sz w:val="24"/>
          <w:szCs w:val="24"/>
        </w:rPr>
        <w:t>Barrantes</w:t>
      </w:r>
      <w:proofErr w:type="spellEnd"/>
      <w:r>
        <w:rPr>
          <w:sz w:val="24"/>
          <w:szCs w:val="24"/>
        </w:rPr>
        <w:t xml:space="preserve"> (i.e., chair of WG4)</w:t>
      </w:r>
      <w:r w:rsidRPr="008D37B4">
        <w:rPr>
          <w:sz w:val="24"/>
          <w:szCs w:val="24"/>
        </w:rPr>
        <w:t>.</w:t>
      </w:r>
      <w:r>
        <w:rPr>
          <w:sz w:val="24"/>
          <w:szCs w:val="24"/>
        </w:rPr>
        <w:t xml:space="preserve">  During this session, all vice-chairs were invited to assume leadership of their respective sub</w:t>
      </w:r>
      <w:r w:rsidR="009D7920">
        <w:rPr>
          <w:sz w:val="24"/>
          <w:szCs w:val="24"/>
        </w:rPr>
        <w:t>-</w:t>
      </w:r>
      <w:r>
        <w:rPr>
          <w:sz w:val="24"/>
          <w:szCs w:val="24"/>
        </w:rPr>
        <w:t>groups and the work of the sub-groups was considered relative to the Terms of Reference</w:t>
      </w:r>
      <w:r w:rsidR="00E717E7">
        <w:rPr>
          <w:sz w:val="24"/>
          <w:szCs w:val="24"/>
        </w:rPr>
        <w:t xml:space="preserve"> (</w:t>
      </w:r>
      <w:proofErr w:type="spellStart"/>
      <w:r w:rsidR="00E717E7">
        <w:rPr>
          <w:sz w:val="24"/>
          <w:szCs w:val="24"/>
        </w:rPr>
        <w:t>ToR</w:t>
      </w:r>
      <w:proofErr w:type="spellEnd"/>
      <w:r w:rsidR="00E717E7">
        <w:rPr>
          <w:sz w:val="24"/>
          <w:szCs w:val="24"/>
        </w:rPr>
        <w:t>)</w:t>
      </w:r>
      <w:r>
        <w:rPr>
          <w:sz w:val="24"/>
          <w:szCs w:val="24"/>
        </w:rPr>
        <w:t>.  The confirmed membership of WG4 Tsunami Ready is as follows:</w:t>
      </w:r>
    </w:p>
    <w:p w14:paraId="6A8B5552" w14:textId="77777777" w:rsidR="008D37B4" w:rsidRDefault="008D37B4" w:rsidP="00354FE2">
      <w:pPr>
        <w:spacing w:line="276" w:lineRule="auto"/>
        <w:contextualSpacing/>
        <w:jc w:val="both"/>
        <w:rPr>
          <w:sz w:val="24"/>
          <w:szCs w:val="24"/>
        </w:rPr>
      </w:pPr>
    </w:p>
    <w:p w14:paraId="0F0C9AAA" w14:textId="77777777" w:rsidR="008D37B4" w:rsidRPr="008D37B4" w:rsidRDefault="008D37B4" w:rsidP="00354FE2">
      <w:pPr>
        <w:numPr>
          <w:ilvl w:val="0"/>
          <w:numId w:val="1"/>
        </w:numPr>
        <w:spacing w:line="276" w:lineRule="auto"/>
        <w:contextualSpacing/>
        <w:jc w:val="both"/>
        <w:rPr>
          <w:sz w:val="24"/>
          <w:szCs w:val="24"/>
          <w:lang w:val="es-ES"/>
        </w:rPr>
      </w:pPr>
      <w:r w:rsidRPr="008D37B4">
        <w:rPr>
          <w:b/>
          <w:bCs/>
          <w:sz w:val="24"/>
          <w:szCs w:val="24"/>
          <w:lang w:val="es-ES"/>
        </w:rPr>
        <w:t xml:space="preserve">Silvia </w:t>
      </w:r>
      <w:proofErr w:type="spellStart"/>
      <w:r w:rsidRPr="008D37B4">
        <w:rPr>
          <w:b/>
          <w:bCs/>
          <w:sz w:val="24"/>
          <w:szCs w:val="24"/>
          <w:lang w:val="es-ES"/>
        </w:rPr>
        <w:t>Chacon</w:t>
      </w:r>
      <w:proofErr w:type="spellEnd"/>
      <w:r w:rsidRPr="008D37B4">
        <w:rPr>
          <w:b/>
          <w:bCs/>
          <w:sz w:val="24"/>
          <w:szCs w:val="24"/>
          <w:lang w:val="es-ES"/>
        </w:rPr>
        <w:t>-Barrantes</w:t>
      </w:r>
      <w:r w:rsidRPr="008D37B4">
        <w:rPr>
          <w:sz w:val="24"/>
          <w:szCs w:val="24"/>
          <w:lang w:val="es-ES"/>
        </w:rPr>
        <w:t xml:space="preserve">, </w:t>
      </w:r>
      <w:proofErr w:type="spellStart"/>
      <w:r w:rsidRPr="008D37B4">
        <w:rPr>
          <w:sz w:val="24"/>
          <w:szCs w:val="24"/>
          <w:lang w:val="es-ES"/>
        </w:rPr>
        <w:t>Chair</w:t>
      </w:r>
      <w:proofErr w:type="spellEnd"/>
      <w:r w:rsidRPr="008D37B4">
        <w:rPr>
          <w:sz w:val="24"/>
          <w:szCs w:val="24"/>
          <w:lang w:val="es-ES"/>
        </w:rPr>
        <w:t xml:space="preserve"> </w:t>
      </w:r>
      <w:proofErr w:type="spellStart"/>
      <w:r w:rsidRPr="008D37B4">
        <w:rPr>
          <w:sz w:val="24"/>
          <w:szCs w:val="24"/>
          <w:lang w:val="es-ES"/>
        </w:rPr>
        <w:t>of</w:t>
      </w:r>
      <w:proofErr w:type="spellEnd"/>
      <w:r w:rsidRPr="008D37B4">
        <w:rPr>
          <w:sz w:val="24"/>
          <w:szCs w:val="24"/>
          <w:lang w:val="es-ES"/>
        </w:rPr>
        <w:t xml:space="preserve"> WG4, SINAMOT-UNA, Costa Rica</w:t>
      </w:r>
    </w:p>
    <w:p w14:paraId="71963675" w14:textId="77777777" w:rsidR="008D37B4" w:rsidRPr="008D37B4" w:rsidRDefault="008D37B4" w:rsidP="00354FE2">
      <w:pPr>
        <w:numPr>
          <w:ilvl w:val="0"/>
          <w:numId w:val="1"/>
        </w:numPr>
        <w:spacing w:line="276" w:lineRule="auto"/>
        <w:contextualSpacing/>
        <w:jc w:val="both"/>
        <w:rPr>
          <w:sz w:val="24"/>
          <w:szCs w:val="24"/>
        </w:rPr>
      </w:pPr>
      <w:r w:rsidRPr="008D37B4">
        <w:rPr>
          <w:b/>
          <w:bCs/>
          <w:sz w:val="24"/>
          <w:szCs w:val="24"/>
        </w:rPr>
        <w:t>Fabian Hinds</w:t>
      </w:r>
      <w:r w:rsidRPr="008D37B4">
        <w:rPr>
          <w:sz w:val="24"/>
          <w:szCs w:val="24"/>
        </w:rPr>
        <w:t xml:space="preserve">, Vice-chair Tsunami Ready WG4, CZMU, Barbados </w:t>
      </w:r>
    </w:p>
    <w:p w14:paraId="2AB42A61" w14:textId="77777777" w:rsidR="008D37B4" w:rsidRPr="008D37B4" w:rsidRDefault="008D37B4" w:rsidP="00354FE2">
      <w:pPr>
        <w:numPr>
          <w:ilvl w:val="0"/>
          <w:numId w:val="1"/>
        </w:numPr>
        <w:spacing w:line="276" w:lineRule="auto"/>
        <w:contextualSpacing/>
        <w:jc w:val="both"/>
        <w:rPr>
          <w:sz w:val="24"/>
          <w:szCs w:val="24"/>
        </w:rPr>
      </w:pPr>
      <w:r w:rsidRPr="008D37B4">
        <w:rPr>
          <w:b/>
          <w:bCs/>
          <w:sz w:val="24"/>
          <w:szCs w:val="24"/>
        </w:rPr>
        <w:t xml:space="preserve">Christa von </w:t>
      </w:r>
      <w:proofErr w:type="spellStart"/>
      <w:r w:rsidRPr="008D37B4">
        <w:rPr>
          <w:b/>
          <w:bCs/>
          <w:sz w:val="24"/>
          <w:szCs w:val="24"/>
        </w:rPr>
        <w:t>Hillebrandt</w:t>
      </w:r>
      <w:proofErr w:type="spellEnd"/>
      <w:r w:rsidRPr="008D37B4">
        <w:rPr>
          <w:b/>
          <w:bCs/>
          <w:sz w:val="24"/>
          <w:szCs w:val="24"/>
        </w:rPr>
        <w:t>-Andrade</w:t>
      </w:r>
      <w:r w:rsidRPr="008D37B4">
        <w:rPr>
          <w:sz w:val="24"/>
          <w:szCs w:val="24"/>
        </w:rPr>
        <w:t>, ITIC-CAR, United States of America</w:t>
      </w:r>
    </w:p>
    <w:p w14:paraId="5CCA9916" w14:textId="77777777" w:rsidR="008D37B4" w:rsidRPr="008D37B4" w:rsidRDefault="008D37B4" w:rsidP="00354FE2">
      <w:pPr>
        <w:numPr>
          <w:ilvl w:val="0"/>
          <w:numId w:val="1"/>
        </w:numPr>
        <w:spacing w:line="276" w:lineRule="auto"/>
        <w:contextualSpacing/>
        <w:jc w:val="both"/>
        <w:rPr>
          <w:sz w:val="24"/>
          <w:szCs w:val="24"/>
        </w:rPr>
      </w:pPr>
      <w:r w:rsidRPr="008D37B4">
        <w:rPr>
          <w:b/>
          <w:bCs/>
          <w:sz w:val="24"/>
          <w:szCs w:val="24"/>
        </w:rPr>
        <w:t>Alison Brome</w:t>
      </w:r>
      <w:r w:rsidRPr="008D37B4">
        <w:rPr>
          <w:sz w:val="24"/>
          <w:szCs w:val="24"/>
        </w:rPr>
        <w:t>, CTIC, Barbados</w:t>
      </w:r>
    </w:p>
    <w:p w14:paraId="635FD6A1" w14:textId="77777777" w:rsidR="008D37B4" w:rsidRPr="008D37B4" w:rsidRDefault="008D37B4" w:rsidP="00354FE2">
      <w:pPr>
        <w:numPr>
          <w:ilvl w:val="0"/>
          <w:numId w:val="1"/>
        </w:numPr>
        <w:spacing w:line="276" w:lineRule="auto"/>
        <w:contextualSpacing/>
        <w:jc w:val="both"/>
        <w:rPr>
          <w:sz w:val="24"/>
          <w:szCs w:val="24"/>
        </w:rPr>
      </w:pPr>
      <w:r w:rsidRPr="008D37B4">
        <w:rPr>
          <w:b/>
          <w:bCs/>
          <w:sz w:val="24"/>
          <w:szCs w:val="24"/>
        </w:rPr>
        <w:t>Simon Boxall</w:t>
      </w:r>
      <w:r w:rsidRPr="008D37B4">
        <w:rPr>
          <w:sz w:val="24"/>
          <w:szCs w:val="24"/>
        </w:rPr>
        <w:t>, HM, Cayman Islands</w:t>
      </w:r>
    </w:p>
    <w:p w14:paraId="6EB9BF11" w14:textId="77777777" w:rsidR="008D37B4" w:rsidRPr="008D37B4" w:rsidRDefault="008D37B4" w:rsidP="00354FE2">
      <w:pPr>
        <w:numPr>
          <w:ilvl w:val="0"/>
          <w:numId w:val="1"/>
        </w:numPr>
        <w:spacing w:line="276" w:lineRule="auto"/>
        <w:contextualSpacing/>
        <w:jc w:val="both"/>
        <w:rPr>
          <w:sz w:val="24"/>
          <w:szCs w:val="24"/>
        </w:rPr>
      </w:pPr>
      <w:r w:rsidRPr="008D37B4">
        <w:rPr>
          <w:b/>
          <w:bCs/>
          <w:sz w:val="24"/>
          <w:szCs w:val="24"/>
        </w:rPr>
        <w:t xml:space="preserve">Mary Luz </w:t>
      </w:r>
      <w:proofErr w:type="spellStart"/>
      <w:r w:rsidRPr="008D37B4">
        <w:rPr>
          <w:b/>
          <w:bCs/>
          <w:sz w:val="24"/>
          <w:szCs w:val="24"/>
        </w:rPr>
        <w:t>Rengifo</w:t>
      </w:r>
      <w:proofErr w:type="spellEnd"/>
      <w:r w:rsidRPr="008D37B4">
        <w:rPr>
          <w:sz w:val="24"/>
          <w:szCs w:val="24"/>
        </w:rPr>
        <w:t>, GMD, Colombia</w:t>
      </w:r>
    </w:p>
    <w:p w14:paraId="66E3F48C" w14:textId="77777777" w:rsidR="008D37B4" w:rsidRPr="008D37B4" w:rsidRDefault="008D37B4" w:rsidP="00354FE2">
      <w:pPr>
        <w:numPr>
          <w:ilvl w:val="0"/>
          <w:numId w:val="1"/>
        </w:numPr>
        <w:spacing w:line="276" w:lineRule="auto"/>
        <w:contextualSpacing/>
        <w:jc w:val="both"/>
        <w:rPr>
          <w:sz w:val="24"/>
          <w:szCs w:val="24"/>
          <w:lang w:val="es-ES"/>
        </w:rPr>
      </w:pPr>
      <w:r w:rsidRPr="008D37B4">
        <w:rPr>
          <w:b/>
          <w:bCs/>
          <w:sz w:val="24"/>
          <w:szCs w:val="24"/>
          <w:lang w:val="es-ES"/>
        </w:rPr>
        <w:t>Fabio Rivera-Cerdas</w:t>
      </w:r>
      <w:r w:rsidRPr="008D37B4">
        <w:rPr>
          <w:sz w:val="24"/>
          <w:szCs w:val="24"/>
          <w:lang w:val="es-ES"/>
        </w:rPr>
        <w:t>, NU, Costa Rica</w:t>
      </w:r>
    </w:p>
    <w:p w14:paraId="522984FC" w14:textId="77777777" w:rsidR="008D37B4" w:rsidRPr="008D37B4" w:rsidRDefault="008D37B4" w:rsidP="00354FE2">
      <w:pPr>
        <w:numPr>
          <w:ilvl w:val="0"/>
          <w:numId w:val="1"/>
        </w:numPr>
        <w:spacing w:line="276" w:lineRule="auto"/>
        <w:contextualSpacing/>
        <w:jc w:val="both"/>
        <w:rPr>
          <w:sz w:val="24"/>
          <w:szCs w:val="24"/>
          <w:lang w:val="es-ES"/>
        </w:rPr>
      </w:pPr>
      <w:r w:rsidRPr="008D37B4">
        <w:rPr>
          <w:b/>
          <w:bCs/>
          <w:sz w:val="24"/>
          <w:szCs w:val="24"/>
          <w:lang w:val="es-ES"/>
        </w:rPr>
        <w:t xml:space="preserve">Kristel Espinoza </w:t>
      </w:r>
      <w:proofErr w:type="spellStart"/>
      <w:r w:rsidRPr="008D37B4">
        <w:rPr>
          <w:b/>
          <w:bCs/>
          <w:sz w:val="24"/>
          <w:szCs w:val="24"/>
          <w:lang w:val="es-ES"/>
        </w:rPr>
        <w:t>Hernandez</w:t>
      </w:r>
      <w:proofErr w:type="spellEnd"/>
      <w:r w:rsidRPr="008D37B4">
        <w:rPr>
          <w:sz w:val="24"/>
          <w:szCs w:val="24"/>
          <w:lang w:val="es-ES"/>
        </w:rPr>
        <w:t>, NU, Costa Rica</w:t>
      </w:r>
    </w:p>
    <w:p w14:paraId="1DDFA77E" w14:textId="77777777" w:rsidR="008D37B4" w:rsidRPr="008D37B4" w:rsidRDefault="008D37B4" w:rsidP="00354FE2">
      <w:pPr>
        <w:numPr>
          <w:ilvl w:val="0"/>
          <w:numId w:val="1"/>
        </w:numPr>
        <w:spacing w:line="276" w:lineRule="auto"/>
        <w:contextualSpacing/>
        <w:jc w:val="both"/>
        <w:rPr>
          <w:sz w:val="24"/>
          <w:szCs w:val="24"/>
        </w:rPr>
      </w:pPr>
      <w:r w:rsidRPr="008D37B4">
        <w:rPr>
          <w:b/>
          <w:bCs/>
          <w:sz w:val="24"/>
          <w:szCs w:val="24"/>
        </w:rPr>
        <w:t xml:space="preserve">Matthieu </w:t>
      </w:r>
      <w:proofErr w:type="spellStart"/>
      <w:r w:rsidRPr="008D37B4">
        <w:rPr>
          <w:b/>
          <w:bCs/>
          <w:sz w:val="24"/>
          <w:szCs w:val="24"/>
        </w:rPr>
        <w:t>Péroche</w:t>
      </w:r>
      <w:proofErr w:type="spellEnd"/>
      <w:r w:rsidRPr="008D37B4">
        <w:rPr>
          <w:sz w:val="24"/>
          <w:szCs w:val="24"/>
        </w:rPr>
        <w:t>, UNIV MONTPELLIER 3, France</w:t>
      </w:r>
    </w:p>
    <w:p w14:paraId="28294E7D" w14:textId="77777777" w:rsidR="008D37B4" w:rsidRPr="008D37B4" w:rsidRDefault="008D37B4" w:rsidP="00354FE2">
      <w:pPr>
        <w:numPr>
          <w:ilvl w:val="0"/>
          <w:numId w:val="1"/>
        </w:numPr>
        <w:spacing w:line="276" w:lineRule="auto"/>
        <w:contextualSpacing/>
        <w:jc w:val="both"/>
        <w:rPr>
          <w:sz w:val="24"/>
          <w:szCs w:val="24"/>
          <w:lang w:val="es-ES"/>
        </w:rPr>
      </w:pPr>
      <w:proofErr w:type="spellStart"/>
      <w:r w:rsidRPr="008D37B4">
        <w:rPr>
          <w:b/>
          <w:bCs/>
          <w:sz w:val="24"/>
          <w:szCs w:val="24"/>
          <w:lang w:val="es-ES"/>
        </w:rPr>
        <w:t>Jose</w:t>
      </w:r>
      <w:proofErr w:type="spellEnd"/>
      <w:r w:rsidRPr="008D37B4">
        <w:rPr>
          <w:b/>
          <w:bCs/>
          <w:sz w:val="24"/>
          <w:szCs w:val="24"/>
          <w:lang w:val="es-ES"/>
        </w:rPr>
        <w:t xml:space="preserve"> Antonio </w:t>
      </w:r>
      <w:proofErr w:type="spellStart"/>
      <w:r w:rsidRPr="008D37B4">
        <w:rPr>
          <w:b/>
          <w:bCs/>
          <w:sz w:val="24"/>
          <w:szCs w:val="24"/>
          <w:lang w:val="es-ES"/>
        </w:rPr>
        <w:t>Tojil</w:t>
      </w:r>
      <w:proofErr w:type="spellEnd"/>
      <w:r w:rsidRPr="008D37B4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8D37B4">
        <w:rPr>
          <w:b/>
          <w:bCs/>
          <w:sz w:val="24"/>
          <w:szCs w:val="24"/>
          <w:lang w:val="es-ES"/>
        </w:rPr>
        <w:t>Jimenez</w:t>
      </w:r>
      <w:proofErr w:type="spellEnd"/>
      <w:r w:rsidRPr="008D37B4">
        <w:rPr>
          <w:sz w:val="24"/>
          <w:szCs w:val="24"/>
          <w:lang w:val="es-ES"/>
        </w:rPr>
        <w:t>, INSIVUMEH, Guatemala</w:t>
      </w:r>
    </w:p>
    <w:p w14:paraId="53B4D059" w14:textId="77777777" w:rsidR="008D37B4" w:rsidRPr="008D37B4" w:rsidRDefault="008D37B4" w:rsidP="00354FE2">
      <w:pPr>
        <w:numPr>
          <w:ilvl w:val="0"/>
          <w:numId w:val="1"/>
        </w:numPr>
        <w:spacing w:line="276" w:lineRule="auto"/>
        <w:contextualSpacing/>
        <w:jc w:val="both"/>
        <w:rPr>
          <w:sz w:val="24"/>
          <w:szCs w:val="24"/>
        </w:rPr>
      </w:pPr>
      <w:r w:rsidRPr="008D37B4">
        <w:rPr>
          <w:b/>
          <w:bCs/>
          <w:sz w:val="24"/>
          <w:szCs w:val="24"/>
        </w:rPr>
        <w:t>Mabius Francis</w:t>
      </w:r>
      <w:r w:rsidRPr="008D37B4">
        <w:rPr>
          <w:sz w:val="24"/>
          <w:szCs w:val="24"/>
        </w:rPr>
        <w:t>, STLFS, St. Lucia</w:t>
      </w:r>
    </w:p>
    <w:p w14:paraId="5AA9D659" w14:textId="25AE0381" w:rsidR="008D37B4" w:rsidRPr="008D37B4" w:rsidRDefault="008D37B4" w:rsidP="00354FE2">
      <w:pPr>
        <w:numPr>
          <w:ilvl w:val="0"/>
          <w:numId w:val="1"/>
        </w:numPr>
        <w:spacing w:line="276" w:lineRule="auto"/>
        <w:contextualSpacing/>
        <w:jc w:val="both"/>
        <w:rPr>
          <w:sz w:val="24"/>
          <w:szCs w:val="24"/>
          <w:lang w:val="fr-FR"/>
        </w:rPr>
      </w:pPr>
      <w:r w:rsidRPr="008D37B4">
        <w:rPr>
          <w:b/>
          <w:bCs/>
          <w:sz w:val="24"/>
          <w:szCs w:val="24"/>
          <w:lang w:val="fr-FR"/>
        </w:rPr>
        <w:t>Marie-Noelle Raveau</w:t>
      </w:r>
      <w:r w:rsidRPr="008D37B4">
        <w:rPr>
          <w:sz w:val="24"/>
          <w:szCs w:val="24"/>
          <w:lang w:val="fr-FR"/>
        </w:rPr>
        <w:t xml:space="preserve">, </w:t>
      </w:r>
      <w:r w:rsidR="005C0A32" w:rsidRPr="005C0A32">
        <w:rPr>
          <w:sz w:val="24"/>
          <w:szCs w:val="24"/>
          <w:lang w:val="fr-FR"/>
        </w:rPr>
        <w:t>CTM/ DMD</w:t>
      </w:r>
      <w:r w:rsidRPr="008D37B4">
        <w:rPr>
          <w:sz w:val="24"/>
          <w:szCs w:val="24"/>
          <w:lang w:val="fr-FR"/>
        </w:rPr>
        <w:t xml:space="preserve">, </w:t>
      </w:r>
      <w:r w:rsidR="00B060DE" w:rsidRPr="00B060DE">
        <w:rPr>
          <w:sz w:val="24"/>
          <w:szCs w:val="24"/>
          <w:lang w:val="fr-FR"/>
        </w:rPr>
        <w:t>France (Martinique)</w:t>
      </w:r>
    </w:p>
    <w:p w14:paraId="4322D055" w14:textId="77777777" w:rsidR="00E717E7" w:rsidRDefault="00E717E7" w:rsidP="00354FE2">
      <w:pPr>
        <w:spacing w:line="276" w:lineRule="auto"/>
        <w:contextualSpacing/>
        <w:jc w:val="both"/>
        <w:rPr>
          <w:sz w:val="24"/>
          <w:szCs w:val="24"/>
          <w:lang w:val="fr-FR"/>
        </w:rPr>
      </w:pPr>
    </w:p>
    <w:p w14:paraId="01E6309D" w14:textId="2D9946F7" w:rsidR="00E717E7" w:rsidRPr="00E717E7" w:rsidRDefault="00E717E7" w:rsidP="00354FE2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r w:rsidRPr="00E717E7">
        <w:rPr>
          <w:b/>
          <w:bCs/>
          <w:sz w:val="24"/>
          <w:szCs w:val="24"/>
        </w:rPr>
        <w:t>2.0</w:t>
      </w:r>
      <w:r w:rsidRPr="00E717E7">
        <w:rPr>
          <w:b/>
          <w:bCs/>
          <w:sz w:val="24"/>
          <w:szCs w:val="24"/>
        </w:rPr>
        <w:tab/>
        <w:t>Working Group 4 – Tsunami Ready Objectives</w:t>
      </w:r>
    </w:p>
    <w:p w14:paraId="690EAC91" w14:textId="4BED118F" w:rsidR="00E717E7" w:rsidRDefault="00E717E7" w:rsidP="00354FE2">
      <w:pPr>
        <w:spacing w:line="276" w:lineRule="auto"/>
        <w:contextualSpacing/>
        <w:jc w:val="both"/>
        <w:rPr>
          <w:sz w:val="24"/>
          <w:szCs w:val="24"/>
        </w:rPr>
      </w:pPr>
      <w:r w:rsidRPr="00E717E7">
        <w:rPr>
          <w:sz w:val="24"/>
          <w:szCs w:val="24"/>
        </w:rPr>
        <w:t>T</w:t>
      </w:r>
      <w:r>
        <w:rPr>
          <w:sz w:val="24"/>
          <w:szCs w:val="24"/>
        </w:rPr>
        <w:t xml:space="preserve">he objectives of WG4 Tsunami Ready as outlined within the </w:t>
      </w:r>
      <w:proofErr w:type="spellStart"/>
      <w:r>
        <w:rPr>
          <w:sz w:val="24"/>
          <w:szCs w:val="24"/>
        </w:rPr>
        <w:t>ToR</w:t>
      </w:r>
      <w:proofErr w:type="spellEnd"/>
      <w:r>
        <w:rPr>
          <w:sz w:val="24"/>
          <w:szCs w:val="24"/>
        </w:rPr>
        <w:t xml:space="preserve"> are as follows:</w:t>
      </w:r>
    </w:p>
    <w:p w14:paraId="600BCD37" w14:textId="77777777" w:rsidR="00E717E7" w:rsidRDefault="00E717E7" w:rsidP="00354FE2">
      <w:pPr>
        <w:spacing w:line="276" w:lineRule="auto"/>
        <w:contextualSpacing/>
        <w:jc w:val="both"/>
        <w:rPr>
          <w:sz w:val="24"/>
          <w:szCs w:val="24"/>
        </w:rPr>
      </w:pPr>
    </w:p>
    <w:p w14:paraId="5F6D428C" w14:textId="3E258340" w:rsidR="00E717E7" w:rsidRPr="00E717E7" w:rsidRDefault="00E07520" w:rsidP="00354FE2">
      <w:pPr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 w:rsidRPr="00E07520">
        <w:rPr>
          <w:sz w:val="24"/>
          <w:szCs w:val="24"/>
        </w:rPr>
        <w:t xml:space="preserve">Identify and employ strategies to ensure 100% of at-risk communities are prepared for and resilient to Tsunamis by 2030 through efforts like UNESCO/IOC Tsunami Ready </w:t>
      </w:r>
      <w:proofErr w:type="gramStart"/>
      <w:r w:rsidRPr="00E07520">
        <w:rPr>
          <w:sz w:val="24"/>
          <w:szCs w:val="24"/>
        </w:rPr>
        <w:t>designation</w:t>
      </w:r>
      <w:proofErr w:type="gramEnd"/>
    </w:p>
    <w:p w14:paraId="7D9EEC97" w14:textId="77777777" w:rsidR="00E717E7" w:rsidRPr="00E717E7" w:rsidRDefault="00E717E7" w:rsidP="00354FE2">
      <w:pPr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 w:rsidRPr="00E717E7">
        <w:rPr>
          <w:sz w:val="24"/>
          <w:szCs w:val="24"/>
        </w:rPr>
        <w:t xml:space="preserve">Support the development of guidelines and capacity development on preparedness, response and recovery planning for Member States, </w:t>
      </w:r>
      <w:proofErr w:type="gramStart"/>
      <w:r w:rsidRPr="00E717E7">
        <w:rPr>
          <w:sz w:val="24"/>
          <w:szCs w:val="24"/>
        </w:rPr>
        <w:t>communities</w:t>
      </w:r>
      <w:proofErr w:type="gramEnd"/>
      <w:r w:rsidRPr="00E717E7">
        <w:rPr>
          <w:sz w:val="24"/>
          <w:szCs w:val="24"/>
        </w:rPr>
        <w:t xml:space="preserve"> and organizations, which should include sharing of training and evacuation best practices.</w:t>
      </w:r>
    </w:p>
    <w:p w14:paraId="290677F8" w14:textId="77777777" w:rsidR="00E717E7" w:rsidRDefault="00E717E7" w:rsidP="00354FE2">
      <w:pPr>
        <w:spacing w:line="276" w:lineRule="auto"/>
        <w:contextualSpacing/>
        <w:jc w:val="both"/>
        <w:rPr>
          <w:sz w:val="24"/>
          <w:szCs w:val="24"/>
        </w:rPr>
      </w:pPr>
    </w:p>
    <w:p w14:paraId="28B3D93E" w14:textId="077A3687" w:rsidR="00E717E7" w:rsidRDefault="00E717E7" w:rsidP="00354FE2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WG4 Tsunami Ready, having met virtually and discussed the above-listed objectives, determined that the </w:t>
      </w:r>
      <w:r w:rsidRPr="00E717E7">
        <w:rPr>
          <w:sz w:val="24"/>
          <w:szCs w:val="24"/>
        </w:rPr>
        <w:t>“</w:t>
      </w:r>
      <w:r w:rsidRPr="00354FE2">
        <w:rPr>
          <w:b/>
          <w:bCs/>
          <w:sz w:val="24"/>
          <w:szCs w:val="24"/>
        </w:rPr>
        <w:t xml:space="preserve">Feedback Survey on Implementation of UNESCO IOC Tsunami Ready Recognition </w:t>
      </w:r>
      <w:proofErr w:type="spellStart"/>
      <w:r w:rsidRPr="00354FE2">
        <w:rPr>
          <w:b/>
          <w:bCs/>
          <w:sz w:val="24"/>
          <w:szCs w:val="24"/>
        </w:rPr>
        <w:t>Programme</w:t>
      </w:r>
      <w:proofErr w:type="spellEnd"/>
      <w:r w:rsidRPr="00E717E7">
        <w:rPr>
          <w:sz w:val="24"/>
          <w:szCs w:val="24"/>
        </w:rPr>
        <w:t>”</w:t>
      </w:r>
      <w:r>
        <w:rPr>
          <w:sz w:val="24"/>
          <w:szCs w:val="24"/>
        </w:rPr>
        <w:t xml:space="preserve"> was the most feasible modality of achieving the objectives.  This survey was a product of the 2021-2023 Tsunami Ready Task Team.</w:t>
      </w:r>
    </w:p>
    <w:p w14:paraId="16B2CB2C" w14:textId="77777777" w:rsidR="00E717E7" w:rsidRDefault="00E717E7" w:rsidP="00354FE2">
      <w:pPr>
        <w:spacing w:line="276" w:lineRule="auto"/>
        <w:contextualSpacing/>
        <w:jc w:val="both"/>
        <w:rPr>
          <w:sz w:val="24"/>
          <w:szCs w:val="24"/>
        </w:rPr>
      </w:pPr>
    </w:p>
    <w:p w14:paraId="2E04BA7C" w14:textId="77777777" w:rsidR="00E717E7" w:rsidRDefault="00E717E7" w:rsidP="00354FE2">
      <w:pPr>
        <w:spacing w:line="276" w:lineRule="auto"/>
        <w:contextualSpacing/>
        <w:jc w:val="both"/>
        <w:rPr>
          <w:sz w:val="24"/>
          <w:szCs w:val="24"/>
        </w:rPr>
      </w:pPr>
    </w:p>
    <w:p w14:paraId="03498969" w14:textId="77777777" w:rsidR="00E717E7" w:rsidRDefault="00E717E7" w:rsidP="00354FE2">
      <w:pPr>
        <w:spacing w:line="276" w:lineRule="auto"/>
        <w:contextualSpacing/>
        <w:jc w:val="both"/>
        <w:rPr>
          <w:sz w:val="24"/>
          <w:szCs w:val="24"/>
        </w:rPr>
      </w:pPr>
    </w:p>
    <w:p w14:paraId="14B442DB" w14:textId="6DD4BE92" w:rsidR="00E717E7" w:rsidRPr="00E717E7" w:rsidRDefault="00E717E7" w:rsidP="00354FE2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r w:rsidRPr="00E717E7">
        <w:rPr>
          <w:b/>
          <w:bCs/>
          <w:sz w:val="24"/>
          <w:szCs w:val="24"/>
        </w:rPr>
        <w:lastRenderedPageBreak/>
        <w:t>3.0</w:t>
      </w:r>
      <w:r w:rsidRPr="00E717E7">
        <w:rPr>
          <w:b/>
          <w:bCs/>
          <w:sz w:val="24"/>
          <w:szCs w:val="24"/>
        </w:rPr>
        <w:tab/>
        <w:t xml:space="preserve">Feedback Survey on Implementation of UNESCO IOC Tsunami Ready Recognition </w:t>
      </w:r>
      <w:proofErr w:type="spellStart"/>
      <w:r w:rsidRPr="00E717E7">
        <w:rPr>
          <w:b/>
          <w:bCs/>
          <w:sz w:val="24"/>
          <w:szCs w:val="24"/>
        </w:rPr>
        <w:t>Programme</w:t>
      </w:r>
      <w:proofErr w:type="spellEnd"/>
    </w:p>
    <w:p w14:paraId="796AFDCB" w14:textId="400052E1" w:rsidR="00E717E7" w:rsidRDefault="00E717E7" w:rsidP="00354FE2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The objectives of the survey are as follows:</w:t>
      </w:r>
    </w:p>
    <w:p w14:paraId="514A8672" w14:textId="77777777" w:rsidR="00E717E7" w:rsidRDefault="00E717E7" w:rsidP="00354FE2">
      <w:pPr>
        <w:spacing w:line="276" w:lineRule="auto"/>
        <w:contextualSpacing/>
        <w:jc w:val="both"/>
        <w:rPr>
          <w:sz w:val="24"/>
          <w:szCs w:val="24"/>
        </w:rPr>
      </w:pPr>
    </w:p>
    <w:p w14:paraId="025082E3" w14:textId="77777777" w:rsidR="00E717E7" w:rsidRPr="00E717E7" w:rsidRDefault="00E717E7" w:rsidP="00354FE2">
      <w:pPr>
        <w:numPr>
          <w:ilvl w:val="1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E717E7">
        <w:rPr>
          <w:sz w:val="24"/>
          <w:szCs w:val="24"/>
        </w:rPr>
        <w:t xml:space="preserve">Use responses to evaluate and improve the effectiveness of the </w:t>
      </w:r>
      <w:proofErr w:type="spellStart"/>
      <w:proofErr w:type="gramStart"/>
      <w:r w:rsidRPr="00E717E7">
        <w:rPr>
          <w:sz w:val="24"/>
          <w:szCs w:val="24"/>
        </w:rPr>
        <w:t>programme</w:t>
      </w:r>
      <w:proofErr w:type="spellEnd"/>
      <w:proofErr w:type="gramEnd"/>
    </w:p>
    <w:p w14:paraId="65B9F310" w14:textId="77777777" w:rsidR="00E717E7" w:rsidRPr="00E717E7" w:rsidRDefault="00E717E7" w:rsidP="00354FE2">
      <w:pPr>
        <w:numPr>
          <w:ilvl w:val="1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E717E7">
        <w:rPr>
          <w:sz w:val="24"/>
          <w:szCs w:val="24"/>
        </w:rPr>
        <w:t xml:space="preserve">Examine strengths, weaknesses and opportunities for promoting and improving the </w:t>
      </w:r>
      <w:proofErr w:type="spellStart"/>
      <w:proofErr w:type="gramStart"/>
      <w:r w:rsidRPr="00E717E7">
        <w:rPr>
          <w:sz w:val="24"/>
          <w:szCs w:val="24"/>
        </w:rPr>
        <w:t>programme</w:t>
      </w:r>
      <w:proofErr w:type="spellEnd"/>
      <w:proofErr w:type="gramEnd"/>
    </w:p>
    <w:p w14:paraId="29AE9A49" w14:textId="3573A1DC" w:rsidR="00E717E7" w:rsidRPr="00E717E7" w:rsidRDefault="00E717E7" w:rsidP="00354FE2">
      <w:pPr>
        <w:numPr>
          <w:ilvl w:val="1"/>
          <w:numId w:val="3"/>
        </w:numPr>
        <w:spacing w:line="276" w:lineRule="auto"/>
        <w:contextualSpacing/>
        <w:jc w:val="both"/>
        <w:rPr>
          <w:sz w:val="24"/>
          <w:szCs w:val="24"/>
        </w:rPr>
      </w:pPr>
      <w:r w:rsidRPr="00E717E7">
        <w:rPr>
          <w:sz w:val="24"/>
          <w:szCs w:val="24"/>
        </w:rPr>
        <w:t xml:space="preserve">Improved community readiness and ability to respond to </w:t>
      </w:r>
      <w:r w:rsidR="005306A2" w:rsidRPr="00E717E7">
        <w:rPr>
          <w:sz w:val="24"/>
          <w:szCs w:val="24"/>
        </w:rPr>
        <w:t>tsunamis.</w:t>
      </w:r>
    </w:p>
    <w:p w14:paraId="0C8C8EE7" w14:textId="77777777" w:rsidR="00E717E7" w:rsidRDefault="00E717E7" w:rsidP="00354FE2">
      <w:pPr>
        <w:spacing w:line="276" w:lineRule="auto"/>
        <w:contextualSpacing/>
        <w:jc w:val="both"/>
        <w:rPr>
          <w:sz w:val="24"/>
          <w:szCs w:val="24"/>
        </w:rPr>
      </w:pPr>
    </w:p>
    <w:p w14:paraId="3BF534DA" w14:textId="1B08E46E" w:rsidR="00E717E7" w:rsidRDefault="005306A2" w:rsidP="00354FE2">
      <w:pPr>
        <w:spacing w:line="276" w:lineRule="auto"/>
        <w:contextualSpacing/>
        <w:jc w:val="both"/>
        <w:rPr>
          <w:sz w:val="24"/>
          <w:szCs w:val="24"/>
        </w:rPr>
      </w:pPr>
      <w:r w:rsidRPr="005306A2">
        <w:rPr>
          <w:sz w:val="24"/>
          <w:szCs w:val="24"/>
        </w:rPr>
        <w:t xml:space="preserve">Two </w:t>
      </w:r>
      <w:r>
        <w:rPr>
          <w:sz w:val="24"/>
          <w:szCs w:val="24"/>
        </w:rPr>
        <w:t xml:space="preserve">survey </w:t>
      </w:r>
      <w:r w:rsidRPr="005306A2">
        <w:rPr>
          <w:sz w:val="24"/>
          <w:szCs w:val="24"/>
        </w:rPr>
        <w:t xml:space="preserve">responses </w:t>
      </w:r>
      <w:r>
        <w:rPr>
          <w:sz w:val="24"/>
          <w:szCs w:val="24"/>
        </w:rPr>
        <w:t xml:space="preserve">are </w:t>
      </w:r>
      <w:r w:rsidRPr="005306A2">
        <w:rPr>
          <w:sz w:val="24"/>
          <w:szCs w:val="24"/>
        </w:rPr>
        <w:t>required from each community receiving/renewing their recognition status.</w:t>
      </w:r>
      <w:r>
        <w:rPr>
          <w:sz w:val="24"/>
          <w:szCs w:val="24"/>
        </w:rPr>
        <w:t xml:space="preserve">  </w:t>
      </w:r>
      <w:r w:rsidRPr="005306A2">
        <w:rPr>
          <w:sz w:val="24"/>
          <w:szCs w:val="24"/>
        </w:rPr>
        <w:t>Responses</w:t>
      </w:r>
      <w:r>
        <w:rPr>
          <w:sz w:val="24"/>
          <w:szCs w:val="24"/>
        </w:rPr>
        <w:t xml:space="preserve"> are required</w:t>
      </w:r>
      <w:r w:rsidRPr="005306A2">
        <w:rPr>
          <w:sz w:val="24"/>
          <w:szCs w:val="24"/>
        </w:rPr>
        <w:t xml:space="preserve"> from</w:t>
      </w:r>
      <w:r>
        <w:rPr>
          <w:sz w:val="24"/>
          <w:szCs w:val="24"/>
        </w:rPr>
        <w:t xml:space="preserve"> each community’s </w:t>
      </w:r>
      <w:r w:rsidRPr="005306A2">
        <w:rPr>
          <w:sz w:val="24"/>
          <w:szCs w:val="24"/>
        </w:rPr>
        <w:t xml:space="preserve">National/Regional Tsunami Ready Board and </w:t>
      </w:r>
      <w:r>
        <w:rPr>
          <w:sz w:val="24"/>
          <w:szCs w:val="24"/>
        </w:rPr>
        <w:t>each community’s</w:t>
      </w:r>
      <w:r w:rsidRPr="005306A2">
        <w:rPr>
          <w:sz w:val="24"/>
          <w:szCs w:val="24"/>
        </w:rPr>
        <w:t xml:space="preserve"> Tsunami Ready Committees.</w:t>
      </w:r>
    </w:p>
    <w:p w14:paraId="38AA0C7C" w14:textId="77777777" w:rsidR="005306A2" w:rsidRDefault="005306A2" w:rsidP="00354FE2">
      <w:pPr>
        <w:spacing w:line="276" w:lineRule="auto"/>
        <w:contextualSpacing/>
        <w:jc w:val="both"/>
        <w:rPr>
          <w:sz w:val="24"/>
          <w:szCs w:val="24"/>
        </w:rPr>
      </w:pPr>
    </w:p>
    <w:p w14:paraId="197E9879" w14:textId="0D3F0A75" w:rsidR="005306A2" w:rsidRPr="005306A2" w:rsidRDefault="005306A2" w:rsidP="00354FE2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r w:rsidRPr="005306A2">
        <w:rPr>
          <w:b/>
          <w:bCs/>
          <w:sz w:val="24"/>
          <w:szCs w:val="24"/>
        </w:rPr>
        <w:t>4.0</w:t>
      </w:r>
      <w:r w:rsidRPr="005306A2">
        <w:rPr>
          <w:b/>
          <w:bCs/>
          <w:sz w:val="24"/>
          <w:szCs w:val="24"/>
        </w:rPr>
        <w:tab/>
        <w:t>Survey implementation strategy</w:t>
      </w:r>
    </w:p>
    <w:p w14:paraId="5BADB6E0" w14:textId="6F9BFBCA" w:rsidR="005306A2" w:rsidRDefault="005306A2" w:rsidP="00354FE2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WG4 Tsunami Ready has determined that the following is the best survey implementation strategy:</w:t>
      </w:r>
    </w:p>
    <w:p w14:paraId="68850AFB" w14:textId="77777777" w:rsidR="005306A2" w:rsidRPr="005306A2" w:rsidRDefault="005306A2" w:rsidP="00354FE2">
      <w:pPr>
        <w:numPr>
          <w:ilvl w:val="0"/>
          <w:numId w:val="4"/>
        </w:numPr>
        <w:spacing w:line="276" w:lineRule="auto"/>
        <w:contextualSpacing/>
        <w:jc w:val="both"/>
        <w:rPr>
          <w:sz w:val="24"/>
          <w:szCs w:val="24"/>
        </w:rPr>
      </w:pPr>
      <w:r w:rsidRPr="005306A2">
        <w:rPr>
          <w:b/>
          <w:bCs/>
          <w:sz w:val="24"/>
          <w:szCs w:val="24"/>
        </w:rPr>
        <w:t xml:space="preserve">Survey Monkey </w:t>
      </w:r>
      <w:r w:rsidRPr="005306A2">
        <w:rPr>
          <w:sz w:val="24"/>
          <w:szCs w:val="24"/>
        </w:rPr>
        <w:t>– proposed platform for the implementation of the survey.</w:t>
      </w:r>
    </w:p>
    <w:p w14:paraId="53033964" w14:textId="77777777" w:rsidR="005306A2" w:rsidRPr="005306A2" w:rsidRDefault="005306A2" w:rsidP="00354FE2">
      <w:pPr>
        <w:numPr>
          <w:ilvl w:val="0"/>
          <w:numId w:val="4"/>
        </w:numPr>
        <w:spacing w:line="276" w:lineRule="auto"/>
        <w:contextualSpacing/>
        <w:jc w:val="both"/>
        <w:rPr>
          <w:sz w:val="24"/>
          <w:szCs w:val="24"/>
        </w:rPr>
      </w:pPr>
      <w:r w:rsidRPr="005306A2">
        <w:rPr>
          <w:b/>
          <w:bCs/>
          <w:sz w:val="24"/>
          <w:szCs w:val="24"/>
        </w:rPr>
        <w:t>Languages</w:t>
      </w:r>
      <w:r w:rsidRPr="005306A2">
        <w:rPr>
          <w:sz w:val="24"/>
          <w:szCs w:val="24"/>
        </w:rPr>
        <w:t xml:space="preserve"> - translated into Spanish, French, and English</w:t>
      </w:r>
    </w:p>
    <w:p w14:paraId="3DBD94FC" w14:textId="4B015164" w:rsidR="005306A2" w:rsidRPr="005306A2" w:rsidRDefault="005306A2" w:rsidP="00354FE2">
      <w:pPr>
        <w:numPr>
          <w:ilvl w:val="0"/>
          <w:numId w:val="4"/>
        </w:numPr>
        <w:spacing w:line="276" w:lineRule="auto"/>
        <w:contextualSpacing/>
        <w:jc w:val="both"/>
        <w:rPr>
          <w:sz w:val="24"/>
          <w:szCs w:val="24"/>
        </w:rPr>
      </w:pPr>
      <w:r w:rsidRPr="005306A2">
        <w:rPr>
          <w:b/>
          <w:bCs/>
          <w:sz w:val="24"/>
          <w:szCs w:val="24"/>
        </w:rPr>
        <w:t>Scope</w:t>
      </w:r>
      <w:r w:rsidRPr="005306A2">
        <w:rPr>
          <w:sz w:val="24"/>
          <w:szCs w:val="24"/>
        </w:rPr>
        <w:t xml:space="preserve"> - all UNESCO/IOC Tsunami Ready Recognition communities recognized since 2019.</w:t>
      </w:r>
    </w:p>
    <w:p w14:paraId="2D09515A" w14:textId="330EA47E" w:rsidR="005306A2" w:rsidRPr="005306A2" w:rsidRDefault="005306A2" w:rsidP="00354FE2">
      <w:pPr>
        <w:numPr>
          <w:ilvl w:val="0"/>
          <w:numId w:val="4"/>
        </w:numPr>
        <w:spacing w:line="276" w:lineRule="auto"/>
        <w:contextualSpacing/>
        <w:jc w:val="both"/>
        <w:rPr>
          <w:sz w:val="24"/>
          <w:szCs w:val="24"/>
        </w:rPr>
      </w:pPr>
      <w:r w:rsidRPr="005306A2">
        <w:rPr>
          <w:sz w:val="24"/>
          <w:szCs w:val="24"/>
        </w:rPr>
        <w:t>WG4 - Tsunami Ready with CTIC and ITIC-CAR to administer the Tsunami Ready evaluation survey.</w:t>
      </w:r>
    </w:p>
    <w:p w14:paraId="5982C050" w14:textId="53C93F0D" w:rsidR="005306A2" w:rsidRPr="005306A2" w:rsidRDefault="005306A2" w:rsidP="00354FE2">
      <w:pPr>
        <w:numPr>
          <w:ilvl w:val="0"/>
          <w:numId w:val="4"/>
        </w:numPr>
        <w:spacing w:line="276" w:lineRule="auto"/>
        <w:contextualSpacing/>
        <w:jc w:val="both"/>
        <w:rPr>
          <w:sz w:val="24"/>
          <w:szCs w:val="24"/>
        </w:rPr>
      </w:pPr>
      <w:r w:rsidRPr="005306A2">
        <w:rPr>
          <w:sz w:val="24"/>
          <w:szCs w:val="24"/>
        </w:rPr>
        <w:t>ITIC-CAR to make available an intern for a period of 10 weeks to support the implementation of the Tsunami Ready survey.</w:t>
      </w:r>
    </w:p>
    <w:p w14:paraId="08189602" w14:textId="77777777" w:rsidR="005306A2" w:rsidRPr="005306A2" w:rsidRDefault="005306A2" w:rsidP="00354FE2">
      <w:pPr>
        <w:numPr>
          <w:ilvl w:val="0"/>
          <w:numId w:val="4"/>
        </w:numPr>
        <w:spacing w:line="276" w:lineRule="auto"/>
        <w:contextualSpacing/>
        <w:jc w:val="both"/>
        <w:rPr>
          <w:sz w:val="24"/>
          <w:szCs w:val="24"/>
        </w:rPr>
      </w:pPr>
      <w:r w:rsidRPr="005306A2">
        <w:rPr>
          <w:sz w:val="24"/>
          <w:szCs w:val="24"/>
        </w:rPr>
        <w:t>Intern to begin translating the survey into Survey Monkey, followed by the tasks of administering and evaluating the data retrieved from the survey.</w:t>
      </w:r>
    </w:p>
    <w:p w14:paraId="758168FE" w14:textId="77777777" w:rsidR="005306A2" w:rsidRDefault="005306A2" w:rsidP="00354FE2">
      <w:pPr>
        <w:spacing w:line="276" w:lineRule="auto"/>
        <w:contextualSpacing/>
        <w:jc w:val="both"/>
        <w:rPr>
          <w:sz w:val="24"/>
          <w:szCs w:val="24"/>
        </w:rPr>
      </w:pPr>
    </w:p>
    <w:p w14:paraId="03048E50" w14:textId="32E4473C" w:rsidR="005306A2" w:rsidRPr="005306A2" w:rsidRDefault="005306A2" w:rsidP="00354FE2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r w:rsidRPr="005306A2">
        <w:rPr>
          <w:b/>
          <w:bCs/>
          <w:sz w:val="24"/>
          <w:szCs w:val="24"/>
        </w:rPr>
        <w:t>5.0</w:t>
      </w:r>
      <w:r w:rsidRPr="005306A2">
        <w:rPr>
          <w:b/>
          <w:bCs/>
          <w:sz w:val="24"/>
          <w:szCs w:val="24"/>
        </w:rPr>
        <w:tab/>
        <w:t>The way forward</w:t>
      </w:r>
    </w:p>
    <w:p w14:paraId="258788ED" w14:textId="3A5D9196" w:rsidR="005306A2" w:rsidRPr="005306A2" w:rsidRDefault="005306A2" w:rsidP="00354FE2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is expected that the work of the intern will conclude after the </w:t>
      </w:r>
      <w:r w:rsidRPr="005306A2">
        <w:rPr>
          <w:sz w:val="24"/>
          <w:szCs w:val="24"/>
        </w:rPr>
        <w:t xml:space="preserve">17th Session of The Intergovernmental Coordination Group </w:t>
      </w:r>
      <w:r w:rsidR="00354FE2" w:rsidRPr="005306A2">
        <w:rPr>
          <w:sz w:val="24"/>
          <w:szCs w:val="24"/>
        </w:rPr>
        <w:t>for</w:t>
      </w:r>
      <w:r w:rsidRPr="005306A2">
        <w:rPr>
          <w:sz w:val="24"/>
          <w:szCs w:val="24"/>
        </w:rPr>
        <w:t xml:space="preserve"> The Tsunami </w:t>
      </w:r>
      <w:proofErr w:type="gramStart"/>
      <w:r w:rsidRPr="005306A2">
        <w:rPr>
          <w:sz w:val="24"/>
          <w:szCs w:val="24"/>
        </w:rPr>
        <w:t>And</w:t>
      </w:r>
      <w:proofErr w:type="gramEnd"/>
      <w:r w:rsidRPr="005306A2">
        <w:rPr>
          <w:sz w:val="24"/>
          <w:szCs w:val="24"/>
        </w:rPr>
        <w:t xml:space="preserve"> Other Coastal Hazards Warning Systems For The Caribbean And Adjacent Regions, Managua, Nicaragua, May 06-09, 2024</w:t>
      </w:r>
      <w:r>
        <w:rPr>
          <w:sz w:val="24"/>
          <w:szCs w:val="24"/>
        </w:rPr>
        <w:t>.  The r</w:t>
      </w:r>
      <w:r w:rsidRPr="005306A2">
        <w:rPr>
          <w:sz w:val="24"/>
          <w:szCs w:val="24"/>
        </w:rPr>
        <w:t>esults of the survey should facilitate the formulation of strategic steps towards ensuring that 100% of at-risk communities achieve UNESCO/IOC Tsunami Ready Designation</w:t>
      </w:r>
    </w:p>
    <w:p w14:paraId="71E48EA1" w14:textId="77777777" w:rsidR="005306A2" w:rsidRPr="00E717E7" w:rsidRDefault="005306A2" w:rsidP="00354FE2">
      <w:pPr>
        <w:spacing w:line="276" w:lineRule="auto"/>
        <w:contextualSpacing/>
        <w:jc w:val="both"/>
        <w:rPr>
          <w:sz w:val="24"/>
          <w:szCs w:val="24"/>
        </w:rPr>
      </w:pPr>
    </w:p>
    <w:sectPr w:rsidR="005306A2" w:rsidRPr="00E7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23B26" w14:textId="77777777" w:rsidR="002C6237" w:rsidRDefault="002C6237" w:rsidP="002522E1">
      <w:pPr>
        <w:spacing w:after="0" w:line="240" w:lineRule="auto"/>
      </w:pPr>
      <w:r>
        <w:separator/>
      </w:r>
    </w:p>
  </w:endnote>
  <w:endnote w:type="continuationSeparator" w:id="0">
    <w:p w14:paraId="6459F514" w14:textId="77777777" w:rsidR="002C6237" w:rsidRDefault="002C6237" w:rsidP="0025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5276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5287BAC" w14:textId="5D5FAE55" w:rsidR="002522E1" w:rsidRDefault="002522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12CFF9" w14:textId="77777777" w:rsidR="002522E1" w:rsidRDefault="00252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FDEFC" w14:textId="77777777" w:rsidR="002C6237" w:rsidRDefault="002C6237" w:rsidP="002522E1">
      <w:pPr>
        <w:spacing w:after="0" w:line="240" w:lineRule="auto"/>
      </w:pPr>
      <w:r>
        <w:separator/>
      </w:r>
    </w:p>
  </w:footnote>
  <w:footnote w:type="continuationSeparator" w:id="0">
    <w:p w14:paraId="525A833C" w14:textId="77777777" w:rsidR="002C6237" w:rsidRDefault="002C6237" w:rsidP="00252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2DD"/>
    <w:multiLevelType w:val="hybridMultilevel"/>
    <w:tmpl w:val="DF2AF4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9C316C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D14D76C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208C50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5472EE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F43E2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D0C68B8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BCB9A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AE0A0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3E504BE"/>
    <w:multiLevelType w:val="hybridMultilevel"/>
    <w:tmpl w:val="41801E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EE0348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00CD7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8208FA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58AE62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4F061A0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866D48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D8085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C3EF1B4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5C9E657E"/>
    <w:multiLevelType w:val="hybridMultilevel"/>
    <w:tmpl w:val="B2B688A6"/>
    <w:lvl w:ilvl="0" w:tplc="CD8E57E8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4AE4818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8CDAAA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D4324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B7685E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4C396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968544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A3010A8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068FF0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64740743"/>
    <w:multiLevelType w:val="hybridMultilevel"/>
    <w:tmpl w:val="9A600026"/>
    <w:lvl w:ilvl="0" w:tplc="26643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5C99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9E3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408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408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82C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2AF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96A0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E6A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147223"/>
    <w:multiLevelType w:val="hybridMultilevel"/>
    <w:tmpl w:val="2C8EB56E"/>
    <w:lvl w:ilvl="0" w:tplc="B802CD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806CD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61D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FA74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8000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26D4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4818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1A7E6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3184699">
    <w:abstractNumId w:val="3"/>
  </w:num>
  <w:num w:numId="2" w16cid:durableId="1089929641">
    <w:abstractNumId w:val="0"/>
  </w:num>
  <w:num w:numId="3" w16cid:durableId="1481069436">
    <w:abstractNumId w:val="4"/>
  </w:num>
  <w:num w:numId="4" w16cid:durableId="1657882643">
    <w:abstractNumId w:val="1"/>
  </w:num>
  <w:num w:numId="5" w16cid:durableId="496505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98"/>
    <w:rsid w:val="001238AB"/>
    <w:rsid w:val="001F7EDF"/>
    <w:rsid w:val="00201098"/>
    <w:rsid w:val="002522E1"/>
    <w:rsid w:val="002C6237"/>
    <w:rsid w:val="00354FE2"/>
    <w:rsid w:val="003D7F6C"/>
    <w:rsid w:val="005070B8"/>
    <w:rsid w:val="005306A2"/>
    <w:rsid w:val="00546B77"/>
    <w:rsid w:val="005C0A32"/>
    <w:rsid w:val="0073439F"/>
    <w:rsid w:val="008D37B4"/>
    <w:rsid w:val="009D7920"/>
    <w:rsid w:val="00B060DE"/>
    <w:rsid w:val="00B47A88"/>
    <w:rsid w:val="00DF25AC"/>
    <w:rsid w:val="00E07520"/>
    <w:rsid w:val="00E61F0F"/>
    <w:rsid w:val="00E7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F888BC"/>
  <w15:chartTrackingRefBased/>
  <w15:docId w15:val="{BF16DD32-6FAF-487E-BE07-F91B3182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2E1"/>
  </w:style>
  <w:style w:type="paragraph" w:styleId="Footer">
    <w:name w:val="footer"/>
    <w:basedOn w:val="Normal"/>
    <w:link w:val="FooterChar"/>
    <w:uiPriority w:val="99"/>
    <w:unhideWhenUsed/>
    <w:rsid w:val="0025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3759">
          <w:marLeft w:val="8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499">
          <w:marLeft w:val="8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141">
          <w:marLeft w:val="8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378">
          <w:marLeft w:val="8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32">
          <w:marLeft w:val="8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277">
          <w:marLeft w:val="8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020">
          <w:marLeft w:val="8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249">
          <w:marLeft w:val="8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937">
          <w:marLeft w:val="8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565">
          <w:marLeft w:val="8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2509">
          <w:marLeft w:val="8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107">
          <w:marLeft w:val="8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551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085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697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62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43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09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003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7478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945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250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17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24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212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08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Hinds</dc:creator>
  <cp:keywords/>
  <dc:description/>
  <cp:lastModifiedBy>Ocal Necmioglu (UNESCO/IOC)</cp:lastModifiedBy>
  <cp:revision>12</cp:revision>
  <dcterms:created xsi:type="dcterms:W3CDTF">2024-04-21T17:56:00Z</dcterms:created>
  <dcterms:modified xsi:type="dcterms:W3CDTF">2024-04-28T16:55:00Z</dcterms:modified>
</cp:coreProperties>
</file>