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0804" w14:textId="2DCC7A8C" w:rsidR="00EA1C02" w:rsidRPr="008F5888" w:rsidRDefault="00334B9F" w:rsidP="005B638C">
      <w:pPr>
        <w:keepNext/>
        <w:widowControl w:val="0"/>
        <w:tabs>
          <w:tab w:val="right" w:pos="9540"/>
        </w:tabs>
        <w:adjustRightInd w:val="0"/>
        <w:spacing w:after="240" w:line="240" w:lineRule="auto"/>
        <w:jc w:val="both"/>
        <w:textAlignment w:val="baseline"/>
        <w:outlineLvl w:val="6"/>
        <w:rPr>
          <w:rFonts w:ascii="Arial" w:eastAsia="Times New Roman" w:hAnsi="Arial" w:cs="Arial"/>
          <w:lang w:val="es-ES"/>
        </w:rPr>
      </w:pPr>
      <w:r w:rsidRPr="008F5888">
        <w:rPr>
          <w:rFonts w:ascii="Arial" w:eastAsia="Times New Roman" w:hAnsi="Arial" w:cs="Arial"/>
          <w:u w:val="single"/>
          <w:lang w:val="es-ES"/>
        </w:rPr>
        <w:t xml:space="preserve">Punto </w:t>
      </w:r>
      <w:r w:rsidR="005B638C" w:rsidRPr="008F5888">
        <w:rPr>
          <w:rFonts w:ascii="Arial" w:eastAsia="Times New Roman" w:hAnsi="Arial" w:cs="Arial"/>
          <w:b/>
          <w:bCs/>
          <w:u w:val="single"/>
          <w:lang w:val="es-ES"/>
        </w:rPr>
        <w:t>4.6</w:t>
      </w:r>
      <w:r w:rsidRPr="008F5888">
        <w:rPr>
          <w:rFonts w:ascii="Arial" w:eastAsia="Times New Roman" w:hAnsi="Arial" w:cs="Arial"/>
          <w:u w:val="single"/>
          <w:lang w:val="es-ES"/>
        </w:rPr>
        <w:t xml:space="preserve"> del orden del día provisional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2"/>
      </w:tblGrid>
      <w:tr w:rsidR="00334B9F" w:rsidRPr="008F5888" w14:paraId="635F4135" w14:textId="77777777" w:rsidTr="006871BF">
        <w:trPr>
          <w:trHeight w:val="328"/>
          <w:jc w:val="center"/>
        </w:trPr>
        <w:tc>
          <w:tcPr>
            <w:tcW w:w="9102" w:type="dxa"/>
            <w:vAlign w:val="center"/>
          </w:tcPr>
          <w:p w14:paraId="0A5E6BEE" w14:textId="3261B9AE" w:rsidR="00334B9F" w:rsidRPr="008F5888" w:rsidRDefault="005B638C" w:rsidP="005B638C">
            <w:pPr>
              <w:tabs>
                <w:tab w:val="left" w:pos="567"/>
              </w:tabs>
              <w:snapToGrid w:val="0"/>
              <w:spacing w:before="240" w:after="240"/>
              <w:jc w:val="center"/>
              <w:rPr>
                <w:rFonts w:ascii="Arial" w:eastAsia="SimSun" w:hAnsi="Arial"/>
                <w:b/>
                <w:bCs/>
                <w:caps/>
                <w:snapToGrid w:val="0"/>
                <w:sz w:val="22"/>
                <w:szCs w:val="22"/>
                <w:lang w:val="es-ES" w:eastAsia="zh-CN"/>
              </w:rPr>
            </w:pPr>
            <w:r w:rsidRPr="008F5888">
              <w:rPr>
                <w:rFonts w:ascii="Arial" w:eastAsia="SimSun" w:hAnsi="Arial"/>
                <w:b/>
                <w:bCs/>
                <w:caps/>
                <w:snapToGrid w:val="0"/>
                <w:sz w:val="22"/>
                <w:szCs w:val="22"/>
                <w:lang w:val="es-ES" w:eastAsia="zh-CN"/>
              </w:rPr>
              <w:t xml:space="preserve">APLICACIÓN DE LA ESTRATEGIA DE DESARROLLO DE CAPACIDADES </w:t>
            </w:r>
            <w:r w:rsidR="00C80F8A" w:rsidRPr="008F5888">
              <w:rPr>
                <w:rFonts w:ascii="Arial" w:eastAsia="SimSun" w:hAnsi="Arial"/>
                <w:b/>
                <w:bCs/>
                <w:caps/>
                <w:snapToGrid w:val="0"/>
                <w:sz w:val="22"/>
                <w:szCs w:val="22"/>
                <w:lang w:val="es-ES" w:eastAsia="zh-CN"/>
              </w:rPr>
              <w:br/>
            </w:r>
            <w:r w:rsidRPr="008F5888">
              <w:rPr>
                <w:rFonts w:ascii="Arial" w:eastAsia="SimSun" w:hAnsi="Arial"/>
                <w:b/>
                <w:bCs/>
                <w:caps/>
                <w:snapToGrid w:val="0"/>
                <w:sz w:val="22"/>
                <w:szCs w:val="22"/>
                <w:lang w:val="es-ES" w:eastAsia="zh-CN"/>
              </w:rPr>
              <w:t>DE LA COI (2023-2030)</w:t>
            </w:r>
          </w:p>
        </w:tc>
      </w:tr>
    </w:tbl>
    <w:p w14:paraId="58556D7D" w14:textId="77777777" w:rsidR="00EA1C02" w:rsidRPr="008F5888" w:rsidRDefault="00EA1C02" w:rsidP="00C06866">
      <w:pPr>
        <w:tabs>
          <w:tab w:val="left" w:pos="-1440"/>
          <w:tab w:val="left" w:pos="-720"/>
          <w:tab w:val="left" w:pos="720"/>
          <w:tab w:val="left" w:pos="1440"/>
          <w:tab w:val="left" w:pos="2160"/>
          <w:tab w:val="left" w:pos="3600"/>
          <w:tab w:val="left" w:pos="4320"/>
          <w:tab w:val="left" w:pos="5040"/>
          <w:tab w:val="left" w:pos="5523"/>
          <w:tab w:val="left" w:pos="6480"/>
        </w:tabs>
        <w:spacing w:after="360" w:line="240" w:lineRule="auto"/>
        <w:jc w:val="center"/>
        <w:rPr>
          <w:rFonts w:ascii="Arial" w:hAnsi="Arial" w:cs="Arial"/>
          <w:caps/>
          <w:lang w:val="es-ES"/>
        </w:rPr>
      </w:pPr>
    </w:p>
    <w:tbl>
      <w:tblPr>
        <w:tblStyle w:val="TableGrid"/>
        <w:tblW w:w="0" w:type="auto"/>
        <w:jc w:val="center"/>
        <w:tblCellMar>
          <w:top w:w="284" w:type="dxa"/>
          <w:left w:w="340" w:type="dxa"/>
          <w:bottom w:w="28" w:type="dxa"/>
          <w:right w:w="340" w:type="dxa"/>
        </w:tblCellMar>
        <w:tblLook w:val="04A0" w:firstRow="1" w:lastRow="0" w:firstColumn="1" w:lastColumn="0" w:noHBand="0" w:noVBand="1"/>
      </w:tblPr>
      <w:tblGrid>
        <w:gridCol w:w="6941"/>
      </w:tblGrid>
      <w:tr w:rsidR="007C13AF" w:rsidRPr="008F5888" w14:paraId="226992AC" w14:textId="77777777" w:rsidTr="005B638C">
        <w:trPr>
          <w:jc w:val="center"/>
        </w:trPr>
        <w:tc>
          <w:tcPr>
            <w:tcW w:w="6941" w:type="dxa"/>
            <w:tcMar>
              <w:left w:w="284" w:type="dxa"/>
              <w:bottom w:w="85" w:type="dxa"/>
              <w:right w:w="284" w:type="dxa"/>
            </w:tcMar>
          </w:tcPr>
          <w:p w14:paraId="60562914" w14:textId="77777777" w:rsidR="009A7585" w:rsidRPr="008F5888" w:rsidRDefault="00334B9F" w:rsidP="009A7585">
            <w:pPr>
              <w:tabs>
                <w:tab w:val="left" w:pos="567"/>
              </w:tabs>
              <w:snapToGrid w:val="0"/>
              <w:spacing w:after="240"/>
              <w:jc w:val="center"/>
              <w:rPr>
                <w:rFonts w:ascii="Arial" w:eastAsia="SimSun" w:hAnsi="Arial"/>
                <w:snapToGrid w:val="0"/>
                <w:sz w:val="22"/>
                <w:szCs w:val="22"/>
                <w:lang w:val="es-ES" w:eastAsia="zh-CN"/>
              </w:rPr>
            </w:pPr>
            <w:r w:rsidRPr="008F5888">
              <w:rPr>
                <w:rFonts w:ascii="Arial" w:eastAsia="Times New Roman" w:hAnsi="Arial"/>
                <w:snapToGrid w:val="0"/>
                <w:sz w:val="22"/>
                <w:szCs w:val="22"/>
                <w:u w:val="single"/>
                <w:lang w:val="es-ES"/>
              </w:rPr>
              <w:t>Resumen</w:t>
            </w:r>
          </w:p>
          <w:p w14:paraId="24F34C79" w14:textId="19077066" w:rsidR="005B638C" w:rsidRPr="005B638C" w:rsidRDefault="005B638C" w:rsidP="005B638C">
            <w:pPr>
              <w:tabs>
                <w:tab w:val="left" w:pos="567"/>
              </w:tabs>
              <w:snapToGrid w:val="0"/>
              <w:spacing w:after="240"/>
              <w:jc w:val="both"/>
              <w:rPr>
                <w:rFonts w:ascii="Arial" w:eastAsia="SimSun" w:hAnsi="Arial"/>
                <w:snapToGrid w:val="0"/>
                <w:lang w:val="es-ES" w:eastAsia="zh-CN"/>
              </w:rPr>
            </w:pPr>
            <w:r w:rsidRPr="005B638C">
              <w:rPr>
                <w:rFonts w:ascii="Arial" w:eastAsia="SimSun" w:hAnsi="Arial"/>
                <w:snapToGrid w:val="0"/>
                <w:lang w:val="es-ES" w:eastAsia="zh-CN"/>
              </w:rPr>
              <w:t>Mediante su decisión A-32/4.3, la Asamblea de la COI, en su 32ª reunión, decidió aprobar la Estrategia de Desarrollo de Capacidades de la COI (2023-2030) (IOC/INF-1433) y su Plan de Divulgación y Comunicación.</w:t>
            </w:r>
          </w:p>
          <w:p w14:paraId="24C98477" w14:textId="77777777" w:rsidR="005B638C" w:rsidRPr="005B638C" w:rsidRDefault="005B638C" w:rsidP="005B638C">
            <w:pPr>
              <w:tabs>
                <w:tab w:val="left" w:pos="567"/>
              </w:tabs>
              <w:snapToGrid w:val="0"/>
              <w:spacing w:after="240"/>
              <w:jc w:val="both"/>
              <w:rPr>
                <w:rFonts w:ascii="Arial" w:eastAsia="SimSun" w:hAnsi="Arial"/>
                <w:snapToGrid w:val="0"/>
                <w:lang w:val="es-ES" w:eastAsia="zh-CN"/>
              </w:rPr>
            </w:pPr>
            <w:r w:rsidRPr="005B638C">
              <w:rPr>
                <w:rFonts w:ascii="Arial" w:eastAsia="SimSun" w:hAnsi="Arial"/>
                <w:snapToGrid w:val="0"/>
                <w:lang w:val="es-ES" w:eastAsia="zh-CN"/>
              </w:rPr>
              <w:t>En este documento se facilita información detallada sobre las medidas adoptadas y previstas tras la aprobación de la nueva Estrategia, en particular en el marco del informe sobre las actividades del Grupo de Expertos sobre Desarrollo de Capacidades en su quinta reunión (</w:t>
            </w:r>
            <w:hyperlink r:id="rId8" w:history="1">
              <w:r w:rsidRPr="005B638C">
                <w:rPr>
                  <w:rStyle w:val="Hyperlink"/>
                  <w:rFonts w:ascii="Arial" w:eastAsia="SimSun" w:hAnsi="Arial"/>
                  <w:snapToGrid w:val="0"/>
                  <w:lang w:val="es-ES" w:eastAsia="zh-CN"/>
                </w:rPr>
                <w:t>IOC/GE-CD-V/3</w:t>
              </w:r>
            </w:hyperlink>
            <w:r w:rsidRPr="005B638C">
              <w:rPr>
                <w:rFonts w:ascii="Arial" w:eastAsia="SimSun" w:hAnsi="Arial"/>
                <w:snapToGrid w:val="0"/>
                <w:lang w:val="es-ES" w:eastAsia="zh-CN"/>
              </w:rPr>
              <w:t>, 27-29 de febrero de 2024). Habida cuenta de esta información, se propone mantener el Grupo de Expertos con un mandato revisado.</w:t>
            </w:r>
          </w:p>
          <w:p w14:paraId="6472C7D8" w14:textId="61EBA025" w:rsidR="007C13AF" w:rsidRPr="008F5888" w:rsidRDefault="005B638C" w:rsidP="005B638C">
            <w:pPr>
              <w:tabs>
                <w:tab w:val="left" w:pos="567"/>
              </w:tabs>
              <w:snapToGrid w:val="0"/>
              <w:spacing w:after="240"/>
              <w:jc w:val="both"/>
              <w:rPr>
                <w:rFonts w:ascii="Arial" w:eastAsia="Times New Roman" w:hAnsi="Arial"/>
                <w:snapToGrid w:val="0"/>
                <w:szCs w:val="22"/>
                <w:lang w:val="es-ES"/>
              </w:rPr>
            </w:pPr>
            <w:r w:rsidRPr="008F5888">
              <w:rPr>
                <w:rFonts w:ascii="Arial" w:eastAsia="SimSun" w:hAnsi="Arial"/>
                <w:snapToGrid w:val="0"/>
                <w:sz w:val="22"/>
                <w:szCs w:val="22"/>
                <w:lang w:val="es-ES" w:eastAsia="zh-CN"/>
              </w:rPr>
              <w:t xml:space="preserve">La </w:t>
            </w:r>
            <w:r w:rsidRPr="008F5888">
              <w:rPr>
                <w:rFonts w:ascii="Arial" w:eastAsia="SimSun" w:hAnsi="Arial"/>
                <w:snapToGrid w:val="0"/>
                <w:sz w:val="22"/>
                <w:szCs w:val="22"/>
                <w:u w:val="single"/>
                <w:lang w:val="es-ES" w:eastAsia="zh-CN"/>
              </w:rPr>
              <w:t>decisión propuesta</w:t>
            </w:r>
            <w:r w:rsidRPr="008F5888">
              <w:rPr>
                <w:rFonts w:ascii="Arial" w:eastAsia="SimSun" w:hAnsi="Arial"/>
                <w:snapToGrid w:val="0"/>
                <w:sz w:val="22"/>
                <w:szCs w:val="22"/>
                <w:lang w:val="es-ES" w:eastAsia="zh-CN"/>
              </w:rPr>
              <w:t xml:space="preserve"> lleva la referencia EC-57/4.6 en el documento de decisión de la reunión (proyecto de documento IOC/EC-57/AP).</w:t>
            </w:r>
          </w:p>
        </w:tc>
      </w:tr>
    </w:tbl>
    <w:p w14:paraId="472C84DC" w14:textId="77777777" w:rsidR="00F9513F" w:rsidRPr="008F5888" w:rsidRDefault="00F9513F" w:rsidP="00A62288">
      <w:pPr>
        <w:tabs>
          <w:tab w:val="left" w:pos="567"/>
        </w:tabs>
        <w:snapToGrid w:val="0"/>
        <w:spacing w:after="0" w:line="240" w:lineRule="auto"/>
        <w:jc w:val="both"/>
        <w:rPr>
          <w:rFonts w:ascii="Arial" w:eastAsia="Times New Roman" w:hAnsi="Arial" w:cs="Arial"/>
          <w:snapToGrid w:val="0"/>
          <w:szCs w:val="24"/>
          <w:lang w:val="es-ES"/>
        </w:rPr>
      </w:pPr>
    </w:p>
    <w:p w14:paraId="340CC725" w14:textId="77777777" w:rsidR="00C80F8A" w:rsidRPr="008F5888" w:rsidRDefault="00C80F8A">
      <w:pPr>
        <w:rPr>
          <w:rFonts w:ascii="Arial" w:eastAsia="Yu Gothic Light" w:hAnsi="Arial" w:cs="Arial"/>
          <w:b/>
          <w:bCs/>
          <w:lang w:val="es-ES" w:eastAsia="en-GB"/>
        </w:rPr>
      </w:pPr>
      <w:r w:rsidRPr="008F5888">
        <w:rPr>
          <w:rFonts w:ascii="Arial" w:eastAsia="Yu Gothic Light" w:hAnsi="Arial" w:cs="Arial"/>
          <w:b/>
          <w:bCs/>
          <w:lang w:val="es-ES" w:eastAsia="en-GB"/>
        </w:rPr>
        <w:br w:type="page"/>
      </w:r>
    </w:p>
    <w:p w14:paraId="4249D9ED" w14:textId="66FDDCCE" w:rsidR="005B638C" w:rsidRPr="005B638C" w:rsidRDefault="005B638C" w:rsidP="005B638C">
      <w:pPr>
        <w:keepNext/>
        <w:keepLines/>
        <w:tabs>
          <w:tab w:val="left" w:pos="737"/>
        </w:tabs>
        <w:snapToGrid w:val="0"/>
        <w:spacing w:after="240" w:line="240" w:lineRule="auto"/>
        <w:outlineLvl w:val="1"/>
        <w:rPr>
          <w:rFonts w:asciiTheme="minorBidi" w:eastAsia="SimSun" w:hAnsiTheme="minorBidi"/>
          <w:snapToGrid w:val="0"/>
          <w:lang w:val="es-ES" w:eastAsia="en-GB"/>
        </w:rPr>
      </w:pPr>
      <w:r w:rsidRPr="005B638C">
        <w:rPr>
          <w:rFonts w:asciiTheme="minorBidi" w:eastAsia="Yu Gothic Light" w:hAnsiTheme="minorBidi"/>
          <w:b/>
          <w:bCs/>
          <w:lang w:val="es-ES" w:eastAsia="en-GB"/>
        </w:rPr>
        <w:lastRenderedPageBreak/>
        <w:t>Antecedentes</w:t>
      </w:r>
      <w:bookmarkStart w:id="0" w:name="_Toc163216996"/>
      <w:bookmarkEnd w:id="0"/>
    </w:p>
    <w:p w14:paraId="263A35F0" w14:textId="77777777" w:rsidR="005B638C" w:rsidRPr="005B638C" w:rsidRDefault="005B638C" w:rsidP="00C80F8A">
      <w:pPr>
        <w:numPr>
          <w:ilvl w:val="0"/>
          <w:numId w:val="32"/>
        </w:numPr>
        <w:pBdr>
          <w:top w:val="nil"/>
          <w:left w:val="nil"/>
          <w:bottom w:val="nil"/>
          <w:right w:val="nil"/>
          <w:between w:val="nil"/>
        </w:pBdr>
        <w:shd w:val="clear" w:color="auto" w:fill="FFFFFF"/>
        <w:snapToGrid w:val="0"/>
        <w:spacing w:after="240" w:line="240" w:lineRule="auto"/>
        <w:ind w:left="0" w:firstLine="0"/>
        <w:jc w:val="both"/>
        <w:rPr>
          <w:rFonts w:asciiTheme="minorBidi" w:eastAsia="Times New Roman" w:hAnsiTheme="minorBidi"/>
          <w:lang w:val="es-ES" w:eastAsia="en-GB"/>
        </w:rPr>
      </w:pPr>
      <w:r w:rsidRPr="005B638C">
        <w:rPr>
          <w:rFonts w:asciiTheme="minorBidi" w:eastAsia="Times New Roman" w:hAnsiTheme="minorBidi"/>
          <w:lang w:val="es-ES" w:eastAsia="en-GB"/>
        </w:rPr>
        <w:t xml:space="preserve">Poco después de la aprobación de la Estrategia de Desarrollo de Capacidades de la COI (2015-2021), la Asamblea de la COI creó en 2017 el Grupo de Expertos de la COI sobre Desarrollo de Capacidades mediante la decisión </w:t>
      </w:r>
      <w:hyperlink r:id="rId9" w:history="1">
        <w:r w:rsidRPr="005B638C">
          <w:rPr>
            <w:rFonts w:asciiTheme="minorBidi" w:eastAsia="Times New Roman" w:hAnsiTheme="minorBidi"/>
            <w:color w:val="0000FF"/>
            <w:u w:val="single"/>
            <w:lang w:val="es-ES" w:eastAsia="ja-JP" w:bidi="en-US"/>
          </w:rPr>
          <w:t>IOC-XXIX/10.1</w:t>
        </w:r>
      </w:hyperlink>
      <w:r w:rsidRPr="005B638C">
        <w:rPr>
          <w:rFonts w:asciiTheme="minorBidi" w:eastAsia="Times New Roman" w:hAnsiTheme="minorBidi"/>
          <w:lang w:val="es-ES" w:eastAsia="en-GB"/>
        </w:rPr>
        <w:t xml:space="preserve"> para ayudar a los programas mundiales y regionales en el ámbito del desarrollo de capacidades en consonancia con los objetivos de la nueva Estrategia. El Grupo les alentó a evaluar las necesidades, elaborar planes de trabajo y movilizar recursos, así como a proponer métodos de trabajo y herramientas para el desarrollo de capacidades.</w:t>
      </w:r>
    </w:p>
    <w:p w14:paraId="2233EDB0" w14:textId="77777777" w:rsidR="005B638C" w:rsidRPr="005B638C" w:rsidRDefault="005B638C" w:rsidP="00C80F8A">
      <w:pPr>
        <w:numPr>
          <w:ilvl w:val="0"/>
          <w:numId w:val="32"/>
        </w:numPr>
        <w:pBdr>
          <w:top w:val="nil"/>
          <w:left w:val="nil"/>
          <w:bottom w:val="nil"/>
          <w:right w:val="nil"/>
          <w:between w:val="nil"/>
        </w:pBdr>
        <w:shd w:val="clear" w:color="auto" w:fill="FFFFFF"/>
        <w:snapToGrid w:val="0"/>
        <w:spacing w:after="240" w:line="240" w:lineRule="auto"/>
        <w:ind w:left="0" w:firstLine="0"/>
        <w:jc w:val="both"/>
        <w:rPr>
          <w:rFonts w:asciiTheme="minorBidi" w:eastAsia="Times New Roman" w:hAnsiTheme="minorBidi"/>
          <w:lang w:val="es-ES" w:eastAsia="en-GB"/>
        </w:rPr>
      </w:pPr>
      <w:r w:rsidRPr="005B638C">
        <w:rPr>
          <w:rFonts w:asciiTheme="minorBidi" w:eastAsia="Times New Roman" w:hAnsiTheme="minorBidi"/>
          <w:lang w:val="es-ES" w:eastAsia="en-GB"/>
        </w:rPr>
        <w:t xml:space="preserve">Aprovechando la experiencia de los miembros del Grupo, en 2021 la Asamblea encargó a este que llevara a cabo un examen de la Estrategia de Desarrollo de Capacidades de la COI para el periodo posterior a 2021 y revisó su mandato en consecuencia en su decisión </w:t>
      </w:r>
      <w:hyperlink r:id="rId10" w:history="1">
        <w:r w:rsidRPr="005B638C">
          <w:rPr>
            <w:rFonts w:asciiTheme="minorBidi" w:eastAsia="Times New Roman" w:hAnsiTheme="minorBidi"/>
            <w:color w:val="0000FF"/>
            <w:u w:val="single"/>
            <w:lang w:val="es-ES" w:eastAsia="en-GB"/>
          </w:rPr>
          <w:t>A-31/3.5.3</w:t>
        </w:r>
      </w:hyperlink>
      <w:r w:rsidRPr="005B638C">
        <w:rPr>
          <w:rFonts w:asciiTheme="minorBidi" w:eastAsia="Times New Roman" w:hAnsiTheme="minorBidi"/>
          <w:lang w:val="es-ES" w:eastAsia="en-GB"/>
        </w:rPr>
        <w:t xml:space="preserve">. </w:t>
      </w:r>
    </w:p>
    <w:p w14:paraId="3D3246F0" w14:textId="36BF6C96" w:rsidR="005B638C" w:rsidRPr="005B638C" w:rsidRDefault="005B638C" w:rsidP="00C80F8A">
      <w:pPr>
        <w:numPr>
          <w:ilvl w:val="0"/>
          <w:numId w:val="32"/>
        </w:numPr>
        <w:pBdr>
          <w:top w:val="nil"/>
          <w:left w:val="nil"/>
          <w:bottom w:val="nil"/>
          <w:right w:val="nil"/>
          <w:between w:val="nil"/>
        </w:pBdr>
        <w:shd w:val="clear" w:color="auto" w:fill="FFFFFF"/>
        <w:snapToGrid w:val="0"/>
        <w:spacing w:after="240" w:line="240" w:lineRule="auto"/>
        <w:ind w:left="0" w:firstLine="0"/>
        <w:jc w:val="both"/>
        <w:rPr>
          <w:rFonts w:asciiTheme="minorBidi" w:eastAsia="Times New Roman" w:hAnsiTheme="minorBidi"/>
          <w:lang w:val="es-ES" w:eastAsia="en-GB"/>
        </w:rPr>
      </w:pPr>
      <w:r w:rsidRPr="005B638C">
        <w:rPr>
          <w:rFonts w:asciiTheme="minorBidi" w:eastAsia="Times New Roman" w:hAnsiTheme="minorBidi"/>
          <w:lang w:val="es-ES" w:eastAsia="en-GB"/>
        </w:rPr>
        <w:t xml:space="preserve">En la 32ª reunión de la Asamblea, en 2023, el Grupo presentó tres documentos: i) el </w:t>
      </w:r>
      <w:hyperlink r:id="rId11" w:history="1">
        <w:r w:rsidRPr="005B638C">
          <w:rPr>
            <w:rFonts w:asciiTheme="minorBidi" w:eastAsia="Times New Roman" w:hAnsiTheme="minorBidi"/>
            <w:iCs/>
            <w:color w:val="0000FF"/>
            <w:u w:val="single"/>
            <w:lang w:val="es-ES" w:eastAsia="ja-JP" w:bidi="en-US"/>
          </w:rPr>
          <w:t>documento IOC/A-32/4.3.Doc(1)</w:t>
        </w:r>
      </w:hyperlink>
      <w:r w:rsidRPr="005B638C">
        <w:rPr>
          <w:rFonts w:asciiTheme="minorBidi" w:eastAsia="Times New Roman" w:hAnsiTheme="minorBidi"/>
          <w:lang w:val="es-ES" w:eastAsia="en-GB"/>
        </w:rPr>
        <w:t xml:space="preserve">, titulado </w:t>
      </w:r>
      <w:r w:rsidR="008F5888">
        <w:rPr>
          <w:rFonts w:asciiTheme="minorBidi" w:eastAsia="Times New Roman" w:hAnsiTheme="minorBidi"/>
          <w:lang w:val="es-ES" w:eastAsia="en-GB"/>
        </w:rPr>
        <w:t>“</w:t>
      </w:r>
      <w:r w:rsidRPr="005B638C">
        <w:rPr>
          <w:rFonts w:asciiTheme="minorBidi" w:eastAsia="Times New Roman" w:hAnsiTheme="minorBidi"/>
          <w:lang w:val="es-ES" w:eastAsia="en-GB"/>
        </w:rPr>
        <w:t>Estrategia de Desarrollo de Capacidades de la COI para 2023-2030</w:t>
      </w:r>
      <w:r w:rsidR="008F5888">
        <w:rPr>
          <w:rFonts w:asciiTheme="minorBidi" w:eastAsia="Times New Roman" w:hAnsiTheme="minorBidi"/>
          <w:lang w:val="es-ES" w:eastAsia="en-GB"/>
        </w:rPr>
        <w:t>”</w:t>
      </w:r>
      <w:r w:rsidRPr="005B638C">
        <w:rPr>
          <w:rFonts w:asciiTheme="minorBidi" w:eastAsia="Times New Roman" w:hAnsiTheme="minorBidi"/>
          <w:lang w:val="es-ES" w:eastAsia="en-GB"/>
        </w:rPr>
        <w:t xml:space="preserve">, que proporciona un marco estratégico con seis productos compuestos de actividades y acciones; ii) el </w:t>
      </w:r>
      <w:hyperlink r:id="rId12" w:history="1">
        <w:r w:rsidRPr="005B638C">
          <w:rPr>
            <w:rFonts w:asciiTheme="minorBidi" w:eastAsia="Times New Roman" w:hAnsiTheme="minorBidi"/>
            <w:color w:val="0000FF"/>
            <w:u w:val="single"/>
            <w:lang w:val="es-ES" w:eastAsia="en-GB"/>
          </w:rPr>
          <w:t>documento IOC-32/4.3.Doc(1)</w:t>
        </w:r>
      </w:hyperlink>
      <w:r w:rsidRPr="005B638C">
        <w:rPr>
          <w:rFonts w:asciiTheme="minorBidi" w:eastAsia="Times New Roman" w:hAnsiTheme="minorBidi"/>
          <w:color w:val="0000FF"/>
          <w:u w:val="single"/>
          <w:lang w:val="es-ES" w:eastAsia="en-GB"/>
        </w:rPr>
        <w:t xml:space="preserve"> Addendum</w:t>
      </w:r>
      <w:r w:rsidRPr="005B638C">
        <w:rPr>
          <w:rFonts w:asciiTheme="minorBidi" w:eastAsia="Times New Roman" w:hAnsiTheme="minorBidi"/>
          <w:lang w:val="es-ES" w:eastAsia="en-GB"/>
        </w:rPr>
        <w:t xml:space="preserve">, que contiene amplia información general sobre el proceso de examen y revisión de la Estrategia, con miras a su actualización; y iii) el </w:t>
      </w:r>
      <w:hyperlink r:id="rId13" w:history="1">
        <w:r w:rsidRPr="005B638C">
          <w:rPr>
            <w:rFonts w:asciiTheme="minorBidi" w:eastAsia="Times New Roman" w:hAnsiTheme="minorBidi"/>
            <w:iCs/>
            <w:color w:val="0000FF"/>
            <w:u w:val="single"/>
            <w:lang w:val="es-ES" w:eastAsia="ja-JP" w:bidi="en-US"/>
          </w:rPr>
          <w:t>documento IOC-32/4.3.Doc(2)</w:t>
        </w:r>
      </w:hyperlink>
      <w:r w:rsidRPr="005B638C">
        <w:rPr>
          <w:rFonts w:asciiTheme="minorBidi" w:eastAsia="Times New Roman" w:hAnsiTheme="minorBidi"/>
          <w:lang w:val="es-ES" w:eastAsia="en-GB"/>
        </w:rPr>
        <w:t xml:space="preserve">, en el que se detalla el Plan de Divulgación y Comunicación (de la Estrategia) para promover su proyección y alcance. </w:t>
      </w:r>
    </w:p>
    <w:p w14:paraId="4CD84266" w14:textId="77777777" w:rsidR="005B638C" w:rsidRPr="005B638C" w:rsidRDefault="005B638C" w:rsidP="00C80F8A">
      <w:pPr>
        <w:numPr>
          <w:ilvl w:val="0"/>
          <w:numId w:val="32"/>
        </w:numPr>
        <w:pBdr>
          <w:top w:val="nil"/>
          <w:left w:val="nil"/>
          <w:bottom w:val="nil"/>
          <w:right w:val="nil"/>
          <w:between w:val="nil"/>
        </w:pBdr>
        <w:shd w:val="clear" w:color="auto" w:fill="FFFFFF"/>
        <w:snapToGrid w:val="0"/>
        <w:spacing w:after="240" w:line="240" w:lineRule="auto"/>
        <w:ind w:left="0" w:firstLine="0"/>
        <w:jc w:val="both"/>
        <w:rPr>
          <w:rFonts w:asciiTheme="minorBidi" w:eastAsia="Times New Roman" w:hAnsiTheme="minorBidi"/>
          <w:lang w:val="es-ES" w:eastAsia="en-GB"/>
        </w:rPr>
      </w:pPr>
      <w:r w:rsidRPr="005B638C">
        <w:rPr>
          <w:rFonts w:asciiTheme="minorBidi" w:eastAsia="Times New Roman" w:hAnsiTheme="minorBidi"/>
          <w:lang w:val="es-ES" w:eastAsia="en-GB"/>
        </w:rPr>
        <w:t xml:space="preserve">Mediante su </w:t>
      </w:r>
      <w:hyperlink r:id="rId14" w:history="1">
        <w:r w:rsidRPr="005B638C">
          <w:rPr>
            <w:rFonts w:asciiTheme="minorBidi" w:eastAsia="Times New Roman" w:hAnsiTheme="minorBidi"/>
            <w:iCs/>
            <w:color w:val="0000FF"/>
            <w:u w:val="single"/>
            <w:lang w:val="es-ES" w:eastAsia="ja-JP" w:bidi="en-US"/>
          </w:rPr>
          <w:t>decisión A-32/4.3</w:t>
        </w:r>
      </w:hyperlink>
      <w:r w:rsidRPr="005B638C">
        <w:rPr>
          <w:rFonts w:asciiTheme="minorBidi" w:eastAsia="Times New Roman" w:hAnsiTheme="minorBidi"/>
          <w:lang w:val="es-ES" w:eastAsia="en-GB"/>
        </w:rPr>
        <w:t xml:space="preserve">, la Asamblea de la COI aprobó la Estrategia de Desarrollo de Capacidades de la COI (2023-2030) (IOC/INF-1433) y su Plan de Divulgación y Comunicación. </w:t>
      </w:r>
    </w:p>
    <w:p w14:paraId="1F781B66" w14:textId="77777777" w:rsidR="005B638C" w:rsidRPr="005B638C" w:rsidRDefault="005B638C" w:rsidP="00C80F8A">
      <w:pPr>
        <w:numPr>
          <w:ilvl w:val="0"/>
          <w:numId w:val="32"/>
        </w:numPr>
        <w:pBdr>
          <w:top w:val="nil"/>
          <w:left w:val="nil"/>
          <w:bottom w:val="nil"/>
          <w:right w:val="nil"/>
          <w:between w:val="nil"/>
        </w:pBdr>
        <w:shd w:val="clear" w:color="auto" w:fill="FFFFFF"/>
        <w:snapToGrid w:val="0"/>
        <w:spacing w:after="240" w:line="240" w:lineRule="auto"/>
        <w:ind w:left="0" w:firstLine="0"/>
        <w:jc w:val="both"/>
        <w:rPr>
          <w:rFonts w:asciiTheme="minorBidi" w:eastAsia="Times New Roman" w:hAnsiTheme="minorBidi"/>
          <w:lang w:val="es-ES" w:eastAsia="en-GB"/>
        </w:rPr>
      </w:pPr>
      <w:r w:rsidRPr="005B638C">
        <w:rPr>
          <w:rFonts w:asciiTheme="minorBidi" w:eastAsia="Times New Roman" w:hAnsiTheme="minorBidi"/>
          <w:lang w:val="es-ES" w:eastAsia="en-GB"/>
        </w:rPr>
        <w:t xml:space="preserve">El marco estratégico puso de manifiesto el mayor reconocimiento del papel que desempeñaba el océano en los ámbitos político, comercial y científico y en la sociedad, así como la importancia del desarrollo de capacidades para la ejecución del Decenio de las Naciones Unidas de las Ciencias Oceánicas para el Desarrollo Sostenible (2021-2030). En él también se destacaba la función crucial de la COI en la promoción de la cooperación internacional, utilizando al mismo tiempo la estrategia como motivación para elaborar un plan de ejecución, de modo que las actividades de la COI en materia de desarrollo de capacidades estuvieran claramente definidas y que las ventajas se apreciaran más claramente. </w:t>
      </w:r>
    </w:p>
    <w:p w14:paraId="5DBFD173" w14:textId="77777777" w:rsidR="005B638C" w:rsidRPr="005B638C" w:rsidRDefault="005B638C" w:rsidP="00C80F8A">
      <w:pPr>
        <w:numPr>
          <w:ilvl w:val="0"/>
          <w:numId w:val="32"/>
        </w:numPr>
        <w:pBdr>
          <w:top w:val="nil"/>
          <w:left w:val="nil"/>
          <w:bottom w:val="nil"/>
          <w:right w:val="nil"/>
          <w:between w:val="nil"/>
        </w:pBdr>
        <w:shd w:val="clear" w:color="auto" w:fill="FFFFFF"/>
        <w:snapToGrid w:val="0"/>
        <w:spacing w:after="240" w:line="240" w:lineRule="auto"/>
        <w:ind w:left="0" w:firstLine="0"/>
        <w:jc w:val="both"/>
        <w:rPr>
          <w:rFonts w:asciiTheme="minorBidi" w:eastAsia="Times New Roman" w:hAnsiTheme="minorBidi"/>
          <w:lang w:val="es-ES" w:eastAsia="en-GB"/>
        </w:rPr>
      </w:pPr>
      <w:r w:rsidRPr="005B638C">
        <w:rPr>
          <w:rFonts w:asciiTheme="minorBidi" w:eastAsia="Times New Roman" w:hAnsiTheme="minorBidi"/>
          <w:lang w:val="es-ES" w:eastAsia="en-GB"/>
        </w:rPr>
        <w:t>Si bien el marco estratégico proporciona orientaciones generales sobre elementos fundamentales del desarrollo de capacidades, aún queda por elaborar un plan de ejecución y se han de estudiar más a fondo nuevos medios para aumentar la repercusión de la COI a la escala requerida.</w:t>
      </w:r>
    </w:p>
    <w:p w14:paraId="22D307DD" w14:textId="77777777" w:rsidR="005B638C" w:rsidRPr="005B638C" w:rsidRDefault="005B638C" w:rsidP="008F5888">
      <w:pPr>
        <w:keepNext/>
        <w:keepLines/>
        <w:snapToGrid w:val="0"/>
        <w:spacing w:after="240" w:line="240" w:lineRule="auto"/>
        <w:jc w:val="both"/>
        <w:outlineLvl w:val="1"/>
        <w:rPr>
          <w:rFonts w:asciiTheme="minorBidi" w:eastAsia="SimSun" w:hAnsiTheme="minorBidi"/>
          <w:b/>
          <w:snapToGrid w:val="0"/>
          <w:lang w:val="es-ES" w:eastAsia="en-GB"/>
        </w:rPr>
      </w:pPr>
      <w:r w:rsidRPr="005B638C">
        <w:rPr>
          <w:rFonts w:asciiTheme="minorBidi" w:eastAsia="Yu Gothic Light" w:hAnsiTheme="minorBidi"/>
          <w:b/>
          <w:bCs/>
          <w:lang w:val="es-ES" w:eastAsia="en-GB"/>
        </w:rPr>
        <w:t>Propuesta de reforma del Grupo de Expertos de la COI sobre Desarrollo de Capacidades con un mandato revisado</w:t>
      </w:r>
    </w:p>
    <w:p w14:paraId="14E17005" w14:textId="6993085A" w:rsidR="005B638C" w:rsidRPr="005B638C" w:rsidRDefault="005B638C" w:rsidP="00C80F8A">
      <w:pPr>
        <w:numPr>
          <w:ilvl w:val="0"/>
          <w:numId w:val="32"/>
        </w:numPr>
        <w:pBdr>
          <w:top w:val="nil"/>
          <w:left w:val="nil"/>
          <w:bottom w:val="nil"/>
          <w:right w:val="nil"/>
          <w:between w:val="nil"/>
        </w:pBdr>
        <w:shd w:val="clear" w:color="auto" w:fill="FFFFFF"/>
        <w:snapToGrid w:val="0"/>
        <w:spacing w:after="240" w:line="240" w:lineRule="auto"/>
        <w:ind w:left="0" w:firstLine="0"/>
        <w:jc w:val="both"/>
        <w:rPr>
          <w:rFonts w:asciiTheme="minorBidi" w:eastAsia="Times New Roman" w:hAnsiTheme="minorBidi"/>
          <w:lang w:val="es-ES" w:eastAsia="en-GB"/>
        </w:rPr>
      </w:pPr>
      <w:r w:rsidRPr="005B638C">
        <w:rPr>
          <w:rFonts w:asciiTheme="minorBidi" w:eastAsia="Times New Roman" w:hAnsiTheme="minorBidi"/>
          <w:lang w:val="es-ES" w:eastAsia="en-GB"/>
        </w:rPr>
        <w:t>La quinta reunión del Grupo de Expertos de la COI sobre Desarrollo de Capacidades (</w:t>
      </w:r>
      <w:hyperlink r:id="rId15" w:history="1">
        <w:r w:rsidRPr="005B638C">
          <w:rPr>
            <w:rFonts w:asciiTheme="minorBidi" w:eastAsia="Times New Roman" w:hAnsiTheme="minorBidi"/>
            <w:color w:val="0000FF"/>
            <w:u w:val="single"/>
            <w:lang w:val="es-ES" w:eastAsia="en-GB"/>
          </w:rPr>
          <w:t>IOC/GE</w:t>
        </w:r>
        <w:r w:rsidR="008F5888" w:rsidRPr="008F5888">
          <w:rPr>
            <w:rFonts w:asciiTheme="minorBidi" w:eastAsia="Times New Roman" w:hAnsiTheme="minorBidi"/>
            <w:color w:val="0000FF"/>
            <w:u w:val="single"/>
            <w:lang w:val="es-ES" w:eastAsia="en-GB"/>
          </w:rPr>
          <w:noBreakHyphen/>
        </w:r>
        <w:r w:rsidRPr="005B638C">
          <w:rPr>
            <w:rFonts w:asciiTheme="minorBidi" w:eastAsia="Times New Roman" w:hAnsiTheme="minorBidi"/>
            <w:color w:val="0000FF"/>
            <w:u w:val="single"/>
            <w:lang w:val="es-ES" w:eastAsia="en-GB"/>
          </w:rPr>
          <w:t>CD-V/3</w:t>
        </w:r>
      </w:hyperlink>
      <w:r w:rsidRPr="005B638C">
        <w:rPr>
          <w:rFonts w:asciiTheme="minorBidi" w:eastAsia="Times New Roman" w:hAnsiTheme="minorBidi"/>
          <w:lang w:val="es-ES" w:eastAsia="en-GB"/>
        </w:rPr>
        <w:t>), celebrada del 27 al 29 de febrero de 2024, brindó la oportunidad de evaluar la labor del Grupo y sus resultados en apoyo de la unidad de la Secretaría de la COI encargada del desarrollo de capacidades. Además de la revisión de la Estrategia de Desarrollo de Capacidades de la COI, el Grupo contribuye a la preparación de los proyectos Ocean InfoHub y Ocean CD-Hub y presta asesoramiento sobre la concepción y el seguimiento de la encuesta bienal de evaluación de las necesidades en materia de desarrollo de capacidades (2018, 2020, 2023). En el marco del Decenio de las Naciones Unidas de las Ciencias Oceánicas para el Desarrollo Sostenible (2021</w:t>
      </w:r>
      <w:r w:rsidR="008F5888" w:rsidRPr="008F5888">
        <w:rPr>
          <w:rFonts w:asciiTheme="minorBidi" w:eastAsia="Times New Roman" w:hAnsiTheme="minorBidi"/>
          <w:lang w:val="es-ES" w:eastAsia="en-GB"/>
        </w:rPr>
        <w:noBreakHyphen/>
      </w:r>
      <w:r w:rsidRPr="005B638C">
        <w:rPr>
          <w:rFonts w:asciiTheme="minorBidi" w:eastAsia="Times New Roman" w:hAnsiTheme="minorBidi"/>
          <w:lang w:val="es-ES" w:eastAsia="en-GB"/>
        </w:rPr>
        <w:t xml:space="preserve">2030), se consulta al Grupo de Expertos en lo que respecta a la puesta en marcha del mecanismo de desarrollo de capacidades del Decenio del Océano, que instaura una comunidad de práctica entre los PMA, los PEID y los jóvenes profesionales de la oceanografía de la región del Caribe y de África. Además, el Grupo de Expertos está contribuyendo al examen público del </w:t>
      </w:r>
      <w:hyperlink r:id="rId16" w:history="1">
        <w:r w:rsidRPr="005B638C">
          <w:rPr>
            <w:rFonts w:asciiTheme="minorBidi" w:eastAsia="Times New Roman" w:hAnsiTheme="minorBidi"/>
            <w:color w:val="0000FF"/>
            <w:u w:val="single"/>
            <w:lang w:val="es-ES" w:eastAsia="en-GB"/>
          </w:rPr>
          <w:t>libro blanco sobre el desafío 9 del Decenio del Océano</w:t>
        </w:r>
      </w:hyperlink>
      <w:r w:rsidRPr="005B638C">
        <w:rPr>
          <w:rFonts w:asciiTheme="minorBidi" w:eastAsia="Times New Roman" w:hAnsiTheme="minorBidi"/>
          <w:lang w:val="es-ES" w:eastAsia="en-GB"/>
        </w:rPr>
        <w:t>: Habilidades, conocimientos y tecnologías para todos, presentado en la Conferencia del Decenio del Océano de 2024 (Barcelona (España), 10</w:t>
      </w:r>
      <w:r w:rsidR="00FC713D">
        <w:rPr>
          <w:rFonts w:asciiTheme="minorBidi" w:eastAsia="Times New Roman" w:hAnsiTheme="minorBidi"/>
          <w:lang w:val="es-ES" w:eastAsia="en-GB"/>
        </w:rPr>
        <w:noBreakHyphen/>
      </w:r>
      <w:r w:rsidRPr="005B638C">
        <w:rPr>
          <w:rFonts w:asciiTheme="minorBidi" w:eastAsia="Times New Roman" w:hAnsiTheme="minorBidi"/>
          <w:lang w:val="es-ES" w:eastAsia="en-GB"/>
        </w:rPr>
        <w:t>12</w:t>
      </w:r>
      <w:r w:rsidR="00FC713D">
        <w:rPr>
          <w:rFonts w:asciiTheme="minorBidi" w:eastAsia="Times New Roman" w:hAnsiTheme="minorBidi"/>
          <w:lang w:val="es-ES" w:eastAsia="en-GB"/>
        </w:rPr>
        <w:t> </w:t>
      </w:r>
      <w:r w:rsidRPr="005B638C">
        <w:rPr>
          <w:rFonts w:asciiTheme="minorBidi" w:eastAsia="Times New Roman" w:hAnsiTheme="minorBidi"/>
          <w:lang w:val="es-ES" w:eastAsia="en-GB"/>
        </w:rPr>
        <w:t xml:space="preserve">de abril de 2024). </w:t>
      </w:r>
    </w:p>
    <w:p w14:paraId="27933547" w14:textId="47BB6954" w:rsidR="005B638C" w:rsidRPr="005B638C" w:rsidRDefault="005B638C" w:rsidP="00C80F8A">
      <w:pPr>
        <w:numPr>
          <w:ilvl w:val="0"/>
          <w:numId w:val="32"/>
        </w:numPr>
        <w:pBdr>
          <w:top w:val="nil"/>
          <w:left w:val="nil"/>
          <w:bottom w:val="nil"/>
          <w:right w:val="nil"/>
          <w:between w:val="nil"/>
        </w:pBdr>
        <w:shd w:val="clear" w:color="auto" w:fill="FFFFFF"/>
        <w:snapToGrid w:val="0"/>
        <w:spacing w:after="240" w:line="240" w:lineRule="auto"/>
        <w:ind w:left="0" w:firstLine="0"/>
        <w:jc w:val="both"/>
        <w:rPr>
          <w:rFonts w:asciiTheme="minorBidi" w:eastAsia="Times New Roman" w:hAnsiTheme="minorBidi"/>
          <w:lang w:val="es-ES" w:eastAsia="en-GB"/>
        </w:rPr>
      </w:pPr>
      <w:r w:rsidRPr="005B638C">
        <w:rPr>
          <w:rFonts w:asciiTheme="minorBidi" w:eastAsia="Times New Roman" w:hAnsiTheme="minorBidi"/>
          <w:lang w:val="es-ES" w:eastAsia="en-GB"/>
        </w:rPr>
        <w:lastRenderedPageBreak/>
        <w:t>Habida cuenta de este contexto, de la nueva Estrategia de Desarrollo de Capacidades de la COI (2023-2030) y de su Plan de Divulgación y Comunicación, se propone que el Consejo Ejecutivo renueve el Grupo de Expertos sobre Desarrollo de Capacidades con un mandato revisado para englobar la continuación de la labor descrita y la elaboración de un plan de ejecución de la Estrategia de Desarrollo de Capacidades de la COI que se presentará a la Asamblea de la COI en su 33ª</w:t>
      </w:r>
      <w:r w:rsidR="008F5888" w:rsidRPr="008F5888">
        <w:rPr>
          <w:rFonts w:asciiTheme="minorBidi" w:eastAsia="Times New Roman" w:hAnsiTheme="minorBidi"/>
          <w:lang w:val="es-ES" w:eastAsia="en-GB"/>
        </w:rPr>
        <w:t> </w:t>
      </w:r>
      <w:r w:rsidRPr="005B638C">
        <w:rPr>
          <w:rFonts w:asciiTheme="minorBidi" w:eastAsia="Times New Roman" w:hAnsiTheme="minorBidi"/>
          <w:lang w:val="es-ES" w:eastAsia="en-GB"/>
        </w:rPr>
        <w:t>reunión, en 2025. De este modo, las iniciativas y los esfuerzos nuevos y existentes en materia de desarrollo de capacidades realizados en apoyo de los seis productos (que incluyen 16</w:t>
      </w:r>
      <w:r w:rsidR="00FC713D">
        <w:rPr>
          <w:rFonts w:asciiTheme="minorBidi" w:eastAsia="Times New Roman" w:hAnsiTheme="minorBidi"/>
          <w:lang w:val="es-ES" w:eastAsia="en-GB"/>
        </w:rPr>
        <w:t> </w:t>
      </w:r>
      <w:r w:rsidRPr="005B638C">
        <w:rPr>
          <w:rFonts w:asciiTheme="minorBidi" w:eastAsia="Times New Roman" w:hAnsiTheme="minorBidi"/>
          <w:lang w:val="es-ES" w:eastAsia="en-GB"/>
        </w:rPr>
        <w:t>actividades detalladas en 31 acciones) de la nueva Estrategia de Desarrollo de Capacidades de la COI se seguirán beneficiando de la función del Grupo de Expertos consistente en informar a la unidad de la Secretaría encargada del desarrollo de capacidades y, cuando proceda, ayudarla a ejecutar las actividades de la COI en ese ámbito.</w:t>
      </w:r>
    </w:p>
    <w:p w14:paraId="556FA6E1" w14:textId="77777777" w:rsidR="005B638C" w:rsidRPr="005B638C" w:rsidRDefault="005B638C" w:rsidP="00C80F8A">
      <w:pPr>
        <w:numPr>
          <w:ilvl w:val="0"/>
          <w:numId w:val="32"/>
        </w:numPr>
        <w:pBdr>
          <w:top w:val="nil"/>
          <w:left w:val="nil"/>
          <w:bottom w:val="nil"/>
          <w:right w:val="nil"/>
          <w:between w:val="nil"/>
        </w:pBdr>
        <w:shd w:val="clear" w:color="auto" w:fill="FFFFFF"/>
        <w:snapToGrid w:val="0"/>
        <w:spacing w:after="240" w:line="240" w:lineRule="auto"/>
        <w:ind w:left="0" w:firstLine="0"/>
        <w:jc w:val="both"/>
        <w:rPr>
          <w:rFonts w:asciiTheme="minorBidi" w:eastAsia="Times New Roman" w:hAnsiTheme="minorBidi"/>
          <w:lang w:val="es-ES" w:eastAsia="en-GB"/>
        </w:rPr>
      </w:pPr>
      <w:r w:rsidRPr="005B638C">
        <w:rPr>
          <w:rFonts w:asciiTheme="minorBidi" w:eastAsia="Times New Roman" w:hAnsiTheme="minorBidi"/>
          <w:lang w:val="es-ES" w:eastAsia="en-GB"/>
        </w:rPr>
        <w:t xml:space="preserve">En su quinta reunión, el Grupo de Expertos sobre Desarrollo de Capacidades propuso un mandato revisado de conformidad con los requisitos de la nueva Estrategia de Desarrollo de Capacidades de la COI (2023-2030), teniendo en cuenta las consultas celebradas con los programas mundiales y los órganos subsidiarios regionales en relación con sus planes de trabajo regionales en materia de desarrollo de capacidades. </w:t>
      </w:r>
    </w:p>
    <w:p w14:paraId="3761E785" w14:textId="77777777" w:rsidR="005B638C" w:rsidRPr="005B638C" w:rsidRDefault="005B638C" w:rsidP="00C80F8A">
      <w:pPr>
        <w:numPr>
          <w:ilvl w:val="0"/>
          <w:numId w:val="32"/>
        </w:numPr>
        <w:pBdr>
          <w:top w:val="nil"/>
          <w:left w:val="nil"/>
          <w:bottom w:val="nil"/>
          <w:right w:val="nil"/>
          <w:between w:val="nil"/>
        </w:pBdr>
        <w:shd w:val="clear" w:color="auto" w:fill="FFFFFF"/>
        <w:snapToGrid w:val="0"/>
        <w:spacing w:after="240" w:line="240" w:lineRule="auto"/>
        <w:ind w:left="0" w:firstLine="0"/>
        <w:jc w:val="both"/>
        <w:rPr>
          <w:rFonts w:asciiTheme="minorBidi" w:eastAsia="Times New Roman" w:hAnsiTheme="minorBidi"/>
          <w:lang w:val="es-ES" w:eastAsia="en-GB"/>
        </w:rPr>
      </w:pPr>
      <w:r w:rsidRPr="005B638C">
        <w:rPr>
          <w:rFonts w:asciiTheme="minorBidi" w:eastAsia="Times New Roman" w:hAnsiTheme="minorBidi"/>
          <w:lang w:val="es-ES" w:eastAsia="en-GB"/>
        </w:rPr>
        <w:t xml:space="preserve">El mandato revisado del Grupo de Expertos se presenta al Consejo Ejecutivo en el proyecto de decisión EC-57/4.6 del documento de decisión de la reunión. </w:t>
      </w:r>
    </w:p>
    <w:p w14:paraId="41FBB4BB" w14:textId="77777777" w:rsidR="005B638C" w:rsidRPr="005B638C" w:rsidRDefault="005B638C" w:rsidP="00C80F8A">
      <w:pPr>
        <w:numPr>
          <w:ilvl w:val="0"/>
          <w:numId w:val="32"/>
        </w:numPr>
        <w:pBdr>
          <w:top w:val="nil"/>
          <w:left w:val="nil"/>
          <w:bottom w:val="nil"/>
          <w:right w:val="nil"/>
          <w:between w:val="nil"/>
        </w:pBdr>
        <w:shd w:val="clear" w:color="auto" w:fill="FFFFFF"/>
        <w:snapToGrid w:val="0"/>
        <w:spacing w:after="240" w:line="240" w:lineRule="auto"/>
        <w:ind w:left="0" w:firstLine="0"/>
        <w:jc w:val="both"/>
        <w:rPr>
          <w:rFonts w:asciiTheme="minorBidi" w:eastAsia="Times New Roman" w:hAnsiTheme="minorBidi"/>
          <w:lang w:val="es-ES" w:eastAsia="en-GB"/>
        </w:rPr>
      </w:pPr>
      <w:r w:rsidRPr="005B638C">
        <w:rPr>
          <w:rFonts w:asciiTheme="minorBidi" w:eastAsia="Times New Roman" w:hAnsiTheme="minorBidi"/>
          <w:lang w:val="es-ES" w:eastAsia="en-GB"/>
        </w:rPr>
        <w:t xml:space="preserve">Dado que el actual Grupo de Expertos cesará sus actividades en cuanto el Consejo Ejecutivo apruebe el mandato revisado del Grupo, se invita a los Estados Miembros a que propongan candidatos adecuados para integrar el Grupo y presenten información sobre ellos, incluido un CV actualizado, con una breve biografía en la que destaquen su experiencia y conocimientos sobre desarrollo de capacidades. </w:t>
      </w:r>
    </w:p>
    <w:p w14:paraId="7051347C" w14:textId="77777777" w:rsidR="005B638C" w:rsidRPr="005B638C" w:rsidRDefault="005B638C" w:rsidP="00C80F8A">
      <w:pPr>
        <w:numPr>
          <w:ilvl w:val="0"/>
          <w:numId w:val="32"/>
        </w:numPr>
        <w:pBdr>
          <w:top w:val="nil"/>
          <w:left w:val="nil"/>
          <w:bottom w:val="nil"/>
          <w:right w:val="nil"/>
          <w:between w:val="nil"/>
        </w:pBdr>
        <w:shd w:val="clear" w:color="auto" w:fill="FFFFFF"/>
        <w:snapToGrid w:val="0"/>
        <w:spacing w:after="240" w:line="240" w:lineRule="auto"/>
        <w:ind w:left="0" w:firstLine="0"/>
        <w:jc w:val="both"/>
        <w:rPr>
          <w:rFonts w:asciiTheme="minorBidi" w:eastAsia="Times New Roman" w:hAnsiTheme="minorBidi"/>
          <w:lang w:val="es-ES" w:eastAsia="en-GB"/>
        </w:rPr>
      </w:pPr>
      <w:r w:rsidRPr="005B638C">
        <w:rPr>
          <w:rFonts w:asciiTheme="minorBidi" w:eastAsia="Times New Roman" w:hAnsiTheme="minorBidi"/>
          <w:lang w:val="es-ES" w:eastAsia="en-GB"/>
        </w:rPr>
        <w:t xml:space="preserve">Los miembros actuales del Grupo de Expertos que deseen seguir formando parte de él también tendrán que llevar a cabo el proceso de candidatura y ser designados de nuevo por sus respectivos gobiernos. La convocatoria estará abierta hasta finales de julio de 2024, y lo ideal sería que la lista de expertos seleccionados se sometiera a la aprobación del Secretario Ejecutivo en agosto de 2024, de modo que el nuevo Grupo inicie sus trabajos en septiembre de 2024. </w:t>
      </w:r>
    </w:p>
    <w:p w14:paraId="76576EFB" w14:textId="77777777" w:rsidR="005B638C" w:rsidRPr="005B638C" w:rsidRDefault="005B638C" w:rsidP="00C80F8A">
      <w:pPr>
        <w:keepNext/>
        <w:keepLines/>
        <w:snapToGrid w:val="0"/>
        <w:spacing w:after="240" w:line="240" w:lineRule="auto"/>
        <w:outlineLvl w:val="1"/>
        <w:rPr>
          <w:rFonts w:asciiTheme="minorBidi" w:eastAsia="SimSun" w:hAnsiTheme="minorBidi"/>
          <w:snapToGrid w:val="0"/>
          <w:lang w:val="es-ES" w:eastAsia="en-GB"/>
        </w:rPr>
      </w:pPr>
      <w:bookmarkStart w:id="1" w:name="_Toc163216999"/>
      <w:r w:rsidRPr="005B638C">
        <w:rPr>
          <w:rFonts w:asciiTheme="minorBidi" w:eastAsia="Yu Gothic Light" w:hAnsiTheme="minorBidi"/>
          <w:b/>
          <w:bCs/>
          <w:lang w:val="es-ES" w:eastAsia="en-GB"/>
        </w:rPr>
        <w:t>Medidas que deberán adoptarse con miras a la 33ª reunión de la Asamblea de la COI</w:t>
      </w:r>
      <w:bookmarkEnd w:id="1"/>
    </w:p>
    <w:p w14:paraId="13498FCB" w14:textId="77777777" w:rsidR="005B638C" w:rsidRPr="005B638C" w:rsidRDefault="005B638C" w:rsidP="00C80F8A">
      <w:pPr>
        <w:numPr>
          <w:ilvl w:val="0"/>
          <w:numId w:val="32"/>
        </w:numPr>
        <w:pBdr>
          <w:top w:val="nil"/>
          <w:left w:val="nil"/>
          <w:bottom w:val="nil"/>
          <w:right w:val="nil"/>
          <w:between w:val="nil"/>
        </w:pBdr>
        <w:shd w:val="clear" w:color="auto" w:fill="FFFFFF"/>
        <w:snapToGrid w:val="0"/>
        <w:spacing w:after="240" w:line="240" w:lineRule="auto"/>
        <w:ind w:left="0" w:firstLine="0"/>
        <w:jc w:val="both"/>
        <w:rPr>
          <w:rFonts w:asciiTheme="minorBidi" w:eastAsia="Times New Roman" w:hAnsiTheme="minorBidi"/>
          <w:lang w:val="es-ES" w:eastAsia="en-GB"/>
        </w:rPr>
      </w:pPr>
      <w:r w:rsidRPr="005B638C">
        <w:rPr>
          <w:rFonts w:asciiTheme="minorBidi" w:eastAsia="Times New Roman" w:hAnsiTheme="minorBidi"/>
          <w:lang w:val="es-ES" w:eastAsia="en-GB"/>
        </w:rPr>
        <w:t>En la quinta reunión del Grupo de Expertos sobre Desarrollo de Capacidades, se pidió a todos los programas mundiales y subcomisiones regionales que facilitaran información sobre la manera en que pensaban dar seguimiento a los seis productos de la Estrategia de Desarrollo de Capacidades de la COI en función de sus necesidades y prioridades regionales específicas. El Grupo recomendó que los programas mundiales y regionales contemplaran la posibilidad de realizar un análisis para preparar planes de trabajo regionales sobre desarrollo de capacidades que se examinarían en la próxima reunión del Grupo de Expertos, si así lo decide el Consejo, con miras a su presentación a la Asamblea de la COI en su 33ª reunión, en junio de 2025.</w:t>
      </w:r>
    </w:p>
    <w:p w14:paraId="081E14EC" w14:textId="77777777" w:rsidR="005B638C" w:rsidRPr="005B638C" w:rsidRDefault="005B638C" w:rsidP="00C80F8A">
      <w:pPr>
        <w:numPr>
          <w:ilvl w:val="0"/>
          <w:numId w:val="32"/>
        </w:numPr>
        <w:pBdr>
          <w:top w:val="nil"/>
          <w:left w:val="nil"/>
          <w:bottom w:val="nil"/>
          <w:right w:val="nil"/>
          <w:between w:val="nil"/>
        </w:pBdr>
        <w:shd w:val="clear" w:color="auto" w:fill="FFFFFF"/>
        <w:snapToGrid w:val="0"/>
        <w:spacing w:after="240" w:line="240" w:lineRule="auto"/>
        <w:ind w:left="0" w:firstLine="0"/>
        <w:jc w:val="both"/>
        <w:rPr>
          <w:rFonts w:asciiTheme="minorBidi" w:eastAsia="Times New Roman" w:hAnsiTheme="minorBidi"/>
          <w:lang w:val="es-ES" w:eastAsia="en-GB"/>
        </w:rPr>
      </w:pPr>
      <w:r w:rsidRPr="005B638C">
        <w:rPr>
          <w:rFonts w:asciiTheme="minorBidi" w:eastAsia="Times New Roman" w:hAnsiTheme="minorBidi"/>
          <w:lang w:val="es-ES" w:eastAsia="en-GB"/>
        </w:rPr>
        <w:t>Los planes de trabajo sobre desarrollo de capacidades de los programas mundiales y las subcomisiones regionales se prepararon en reuniones conjuntas con los programas mundiales y los órganos subsidiarios regionales en el primer semestre de 2024. Los elementos de desarrollo de capacidades de sus planes de trabajo se presentan en una matriz en relación con los productos de la Estrategia de Desarrollo de Capacidades de la COI (2023-2030).</w:t>
      </w:r>
    </w:p>
    <w:p w14:paraId="030BBDB7" w14:textId="051561BA" w:rsidR="00BD5360" w:rsidRPr="008F5888" w:rsidRDefault="005B638C" w:rsidP="008F5888">
      <w:pPr>
        <w:numPr>
          <w:ilvl w:val="0"/>
          <w:numId w:val="32"/>
        </w:numPr>
        <w:pBdr>
          <w:top w:val="nil"/>
          <w:left w:val="nil"/>
          <w:bottom w:val="nil"/>
          <w:right w:val="nil"/>
          <w:between w:val="nil"/>
        </w:pBdr>
        <w:shd w:val="clear" w:color="auto" w:fill="FFFFFF"/>
        <w:snapToGrid w:val="0"/>
        <w:spacing w:after="240" w:line="240" w:lineRule="auto"/>
        <w:ind w:left="0" w:firstLine="0"/>
        <w:jc w:val="both"/>
        <w:rPr>
          <w:rFonts w:asciiTheme="minorBidi" w:eastAsia="Times New Roman" w:hAnsiTheme="minorBidi"/>
          <w:snapToGrid w:val="0"/>
          <w:lang w:val="es-ES"/>
        </w:rPr>
      </w:pPr>
      <w:r w:rsidRPr="008F5888">
        <w:rPr>
          <w:rFonts w:asciiTheme="minorBidi" w:eastAsia="Times New Roman" w:hAnsiTheme="minorBidi"/>
          <w:lang w:val="es-ES" w:eastAsia="en-GB"/>
        </w:rPr>
        <w:t xml:space="preserve">La utilización de la matriz ayudará a detectar las lagunas cuando no se esté dando seguimiento de momento a un producto, actividad o acción, y a determinar los esfuerzos y las necesidades de recursos correspondientes para colmar esas lagunas. De este modo, se definirán los ámbitos en los que la asistencia y la orientación serán más necesarias y útiles, lo que podrá después orientar la elaboración de propuestas de proyecto y otras nuevas iniciativas con la ayuda de la unidad de la </w:t>
      </w:r>
      <w:r w:rsidRPr="008F5888">
        <w:rPr>
          <w:rFonts w:asciiTheme="minorBidi" w:eastAsia="Times New Roman" w:hAnsiTheme="minorBidi"/>
          <w:lang w:val="es-ES" w:eastAsia="en-GB"/>
        </w:rPr>
        <w:lastRenderedPageBreak/>
        <w:t>Secretaría de la COI encargada del desarrollo de capacidades, para su presentación a los donantes interesados.</w:t>
      </w:r>
    </w:p>
    <w:sectPr w:rsidR="00BD5360" w:rsidRPr="008F5888" w:rsidSect="005B638C">
      <w:headerReference w:type="even" r:id="rId17"/>
      <w:headerReference w:type="default" r:id="rId18"/>
      <w:headerReference w:type="first" r:id="rId19"/>
      <w:type w:val="oddPage"/>
      <w:pgSz w:w="11906" w:h="16838" w:code="9"/>
      <w:pgMar w:top="1418" w:right="1134"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0147" w14:textId="77777777" w:rsidR="005B638C" w:rsidRDefault="005B638C">
      <w:pPr>
        <w:spacing w:after="0" w:line="240" w:lineRule="auto"/>
      </w:pPr>
      <w:r>
        <w:separator/>
      </w:r>
    </w:p>
  </w:endnote>
  <w:endnote w:type="continuationSeparator" w:id="0">
    <w:p w14:paraId="25998FF5" w14:textId="77777777" w:rsidR="005B638C" w:rsidRDefault="005B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E20C" w14:textId="77777777" w:rsidR="005B638C" w:rsidRDefault="005B638C">
      <w:pPr>
        <w:spacing w:after="0" w:line="240" w:lineRule="auto"/>
      </w:pPr>
      <w:r>
        <w:separator/>
      </w:r>
    </w:p>
  </w:footnote>
  <w:footnote w:type="continuationSeparator" w:id="0">
    <w:p w14:paraId="5A0969DF" w14:textId="77777777" w:rsidR="005B638C" w:rsidRDefault="005B6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2305" w14:textId="10BD4B26" w:rsidR="00270E93" w:rsidRPr="000833BB" w:rsidRDefault="000833BB" w:rsidP="00DE4989">
    <w:pPr>
      <w:pStyle w:val="Header"/>
    </w:pPr>
    <w:r w:rsidRPr="000833BB">
      <w:rPr>
        <w:rFonts w:ascii="Arial" w:hAnsi="Arial" w:cs="Arial"/>
        <w:caps/>
        <w:lang w:val="es-ES"/>
      </w:rPr>
      <w:t>IOC/</w:t>
    </w:r>
    <w:r w:rsidR="00DE4989" w:rsidRPr="00DE4989">
      <w:rPr>
        <w:rFonts w:ascii="Arial" w:hAnsi="Arial" w:cs="Arial"/>
        <w:caps/>
        <w:lang w:val="es-ES"/>
      </w:rPr>
      <w:t>EC-57</w:t>
    </w:r>
    <w:r w:rsidR="00270E93" w:rsidRPr="000833BB">
      <w:rPr>
        <w:rFonts w:ascii="Arial" w:hAnsi="Arial" w:cs="Arial"/>
        <w:caps/>
        <w:lang w:val="es-ES"/>
      </w:rPr>
      <w:t>/</w:t>
    </w:r>
    <w:sdt>
      <w:sdtPr>
        <w:rPr>
          <w:rFonts w:ascii="Arial" w:hAnsi="Arial" w:cs="Arial"/>
          <w:lang w:val="es-ES"/>
        </w:rPr>
        <w:alias w:val="SIGNATURA"/>
        <w:tag w:val=""/>
        <w:id w:val="-1763675956"/>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5B638C">
          <w:rPr>
            <w:rFonts w:ascii="Arial" w:hAnsi="Arial" w:cs="Arial"/>
            <w:lang w:val="es-ES"/>
          </w:rPr>
          <w:t>46.Doc(1)</w:t>
        </w:r>
      </w:sdtContent>
    </w:sdt>
    <w:r w:rsidR="00270E93" w:rsidRPr="000833BB">
      <w:rPr>
        <w:rFonts w:ascii="Arial" w:hAnsi="Arial" w:cs="Arial"/>
        <w:lang w:val="es-ES"/>
      </w:rPr>
      <w:t xml:space="preserve"> – pág. </w:t>
    </w:r>
    <w:r w:rsidR="00270E93" w:rsidRPr="000833BB">
      <w:rPr>
        <w:rFonts w:ascii="Arial" w:hAnsi="Arial" w:cs="Arial"/>
        <w:lang w:val="es-ES"/>
      </w:rPr>
      <w:fldChar w:fldCharType="begin"/>
    </w:r>
    <w:r w:rsidR="00270E93" w:rsidRPr="000833BB">
      <w:rPr>
        <w:rFonts w:ascii="Arial" w:hAnsi="Arial" w:cs="Arial"/>
        <w:lang w:val="es-ES"/>
      </w:rPr>
      <w:instrText>PAGE   \* MERGEFORMAT</w:instrText>
    </w:r>
    <w:r w:rsidR="00270E93" w:rsidRPr="000833BB">
      <w:rPr>
        <w:rFonts w:ascii="Arial" w:hAnsi="Arial" w:cs="Arial"/>
        <w:lang w:val="es-ES"/>
      </w:rPr>
      <w:fldChar w:fldCharType="separate"/>
    </w:r>
    <w:r w:rsidR="00270E93" w:rsidRPr="000833BB">
      <w:rPr>
        <w:rFonts w:ascii="Arial" w:hAnsi="Arial" w:cs="Arial"/>
        <w:lang w:val="es-ES"/>
      </w:rPr>
      <w:t>1</w:t>
    </w:r>
    <w:r w:rsidR="00270E93" w:rsidRPr="000833BB">
      <w:rPr>
        <w:rFonts w:ascii="Arial" w:hAnsi="Arial" w:cs="Arial"/>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6501" w14:textId="088C0FC2" w:rsidR="000833BB" w:rsidRPr="00326690" w:rsidRDefault="000833BB" w:rsidP="00DE4989">
    <w:pPr>
      <w:pStyle w:val="Header"/>
      <w:jc w:val="right"/>
      <w:rPr>
        <w:rFonts w:asciiTheme="minorBidi" w:hAnsiTheme="minorBidi"/>
      </w:rPr>
    </w:pPr>
    <w:r w:rsidRPr="00326690">
      <w:rPr>
        <w:rFonts w:asciiTheme="minorBidi" w:hAnsiTheme="minorBidi"/>
        <w:caps/>
        <w:lang w:val="es-ES"/>
      </w:rPr>
      <w:t>IOC/</w:t>
    </w:r>
    <w:r w:rsidR="00DE4989" w:rsidRPr="00326690">
      <w:rPr>
        <w:rFonts w:asciiTheme="minorBidi" w:hAnsiTheme="minorBidi"/>
        <w:caps/>
        <w:lang w:val="es-ES"/>
      </w:rPr>
      <w:t>EC-57</w:t>
    </w:r>
    <w:r w:rsidRPr="00326690">
      <w:rPr>
        <w:rFonts w:asciiTheme="minorBidi" w:hAnsiTheme="minorBidi"/>
        <w:caps/>
        <w:lang w:val="es-ES"/>
      </w:rPr>
      <w:t>/</w:t>
    </w:r>
    <w:sdt>
      <w:sdtPr>
        <w:rPr>
          <w:rFonts w:asciiTheme="minorBidi" w:hAnsiTheme="minorBidi"/>
          <w:lang w:val="es-ES"/>
        </w:rPr>
        <w:alias w:val="SIGNATURA"/>
        <w:tag w:val=""/>
        <w:id w:val="191198000"/>
        <w:temporary/>
        <w:dataBinding w:prefixMappings="xmlns:ns0='http://purl.org/dc/elements/1.1/' xmlns:ns1='http://schemas.openxmlformats.org/package/2006/metadata/core-properties' " w:xpath="/ns1:coreProperties[1]/ns1:keywords[1]" w:storeItemID="{6C3C8BC8-F283-45AE-878A-BAB7291924A1}"/>
        <w15:color w:val="000000"/>
        <w:text/>
      </w:sdtPr>
      <w:sdtEndPr>
        <w:rPr>
          <w:lang w:val="fr-FR"/>
        </w:rPr>
      </w:sdtEndPr>
      <w:sdtContent>
        <w:r w:rsidR="005B638C" w:rsidRPr="00326690">
          <w:rPr>
            <w:rFonts w:asciiTheme="minorBidi" w:hAnsiTheme="minorBidi"/>
          </w:rPr>
          <w:t>46.Doc(1)</w:t>
        </w:r>
      </w:sdtContent>
    </w:sdt>
    <w:r w:rsidRPr="00326690">
      <w:rPr>
        <w:rFonts w:asciiTheme="minorBidi" w:hAnsiTheme="minorBidi"/>
        <w:lang w:val="es-ES"/>
      </w:rPr>
      <w:t xml:space="preserve"> – pág. </w:t>
    </w:r>
    <w:r w:rsidRPr="00326690">
      <w:rPr>
        <w:rFonts w:asciiTheme="minorBidi" w:hAnsiTheme="minorBidi"/>
        <w:lang w:val="es-ES"/>
      </w:rPr>
      <w:fldChar w:fldCharType="begin"/>
    </w:r>
    <w:r w:rsidRPr="00326690">
      <w:rPr>
        <w:rFonts w:asciiTheme="minorBidi" w:hAnsiTheme="minorBidi"/>
        <w:lang w:val="es-ES"/>
      </w:rPr>
      <w:instrText>PAGE   \* MERGEFORMAT</w:instrText>
    </w:r>
    <w:r w:rsidRPr="00326690">
      <w:rPr>
        <w:rFonts w:asciiTheme="minorBidi" w:hAnsiTheme="minorBidi"/>
        <w:lang w:val="es-ES"/>
      </w:rPr>
      <w:fldChar w:fldCharType="separate"/>
    </w:r>
    <w:r w:rsidRPr="00326690">
      <w:rPr>
        <w:rFonts w:asciiTheme="minorBidi" w:hAnsiTheme="minorBidi"/>
        <w:lang w:val="es-ES"/>
      </w:rPr>
      <w:t>2</w:t>
    </w:r>
    <w:r w:rsidRPr="00326690">
      <w:rPr>
        <w:rFonts w:asciiTheme="minorBidi" w:hAnsiTheme="minorBidi"/>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F4E5" w14:textId="77777777" w:rsidR="00C80F8A" w:rsidRDefault="00C80F8A" w:rsidP="00116CC7">
    <w:pPr>
      <w:pStyle w:val="Header"/>
      <w:tabs>
        <w:tab w:val="clear" w:pos="4536"/>
        <w:tab w:val="clear" w:pos="9072"/>
      </w:tabs>
      <w:spacing w:after="520"/>
      <w:ind w:left="6521"/>
      <w:rPr>
        <w:rFonts w:ascii="Arial" w:eastAsia="SimSun" w:hAnsi="Arial" w:cs="Arial"/>
        <w:snapToGrid w:val="0"/>
        <w:lang w:val="es-ES_tradnl" w:eastAsia="zh-CN"/>
      </w:rPr>
    </w:pPr>
    <w:r w:rsidRPr="00116CC7">
      <w:rPr>
        <w:rFonts w:cs="Arial"/>
        <w:b/>
        <w:caps/>
        <w:noProof/>
        <w:sz w:val="32"/>
        <w:szCs w:val="32"/>
        <w:lang w:eastAsia="fr-FR"/>
      </w:rPr>
      <w:drawing>
        <wp:anchor distT="0" distB="0" distL="114300" distR="114300" simplePos="0" relativeHeight="251665408" behindDoc="0" locked="0" layoutInCell="1" allowOverlap="1" wp14:anchorId="06052656" wp14:editId="0E9C6758">
          <wp:simplePos x="0" y="0"/>
          <wp:positionH relativeFrom="column">
            <wp:posOffset>-4445</wp:posOffset>
          </wp:positionH>
          <wp:positionV relativeFrom="page">
            <wp:posOffset>711361</wp:posOffset>
          </wp:positionV>
          <wp:extent cx="1578610" cy="1047115"/>
          <wp:effectExtent l="0" t="0" r="2540" b="635"/>
          <wp:wrapNone/>
          <wp:docPr id="1895882873" name="Picture 18958828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116CC7">
      <w:rPr>
        <w:rFonts w:cs="Arial"/>
        <w:b/>
        <w:caps/>
        <w:noProof/>
        <w:sz w:val="32"/>
        <w:szCs w:val="32"/>
        <w:lang w:eastAsia="fr-FR"/>
      </w:rPr>
      <mc:AlternateContent>
        <mc:Choice Requires="wps">
          <w:drawing>
            <wp:anchor distT="0" distB="0" distL="114300" distR="114300" simplePos="0" relativeHeight="251666432" behindDoc="0" locked="0" layoutInCell="1" allowOverlap="1" wp14:anchorId="213553FE" wp14:editId="15E3F385">
              <wp:simplePos x="0" y="0"/>
              <wp:positionH relativeFrom="column">
                <wp:posOffset>-4098</wp:posOffset>
              </wp:positionH>
              <wp:positionV relativeFrom="paragraph">
                <wp:posOffset>-22800</wp:posOffset>
              </wp:positionV>
              <wp:extent cx="1578610" cy="284672"/>
              <wp:effectExtent l="0" t="0" r="2540" b="1270"/>
              <wp:wrapNone/>
              <wp:docPr id="1989074007" name="Text Box 1989074007"/>
              <wp:cNvGraphicFramePr/>
              <a:graphic xmlns:a="http://schemas.openxmlformats.org/drawingml/2006/main">
                <a:graphicData uri="http://schemas.microsoft.com/office/word/2010/wordprocessingShape">
                  <wps:wsp>
                    <wps:cNvSpPr txBox="1"/>
                    <wps:spPr>
                      <a:xfrm>
                        <a:off x="0" y="0"/>
                        <a:ext cx="1578610" cy="284672"/>
                      </a:xfrm>
                      <a:prstGeom prst="rect">
                        <a:avLst/>
                      </a:prstGeom>
                      <a:solidFill>
                        <a:schemeClr val="lt1"/>
                      </a:solidFill>
                      <a:ln w="6350">
                        <a:noFill/>
                      </a:ln>
                    </wps:spPr>
                    <wps:txbx>
                      <w:txbxContent>
                        <w:p w14:paraId="6BFEC8AC" w14:textId="77777777" w:rsidR="00C80F8A" w:rsidRPr="00EA1C02" w:rsidRDefault="00C80F8A">
                          <w:pPr>
                            <w:rPr>
                              <w:lang w:val="es-ES"/>
                            </w:rPr>
                          </w:pPr>
                          <w:r w:rsidRPr="00EA1C02">
                            <w:rPr>
                              <w:rFonts w:ascii="Arial" w:hAnsi="Arial" w:cs="Arial"/>
                              <w:lang w:val="es-ES"/>
                            </w:rPr>
                            <w:t>Distribución limitada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3553FE" id="_x0000_t202" coordsize="21600,21600" o:spt="202" path="m,l,21600r21600,l21600,xe">
              <v:stroke joinstyle="miter"/>
              <v:path gradientshapeok="t" o:connecttype="rect"/>
            </v:shapetype>
            <v:shape id="Text Box 1989074007" o:spid="_x0000_s1026" type="#_x0000_t202" style="position:absolute;left:0;text-align:left;margin-left:-.3pt;margin-top:-1.8pt;width:124.3pt;height:2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" fillcolor="white [3201]" stroked="f" strokeweight=".5pt">
              <v:textbox>
                <w:txbxContent>
                  <w:p w14:paraId="6BFEC8AC" w14:textId="77777777" w:rsidR="00C80F8A" w:rsidRPr="00EA1C02" w:rsidRDefault="00C80F8A">
                    <w:pPr>
                      <w:rPr>
                        <w:lang w:val="es-ES"/>
                      </w:rPr>
                    </w:pPr>
                    <w:r w:rsidRPr="00EA1C02">
                      <w:rPr>
                        <w:rFonts w:ascii="Arial" w:hAnsi="Arial" w:cs="Arial"/>
                        <w:lang w:val="es-ES"/>
                      </w:rPr>
                      <w:t>Distribución limitada</w:t>
                    </w:r>
                  </w:p>
                </w:txbxContent>
              </v:textbox>
            </v:shape>
          </w:pict>
        </mc:Fallback>
      </mc:AlternateContent>
    </w:r>
    <w:r w:rsidRPr="00116CC7">
      <w:rPr>
        <w:rFonts w:ascii="Arial" w:hAnsi="Arial" w:cs="Arial"/>
        <w:b/>
        <w:bCs/>
        <w:caps/>
        <w:sz w:val="32"/>
        <w:szCs w:val="32"/>
        <w:lang w:val="es-ES"/>
      </w:rPr>
      <w:t>IOC/EC-57/</w:t>
    </w:r>
    <w:sdt>
      <w:sdtPr>
        <w:rPr>
          <w:rFonts w:ascii="Arial" w:hAnsi="Arial" w:cs="Arial"/>
          <w:b/>
          <w:bCs/>
          <w:sz w:val="32"/>
          <w:szCs w:val="32"/>
          <w:lang w:val="es-ES"/>
        </w:rPr>
        <w:alias w:val="SIGNATURA"/>
        <w:tag w:val=""/>
        <w:id w:val="-1225830664"/>
        <w:dataBinding w:prefixMappings="xmlns:ns0='http://purl.org/dc/elements/1.1/' xmlns:ns1='http://schemas.openxmlformats.org/package/2006/metadata/core-properties' " w:xpath="/ns1:coreProperties[1]/ns1:keywords[1]" w:storeItemID="{6C3C8BC8-F283-45AE-878A-BAB7291924A1}"/>
        <w15:color w:val="FF0000"/>
        <w:text/>
      </w:sdtPr>
      <w:sdtContent>
        <w:r w:rsidRPr="00116CC7">
          <w:rPr>
            <w:rFonts w:ascii="Arial" w:hAnsi="Arial" w:cs="Arial"/>
            <w:b/>
            <w:bCs/>
            <w:sz w:val="32"/>
            <w:szCs w:val="32"/>
            <w:lang w:val="es-ES"/>
          </w:rPr>
          <w:t>46.Doc(1)</w:t>
        </w:r>
      </w:sdtContent>
    </w:sdt>
    <w:r w:rsidRPr="00EA1C02">
      <w:rPr>
        <w:rFonts w:asciiTheme="minorBidi" w:hAnsiTheme="minorBidi"/>
        <w:b/>
        <w:bCs/>
        <w:sz w:val="36"/>
        <w:szCs w:val="36"/>
        <w:lang w:val="es-ES"/>
      </w:rPr>
      <w:br/>
    </w:r>
    <w:r w:rsidRPr="00EA1C02">
      <w:rPr>
        <w:rFonts w:ascii="Arial" w:hAnsi="Arial" w:cs="Arial"/>
        <w:lang w:val="es-ES"/>
      </w:rPr>
      <w:t>París,</w:t>
    </w:r>
    <w:r w:rsidRPr="00EA1C02">
      <w:rPr>
        <w:rFonts w:ascii="Arial" w:eastAsia="Times New Roman" w:hAnsi="Arial" w:cs="Arial"/>
        <w:snapToGrid w:val="0"/>
        <w:lang w:val="es-ES_tradnl"/>
      </w:rPr>
      <w:t xml:space="preserve"> </w:t>
    </w:r>
    <w:r>
      <w:rPr>
        <w:rFonts w:ascii="Arial" w:eastAsia="Times New Roman" w:hAnsi="Arial" w:cs="Arial"/>
        <w:snapToGrid w:val="0"/>
        <w:lang w:val="es-ES"/>
      </w:rPr>
      <w:t>9 de abril de 2024</w:t>
    </w:r>
    <w:r w:rsidRPr="00EA1C02">
      <w:rPr>
        <w:rFonts w:ascii="Arial" w:eastAsia="Times New Roman" w:hAnsi="Arial" w:cs="Arial"/>
        <w:lang w:val="es-ES_tradnl"/>
      </w:rPr>
      <w:br/>
    </w:r>
    <w:r w:rsidRPr="00EA1C02">
      <w:rPr>
        <w:rFonts w:ascii="Arial" w:eastAsia="SimSun" w:hAnsi="Arial" w:cs="Arial"/>
        <w:snapToGrid w:val="0"/>
        <w:lang w:val="es-ES_tradnl" w:eastAsia="zh-CN"/>
      </w:rPr>
      <w:t xml:space="preserve">Original: </w:t>
    </w:r>
    <w:r>
      <w:rPr>
        <w:rFonts w:ascii="Arial" w:eastAsia="SimSun" w:hAnsi="Arial" w:cs="Arial"/>
        <w:snapToGrid w:val="0"/>
        <w:lang w:val="es-ES_tradnl" w:eastAsia="zh-CN"/>
      </w:rPr>
      <w:t>inglés</w:t>
    </w:r>
  </w:p>
  <w:p w14:paraId="1F87C8F7" w14:textId="77777777" w:rsidR="00C80F8A" w:rsidRPr="00C80F8A" w:rsidRDefault="00C80F8A" w:rsidP="00A12059">
    <w:pPr>
      <w:tabs>
        <w:tab w:val="left" w:pos="-1440"/>
        <w:tab w:val="left" w:pos="-720"/>
      </w:tabs>
      <w:spacing w:before="1800" w:after="0" w:line="240" w:lineRule="auto"/>
      <w:jc w:val="center"/>
      <w:rPr>
        <w:rFonts w:ascii="Arial" w:hAnsi="Arial" w:cs="Arial"/>
        <w:b/>
        <w:lang w:val="es-ES"/>
      </w:rPr>
    </w:pPr>
    <w:r w:rsidRPr="00C80F8A">
      <w:rPr>
        <w:rFonts w:ascii="Arial" w:hAnsi="Arial" w:cs="Arial"/>
        <w:b/>
        <w:bCs/>
        <w:lang w:val="es-ES"/>
      </w:rPr>
      <w:t>COMISIÓN OCEANOGRÁFICA INTERGUBERNAMENTAL</w:t>
    </w:r>
  </w:p>
  <w:p w14:paraId="3735620E" w14:textId="77777777" w:rsidR="00C80F8A" w:rsidRPr="00C80F8A" w:rsidRDefault="00C80F8A" w:rsidP="00334B9F">
    <w:pPr>
      <w:tabs>
        <w:tab w:val="left" w:pos="-1440"/>
        <w:tab w:val="left" w:pos="-720"/>
      </w:tabs>
      <w:spacing w:after="0" w:line="240" w:lineRule="auto"/>
      <w:jc w:val="center"/>
      <w:rPr>
        <w:rFonts w:ascii="Arial" w:hAnsi="Arial" w:cs="Arial"/>
        <w:bCs/>
        <w:lang w:val="es-ES"/>
      </w:rPr>
    </w:pPr>
    <w:r w:rsidRPr="00C80F8A">
      <w:rPr>
        <w:rFonts w:ascii="Arial" w:hAnsi="Arial" w:cs="Arial"/>
        <w:bCs/>
        <w:lang w:val="es-ES"/>
      </w:rPr>
      <w:t>(de la UNESCO)</w:t>
    </w:r>
  </w:p>
  <w:p w14:paraId="15FF8104" w14:textId="77777777" w:rsidR="00C80F8A" w:rsidRPr="00C80F8A" w:rsidRDefault="00C80F8A" w:rsidP="00DE4989">
    <w:pPr>
      <w:tabs>
        <w:tab w:val="left" w:pos="-1440"/>
        <w:tab w:val="left" w:pos="-720"/>
        <w:tab w:val="center" w:pos="4677"/>
      </w:tabs>
      <w:spacing w:before="240" w:after="600" w:line="240" w:lineRule="auto"/>
      <w:jc w:val="center"/>
      <w:rPr>
        <w:rFonts w:ascii="Arial" w:hAnsi="Arial" w:cs="Arial"/>
        <w:bCs/>
        <w:lang w:val="es-ES"/>
      </w:rPr>
    </w:pPr>
    <w:r w:rsidRPr="00C80F8A">
      <w:rPr>
        <w:rFonts w:ascii="Arial" w:hAnsi="Arial" w:cs="Arial"/>
        <w:b/>
        <w:bCs/>
        <w:lang w:val="es-ES"/>
      </w:rPr>
      <w:t>57ª reunión del Consejo Ejecutivo</w:t>
    </w:r>
    <w:r w:rsidRPr="00C80F8A">
      <w:rPr>
        <w:rFonts w:ascii="Arial" w:hAnsi="Arial" w:cs="Arial"/>
        <w:bCs/>
        <w:lang w:val="es-ES"/>
      </w:rPr>
      <w:br/>
      <w:t>UNESCO, 25-28 de junio de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00"/>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00077E"/>
    <w:multiLevelType w:val="hybridMultilevel"/>
    <w:tmpl w:val="1EA296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B1693F"/>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37869"/>
    <w:multiLevelType w:val="hybridMultilevel"/>
    <w:tmpl w:val="DDA0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54F4B"/>
    <w:multiLevelType w:val="hybridMultilevel"/>
    <w:tmpl w:val="745A2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0B3112D7"/>
    <w:multiLevelType w:val="multilevel"/>
    <w:tmpl w:val="4EF80814"/>
    <w:lvl w:ilvl="0">
      <w:start w:val="1"/>
      <w:numFmt w:val="decimal"/>
      <w:lvlText w:val="%1."/>
      <w:lvlJc w:val="left"/>
      <w:pPr>
        <w:ind w:left="930" w:hanging="570"/>
      </w:pPr>
      <w:rPr>
        <w:rFonts w:hint="default"/>
        <w:color w:val="auto"/>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BEF147E"/>
    <w:multiLevelType w:val="hybridMultilevel"/>
    <w:tmpl w:val="6AEEB90C"/>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AA652E"/>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6B7C8B"/>
    <w:multiLevelType w:val="multilevel"/>
    <w:tmpl w:val="4E963232"/>
    <w:lvl w:ilvl="0">
      <w:start w:val="2"/>
      <w:numFmt w:val="decimal"/>
      <w:lvlText w:val="%1."/>
      <w:lvlJc w:val="left"/>
      <w:pPr>
        <w:ind w:left="360" w:hanging="360"/>
      </w:pPr>
      <w:rPr>
        <w:rFonts w:hint="default"/>
        <w:color w:val="auto"/>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A12A32"/>
    <w:multiLevelType w:val="hybridMultilevel"/>
    <w:tmpl w:val="0F5A76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3D30F29"/>
    <w:multiLevelType w:val="multilevel"/>
    <w:tmpl w:val="800A875E"/>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2E08D7"/>
    <w:multiLevelType w:val="multilevel"/>
    <w:tmpl w:val="B9F2133A"/>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A1190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4B3376"/>
    <w:multiLevelType w:val="hybridMultilevel"/>
    <w:tmpl w:val="CE66DA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1182BBC"/>
    <w:multiLevelType w:val="multilevel"/>
    <w:tmpl w:val="2B584442"/>
    <w:lvl w:ilvl="0">
      <w:start w:val="3"/>
      <w:numFmt w:val="decimal"/>
      <w:lvlText w:val="%1"/>
      <w:lvlJc w:val="left"/>
      <w:pPr>
        <w:ind w:left="420" w:hanging="420"/>
      </w:pPr>
      <w:rPr>
        <w:rFonts w:eastAsia="Times New Roman" w:hint="default"/>
      </w:rPr>
    </w:lvl>
    <w:lvl w:ilvl="1">
      <w:start w:val="30"/>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38CD465B"/>
    <w:multiLevelType w:val="hybridMultilevel"/>
    <w:tmpl w:val="C73CD57A"/>
    <w:lvl w:ilvl="0" w:tplc="040C0001">
      <w:start w:val="1"/>
      <w:numFmt w:val="bullet"/>
      <w:lvlText w:val=""/>
      <w:lvlJc w:val="left"/>
      <w:pPr>
        <w:ind w:left="3554" w:hanging="360"/>
      </w:pPr>
      <w:rPr>
        <w:rFonts w:ascii="Symbol" w:hAnsi="Symbol" w:hint="default"/>
      </w:rPr>
    </w:lvl>
    <w:lvl w:ilvl="1" w:tplc="040C0003" w:tentative="1">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16" w15:restartNumberingAfterBreak="0">
    <w:nsid w:val="3A5D37FD"/>
    <w:multiLevelType w:val="hybridMultilevel"/>
    <w:tmpl w:val="3B8263C2"/>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3ACB4AD3"/>
    <w:multiLevelType w:val="multilevel"/>
    <w:tmpl w:val="9DF2F00E"/>
    <w:lvl w:ilvl="0">
      <w:start w:val="2"/>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3468FB"/>
    <w:multiLevelType w:val="hybridMultilevel"/>
    <w:tmpl w:val="4EF0E1F4"/>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43861B9D"/>
    <w:multiLevelType w:val="hybridMultilevel"/>
    <w:tmpl w:val="FF3406DC"/>
    <w:lvl w:ilvl="0" w:tplc="6D0824A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630337"/>
    <w:multiLevelType w:val="hybridMultilevel"/>
    <w:tmpl w:val="03C2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26216"/>
    <w:multiLevelType w:val="multilevel"/>
    <w:tmpl w:val="6B0284D4"/>
    <w:lvl w:ilvl="0">
      <w:start w:val="3"/>
      <w:numFmt w:val="decimal"/>
      <w:lvlText w:val="%1"/>
      <w:lvlJc w:val="left"/>
      <w:pPr>
        <w:ind w:left="420" w:hanging="420"/>
      </w:pPr>
      <w:rPr>
        <w:rFonts w:eastAsia="Times New Roman" w:hint="default"/>
      </w:rPr>
    </w:lvl>
    <w:lvl w:ilvl="1">
      <w:start w:val="45"/>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57E235B9"/>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2602BB"/>
    <w:multiLevelType w:val="hybridMultilevel"/>
    <w:tmpl w:val="128CD7C4"/>
    <w:lvl w:ilvl="0" w:tplc="3BFCA9EC">
      <w:start w:val="1"/>
      <w:numFmt w:val="decimal"/>
      <w:lvlText w:val="%1."/>
      <w:lvlJc w:val="left"/>
      <w:pPr>
        <w:ind w:left="720" w:hanging="1287"/>
      </w:pPr>
      <w:rPr>
        <w:rFonts w:asciiTheme="minorBidi"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03CAD"/>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B54B75"/>
    <w:multiLevelType w:val="multilevel"/>
    <w:tmpl w:val="2F7870B2"/>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0E5AF9"/>
    <w:multiLevelType w:val="hybridMultilevel"/>
    <w:tmpl w:val="A28E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BD575A"/>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6126B5"/>
    <w:multiLevelType w:val="hybridMultilevel"/>
    <w:tmpl w:val="B9348754"/>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151662"/>
    <w:multiLevelType w:val="hybridMultilevel"/>
    <w:tmpl w:val="B6A44560"/>
    <w:lvl w:ilvl="0" w:tplc="040C0001">
      <w:start w:val="1"/>
      <w:numFmt w:val="bullet"/>
      <w:lvlText w:val=""/>
      <w:lvlJc w:val="left"/>
      <w:pPr>
        <w:ind w:left="3554" w:hanging="360"/>
      </w:pPr>
      <w:rPr>
        <w:rFonts w:ascii="Symbol" w:hAnsi="Symbol" w:hint="default"/>
      </w:rPr>
    </w:lvl>
    <w:lvl w:ilvl="1" w:tplc="040C0003">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30" w15:restartNumberingAfterBreak="0">
    <w:nsid w:val="7E414518"/>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FB33D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3101711">
    <w:abstractNumId w:val="5"/>
  </w:num>
  <w:num w:numId="2" w16cid:durableId="267583594">
    <w:abstractNumId w:val="31"/>
  </w:num>
  <w:num w:numId="3" w16cid:durableId="878198530">
    <w:abstractNumId w:val="6"/>
  </w:num>
  <w:num w:numId="4" w16cid:durableId="1787313475">
    <w:abstractNumId w:val="28"/>
  </w:num>
  <w:num w:numId="5" w16cid:durableId="86653882">
    <w:abstractNumId w:val="26"/>
  </w:num>
  <w:num w:numId="6" w16cid:durableId="1537502511">
    <w:abstractNumId w:val="3"/>
  </w:num>
  <w:num w:numId="7" w16cid:durableId="710149218">
    <w:abstractNumId w:val="1"/>
  </w:num>
  <w:num w:numId="8" w16cid:durableId="1730612573">
    <w:abstractNumId w:val="22"/>
  </w:num>
  <w:num w:numId="9" w16cid:durableId="1618222396">
    <w:abstractNumId w:val="29"/>
  </w:num>
  <w:num w:numId="10" w16cid:durableId="700936135">
    <w:abstractNumId w:val="15"/>
  </w:num>
  <w:num w:numId="11" w16cid:durableId="2067293719">
    <w:abstractNumId w:val="21"/>
  </w:num>
  <w:num w:numId="12" w16cid:durableId="1522205117">
    <w:abstractNumId w:val="14"/>
  </w:num>
  <w:num w:numId="13" w16cid:durableId="255600244">
    <w:abstractNumId w:val="10"/>
  </w:num>
  <w:num w:numId="14" w16cid:durableId="1993867633">
    <w:abstractNumId w:val="20"/>
  </w:num>
  <w:num w:numId="15" w16cid:durableId="1206527266">
    <w:abstractNumId w:val="16"/>
  </w:num>
  <w:num w:numId="16" w16cid:durableId="206839737">
    <w:abstractNumId w:val="18"/>
  </w:num>
  <w:num w:numId="17" w16cid:durableId="153648711">
    <w:abstractNumId w:val="9"/>
  </w:num>
  <w:num w:numId="18" w16cid:durableId="610089407">
    <w:abstractNumId w:val="13"/>
  </w:num>
  <w:num w:numId="19" w16cid:durableId="866407410">
    <w:abstractNumId w:val="4"/>
  </w:num>
  <w:num w:numId="20" w16cid:durableId="1816025921">
    <w:abstractNumId w:val="12"/>
  </w:num>
  <w:num w:numId="21" w16cid:durableId="658460240">
    <w:abstractNumId w:val="2"/>
  </w:num>
  <w:num w:numId="22" w16cid:durableId="17321873">
    <w:abstractNumId w:val="8"/>
  </w:num>
  <w:num w:numId="23" w16cid:durableId="640884953">
    <w:abstractNumId w:val="19"/>
  </w:num>
  <w:num w:numId="24" w16cid:durableId="1985117544">
    <w:abstractNumId w:val="24"/>
  </w:num>
  <w:num w:numId="25" w16cid:durableId="1124230968">
    <w:abstractNumId w:val="7"/>
  </w:num>
  <w:num w:numId="26" w16cid:durableId="1408725679">
    <w:abstractNumId w:val="0"/>
  </w:num>
  <w:num w:numId="27" w16cid:durableId="28381495">
    <w:abstractNumId w:val="30"/>
  </w:num>
  <w:num w:numId="28" w16cid:durableId="1799254483">
    <w:abstractNumId w:val="11"/>
  </w:num>
  <w:num w:numId="29" w16cid:durableId="119303775">
    <w:abstractNumId w:val="25"/>
  </w:num>
  <w:num w:numId="30" w16cid:durableId="245920030">
    <w:abstractNumId w:val="27"/>
  </w:num>
  <w:num w:numId="31" w16cid:durableId="1559516330">
    <w:abstractNumId w:val="17"/>
  </w:num>
  <w:num w:numId="32" w16cid:durableId="19308430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8C"/>
    <w:rsid w:val="00001124"/>
    <w:rsid w:val="00003B9C"/>
    <w:rsid w:val="00011FAE"/>
    <w:rsid w:val="00012EF5"/>
    <w:rsid w:val="00013C44"/>
    <w:rsid w:val="00014BFA"/>
    <w:rsid w:val="00026076"/>
    <w:rsid w:val="0002762D"/>
    <w:rsid w:val="00030B00"/>
    <w:rsid w:val="00030F5F"/>
    <w:rsid w:val="00031988"/>
    <w:rsid w:val="00043BE3"/>
    <w:rsid w:val="00047058"/>
    <w:rsid w:val="000510F9"/>
    <w:rsid w:val="00051DB3"/>
    <w:rsid w:val="00052718"/>
    <w:rsid w:val="00053057"/>
    <w:rsid w:val="0005619B"/>
    <w:rsid w:val="000579C1"/>
    <w:rsid w:val="00061790"/>
    <w:rsid w:val="000654B5"/>
    <w:rsid w:val="00070E39"/>
    <w:rsid w:val="0007215D"/>
    <w:rsid w:val="00072EB8"/>
    <w:rsid w:val="00073A25"/>
    <w:rsid w:val="000749F6"/>
    <w:rsid w:val="00081CC1"/>
    <w:rsid w:val="000833BB"/>
    <w:rsid w:val="000940A3"/>
    <w:rsid w:val="000A02BF"/>
    <w:rsid w:val="000A470F"/>
    <w:rsid w:val="000A7DDB"/>
    <w:rsid w:val="000B5761"/>
    <w:rsid w:val="000C538E"/>
    <w:rsid w:val="000C6DAB"/>
    <w:rsid w:val="000D1F55"/>
    <w:rsid w:val="000D2A30"/>
    <w:rsid w:val="000D6D14"/>
    <w:rsid w:val="000E0B71"/>
    <w:rsid w:val="000F0829"/>
    <w:rsid w:val="000F4B74"/>
    <w:rsid w:val="00116936"/>
    <w:rsid w:val="00116CC7"/>
    <w:rsid w:val="00120BAB"/>
    <w:rsid w:val="0012211B"/>
    <w:rsid w:val="00123669"/>
    <w:rsid w:val="001239A7"/>
    <w:rsid w:val="00127F1F"/>
    <w:rsid w:val="00134AC2"/>
    <w:rsid w:val="001350A1"/>
    <w:rsid w:val="0014066D"/>
    <w:rsid w:val="0014069C"/>
    <w:rsid w:val="00141C6C"/>
    <w:rsid w:val="001433BF"/>
    <w:rsid w:val="00143417"/>
    <w:rsid w:val="00143A88"/>
    <w:rsid w:val="00145297"/>
    <w:rsid w:val="00150C0A"/>
    <w:rsid w:val="00150D2D"/>
    <w:rsid w:val="0015688A"/>
    <w:rsid w:val="001622B1"/>
    <w:rsid w:val="00165003"/>
    <w:rsid w:val="001705F1"/>
    <w:rsid w:val="001729AE"/>
    <w:rsid w:val="00194051"/>
    <w:rsid w:val="0019439C"/>
    <w:rsid w:val="0019554A"/>
    <w:rsid w:val="00197D0B"/>
    <w:rsid w:val="001A41ED"/>
    <w:rsid w:val="001B039D"/>
    <w:rsid w:val="001B49DB"/>
    <w:rsid w:val="001B5EA7"/>
    <w:rsid w:val="001C6BE2"/>
    <w:rsid w:val="001C78DF"/>
    <w:rsid w:val="001D1A62"/>
    <w:rsid w:val="001D2380"/>
    <w:rsid w:val="001E6937"/>
    <w:rsid w:val="001F1FB4"/>
    <w:rsid w:val="001F5749"/>
    <w:rsid w:val="0020213B"/>
    <w:rsid w:val="00202379"/>
    <w:rsid w:val="00204839"/>
    <w:rsid w:val="00204F05"/>
    <w:rsid w:val="002157AC"/>
    <w:rsid w:val="002178D7"/>
    <w:rsid w:val="002206D6"/>
    <w:rsid w:val="00224E63"/>
    <w:rsid w:val="002265A1"/>
    <w:rsid w:val="00233BBA"/>
    <w:rsid w:val="0025449D"/>
    <w:rsid w:val="00254B55"/>
    <w:rsid w:val="00255E52"/>
    <w:rsid w:val="00255F85"/>
    <w:rsid w:val="00261FAE"/>
    <w:rsid w:val="002626A8"/>
    <w:rsid w:val="00266A07"/>
    <w:rsid w:val="0026705C"/>
    <w:rsid w:val="00270E93"/>
    <w:rsid w:val="002711F4"/>
    <w:rsid w:val="002712C1"/>
    <w:rsid w:val="0027196C"/>
    <w:rsid w:val="00277F4D"/>
    <w:rsid w:val="00281171"/>
    <w:rsid w:val="00284946"/>
    <w:rsid w:val="002859BD"/>
    <w:rsid w:val="00286E69"/>
    <w:rsid w:val="0029100C"/>
    <w:rsid w:val="002948EB"/>
    <w:rsid w:val="00297A5B"/>
    <w:rsid w:val="002A7B0B"/>
    <w:rsid w:val="002B29F8"/>
    <w:rsid w:val="002B72C5"/>
    <w:rsid w:val="002B770D"/>
    <w:rsid w:val="002C0BC2"/>
    <w:rsid w:val="002D1160"/>
    <w:rsid w:val="002D3768"/>
    <w:rsid w:val="002D4E94"/>
    <w:rsid w:val="002D636B"/>
    <w:rsid w:val="002D65B4"/>
    <w:rsid w:val="002D70E7"/>
    <w:rsid w:val="002D7CB8"/>
    <w:rsid w:val="002E1324"/>
    <w:rsid w:val="002E2565"/>
    <w:rsid w:val="002E6ABC"/>
    <w:rsid w:val="002F5445"/>
    <w:rsid w:val="002F7AAC"/>
    <w:rsid w:val="003034C8"/>
    <w:rsid w:val="00306D56"/>
    <w:rsid w:val="00306F1A"/>
    <w:rsid w:val="00313A39"/>
    <w:rsid w:val="00314DB3"/>
    <w:rsid w:val="003203AD"/>
    <w:rsid w:val="00322F2B"/>
    <w:rsid w:val="00323A09"/>
    <w:rsid w:val="00326690"/>
    <w:rsid w:val="00327DFF"/>
    <w:rsid w:val="00334B9F"/>
    <w:rsid w:val="00344D12"/>
    <w:rsid w:val="003450BB"/>
    <w:rsid w:val="00345B0A"/>
    <w:rsid w:val="00347E12"/>
    <w:rsid w:val="0035159F"/>
    <w:rsid w:val="003550B6"/>
    <w:rsid w:val="003637B7"/>
    <w:rsid w:val="00364478"/>
    <w:rsid w:val="00365FF0"/>
    <w:rsid w:val="00367ECB"/>
    <w:rsid w:val="00376033"/>
    <w:rsid w:val="00384530"/>
    <w:rsid w:val="0038481A"/>
    <w:rsid w:val="003849FB"/>
    <w:rsid w:val="003B603D"/>
    <w:rsid w:val="003D2D9C"/>
    <w:rsid w:val="003D38D7"/>
    <w:rsid w:val="003E19E8"/>
    <w:rsid w:val="003F4FA5"/>
    <w:rsid w:val="00405F89"/>
    <w:rsid w:val="00410AE0"/>
    <w:rsid w:val="00420B86"/>
    <w:rsid w:val="00421184"/>
    <w:rsid w:val="0042210B"/>
    <w:rsid w:val="004249A4"/>
    <w:rsid w:val="004264A1"/>
    <w:rsid w:val="004274D9"/>
    <w:rsid w:val="0043784B"/>
    <w:rsid w:val="00437BC1"/>
    <w:rsid w:val="0044007E"/>
    <w:rsid w:val="0044331D"/>
    <w:rsid w:val="00443561"/>
    <w:rsid w:val="00445A68"/>
    <w:rsid w:val="00450AEF"/>
    <w:rsid w:val="0045729C"/>
    <w:rsid w:val="00460EF5"/>
    <w:rsid w:val="00465932"/>
    <w:rsid w:val="00466DC8"/>
    <w:rsid w:val="00467D31"/>
    <w:rsid w:val="00475C34"/>
    <w:rsid w:val="0048778E"/>
    <w:rsid w:val="00495349"/>
    <w:rsid w:val="004A0A53"/>
    <w:rsid w:val="004A5C3C"/>
    <w:rsid w:val="004A76DC"/>
    <w:rsid w:val="004B0DD3"/>
    <w:rsid w:val="004B12B7"/>
    <w:rsid w:val="004B2EB3"/>
    <w:rsid w:val="004B39C5"/>
    <w:rsid w:val="004B7C72"/>
    <w:rsid w:val="004C0FDD"/>
    <w:rsid w:val="004C2F3F"/>
    <w:rsid w:val="004C4896"/>
    <w:rsid w:val="004C68A9"/>
    <w:rsid w:val="004D3883"/>
    <w:rsid w:val="004E4896"/>
    <w:rsid w:val="004E6698"/>
    <w:rsid w:val="004F3539"/>
    <w:rsid w:val="00502D2E"/>
    <w:rsid w:val="00513B3B"/>
    <w:rsid w:val="005157B2"/>
    <w:rsid w:val="00520B54"/>
    <w:rsid w:val="00525FF3"/>
    <w:rsid w:val="00532970"/>
    <w:rsid w:val="0054578B"/>
    <w:rsid w:val="005530B7"/>
    <w:rsid w:val="00572A20"/>
    <w:rsid w:val="00577B72"/>
    <w:rsid w:val="00581E76"/>
    <w:rsid w:val="005919C0"/>
    <w:rsid w:val="005A5CD8"/>
    <w:rsid w:val="005B1954"/>
    <w:rsid w:val="005B4334"/>
    <w:rsid w:val="005B638C"/>
    <w:rsid w:val="005C1238"/>
    <w:rsid w:val="005C5EDA"/>
    <w:rsid w:val="005D2590"/>
    <w:rsid w:val="005D32F9"/>
    <w:rsid w:val="005D37C6"/>
    <w:rsid w:val="005D3BD6"/>
    <w:rsid w:val="005E0976"/>
    <w:rsid w:val="005E1C29"/>
    <w:rsid w:val="005E1E61"/>
    <w:rsid w:val="005E3F02"/>
    <w:rsid w:val="005E4395"/>
    <w:rsid w:val="005E4A11"/>
    <w:rsid w:val="005E534C"/>
    <w:rsid w:val="005F1A2E"/>
    <w:rsid w:val="00602C73"/>
    <w:rsid w:val="00604E47"/>
    <w:rsid w:val="00606C59"/>
    <w:rsid w:val="00606D0A"/>
    <w:rsid w:val="00610898"/>
    <w:rsid w:val="00617C8D"/>
    <w:rsid w:val="0062013D"/>
    <w:rsid w:val="006251BB"/>
    <w:rsid w:val="006316C7"/>
    <w:rsid w:val="00636A71"/>
    <w:rsid w:val="00636C3C"/>
    <w:rsid w:val="00651FC3"/>
    <w:rsid w:val="00653992"/>
    <w:rsid w:val="00653A18"/>
    <w:rsid w:val="00657ABB"/>
    <w:rsid w:val="0067576D"/>
    <w:rsid w:val="0067607D"/>
    <w:rsid w:val="00676A26"/>
    <w:rsid w:val="00681B52"/>
    <w:rsid w:val="0068784D"/>
    <w:rsid w:val="006932B7"/>
    <w:rsid w:val="00693F9D"/>
    <w:rsid w:val="0069405E"/>
    <w:rsid w:val="006A433F"/>
    <w:rsid w:val="006A7653"/>
    <w:rsid w:val="006B4B9F"/>
    <w:rsid w:val="006C125F"/>
    <w:rsid w:val="006D18BE"/>
    <w:rsid w:val="006D293A"/>
    <w:rsid w:val="006D7279"/>
    <w:rsid w:val="006F45EE"/>
    <w:rsid w:val="006F6140"/>
    <w:rsid w:val="006F70D0"/>
    <w:rsid w:val="00702FD6"/>
    <w:rsid w:val="00703FA3"/>
    <w:rsid w:val="00706E5E"/>
    <w:rsid w:val="007125AB"/>
    <w:rsid w:val="00715D11"/>
    <w:rsid w:val="007229F7"/>
    <w:rsid w:val="00723B7D"/>
    <w:rsid w:val="0072433F"/>
    <w:rsid w:val="00726845"/>
    <w:rsid w:val="00732A6C"/>
    <w:rsid w:val="007340C3"/>
    <w:rsid w:val="00740F0B"/>
    <w:rsid w:val="0075108B"/>
    <w:rsid w:val="00752E99"/>
    <w:rsid w:val="007548C8"/>
    <w:rsid w:val="007555FC"/>
    <w:rsid w:val="00760C5B"/>
    <w:rsid w:val="00771964"/>
    <w:rsid w:val="0077257B"/>
    <w:rsid w:val="007742AC"/>
    <w:rsid w:val="00776A7F"/>
    <w:rsid w:val="00783ADF"/>
    <w:rsid w:val="007870B6"/>
    <w:rsid w:val="007A0A94"/>
    <w:rsid w:val="007A4B03"/>
    <w:rsid w:val="007A5629"/>
    <w:rsid w:val="007A61E2"/>
    <w:rsid w:val="007A7D68"/>
    <w:rsid w:val="007C13AF"/>
    <w:rsid w:val="007C17D6"/>
    <w:rsid w:val="007C361D"/>
    <w:rsid w:val="007C54A0"/>
    <w:rsid w:val="007C633A"/>
    <w:rsid w:val="007D306C"/>
    <w:rsid w:val="007D7802"/>
    <w:rsid w:val="007E360D"/>
    <w:rsid w:val="00801556"/>
    <w:rsid w:val="00802BA9"/>
    <w:rsid w:val="0080779E"/>
    <w:rsid w:val="00812CB9"/>
    <w:rsid w:val="00813385"/>
    <w:rsid w:val="008272AD"/>
    <w:rsid w:val="008402A4"/>
    <w:rsid w:val="008507B6"/>
    <w:rsid w:val="00850D6F"/>
    <w:rsid w:val="00866FCE"/>
    <w:rsid w:val="00874EBB"/>
    <w:rsid w:val="00882F3D"/>
    <w:rsid w:val="00886260"/>
    <w:rsid w:val="00887583"/>
    <w:rsid w:val="00896CE6"/>
    <w:rsid w:val="00896F8F"/>
    <w:rsid w:val="008A05FA"/>
    <w:rsid w:val="008A26F9"/>
    <w:rsid w:val="008B2A0F"/>
    <w:rsid w:val="008C717E"/>
    <w:rsid w:val="008D0811"/>
    <w:rsid w:val="008E1404"/>
    <w:rsid w:val="008F5888"/>
    <w:rsid w:val="008F7946"/>
    <w:rsid w:val="00910AD1"/>
    <w:rsid w:val="00914A6C"/>
    <w:rsid w:val="0091655F"/>
    <w:rsid w:val="00916D06"/>
    <w:rsid w:val="00917D62"/>
    <w:rsid w:val="00920088"/>
    <w:rsid w:val="009265F1"/>
    <w:rsid w:val="00941800"/>
    <w:rsid w:val="00943E4A"/>
    <w:rsid w:val="00944170"/>
    <w:rsid w:val="009556BB"/>
    <w:rsid w:val="00961BD2"/>
    <w:rsid w:val="00965D7C"/>
    <w:rsid w:val="00966E6D"/>
    <w:rsid w:val="00967335"/>
    <w:rsid w:val="00967F10"/>
    <w:rsid w:val="0097217F"/>
    <w:rsid w:val="00973B58"/>
    <w:rsid w:val="00977AF6"/>
    <w:rsid w:val="009910CB"/>
    <w:rsid w:val="00996950"/>
    <w:rsid w:val="009A7585"/>
    <w:rsid w:val="009B2EE5"/>
    <w:rsid w:val="009B3153"/>
    <w:rsid w:val="009C4DF3"/>
    <w:rsid w:val="009D64ED"/>
    <w:rsid w:val="009E649A"/>
    <w:rsid w:val="009F4778"/>
    <w:rsid w:val="009F4F33"/>
    <w:rsid w:val="00A00643"/>
    <w:rsid w:val="00A12059"/>
    <w:rsid w:val="00A179B5"/>
    <w:rsid w:val="00A17C67"/>
    <w:rsid w:val="00A2058F"/>
    <w:rsid w:val="00A205C0"/>
    <w:rsid w:val="00A219A0"/>
    <w:rsid w:val="00A26D04"/>
    <w:rsid w:val="00A27E58"/>
    <w:rsid w:val="00A3322E"/>
    <w:rsid w:val="00A45F32"/>
    <w:rsid w:val="00A53889"/>
    <w:rsid w:val="00A55839"/>
    <w:rsid w:val="00A62288"/>
    <w:rsid w:val="00A70AF2"/>
    <w:rsid w:val="00A724AD"/>
    <w:rsid w:val="00A72E9D"/>
    <w:rsid w:val="00A74E52"/>
    <w:rsid w:val="00A75C53"/>
    <w:rsid w:val="00A77FEC"/>
    <w:rsid w:val="00A80786"/>
    <w:rsid w:val="00A8508E"/>
    <w:rsid w:val="00A86313"/>
    <w:rsid w:val="00A90DE6"/>
    <w:rsid w:val="00A92993"/>
    <w:rsid w:val="00A96C4A"/>
    <w:rsid w:val="00AA06AA"/>
    <w:rsid w:val="00AA0E2E"/>
    <w:rsid w:val="00AA4697"/>
    <w:rsid w:val="00AA5C17"/>
    <w:rsid w:val="00AB04F6"/>
    <w:rsid w:val="00AB7F8C"/>
    <w:rsid w:val="00AC630E"/>
    <w:rsid w:val="00AD267C"/>
    <w:rsid w:val="00AD3CFA"/>
    <w:rsid w:val="00AD57AF"/>
    <w:rsid w:val="00AD57D6"/>
    <w:rsid w:val="00AE0227"/>
    <w:rsid w:val="00AE32AB"/>
    <w:rsid w:val="00AE565F"/>
    <w:rsid w:val="00AE681E"/>
    <w:rsid w:val="00B001AA"/>
    <w:rsid w:val="00B00700"/>
    <w:rsid w:val="00B02BB6"/>
    <w:rsid w:val="00B1527D"/>
    <w:rsid w:val="00B1622A"/>
    <w:rsid w:val="00B17DDC"/>
    <w:rsid w:val="00B256F1"/>
    <w:rsid w:val="00B370E8"/>
    <w:rsid w:val="00B4031C"/>
    <w:rsid w:val="00B43948"/>
    <w:rsid w:val="00B52F96"/>
    <w:rsid w:val="00B5752F"/>
    <w:rsid w:val="00B61624"/>
    <w:rsid w:val="00B6340F"/>
    <w:rsid w:val="00B6356B"/>
    <w:rsid w:val="00B7427E"/>
    <w:rsid w:val="00B81F61"/>
    <w:rsid w:val="00B87471"/>
    <w:rsid w:val="00B87B7D"/>
    <w:rsid w:val="00B92E4C"/>
    <w:rsid w:val="00B92FEB"/>
    <w:rsid w:val="00BA6958"/>
    <w:rsid w:val="00BB3BC0"/>
    <w:rsid w:val="00BB4A4E"/>
    <w:rsid w:val="00BC1101"/>
    <w:rsid w:val="00BC113B"/>
    <w:rsid w:val="00BC2DDD"/>
    <w:rsid w:val="00BC44C3"/>
    <w:rsid w:val="00BC4654"/>
    <w:rsid w:val="00BD08D7"/>
    <w:rsid w:val="00BD5360"/>
    <w:rsid w:val="00BE7E2B"/>
    <w:rsid w:val="00BF22FA"/>
    <w:rsid w:val="00BF3B76"/>
    <w:rsid w:val="00C03AB7"/>
    <w:rsid w:val="00C04E89"/>
    <w:rsid w:val="00C06866"/>
    <w:rsid w:val="00C07114"/>
    <w:rsid w:val="00C17AD1"/>
    <w:rsid w:val="00C258EF"/>
    <w:rsid w:val="00C319A2"/>
    <w:rsid w:val="00C32A7F"/>
    <w:rsid w:val="00C3549F"/>
    <w:rsid w:val="00C37485"/>
    <w:rsid w:val="00C40ABD"/>
    <w:rsid w:val="00C4782B"/>
    <w:rsid w:val="00C53D3C"/>
    <w:rsid w:val="00C54A92"/>
    <w:rsid w:val="00C567E8"/>
    <w:rsid w:val="00C623A9"/>
    <w:rsid w:val="00C6619B"/>
    <w:rsid w:val="00C7698D"/>
    <w:rsid w:val="00C76C09"/>
    <w:rsid w:val="00C80F8A"/>
    <w:rsid w:val="00C83846"/>
    <w:rsid w:val="00C92BD2"/>
    <w:rsid w:val="00C94F69"/>
    <w:rsid w:val="00C96422"/>
    <w:rsid w:val="00C97229"/>
    <w:rsid w:val="00CA30DF"/>
    <w:rsid w:val="00CA3A8C"/>
    <w:rsid w:val="00CA5A49"/>
    <w:rsid w:val="00CA7A62"/>
    <w:rsid w:val="00CA7D04"/>
    <w:rsid w:val="00CB750C"/>
    <w:rsid w:val="00CC150C"/>
    <w:rsid w:val="00CC771B"/>
    <w:rsid w:val="00CD211A"/>
    <w:rsid w:val="00CD261E"/>
    <w:rsid w:val="00CD4C9D"/>
    <w:rsid w:val="00CE22EE"/>
    <w:rsid w:val="00CF2755"/>
    <w:rsid w:val="00CF37EE"/>
    <w:rsid w:val="00CF65BD"/>
    <w:rsid w:val="00CF6EBD"/>
    <w:rsid w:val="00D04509"/>
    <w:rsid w:val="00D16395"/>
    <w:rsid w:val="00D17316"/>
    <w:rsid w:val="00D1760D"/>
    <w:rsid w:val="00D21E0B"/>
    <w:rsid w:val="00D267FC"/>
    <w:rsid w:val="00D32645"/>
    <w:rsid w:val="00D32A85"/>
    <w:rsid w:val="00D36CE6"/>
    <w:rsid w:val="00D4294F"/>
    <w:rsid w:val="00D46FD1"/>
    <w:rsid w:val="00D504EA"/>
    <w:rsid w:val="00D62092"/>
    <w:rsid w:val="00D634B1"/>
    <w:rsid w:val="00D65CC9"/>
    <w:rsid w:val="00D71C7E"/>
    <w:rsid w:val="00D7270B"/>
    <w:rsid w:val="00D767B3"/>
    <w:rsid w:val="00D83DCA"/>
    <w:rsid w:val="00D916DA"/>
    <w:rsid w:val="00D97F2A"/>
    <w:rsid w:val="00DA05DC"/>
    <w:rsid w:val="00DA23EC"/>
    <w:rsid w:val="00DB15C8"/>
    <w:rsid w:val="00DB1AEF"/>
    <w:rsid w:val="00DC1CF3"/>
    <w:rsid w:val="00DC507A"/>
    <w:rsid w:val="00DC5A95"/>
    <w:rsid w:val="00DD066B"/>
    <w:rsid w:val="00DD6645"/>
    <w:rsid w:val="00DD702D"/>
    <w:rsid w:val="00DE23F2"/>
    <w:rsid w:val="00DE4989"/>
    <w:rsid w:val="00DF06A2"/>
    <w:rsid w:val="00E02A5C"/>
    <w:rsid w:val="00E043D4"/>
    <w:rsid w:val="00E063E4"/>
    <w:rsid w:val="00E0779E"/>
    <w:rsid w:val="00E119DC"/>
    <w:rsid w:val="00E12245"/>
    <w:rsid w:val="00E131F0"/>
    <w:rsid w:val="00E16F19"/>
    <w:rsid w:val="00E20898"/>
    <w:rsid w:val="00E2598B"/>
    <w:rsid w:val="00E32A62"/>
    <w:rsid w:val="00E345A8"/>
    <w:rsid w:val="00E44A86"/>
    <w:rsid w:val="00E44B85"/>
    <w:rsid w:val="00E44BD4"/>
    <w:rsid w:val="00E44DB0"/>
    <w:rsid w:val="00E522A5"/>
    <w:rsid w:val="00E5424A"/>
    <w:rsid w:val="00E579CC"/>
    <w:rsid w:val="00E65C8C"/>
    <w:rsid w:val="00E67938"/>
    <w:rsid w:val="00E7235D"/>
    <w:rsid w:val="00E73136"/>
    <w:rsid w:val="00E76283"/>
    <w:rsid w:val="00E80EB2"/>
    <w:rsid w:val="00E83E68"/>
    <w:rsid w:val="00E869C8"/>
    <w:rsid w:val="00E8712D"/>
    <w:rsid w:val="00E8714A"/>
    <w:rsid w:val="00E935D2"/>
    <w:rsid w:val="00E956F4"/>
    <w:rsid w:val="00EA0456"/>
    <w:rsid w:val="00EA1C02"/>
    <w:rsid w:val="00EA2AA2"/>
    <w:rsid w:val="00EA4B2A"/>
    <w:rsid w:val="00EA4BD0"/>
    <w:rsid w:val="00EA60D9"/>
    <w:rsid w:val="00EB7202"/>
    <w:rsid w:val="00EC0632"/>
    <w:rsid w:val="00EC3164"/>
    <w:rsid w:val="00EC402F"/>
    <w:rsid w:val="00ED0003"/>
    <w:rsid w:val="00ED5129"/>
    <w:rsid w:val="00ED707D"/>
    <w:rsid w:val="00EE25C5"/>
    <w:rsid w:val="00EE6C43"/>
    <w:rsid w:val="00EF168C"/>
    <w:rsid w:val="00EF4408"/>
    <w:rsid w:val="00EF6F4C"/>
    <w:rsid w:val="00EF7445"/>
    <w:rsid w:val="00F045F1"/>
    <w:rsid w:val="00F11431"/>
    <w:rsid w:val="00F1242E"/>
    <w:rsid w:val="00F227C5"/>
    <w:rsid w:val="00F30FD9"/>
    <w:rsid w:val="00F3218A"/>
    <w:rsid w:val="00F352B2"/>
    <w:rsid w:val="00F43693"/>
    <w:rsid w:val="00F45776"/>
    <w:rsid w:val="00F46CC0"/>
    <w:rsid w:val="00F51001"/>
    <w:rsid w:val="00F57FB2"/>
    <w:rsid w:val="00F60397"/>
    <w:rsid w:val="00F70B3C"/>
    <w:rsid w:val="00F70FB2"/>
    <w:rsid w:val="00F72A9C"/>
    <w:rsid w:val="00F77793"/>
    <w:rsid w:val="00F9022C"/>
    <w:rsid w:val="00F94591"/>
    <w:rsid w:val="00F94F77"/>
    <w:rsid w:val="00F9513F"/>
    <w:rsid w:val="00FA3F67"/>
    <w:rsid w:val="00FA581A"/>
    <w:rsid w:val="00FA69AB"/>
    <w:rsid w:val="00FA7938"/>
    <w:rsid w:val="00FC0F09"/>
    <w:rsid w:val="00FC181B"/>
    <w:rsid w:val="00FC5CE2"/>
    <w:rsid w:val="00FC679D"/>
    <w:rsid w:val="00FC713D"/>
    <w:rsid w:val="00FD2498"/>
    <w:rsid w:val="00FD3C60"/>
    <w:rsid w:val="00FD639A"/>
    <w:rsid w:val="00FE0802"/>
    <w:rsid w:val="00FE5FAA"/>
    <w:rsid w:val="00FF0CD9"/>
    <w:rsid w:val="00FF2770"/>
    <w:rsid w:val="00FF2929"/>
    <w:rsid w:val="00FF4A3C"/>
    <w:rsid w:val="00FF6C0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9A24BA"/>
  <w15:docId w15:val="{1DE83D59-BF37-4702-A435-3909BF80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9C"/>
    <w:rPr>
      <w:rFonts w:eastAsiaTheme="minorHAnsi"/>
      <w:lang w:eastAsia="en-US"/>
    </w:rPr>
  </w:style>
  <w:style w:type="paragraph" w:styleId="Heading1">
    <w:name w:val="heading 1"/>
    <w:basedOn w:val="Normal"/>
    <w:next w:val="Normal"/>
    <w:link w:val="Heading1Char"/>
    <w:qFormat/>
    <w:rsid w:val="00A62288"/>
    <w:pPr>
      <w:keepNext/>
      <w:keepLines/>
      <w:tabs>
        <w:tab w:val="left" w:pos="567"/>
      </w:tabs>
      <w:snapToGrid w:val="0"/>
      <w:spacing w:before="240" w:after="240" w:line="240" w:lineRule="auto"/>
      <w:jc w:val="center"/>
      <w:outlineLvl w:val="0"/>
    </w:pPr>
    <w:rPr>
      <w:rFonts w:ascii="Arial" w:eastAsia="Times New Roman" w:hAnsi="Arial" w:cs="Times New Roman"/>
      <w:b/>
      <w:bCs/>
      <w:snapToGrid w:val="0"/>
      <w:kern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288"/>
    <w:rPr>
      <w:rFonts w:ascii="Arial" w:eastAsia="Times New Roman" w:hAnsi="Arial" w:cs="Times New Roman"/>
      <w:b/>
      <w:bCs/>
      <w:snapToGrid w:val="0"/>
      <w:kern w:val="28"/>
      <w:szCs w:val="24"/>
      <w:lang w:eastAsia="en-US"/>
    </w:rPr>
  </w:style>
  <w:style w:type="paragraph" w:styleId="Header">
    <w:name w:val="header"/>
    <w:basedOn w:val="Normal"/>
    <w:link w:val="HeaderChar"/>
    <w:unhideWhenUsed/>
    <w:rsid w:val="00A62288"/>
    <w:pPr>
      <w:tabs>
        <w:tab w:val="center" w:pos="4536"/>
        <w:tab w:val="right" w:pos="9072"/>
      </w:tabs>
      <w:spacing w:after="0" w:line="240" w:lineRule="auto"/>
    </w:pPr>
  </w:style>
  <w:style w:type="character" w:customStyle="1" w:styleId="HeaderChar">
    <w:name w:val="Header Char"/>
    <w:basedOn w:val="DefaultParagraphFont"/>
    <w:link w:val="Header"/>
    <w:rsid w:val="00A62288"/>
    <w:rPr>
      <w:rFonts w:eastAsiaTheme="minorHAnsi"/>
      <w:lang w:eastAsia="en-US"/>
    </w:rPr>
  </w:style>
  <w:style w:type="paragraph" w:customStyle="1" w:styleId="cote">
    <w:name w:val="cote"/>
    <w:basedOn w:val="Normal"/>
    <w:qFormat/>
    <w:rsid w:val="00A62288"/>
    <w:pPr>
      <w:tabs>
        <w:tab w:val="left" w:pos="567"/>
      </w:tabs>
      <w:snapToGrid w:val="0"/>
      <w:spacing w:after="0" w:line="240" w:lineRule="auto"/>
    </w:pPr>
    <w:rPr>
      <w:rFonts w:ascii="Arial" w:eastAsia="SimSun" w:hAnsi="Arial" w:cs="Times New Roman"/>
      <w:snapToGrid w:val="0"/>
      <w:szCs w:val="24"/>
      <w:lang w:eastAsia="zh-CN"/>
    </w:rPr>
  </w:style>
  <w:style w:type="paragraph" w:styleId="ListParagraph">
    <w:name w:val="List Paragraph"/>
    <w:basedOn w:val="Normal"/>
    <w:uiPriority w:val="34"/>
    <w:qFormat/>
    <w:rsid w:val="00A62288"/>
    <w:pPr>
      <w:ind w:left="720"/>
      <w:contextualSpacing/>
    </w:pPr>
  </w:style>
  <w:style w:type="paragraph" w:styleId="Footer">
    <w:name w:val="footer"/>
    <w:basedOn w:val="Normal"/>
    <w:link w:val="FooterChar"/>
    <w:uiPriority w:val="99"/>
    <w:unhideWhenUsed/>
    <w:rsid w:val="00A622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A62288"/>
    <w:rPr>
      <w:rFonts w:eastAsiaTheme="minorHAnsi"/>
      <w:lang w:eastAsia="en-US"/>
    </w:rPr>
  </w:style>
  <w:style w:type="character" w:styleId="CommentReference">
    <w:name w:val="annotation reference"/>
    <w:basedOn w:val="DefaultParagraphFont"/>
    <w:uiPriority w:val="99"/>
    <w:semiHidden/>
    <w:unhideWhenUsed/>
    <w:rsid w:val="00A62288"/>
    <w:rPr>
      <w:sz w:val="16"/>
      <w:szCs w:val="16"/>
    </w:rPr>
  </w:style>
  <w:style w:type="paragraph" w:styleId="CommentText">
    <w:name w:val="annotation text"/>
    <w:basedOn w:val="Normal"/>
    <w:link w:val="CommentTextChar"/>
    <w:uiPriority w:val="99"/>
    <w:semiHidden/>
    <w:unhideWhenUsed/>
    <w:rsid w:val="00A62288"/>
    <w:pPr>
      <w:spacing w:line="240" w:lineRule="auto"/>
    </w:pPr>
    <w:rPr>
      <w:sz w:val="20"/>
      <w:szCs w:val="20"/>
    </w:rPr>
  </w:style>
  <w:style w:type="character" w:customStyle="1" w:styleId="CommentTextChar">
    <w:name w:val="Comment Text Char"/>
    <w:basedOn w:val="DefaultParagraphFont"/>
    <w:link w:val="CommentText"/>
    <w:uiPriority w:val="99"/>
    <w:semiHidden/>
    <w:rsid w:val="00A62288"/>
    <w:rPr>
      <w:rFonts w:eastAsiaTheme="minorHAnsi"/>
      <w:sz w:val="20"/>
      <w:szCs w:val="20"/>
      <w:lang w:eastAsia="en-US"/>
    </w:rPr>
  </w:style>
  <w:style w:type="paragraph" w:styleId="BalloonText">
    <w:name w:val="Balloon Text"/>
    <w:basedOn w:val="Normal"/>
    <w:link w:val="BalloonTextChar"/>
    <w:uiPriority w:val="99"/>
    <w:semiHidden/>
    <w:unhideWhenUsed/>
    <w:rsid w:val="00A62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88"/>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77B72"/>
    <w:rPr>
      <w:b/>
      <w:bCs/>
    </w:rPr>
  </w:style>
  <w:style w:type="character" w:customStyle="1" w:styleId="CommentSubjectChar">
    <w:name w:val="Comment Subject Char"/>
    <w:basedOn w:val="CommentTextChar"/>
    <w:link w:val="CommentSubject"/>
    <w:uiPriority w:val="99"/>
    <w:semiHidden/>
    <w:rsid w:val="00577B72"/>
    <w:rPr>
      <w:rFonts w:eastAsiaTheme="minorHAnsi"/>
      <w:b/>
      <w:bCs/>
      <w:sz w:val="20"/>
      <w:szCs w:val="20"/>
      <w:lang w:eastAsia="en-US"/>
    </w:rPr>
  </w:style>
  <w:style w:type="paragraph" w:customStyle="1" w:styleId="b">
    <w:name w:val="(b)"/>
    <w:basedOn w:val="Normal"/>
    <w:link w:val="bCar"/>
    <w:rsid w:val="005C5EDA"/>
    <w:pPr>
      <w:tabs>
        <w:tab w:val="left" w:pos="-737"/>
        <w:tab w:val="left" w:pos="1134"/>
      </w:tabs>
      <w:snapToGrid w:val="0"/>
      <w:spacing w:after="240" w:line="240" w:lineRule="auto"/>
      <w:ind w:left="1134" w:hanging="567"/>
      <w:jc w:val="both"/>
    </w:pPr>
    <w:rPr>
      <w:rFonts w:ascii="Arial" w:eastAsiaTheme="minorEastAsia" w:hAnsi="Arial" w:cs="Times New Roman"/>
      <w:snapToGrid w:val="0"/>
      <w:szCs w:val="24"/>
      <w:lang w:val="en-GB"/>
    </w:rPr>
  </w:style>
  <w:style w:type="character" w:customStyle="1" w:styleId="bCar">
    <w:name w:val="(b) Car"/>
    <w:link w:val="b"/>
    <w:locked/>
    <w:rsid w:val="005C5EDA"/>
    <w:rPr>
      <w:rFonts w:ascii="Arial" w:hAnsi="Arial" w:cs="Times New Roman"/>
      <w:snapToGrid w:val="0"/>
      <w:szCs w:val="24"/>
      <w:lang w:val="en-GB" w:eastAsia="en-US"/>
    </w:rPr>
  </w:style>
  <w:style w:type="paragraph" w:customStyle="1" w:styleId="Marge">
    <w:name w:val="Marge"/>
    <w:basedOn w:val="Normal"/>
    <w:link w:val="MargeCar"/>
    <w:rsid w:val="00313A3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ar">
    <w:name w:val="Marge Car"/>
    <w:link w:val="Marge"/>
    <w:rsid w:val="00313A39"/>
    <w:rPr>
      <w:rFonts w:ascii="Arial" w:eastAsia="Times New Roman" w:hAnsi="Arial" w:cs="Times New Roman"/>
      <w:snapToGrid w:val="0"/>
      <w:szCs w:val="24"/>
      <w:lang w:eastAsia="en-US"/>
    </w:rPr>
  </w:style>
  <w:style w:type="paragraph" w:customStyle="1" w:styleId="ENTCG">
    <w:name w:val="ENTCG"/>
    <w:basedOn w:val="Normal"/>
    <w:rsid w:val="00313A39"/>
    <w:pPr>
      <w:tabs>
        <w:tab w:val="left" w:pos="567"/>
      </w:tabs>
      <w:snapToGrid w:val="0"/>
      <w:spacing w:after="0" w:line="240" w:lineRule="auto"/>
    </w:pPr>
    <w:rPr>
      <w:rFonts w:ascii="Times New Roman" w:eastAsia="SimSun" w:hAnsi="Times New Roman" w:cs="Times New Roman"/>
      <w:snapToGrid w:val="0"/>
      <w:sz w:val="34"/>
      <w:szCs w:val="20"/>
      <w:lang w:eastAsia="zh-CN"/>
    </w:rPr>
  </w:style>
  <w:style w:type="table" w:styleId="TableGrid">
    <w:name w:val="Table Grid"/>
    <w:basedOn w:val="TableNormal"/>
    <w:rsid w:val="007C13A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Resumen">
    <w:name w:val="Texto_Resumen"/>
    <w:basedOn w:val="Normal"/>
    <w:qFormat/>
    <w:rsid w:val="007C13AF"/>
    <w:pPr>
      <w:keepNext/>
      <w:tabs>
        <w:tab w:val="left" w:pos="567"/>
      </w:tabs>
      <w:snapToGrid w:val="0"/>
      <w:spacing w:before="240" w:after="240" w:line="240" w:lineRule="auto"/>
      <w:jc w:val="both"/>
    </w:pPr>
    <w:rPr>
      <w:rFonts w:ascii="Arial" w:eastAsia="Times New Roman" w:hAnsi="Arial" w:cs="Times New Roman"/>
      <w:snapToGrid w:val="0"/>
      <w:szCs w:val="24"/>
      <w:lang w:val="es-ES"/>
    </w:rPr>
  </w:style>
  <w:style w:type="character" w:customStyle="1" w:styleId="MargeChar">
    <w:name w:val="Marge Char"/>
    <w:rsid w:val="007C13AF"/>
    <w:rPr>
      <w:rFonts w:ascii="Arial" w:hAnsi="Arial"/>
      <w:snapToGrid w:val="0"/>
      <w:sz w:val="22"/>
      <w:szCs w:val="24"/>
      <w:lang w:val="es-ES_tradnl" w:eastAsia="zh-CN"/>
    </w:rPr>
  </w:style>
  <w:style w:type="paragraph" w:customStyle="1" w:styleId="Ttulo">
    <w:name w:val="Título"/>
    <w:basedOn w:val="Normal"/>
    <w:qFormat/>
    <w:rsid w:val="007C13AF"/>
    <w:pPr>
      <w:tabs>
        <w:tab w:val="left" w:pos="567"/>
      </w:tabs>
      <w:snapToGrid w:val="0"/>
      <w:spacing w:before="240" w:after="240" w:line="240" w:lineRule="auto"/>
      <w:jc w:val="center"/>
    </w:pPr>
    <w:rPr>
      <w:rFonts w:ascii="Arial" w:eastAsia="SimSun" w:hAnsi="Arial" w:cs="Times New Roman"/>
      <w:b/>
      <w:bCs/>
      <w:caps/>
      <w:snapToGrid w:val="0"/>
      <w:szCs w:val="24"/>
      <w:lang w:val="es-ES" w:eastAsia="zh-CN"/>
    </w:rPr>
  </w:style>
  <w:style w:type="character" w:styleId="Hyperlink">
    <w:name w:val="Hyperlink"/>
    <w:basedOn w:val="DefaultParagraphFont"/>
    <w:uiPriority w:val="99"/>
    <w:unhideWhenUsed/>
    <w:rsid w:val="005B638C"/>
    <w:rPr>
      <w:color w:val="0000FF" w:themeColor="hyperlink"/>
      <w:u w:val="single"/>
    </w:rPr>
  </w:style>
  <w:style w:type="character" w:styleId="UnresolvedMention">
    <w:name w:val="Unresolved Mention"/>
    <w:basedOn w:val="DefaultParagraphFont"/>
    <w:uiPriority w:val="99"/>
    <w:semiHidden/>
    <w:unhideWhenUsed/>
    <w:rsid w:val="005B6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33973" TargetMode="External"/><Relationship Id="rId13" Type="http://schemas.openxmlformats.org/officeDocument/2006/relationships/hyperlink" Target="https://oceanexpert.org/document/3255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ceanexpert.org/document/3255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ceanexpert.org/document/335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32541" TargetMode="External"/><Relationship Id="rId5" Type="http://schemas.openxmlformats.org/officeDocument/2006/relationships/webSettings" Target="webSettings.xml"/><Relationship Id="rId15" Type="http://schemas.openxmlformats.org/officeDocument/2006/relationships/hyperlink" Target="https://oceanexpert.org/document/33973" TargetMode="External"/><Relationship Id="rId10" Type="http://schemas.openxmlformats.org/officeDocument/2006/relationships/hyperlink" Target="https://oceanexpert.org/document/2865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unesdoc.unesco.org/ark:/48223/pf0000367678.locale=en.page=73" TargetMode="External"/><Relationship Id="rId14" Type="http://schemas.openxmlformats.org/officeDocument/2006/relationships/hyperlink" Target="https://oceanexpert.org/document/3284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spanish\Pool\IOC\CONSEIL%20EX\.Modelo%20IOC-EC-57%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33D6-CB5D-49D0-9D66-2427DAAC3B9B}">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.Modelo IOC-EC-57 (2024).dotx</Template>
  <TotalTime>21</TotalTime>
  <Pages>4</Pages>
  <Words>1573</Words>
  <Characters>8166</Characters>
  <Application>Microsoft Office Word</Application>
  <DocSecurity>0</DocSecurity>
  <Lines>125</Lines>
  <Paragraphs>30</Paragraphs>
  <ScaleCrop>false</ScaleCrop>
  <HeadingPairs>
    <vt:vector size="2" baseType="variant">
      <vt:variant>
        <vt:lpstr>Title</vt:lpstr>
      </vt:variant>
      <vt:variant>
        <vt:i4>1</vt:i4>
      </vt:variant>
    </vt:vector>
  </HeadingPairs>
  <TitlesOfParts>
    <vt:vector size="1" baseType="lpstr">
      <vt:lpstr>57ª reunión del Consejo Ejecutivo de la COI_x000d_
Aplicación de la estrategia de desarrollo de capacidades de la COI (2023-2030)</vt:lpstr>
    </vt:vector>
  </TitlesOfParts>
  <Company>UNESCO</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57ª reunión del Consejo Ejecutivo de la COI_x000d_
Aplicación de la estrategia de desarrollo de capacidades de la COI (2023-2030)</dc:title>
  <dc:subject>IOC/EC-57/46.Doc(1)</dc:subject>
  <dc:creator>Lain, Ruben</dc:creator>
  <cp:keywords>46.Doc(1)</cp:keywords>
  <dc:description/>
  <cp:lastModifiedBy>Lain, Ruben</cp:lastModifiedBy>
  <cp:revision>4</cp:revision>
  <cp:lastPrinted>2019-10-31T08:57:00Z</cp:lastPrinted>
  <dcterms:created xsi:type="dcterms:W3CDTF">2024-04-23T14:53:00Z</dcterms:created>
  <dcterms:modified xsi:type="dcterms:W3CDTF">2024-04-23T15:23:00Z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202402706</vt:lpwstr>
  </property>
  <property fmtid="{D5CDD505-2E9C-101B-9397-08002B2CF9AE}" pid="3" name="Language">
    <vt:lpwstr>S</vt:lpwstr>
  </property>
</Properties>
</file>