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DA8F" w14:textId="77777777" w:rsidR="00366F8F" w:rsidRDefault="00366F8F">
      <w:pPr>
        <w:spacing w:after="0" w:line="240" w:lineRule="auto"/>
        <w:rPr>
          <w:rFonts w:ascii="Barlow" w:eastAsia="Barlow" w:hAnsi="Barlow" w:cs="Barlow"/>
          <w:color w:val="073763"/>
          <w:sz w:val="28"/>
          <w:szCs w:val="28"/>
        </w:rPr>
      </w:pPr>
    </w:p>
    <w:p w14:paraId="10C4633D" w14:textId="77777777" w:rsidR="00366F8F" w:rsidRDefault="00000000">
      <w:pPr>
        <w:spacing w:before="200" w:after="0" w:line="240" w:lineRule="auto"/>
        <w:jc w:val="center"/>
        <w:rPr>
          <w:rFonts w:ascii="Helvetica Neue" w:eastAsia="Helvetica Neue" w:hAnsi="Helvetica Neue" w:cs="Helvetica Neue"/>
          <w:b/>
          <w:color w:val="073763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73763"/>
          <w:sz w:val="32"/>
          <w:szCs w:val="32"/>
        </w:rPr>
        <w:t>GOOS Network OCG-15 Report Template</w:t>
      </w:r>
    </w:p>
    <w:p w14:paraId="591FD2FB" w14:textId="77777777" w:rsidR="00366F8F" w:rsidRDefault="00366F8F">
      <w:pPr>
        <w:spacing w:after="0" w:line="240" w:lineRule="auto"/>
        <w:rPr>
          <w:rFonts w:ascii="Barlow" w:eastAsia="Barlow" w:hAnsi="Barlow" w:cs="Barlow"/>
          <w:color w:val="00153A"/>
          <w:sz w:val="32"/>
          <w:szCs w:val="32"/>
        </w:rPr>
      </w:pPr>
    </w:p>
    <w:p w14:paraId="34EDCD63" w14:textId="77777777" w:rsidR="00366F8F" w:rsidRDefault="00000000">
      <w:pPr>
        <w:spacing w:after="0"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We ask that you follow this template for reporting prior to OCG-15. Please note that we ask each Network to complete this </w:t>
      </w:r>
      <w:r>
        <w:rPr>
          <w:rFonts w:ascii="Helvetica Neue" w:eastAsia="Helvetica Neue" w:hAnsi="Helvetica Neue" w:cs="Helvetica Neue"/>
          <w:b/>
          <w:sz w:val="24"/>
          <w:szCs w:val="24"/>
          <w:u w:val="single"/>
        </w:rPr>
        <w:t>reporting document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by April 12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 xml:space="preserve"> 2024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to highlight the advances during the </w:t>
      </w:r>
      <w:r>
        <w:rPr>
          <w:rFonts w:ascii="Helvetica Neue" w:eastAsia="Helvetica Neue" w:hAnsi="Helvetica Neue" w:cs="Helvetica Neue"/>
          <w:b/>
          <w:sz w:val="24"/>
          <w:szCs w:val="24"/>
          <w:u w:val="single"/>
        </w:rPr>
        <w:t>last intersessional period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and prepare a </w:t>
      </w:r>
      <w:r>
        <w:rPr>
          <w:rFonts w:ascii="Helvetica Neue" w:eastAsia="Helvetica Neue" w:hAnsi="Helvetica Neue" w:cs="Helvetica Neue"/>
          <w:b/>
          <w:sz w:val="24"/>
          <w:szCs w:val="24"/>
          <w:u w:val="single"/>
        </w:rPr>
        <w:t>poster</w:t>
      </w: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for the OCG-15 meeting (template to be provided). Please use this report to highlight what your </w:t>
      </w:r>
      <w:r>
        <w:rPr>
          <w:rFonts w:ascii="Helvetica Neue" w:eastAsia="Helvetica Neue" w:hAnsi="Helvetica Neue" w:cs="Helvetica Neue"/>
          <w:b/>
          <w:sz w:val="24"/>
          <w:szCs w:val="24"/>
        </w:rPr>
        <w:t>key challenges are, any ask for the OCG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(Exec, networks, </w:t>
      </w:r>
      <w:proofErr w:type="spellStart"/>
      <w:r>
        <w:rPr>
          <w:rFonts w:ascii="Helvetica Neue" w:eastAsia="Helvetica Neue" w:hAnsi="Helvetica Neue" w:cs="Helvetica Neue"/>
          <w:sz w:val="24"/>
          <w:szCs w:val="24"/>
        </w:rPr>
        <w:t>OceanOPS</w:t>
      </w:r>
      <w:proofErr w:type="spellEnd"/>
      <w:r>
        <w:rPr>
          <w:rFonts w:ascii="Helvetica Neue" w:eastAsia="Helvetica Neue" w:hAnsi="Helvetica Neue" w:cs="Helvetica Neue"/>
          <w:sz w:val="24"/>
          <w:szCs w:val="24"/>
        </w:rPr>
        <w:t xml:space="preserve">, and/or GOOS), and </w:t>
      </w:r>
      <w:r>
        <w:rPr>
          <w:rFonts w:ascii="Helvetica Neue" w:eastAsia="Helvetica Neue" w:hAnsi="Helvetica Neue" w:cs="Helvetica Neue"/>
          <w:b/>
          <w:sz w:val="24"/>
          <w:szCs w:val="24"/>
        </w:rPr>
        <w:t>how OCG can support your network and activities towards an expanded, integrated and more fit for purpose global ocean observing system</w:t>
      </w:r>
      <w:r>
        <w:rPr>
          <w:rFonts w:ascii="Helvetica Neue" w:eastAsia="Helvetica Neue" w:hAnsi="Helvetica Neue" w:cs="Helvetica Neue"/>
          <w:sz w:val="24"/>
          <w:szCs w:val="24"/>
        </w:rPr>
        <w:t>.</w:t>
      </w:r>
    </w:p>
    <w:p w14:paraId="21ED1F84" w14:textId="77777777" w:rsidR="00366F8F" w:rsidRDefault="00366F8F">
      <w:pPr>
        <w:spacing w:after="0"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14:paraId="20DEC88C" w14:textId="77777777" w:rsidR="00366F8F" w:rsidRDefault="00000000">
      <w:pPr>
        <w:spacing w:after="0"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These reports will be reviewed by the OCG Exec prior to OCG-15 and will help guide the conversation and action planning at the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meeting, and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inform the network posters. </w:t>
      </w:r>
    </w:p>
    <w:p w14:paraId="1DC0622D" w14:textId="77777777" w:rsidR="00366F8F" w:rsidRDefault="00366F8F">
      <w:pPr>
        <w:spacing w:after="0"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14:paraId="78831E7A" w14:textId="77777777" w:rsidR="00366F8F" w:rsidRDefault="00000000">
      <w:pPr>
        <w:spacing w:after="0"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This year, the reporting will be primarily through this written report - with opportunities to discuss the content and show advances through the poster session, and to collectively discuss challenges, opportunities and ‘asks’ in Session 10: Network issues and opportunities.</w:t>
      </w:r>
    </w:p>
    <w:p w14:paraId="59352F1F" w14:textId="77777777" w:rsidR="00366F8F" w:rsidRDefault="00366F8F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</w:p>
    <w:p w14:paraId="685D9B64" w14:textId="77777777" w:rsidR="00366F8F" w:rsidRDefault="00000000">
      <w:pPr>
        <w:numPr>
          <w:ilvl w:val="0"/>
          <w:numId w:val="1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Please be concise in your reporting,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4 page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limit</w:t>
      </w:r>
    </w:p>
    <w:p w14:paraId="6A1F3114" w14:textId="77777777" w:rsidR="00366F8F" w:rsidRDefault="00000000">
      <w:pPr>
        <w:numPr>
          <w:ilvl w:val="0"/>
          <w:numId w:val="1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Network reports should be submitted to </w:t>
      </w:r>
      <w:hyperlink r:id="rId8">
        <w:r>
          <w:rPr>
            <w:rFonts w:ascii="Helvetica Neue" w:eastAsia="Helvetica Neue" w:hAnsi="Helvetica Neue" w:cs="Helvetica Neue"/>
            <w:sz w:val="24"/>
            <w:szCs w:val="24"/>
            <w:u w:val="single"/>
          </w:rPr>
          <w:t>t.yu@unesco.org</w:t>
        </w:r>
      </w:hyperlink>
      <w:r>
        <w:rPr>
          <w:rFonts w:ascii="Helvetica Neue" w:eastAsia="Helvetica Neue" w:hAnsi="Helvetica Neue" w:cs="Helvetica Neue"/>
          <w:sz w:val="24"/>
          <w:szCs w:val="24"/>
        </w:rPr>
        <w:t xml:space="preserve"> by end of</w:t>
      </w: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sz w:val="24"/>
          <w:szCs w:val="24"/>
        </w:rPr>
        <w:t>day</w:t>
      </w: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 April 12 (Friday)</w:t>
      </w:r>
      <w:r>
        <w:rPr>
          <w:rFonts w:ascii="Helvetica Neue" w:eastAsia="Helvetica Neue" w:hAnsi="Helvetica Neue" w:cs="Helvetica Neue"/>
          <w:sz w:val="24"/>
          <w:szCs w:val="24"/>
        </w:rPr>
        <w:t>, 2024</w:t>
      </w:r>
    </w:p>
    <w:p w14:paraId="49AABFBB" w14:textId="77777777" w:rsidR="00366F8F" w:rsidRDefault="00366F8F">
      <w:pPr>
        <w:spacing w:after="0" w:line="240" w:lineRule="auto"/>
        <w:rPr>
          <w:rFonts w:ascii="Helvetica Neue" w:eastAsia="Helvetica Neue" w:hAnsi="Helvetica Neue" w:cs="Helvetica Neue"/>
          <w:sz w:val="32"/>
          <w:szCs w:val="32"/>
        </w:rPr>
      </w:pPr>
    </w:p>
    <w:p w14:paraId="368A3F40" w14:textId="77777777" w:rsidR="00366F8F" w:rsidRDefault="00366F8F">
      <w:pPr>
        <w:spacing w:after="0" w:line="240" w:lineRule="auto"/>
        <w:rPr>
          <w:rFonts w:ascii="Helvetica Neue" w:eastAsia="Helvetica Neue" w:hAnsi="Helvetica Neue" w:cs="Helvetica Neue"/>
          <w:sz w:val="32"/>
          <w:szCs w:val="32"/>
        </w:rPr>
      </w:pPr>
    </w:p>
    <w:p w14:paraId="70A95DAD" w14:textId="0FEDA1DB" w:rsidR="00366F8F" w:rsidRDefault="005D7A4C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73763"/>
          <w:sz w:val="32"/>
          <w:szCs w:val="32"/>
        </w:rPr>
      </w:pPr>
      <w:proofErr w:type="gramStart"/>
      <w:r>
        <w:rPr>
          <w:rFonts w:ascii="Helvetica Neue" w:eastAsia="Helvetica Neue" w:hAnsi="Helvetica Neue" w:cs="Helvetica Neue"/>
          <w:b/>
          <w:color w:val="073763"/>
          <w:sz w:val="32"/>
          <w:szCs w:val="32"/>
        </w:rPr>
        <w:t>Animal Borne ocean</w:t>
      </w:r>
      <w:proofErr w:type="gramEnd"/>
      <w:r>
        <w:rPr>
          <w:rFonts w:ascii="Helvetica Neue" w:eastAsia="Helvetica Neue" w:hAnsi="Helvetica Neue" w:cs="Helvetica Neue"/>
          <w:b/>
          <w:color w:val="073763"/>
          <w:sz w:val="32"/>
          <w:szCs w:val="32"/>
        </w:rPr>
        <w:t xml:space="preserve"> Sensors - </w:t>
      </w:r>
      <w:proofErr w:type="spellStart"/>
      <w:r>
        <w:rPr>
          <w:rFonts w:ascii="Helvetica Neue" w:eastAsia="Helvetica Neue" w:hAnsi="Helvetica Neue" w:cs="Helvetica Neue"/>
          <w:b/>
          <w:color w:val="073763"/>
          <w:sz w:val="32"/>
          <w:szCs w:val="32"/>
        </w:rPr>
        <w:t>AniBOS</w:t>
      </w:r>
      <w:proofErr w:type="spellEnd"/>
    </w:p>
    <w:p w14:paraId="2C7BB77A" w14:textId="573CB530" w:rsidR="00366F8F" w:rsidRDefault="00000000">
      <w:pPr>
        <w:spacing w:after="0" w:line="240" w:lineRule="auto"/>
        <w:jc w:val="center"/>
        <w:rPr>
          <w:rFonts w:ascii="Helvetica Neue" w:eastAsia="Helvetica Neue" w:hAnsi="Helvetica Neue" w:cs="Helvetica Neue"/>
          <w:color w:val="073763"/>
          <w:sz w:val="24"/>
          <w:szCs w:val="24"/>
        </w:rPr>
      </w:pPr>
      <w:r>
        <w:rPr>
          <w:rFonts w:ascii="Helvetica Neue" w:eastAsia="Helvetica Neue" w:hAnsi="Helvetica Neue" w:cs="Helvetica Neue"/>
          <w:color w:val="073763"/>
          <w:sz w:val="24"/>
          <w:szCs w:val="24"/>
        </w:rPr>
        <w:t xml:space="preserve">Prepared/submitted by </w:t>
      </w:r>
      <w:r w:rsidR="005D7A4C">
        <w:rPr>
          <w:rFonts w:ascii="Helvetica Neue" w:eastAsia="Helvetica Neue" w:hAnsi="Helvetica Neue" w:cs="Helvetica Neue"/>
          <w:color w:val="073763"/>
          <w:sz w:val="24"/>
          <w:szCs w:val="24"/>
        </w:rPr>
        <w:t xml:space="preserve">Clive McMahon and Fabien Roquet </w:t>
      </w:r>
    </w:p>
    <w:p w14:paraId="213A7FF1" w14:textId="77777777" w:rsidR="00366F8F" w:rsidRDefault="00366F8F">
      <w:pPr>
        <w:spacing w:after="0" w:line="240" w:lineRule="auto"/>
        <w:rPr>
          <w:rFonts w:ascii="Helvetica Neue" w:eastAsia="Helvetica Neue" w:hAnsi="Helvetica Neue" w:cs="Helvetica Neue"/>
          <w:sz w:val="32"/>
          <w:szCs w:val="32"/>
        </w:rPr>
      </w:pPr>
    </w:p>
    <w:p w14:paraId="5C4AF201" w14:textId="77777777" w:rsidR="00366F8F" w:rsidRDefault="00000000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Highlight the key network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successes</w:t>
      </w:r>
      <w:proofErr w:type="gramEnd"/>
    </w:p>
    <w:p w14:paraId="6350FCF6" w14:textId="77777777" w:rsidR="00CD12DE" w:rsidRDefault="00CD12DE" w:rsidP="00CD12DE">
      <w:pPr>
        <w:spacing w:after="0" w:line="240" w:lineRule="auto"/>
        <w:ind w:left="360"/>
        <w:rPr>
          <w:rFonts w:ascii="Helvetica Neue" w:eastAsia="Helvetica Neue" w:hAnsi="Helvetica Neue" w:cs="Helvetica Neue"/>
          <w:sz w:val="24"/>
          <w:szCs w:val="24"/>
        </w:rPr>
      </w:pPr>
    </w:p>
    <w:p w14:paraId="4232E5B5" w14:textId="119ADE5D" w:rsidR="00366F8F" w:rsidRPr="008A40E3" w:rsidRDefault="00FA6A13" w:rsidP="008A40E3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proofErr w:type="spellStart"/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AniBOS</w:t>
      </w:r>
      <w:proofErr w:type="spellEnd"/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is celebrating 20 years of continuous oce</w:t>
      </w:r>
      <w:r w:rsidR="008A40E3"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ano</w:t>
      </w:r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graphic (CTD) observations in the </w:t>
      </w:r>
      <w:r w:rsidR="001C1CBA"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Southern</w:t>
      </w:r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Ocean</w:t>
      </w:r>
      <w:r w:rsidR="001C1CBA"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. </w:t>
      </w:r>
    </w:p>
    <w:p w14:paraId="36B735CF" w14:textId="274B6F73" w:rsidR="001C1CBA" w:rsidRPr="008A40E3" w:rsidRDefault="001C1CBA" w:rsidP="008A40E3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In total over 800,000 vertical profiles of Temperature and Salinity </w:t>
      </w:r>
      <w:r w:rsidR="00AF6A8F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(TS) </w:t>
      </w:r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have been collected, primarily by seals in the polar seas, since 2004</w:t>
      </w:r>
    </w:p>
    <w:p w14:paraId="5A05ABF4" w14:textId="0BB83C8B" w:rsidR="008A40E3" w:rsidRPr="008A40E3" w:rsidRDefault="008A40E3" w:rsidP="008A40E3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The MEOP-CTD database version 2024-03-08 is a major update on the previous version, with more than 150,000 new </w:t>
      </w:r>
      <w:r w:rsidR="00AF6A8F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TS </w:t>
      </w:r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profiles</w:t>
      </w:r>
      <w:r w:rsidR="00AF6A8F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made available freely</w:t>
      </w:r>
      <w:r w:rsidR="00207E9B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. </w:t>
      </w:r>
      <w:r w:rsidR="00207E9B" w:rsidRPr="00207E9B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https://www.meop.net/news/</w:t>
      </w:r>
    </w:p>
    <w:p w14:paraId="58203811" w14:textId="3BF13DCD" w:rsidR="008A40E3" w:rsidRPr="008A40E3" w:rsidRDefault="008A40E3" w:rsidP="008A40E3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Funding has been secured to 2027 to deploy CTDs to seals in the Southern Ocean from IMOS</w:t>
      </w:r>
    </w:p>
    <w:p w14:paraId="3C70BDB5" w14:textId="0BE57C38" w:rsidR="008A40E3" w:rsidRPr="008A40E3" w:rsidRDefault="008A40E3" w:rsidP="008A40E3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IMOS has invested in an expanded (to 2027) animal borne ocean observing </w:t>
      </w:r>
      <w:proofErr w:type="spellStart"/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programme</w:t>
      </w:r>
      <w:proofErr w:type="spellEnd"/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in the tropical seas to the north of Australia. This </w:t>
      </w:r>
      <w:proofErr w:type="spellStart"/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programme</w:t>
      </w:r>
      <w:proofErr w:type="spellEnd"/>
      <w:r w:rsidRPr="008A40E3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will deploy 20 CTDs on turtles in the Timor and Arafura seas. </w:t>
      </w:r>
    </w:p>
    <w:p w14:paraId="35A32653" w14:textId="77777777" w:rsidR="00366F8F" w:rsidRDefault="00366F8F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</w:p>
    <w:p w14:paraId="4F020243" w14:textId="77777777" w:rsidR="00366F8F" w:rsidRDefault="00000000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How has the network advanced across the OCG Network Attribute areas</w:t>
      </w:r>
      <w:r>
        <w:rPr>
          <w:rFonts w:ascii="Helvetica Neue" w:eastAsia="Helvetica Neue" w:hAnsi="Helvetica Neue" w:cs="Helvetica Neue"/>
          <w:sz w:val="24"/>
          <w:szCs w:val="24"/>
          <w:vertAlign w:val="superscript"/>
        </w:rPr>
        <w:footnoteReference w:id="1"/>
      </w: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</w:p>
    <w:p w14:paraId="73E09CD7" w14:textId="77777777" w:rsidR="00CD12DE" w:rsidRDefault="00CD12DE" w:rsidP="00090943">
      <w:pPr>
        <w:spacing w:after="0" w:line="240" w:lineRule="auto"/>
        <w:ind w:left="720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</w:p>
    <w:p w14:paraId="1B1DA274" w14:textId="75164EF9" w:rsidR="00366F8F" w:rsidRPr="008C3347" w:rsidRDefault="00AF6A8F" w:rsidP="00090943">
      <w:pPr>
        <w:spacing w:after="0" w:line="240" w:lineRule="auto"/>
        <w:ind w:left="720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8C334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Sub-surface TS profiles in the world</w:t>
      </w:r>
      <w:r w:rsidR="0072339D" w:rsidRPr="008C334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’</w:t>
      </w:r>
      <w:r w:rsidRPr="008C334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s tropical ocean remain rare and the expansion of animal borne observations into tropical regions provide TS profiles to 150 m and key oceanographic observations to improve ocean model forecasts in tropical and subtropical areas. Along with STORM</w:t>
      </w:r>
      <w:r w:rsidR="00090943" w:rsidRPr="008C3347">
        <w:rPr>
          <w:rStyle w:val="FootnoteReference"/>
          <w:rFonts w:ascii="Helvetica Neue" w:eastAsia="Helvetica Neue" w:hAnsi="Helvetica Neue" w:cs="Helvetica Neue"/>
          <w:color w:val="000000" w:themeColor="text1"/>
          <w:sz w:val="24"/>
          <w:szCs w:val="24"/>
        </w:rPr>
        <w:footnoteReference w:id="2"/>
      </w:r>
      <w:r w:rsidR="00207E9B" w:rsidRPr="008C3347">
        <w:rPr>
          <w:rFonts w:ascii="Helvetica Neue" w:eastAsia="Helvetica Neue" w:hAnsi="Helvetica Neue" w:cs="Helvetica Neue"/>
          <w:color w:val="000000" w:themeColor="text1"/>
          <w:sz w:val="24"/>
          <w:szCs w:val="24"/>
          <w:vertAlign w:val="superscript"/>
        </w:rPr>
        <w:t>,</w:t>
      </w:r>
      <w:r w:rsidR="00090943" w:rsidRPr="008C3347">
        <w:rPr>
          <w:rStyle w:val="FootnoteReference"/>
          <w:rFonts w:ascii="Helvetica Neue" w:eastAsia="Helvetica Neue" w:hAnsi="Helvetica Neue" w:cs="Helvetica Neue"/>
          <w:color w:val="000000" w:themeColor="text1"/>
          <w:sz w:val="24"/>
          <w:szCs w:val="24"/>
        </w:rPr>
        <w:footnoteReference w:id="3"/>
      </w:r>
      <w:r w:rsidRPr="008C3347">
        <w:rPr>
          <w:rFonts w:ascii="Helvetica Neue" w:eastAsia="Helvetica Neue" w:hAnsi="Helvetica Neue" w:cs="Helvetica Neue"/>
          <w:color w:val="000000" w:themeColor="text1"/>
          <w:sz w:val="24"/>
          <w:szCs w:val="24"/>
          <w:vertAlign w:val="superscript"/>
        </w:rPr>
        <w:t xml:space="preserve"> </w:t>
      </w:r>
      <w:r w:rsidR="00090943" w:rsidRPr="008C334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this new IMOS funding will provide crucial observations to assess and better forecast Tropical Cyclone properties to better protect live and property</w:t>
      </w:r>
      <w:r w:rsidR="00090943" w:rsidRPr="008C3347">
        <w:rPr>
          <w:rStyle w:val="FootnoteReference"/>
          <w:rFonts w:ascii="Helvetica Neue" w:eastAsia="Helvetica Neue" w:hAnsi="Helvetica Neue" w:cs="Helvetica Neue"/>
          <w:color w:val="000000" w:themeColor="text1"/>
          <w:sz w:val="24"/>
          <w:szCs w:val="24"/>
        </w:rPr>
        <w:footnoteReference w:id="4"/>
      </w:r>
      <w:r w:rsidR="00090943" w:rsidRPr="008C334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.</w:t>
      </w:r>
    </w:p>
    <w:p w14:paraId="0D2635B8" w14:textId="77777777" w:rsidR="00A56D94" w:rsidRPr="008C3347" w:rsidRDefault="00A56D94" w:rsidP="00090943">
      <w:pPr>
        <w:spacing w:after="0" w:line="240" w:lineRule="auto"/>
        <w:ind w:left="720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</w:p>
    <w:p w14:paraId="3310B4E4" w14:textId="441F6070" w:rsidR="008D5DEC" w:rsidRPr="008C3347" w:rsidRDefault="008D5DEC" w:rsidP="008D5DEC">
      <w:pPr>
        <w:spacing w:after="0" w:line="240" w:lineRule="auto"/>
        <w:ind w:left="720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8C334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There is a growing community and number of institutions providing TS profiles from animals as summarized in Figure 1. </w:t>
      </w:r>
    </w:p>
    <w:p w14:paraId="66C5E2B6" w14:textId="77777777" w:rsidR="008D5DEC" w:rsidRDefault="008D5DEC" w:rsidP="0072339D">
      <w:pPr>
        <w:spacing w:after="0" w:line="240" w:lineRule="auto"/>
        <w:rPr>
          <w:rFonts w:ascii="Helvetica Neue" w:eastAsia="Helvetica Neue" w:hAnsi="Helvetica Neue" w:cs="Helvetica Neue"/>
          <w:color w:val="FF0000"/>
          <w:sz w:val="24"/>
          <w:szCs w:val="24"/>
        </w:rPr>
      </w:pPr>
    </w:p>
    <w:p w14:paraId="6A1BEEAF" w14:textId="7EA25B10" w:rsidR="008D5DEC" w:rsidRPr="008D5DEC" w:rsidRDefault="008D5DEC" w:rsidP="008D5DEC">
      <w:pPr>
        <w:spacing w:after="0" w:line="240" w:lineRule="auto"/>
        <w:rPr>
          <w:rFonts w:ascii="Helvetica Neue" w:eastAsia="Helvetica Neue" w:hAnsi="Helvetica Neue" w:cs="Helvetica Neue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58C5FBA" wp14:editId="54F35F92">
            <wp:extent cx="5943600" cy="3013710"/>
            <wp:effectExtent l="0" t="0" r="0" b="0"/>
            <wp:docPr id="1803170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703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F78AF" w14:textId="37022C81" w:rsidR="008D5DEC" w:rsidRPr="008D5DEC" w:rsidRDefault="008D5DEC" w:rsidP="008D5DEC">
      <w:pPr>
        <w:pStyle w:val="Caption"/>
        <w:rPr>
          <w:rFonts w:ascii="Helvetica Neue" w:eastAsia="Helvetica Neue" w:hAnsi="Helvetica Neue" w:cs="Helvetica Neue"/>
          <w:color w:val="FF0000"/>
          <w:sz w:val="22"/>
          <w:szCs w:val="22"/>
        </w:rPr>
      </w:pPr>
      <w:r w:rsidRPr="008D5DEC">
        <w:rPr>
          <w:sz w:val="22"/>
          <w:szCs w:val="22"/>
        </w:rPr>
        <w:t xml:space="preserve">Figure </w:t>
      </w:r>
      <w:r w:rsidRPr="008D5DEC">
        <w:rPr>
          <w:sz w:val="22"/>
          <w:szCs w:val="22"/>
        </w:rPr>
        <w:fldChar w:fldCharType="begin"/>
      </w:r>
      <w:r w:rsidRPr="008D5DEC">
        <w:rPr>
          <w:sz w:val="22"/>
          <w:szCs w:val="22"/>
        </w:rPr>
        <w:instrText xml:space="preserve"> SEQ Figure \* ARABIC </w:instrText>
      </w:r>
      <w:r w:rsidRPr="008D5DEC">
        <w:rPr>
          <w:sz w:val="22"/>
          <w:szCs w:val="22"/>
        </w:rPr>
        <w:fldChar w:fldCharType="separate"/>
      </w:r>
      <w:r w:rsidRPr="008D5DEC">
        <w:rPr>
          <w:noProof/>
          <w:sz w:val="22"/>
          <w:szCs w:val="22"/>
        </w:rPr>
        <w:t>1</w:t>
      </w:r>
      <w:r w:rsidRPr="008D5DEC">
        <w:rPr>
          <w:sz w:val="22"/>
          <w:szCs w:val="22"/>
        </w:rPr>
        <w:fldChar w:fldCharType="end"/>
      </w:r>
      <w:r w:rsidRPr="008D5DEC">
        <w:rPr>
          <w:sz w:val="22"/>
          <w:szCs w:val="22"/>
        </w:rPr>
        <w:t xml:space="preserve">. </w:t>
      </w:r>
      <w:r>
        <w:rPr>
          <w:sz w:val="22"/>
          <w:szCs w:val="22"/>
        </w:rPr>
        <w:t>The updated (March 2024) w</w:t>
      </w:r>
      <w:r w:rsidRPr="008D5DEC">
        <w:rPr>
          <w:sz w:val="22"/>
          <w:szCs w:val="22"/>
        </w:rPr>
        <w:t>orld map showing the distribution of CTD profiles (i.e. vertical profiles of temperature and salinity) currently available in the MEOP-CTD database.</w:t>
      </w:r>
    </w:p>
    <w:p w14:paraId="5AEDF503" w14:textId="77777777" w:rsidR="00366F8F" w:rsidRDefault="00366F8F">
      <w:p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75DD48C1" w14:textId="77777777" w:rsidR="00366F8F" w:rsidRDefault="00000000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Future Plans</w:t>
      </w:r>
      <w:proofErr w:type="gramEnd"/>
      <w:r>
        <w:rPr>
          <w:rFonts w:ascii="Helvetica Neue" w:eastAsia="Helvetica Neue" w:hAnsi="Helvetica Neue" w:cs="Helvetica Neue"/>
          <w:sz w:val="24"/>
          <w:szCs w:val="24"/>
          <w:vertAlign w:val="superscript"/>
        </w:rPr>
        <w:footnoteReference w:id="5"/>
      </w:r>
      <w:r>
        <w:rPr>
          <w:rFonts w:ascii="Helvetica Neue" w:eastAsia="Helvetica Neue" w:hAnsi="Helvetica Neue" w:cs="Helvetica Neue"/>
          <w:sz w:val="24"/>
          <w:szCs w:val="24"/>
        </w:rPr>
        <w:t xml:space="preserve"> and Opportunities - at network and/or cross-network OCG level</w:t>
      </w:r>
    </w:p>
    <w:p w14:paraId="1C549CF6" w14:textId="77777777" w:rsidR="00CD12DE" w:rsidRDefault="00CD12DE" w:rsidP="00CD12DE">
      <w:pPr>
        <w:spacing w:after="0" w:line="240" w:lineRule="auto"/>
        <w:ind w:left="720"/>
        <w:rPr>
          <w:rFonts w:ascii="Helvetica Neue" w:eastAsia="Helvetica Neue" w:hAnsi="Helvetica Neue" w:cs="Helvetica Neue"/>
          <w:color w:val="FF0000"/>
          <w:sz w:val="24"/>
          <w:szCs w:val="24"/>
        </w:rPr>
      </w:pPr>
    </w:p>
    <w:p w14:paraId="5BD006FF" w14:textId="77D40870" w:rsidR="00CD12DE" w:rsidRPr="00CD12DE" w:rsidRDefault="00CD12DE" w:rsidP="00CD12DE">
      <w:pPr>
        <w:spacing w:after="0" w:line="240" w:lineRule="auto"/>
        <w:ind w:left="720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Integrating physics and biological observations to better understand how </w:t>
      </w:r>
      <w:r w:rsidRPr="00EC7A77">
        <w:rPr>
          <w:rFonts w:ascii="Helvetica Neue" w:eastAsia="Helvetica Neue" w:hAnsi="Helvetica Neue" w:cs="Helvetica Neue"/>
          <w:i/>
          <w:iCs/>
          <w:color w:val="000000" w:themeColor="text1"/>
          <w:sz w:val="24"/>
          <w:szCs w:val="24"/>
        </w:rPr>
        <w:t>in situ</w:t>
      </w:r>
      <w:r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physical structure affects biological productivity and animal performance remains a fertile field of study that is a focus for the </w:t>
      </w:r>
      <w:proofErr w:type="spellStart"/>
      <w:r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AniBOS</w:t>
      </w:r>
      <w:proofErr w:type="spellEnd"/>
      <w:r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community. We aim to do this by: </w:t>
      </w:r>
    </w:p>
    <w:p w14:paraId="0C27F0C5" w14:textId="22D4E6D5" w:rsidR="00CD12DE" w:rsidRPr="00CD12DE" w:rsidRDefault="00CD12DE" w:rsidP="00F97977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Establish</w:t>
      </w:r>
      <w:r w:rsidR="00477116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ing</w:t>
      </w:r>
      <w:r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the links between water column physical properties and phytoplankton bloom dynamics (start, duration, and magnitude) </w:t>
      </w:r>
    </w:p>
    <w:p w14:paraId="7C6285BA" w14:textId="53E086B4" w:rsidR="00CD12DE" w:rsidRPr="00CD12DE" w:rsidRDefault="00CD12DE" w:rsidP="00F97977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Evaluat</w:t>
      </w:r>
      <w:r w:rsidR="00477116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ing</w:t>
      </w:r>
      <w:r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to what extent phytoplankton blooms in different coastal polynyas exhibit fluorescence characteristics indicating iron stress or </w:t>
      </w:r>
      <w:r w:rsidR="00F97977"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availability.</w:t>
      </w:r>
    </w:p>
    <w:p w14:paraId="57CBAB86" w14:textId="12230793" w:rsidR="00CD12DE" w:rsidRDefault="00CD12DE" w:rsidP="00F97977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Explor</w:t>
      </w:r>
      <w:r w:rsidR="00477116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ing</w:t>
      </w:r>
      <w:r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the use of oxygen sensors as a new approach to help constrain the physical influences on biological processes in </w:t>
      </w:r>
      <w:r w:rsidR="00F97977" w:rsidRPr="00CD12DE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polynyas.</w:t>
      </w:r>
    </w:p>
    <w:p w14:paraId="67BFD058" w14:textId="72D9C5F9" w:rsidR="001A565A" w:rsidRPr="001A565A" w:rsidRDefault="001A565A" w:rsidP="00F97977">
      <w:pPr>
        <w:spacing w:after="0" w:line="240" w:lineRule="auto"/>
        <w:ind w:left="720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Our multinational (Australia, France &amp; Sweden) research project (</w:t>
      </w:r>
      <w:r w:rsidRPr="001A565A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Using animal-borne sensors to unravel East Antarctic coastal productivity</w:t>
      </w:r>
      <w:r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- </w:t>
      </w:r>
      <w:r w:rsidRPr="001A565A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DP230101368</w:t>
      </w:r>
      <w:r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) funded </w:t>
      </w:r>
      <w:r w:rsidR="00763BD0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by the Australian Research Council provides the </w:t>
      </w:r>
      <w:r w:rsidR="00F979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funding (</w:t>
      </w:r>
      <w:r w:rsidR="00763BD0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AUD 807K) for the study to 12/2026. </w:t>
      </w:r>
    </w:p>
    <w:p w14:paraId="073034B2" w14:textId="77777777" w:rsidR="00CD12DE" w:rsidRPr="00CD12DE" w:rsidRDefault="00CD12DE" w:rsidP="00CD12DE">
      <w:p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07FCF322" w14:textId="77777777" w:rsidR="00366F8F" w:rsidRDefault="00000000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Challenges and Concerns - at network and/or cross-network OCG level</w:t>
      </w:r>
    </w:p>
    <w:p w14:paraId="08122B1E" w14:textId="77777777" w:rsidR="00B82EC1" w:rsidRPr="00B82EC1" w:rsidRDefault="00B82EC1" w:rsidP="00B82EC1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  <w:lang w:val="en-AU"/>
        </w:rPr>
      </w:pPr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 xml:space="preserve">The </w:t>
      </w:r>
      <w:proofErr w:type="spellStart"/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>AniBOS</w:t>
      </w:r>
      <w:proofErr w:type="spellEnd"/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 xml:space="preserve"> Data Committee is tasked with the design, construction, operation, maintenance, and documentation of the Data Management System for the </w:t>
      </w:r>
      <w:proofErr w:type="spellStart"/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>AniBOS</w:t>
      </w:r>
      <w:proofErr w:type="spellEnd"/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 xml:space="preserve"> Network. This system is essential for the hosting, transmission and archiving of the Network’s real-time and delayed-mode metadata and data products. Collectively, the Data Committee members bring considerable expertise in all aspects of </w:t>
      </w:r>
      <w:proofErr w:type="spellStart"/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>AniBOS</w:t>
      </w:r>
      <w:proofErr w:type="spellEnd"/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 xml:space="preserve"> data management, but there are several challenges to ensure the Committee’s tasks are achieved in a timely &amp; sustainable manner. </w:t>
      </w:r>
      <w:proofErr w:type="gramStart"/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>As a consequence</w:t>
      </w:r>
      <w:proofErr w:type="gramEnd"/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>, the Committee has identified the following funding needs:</w:t>
      </w:r>
    </w:p>
    <w:p w14:paraId="7410C7D3" w14:textId="77777777" w:rsidR="00F97977" w:rsidRDefault="00B82EC1" w:rsidP="00F97977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Helvetica Neue" w:eastAsia="Helvetica Neue" w:hAnsi="Helvetica Neue" w:cs="Helvetica Neue"/>
          <w:sz w:val="24"/>
          <w:szCs w:val="24"/>
          <w:lang w:val="en-AU"/>
        </w:rPr>
      </w:pPr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>Hosting in-person Data Management meetings, ideally twice annually.</w:t>
      </w:r>
    </w:p>
    <w:p w14:paraId="3DE83C42" w14:textId="28D7A63A" w:rsidR="00B82EC1" w:rsidRPr="00F97977" w:rsidRDefault="00B82EC1" w:rsidP="00F97977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  <w:lang w:val="en-AU"/>
        </w:rPr>
      </w:pPr>
      <w:r w:rsidRPr="00F97977">
        <w:rPr>
          <w:rFonts w:ascii="Helvetica Neue" w:eastAsia="Helvetica Neue" w:hAnsi="Helvetica Neue" w:cs="Helvetica Neue"/>
          <w:sz w:val="24"/>
          <w:szCs w:val="24"/>
          <w:lang w:val="en-CA"/>
        </w:rPr>
        <w:t>Periodic 1-2 day in-person meetings will allow the Committee to progress essential tasks far more efficiently than through our regular monthly Zoom meetings.</w:t>
      </w:r>
    </w:p>
    <w:p w14:paraId="79211958" w14:textId="77777777" w:rsidR="00F97977" w:rsidRDefault="00B82EC1" w:rsidP="00F97977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Helvetica Neue" w:eastAsia="Helvetica Neue" w:hAnsi="Helvetica Neue" w:cs="Helvetica Neue"/>
          <w:sz w:val="24"/>
          <w:szCs w:val="24"/>
          <w:lang w:val="en-AU"/>
        </w:rPr>
      </w:pPr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 xml:space="preserve">1 FTE position to support </w:t>
      </w:r>
      <w:proofErr w:type="spellStart"/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>AniBOS</w:t>
      </w:r>
      <w:proofErr w:type="spellEnd"/>
      <w:r w:rsidRPr="00B82EC1">
        <w:rPr>
          <w:rFonts w:ascii="Helvetica Neue" w:eastAsia="Helvetica Neue" w:hAnsi="Helvetica Neue" w:cs="Helvetica Neue"/>
          <w:sz w:val="24"/>
          <w:szCs w:val="24"/>
          <w:lang w:val="en-CA"/>
        </w:rPr>
        <w:t xml:space="preserve"> data management development &amp; operation.</w:t>
      </w:r>
    </w:p>
    <w:p w14:paraId="23AA64EC" w14:textId="1A603D6C" w:rsidR="00B82EC1" w:rsidRPr="00F97977" w:rsidRDefault="00B82EC1" w:rsidP="00F97977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  <w:lang w:val="en-AU"/>
        </w:rPr>
      </w:pPr>
      <w:r w:rsidRPr="00F97977">
        <w:rPr>
          <w:rFonts w:ascii="Helvetica Neue" w:eastAsia="Helvetica Neue" w:hAnsi="Helvetica Neue" w:cs="Helvetica Neue"/>
          <w:sz w:val="24"/>
          <w:szCs w:val="24"/>
          <w:lang w:val="en-CA"/>
        </w:rPr>
        <w:t xml:space="preserve">The Committee members spend considerable time taking on </w:t>
      </w:r>
      <w:proofErr w:type="spellStart"/>
      <w:r w:rsidRPr="00F97977">
        <w:rPr>
          <w:rFonts w:ascii="Helvetica Neue" w:eastAsia="Helvetica Neue" w:hAnsi="Helvetica Neue" w:cs="Helvetica Neue"/>
          <w:sz w:val="24"/>
          <w:szCs w:val="24"/>
          <w:lang w:val="en-CA"/>
        </w:rPr>
        <w:t>AniBOS</w:t>
      </w:r>
      <w:proofErr w:type="spellEnd"/>
      <w:r w:rsidRPr="00F97977">
        <w:rPr>
          <w:rFonts w:ascii="Helvetica Neue" w:eastAsia="Helvetica Neue" w:hAnsi="Helvetica Neue" w:cs="Helvetica Neue"/>
          <w:sz w:val="24"/>
          <w:szCs w:val="24"/>
          <w:lang w:val="en-CA"/>
        </w:rPr>
        <w:t xml:space="preserve"> tasks, however this often lacks continuity as other, non-</w:t>
      </w:r>
      <w:proofErr w:type="spellStart"/>
      <w:r w:rsidRPr="00F97977">
        <w:rPr>
          <w:rFonts w:ascii="Helvetica Neue" w:eastAsia="Helvetica Neue" w:hAnsi="Helvetica Neue" w:cs="Helvetica Neue"/>
          <w:sz w:val="24"/>
          <w:szCs w:val="24"/>
          <w:lang w:val="en-CA"/>
        </w:rPr>
        <w:t>AniBOS</w:t>
      </w:r>
      <w:proofErr w:type="spellEnd"/>
      <w:r w:rsidRPr="00F97977">
        <w:rPr>
          <w:rFonts w:ascii="Helvetica Neue" w:eastAsia="Helvetica Neue" w:hAnsi="Helvetica Neue" w:cs="Helvetica Neue"/>
          <w:sz w:val="24"/>
          <w:szCs w:val="24"/>
          <w:lang w:val="en-CA"/>
        </w:rPr>
        <w:t xml:space="preserve"> responsibilities take priority. A dedicated </w:t>
      </w:r>
      <w:proofErr w:type="spellStart"/>
      <w:r w:rsidRPr="00F97977">
        <w:rPr>
          <w:rFonts w:ascii="Helvetica Neue" w:eastAsia="Helvetica Neue" w:hAnsi="Helvetica Neue" w:cs="Helvetica Neue"/>
          <w:sz w:val="24"/>
          <w:szCs w:val="24"/>
          <w:lang w:val="en-CA"/>
        </w:rPr>
        <w:t>AniBOS</w:t>
      </w:r>
      <w:proofErr w:type="spellEnd"/>
      <w:r w:rsidRPr="00F97977">
        <w:rPr>
          <w:rFonts w:ascii="Helvetica Neue" w:eastAsia="Helvetica Neue" w:hAnsi="Helvetica Neue" w:cs="Helvetica Neue"/>
          <w:sz w:val="24"/>
          <w:szCs w:val="24"/>
          <w:lang w:val="en-CA"/>
        </w:rPr>
        <w:t xml:space="preserve"> employee, hired at a junior level (</w:t>
      </w:r>
      <w:proofErr w:type="spellStart"/>
      <w:r w:rsidRPr="00F97977">
        <w:rPr>
          <w:rFonts w:ascii="Helvetica Neue" w:eastAsia="Helvetica Neue" w:hAnsi="Helvetica Neue" w:cs="Helvetica Neue"/>
          <w:sz w:val="24"/>
          <w:szCs w:val="24"/>
          <w:lang w:val="en-CA"/>
        </w:rPr>
        <w:t>eg.</w:t>
      </w:r>
      <w:proofErr w:type="spellEnd"/>
      <w:r w:rsidRPr="00F97977">
        <w:rPr>
          <w:rFonts w:ascii="Helvetica Neue" w:eastAsia="Helvetica Neue" w:hAnsi="Helvetica Neue" w:cs="Helvetica Neue"/>
          <w:sz w:val="24"/>
          <w:szCs w:val="24"/>
          <w:lang w:val="en-CA"/>
        </w:rPr>
        <w:t xml:space="preserve"> BSc/MSc) with the ability to take on a variety of data management planning &amp; operational tasks would ensure the continuity to ensure tasks are completed in the require timeframe.</w:t>
      </w:r>
    </w:p>
    <w:p w14:paraId="65F829FF" w14:textId="77777777" w:rsidR="00366F8F" w:rsidRDefault="00366F8F" w:rsidP="00B82EC1">
      <w:p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7C701132" w14:textId="0AF478AA" w:rsidR="00366F8F" w:rsidRDefault="00000000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Asks from OCG (Exec, networks, </w:t>
      </w:r>
      <w:proofErr w:type="spellStart"/>
      <w:r>
        <w:rPr>
          <w:rFonts w:ascii="Helvetica Neue" w:eastAsia="Helvetica Neue" w:hAnsi="Helvetica Neue" w:cs="Helvetica Neue"/>
          <w:sz w:val="24"/>
          <w:szCs w:val="24"/>
        </w:rPr>
        <w:t>OceanOPS</w:t>
      </w:r>
      <w:proofErr w:type="spellEnd"/>
      <w:r>
        <w:rPr>
          <w:rFonts w:ascii="Helvetica Neue" w:eastAsia="Helvetica Neue" w:hAnsi="Helvetica Neue" w:cs="Helvetica Neue"/>
          <w:sz w:val="24"/>
          <w:szCs w:val="24"/>
        </w:rPr>
        <w:t xml:space="preserve">, and/or GOOS), perhaps related to the responses to parts 3 and 4 and how OCG can support your </w:t>
      </w:r>
      <w:r w:rsidR="00F97977">
        <w:rPr>
          <w:rFonts w:ascii="Helvetica Neue" w:eastAsia="Helvetica Neue" w:hAnsi="Helvetica Neue" w:cs="Helvetica Neue"/>
          <w:sz w:val="24"/>
          <w:szCs w:val="24"/>
        </w:rPr>
        <w:t>network.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</w:p>
    <w:p w14:paraId="1BC26736" w14:textId="12BDB127" w:rsidR="00366F8F" w:rsidRPr="00EC7A77" w:rsidRDefault="00F97977" w:rsidP="00EC7A77">
      <w:pPr>
        <w:pStyle w:val="ListParagraph"/>
        <w:numPr>
          <w:ilvl w:val="0"/>
          <w:numId w:val="9"/>
        </w:numPr>
        <w:spacing w:after="0" w:line="240" w:lineRule="auto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Could OCG help us </w:t>
      </w:r>
      <w:r w:rsidR="001A6C3D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better </w:t>
      </w:r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identify funding opportunities</w:t>
      </w:r>
      <w:r w:rsid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to support data management and indeed </w:t>
      </w:r>
      <w:proofErr w:type="spellStart"/>
      <w:r w:rsid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OceanOPS</w:t>
      </w:r>
      <w:proofErr w:type="spellEnd"/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?</w:t>
      </w:r>
    </w:p>
    <w:p w14:paraId="68DD4A81" w14:textId="1F010D8A" w:rsidR="00EC7A77" w:rsidRPr="00EC7A77" w:rsidRDefault="00F97977" w:rsidP="00EC7A77">
      <w:pPr>
        <w:pStyle w:val="ListParagraph"/>
        <w:numPr>
          <w:ilvl w:val="0"/>
          <w:numId w:val="9"/>
        </w:numPr>
        <w:spacing w:after="0" w:line="240" w:lineRule="auto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proofErr w:type="spellStart"/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OceanOPS</w:t>
      </w:r>
      <w:proofErr w:type="spellEnd"/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has </w:t>
      </w:r>
      <w:r w:rsidR="00B66294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raised </w:t>
      </w:r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funding </w:t>
      </w:r>
      <w:r w:rsidR="00B66294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concerns for </w:t>
      </w:r>
      <w:r w:rsidR="00EC7A77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the </w:t>
      </w:r>
      <w:proofErr w:type="spellStart"/>
      <w:proofErr w:type="gramStart"/>
      <w:r w:rsidR="00EC7A77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programme</w:t>
      </w:r>
      <w:proofErr w:type="spellEnd"/>
      <w:proofErr w:type="gramEnd"/>
      <w:r w:rsidR="00EC7A77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and it has been suggested that all networks contribute funds to support </w:t>
      </w:r>
      <w:proofErr w:type="spellStart"/>
      <w:r w:rsidR="00EC7A77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OceanOPS</w:t>
      </w:r>
      <w:proofErr w:type="spellEnd"/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. </w:t>
      </w:r>
      <w:r w:rsidR="00EC7A77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lastRenderedPageBreak/>
        <w:t>How wi</w:t>
      </w:r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ll this affect </w:t>
      </w:r>
      <w:r w:rsidR="00EC7A77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emerging networks like </w:t>
      </w:r>
      <w:proofErr w:type="spellStart"/>
      <w:r w:rsidR="00EC7A77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AniBOS</w:t>
      </w:r>
      <w:proofErr w:type="spellEnd"/>
      <w:r w:rsidR="00EC7A77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that run essentially off research funding (noting of course that </w:t>
      </w:r>
      <w:proofErr w:type="spellStart"/>
      <w:r w:rsidR="00EC7A77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AniBOS</w:t>
      </w:r>
      <w:proofErr w:type="spellEnd"/>
      <w:r w:rsidR="00EC7A77"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has built and maintained a continuous times series of ocean observing for 21 years)</w:t>
      </w:r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? </w:t>
      </w:r>
    </w:p>
    <w:p w14:paraId="18352DAF" w14:textId="0C3667C9" w:rsidR="00F97977" w:rsidRPr="00EC7A77" w:rsidRDefault="00F97977" w:rsidP="00EC7A77">
      <w:pPr>
        <w:pStyle w:val="ListParagraph"/>
        <w:numPr>
          <w:ilvl w:val="0"/>
          <w:numId w:val="9"/>
        </w:numPr>
        <w:spacing w:after="0" w:line="240" w:lineRule="auto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proofErr w:type="spellStart"/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OceanOPS</w:t>
      </w:r>
      <w:proofErr w:type="spellEnd"/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</w:t>
      </w:r>
      <w:r w:rsid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is tasked as</w:t>
      </w:r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a key partner to manage metadata but so far, there has been </w:t>
      </w:r>
      <w:r w:rsid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limited</w:t>
      </w:r>
      <w:r w:rsidRP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support</w:t>
      </w:r>
      <w:r w:rsid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, clear directives from </w:t>
      </w:r>
      <w:proofErr w:type="spellStart"/>
      <w:r w:rsid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OceanOPS</w:t>
      </w:r>
      <w:proofErr w:type="spellEnd"/>
      <w:r w:rsid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will help clarify </w:t>
      </w:r>
      <w:r w:rsidR="00B66294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mutual</w:t>
      </w:r>
      <w:r w:rsid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obligations and facilitate a </w:t>
      </w:r>
      <w:r w:rsidR="00B66294" w:rsidRPr="00B66294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reciprocally</w:t>
      </w:r>
      <w:r w:rsidR="00EC7A77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beneficial solution – is this the plan for the service level agreements (SLAs) that are being proposed</w:t>
      </w:r>
      <w:r w:rsidR="00B66294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? </w:t>
      </w:r>
    </w:p>
    <w:p w14:paraId="5D4189C3" w14:textId="77777777" w:rsidR="00F97977" w:rsidRDefault="00F97977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</w:p>
    <w:p w14:paraId="4C88F918" w14:textId="06051721" w:rsidR="005D7A4C" w:rsidRDefault="00000000" w:rsidP="005D7A4C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Recent publications, articles, etc. (if you want to share)</w:t>
      </w:r>
    </w:p>
    <w:p w14:paraId="416932B4" w14:textId="77777777" w:rsidR="008A40E3" w:rsidRPr="008A40E3" w:rsidRDefault="008A40E3" w:rsidP="008A40E3">
      <w:p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72964E38" w14:textId="6BD103BA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Adamczak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S.K.,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McHuron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E.A., Christiansen, F., Dunkin, R., McMahon, C.R.,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Noren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S.,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Pirotta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E., Rosen, D.,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Sumich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J., Costa, D.P. &amp; Cooke, S.; 2023; Growth in marine mammals: a review of growth patterns, </w:t>
      </w:r>
      <w:proofErr w:type="gramStart"/>
      <w:r w:rsidRPr="005D7A4C">
        <w:rPr>
          <w:rFonts w:ascii="Helvetica Neue" w:eastAsia="Helvetica Neue" w:hAnsi="Helvetica Neue" w:cs="Helvetica Neue"/>
          <w:sz w:val="18"/>
          <w:szCs w:val="18"/>
        </w:rPr>
        <w:t>composition</w:t>
      </w:r>
      <w:proofErr w:type="gram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 and energy investment; Conservation Physiology; 1110.1093/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conphys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/coad035.</w:t>
      </w:r>
    </w:p>
    <w:p w14:paraId="0B43B022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Allegue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H.,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Reale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D., Picard, B. &amp;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Guinet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, C.; 2023; Track and dive-based movement metrics do not predict the number of prey encountered by a marine predator; Movement Ecology; 11; 3; 10.1186/s40462-022-00361-2.</w:t>
      </w:r>
    </w:p>
    <w:p w14:paraId="3EC8D082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Azarian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C., Bopp, L.,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Pietri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A., Sallée, J.-B. &amp;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d'Ovidio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, F.; 2023a; Current and projected patterns of warming and marine heatwaves in the Southern Indian Ocean; Progress in Oceanography; 21510.1016/j.pocean.2023.103036.</w:t>
      </w:r>
    </w:p>
    <w:p w14:paraId="38F3E1FF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Azarian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C., Bopp, L., Sallée, J.-B., Swart, S.,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Guinet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C. &amp;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d'Ovidio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, F.; 2023b; Marine heatwaves and global warming impacts on winter waters in the Southern Indian Ocean; Journal of Marine Systems; 10.1016/j.jmarsys.2023.103962.</w:t>
      </w:r>
    </w:p>
    <w:p w14:paraId="7F31B425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Bourreau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L.,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Pauthenet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E., Le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Ster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L., Picard, B.,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Portela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E., Sallée, J.-B., McMahon, C.R., Harcourt, R.,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Hindell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M.,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Guinet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C.,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Bestley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S.,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Charrassin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J.-B.,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DuVivier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A., Sylvester, Z.,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Krumhardt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K.,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Jenouvrier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S. &amp;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Labrousse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, S.; 2023; First description of in situ chlorophyll fluorescence signal within East Antarctic coastal polynyas during fall and winter; Frontiers in Marine Science; 1010.3389/fmars.2023.1186403.</w:t>
      </w:r>
    </w:p>
    <w:p w14:paraId="30D8FEB5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Boyer, T., Zhang, H.-M., O’Brien, K., Reagan, J., Diggs, S., Freeman, E., Garcia, H., Heslop, E., Hogan, P., Huang, B., Jiang, L.-Q.,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Kozyr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A., Liu, C.,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Locarnini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R.,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Mishonov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A.V., Paver, C., Wang, Z.,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Zweng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M., Alin, S.,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Barbero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L., Barth, J.A.,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Belbeoch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M., Cebrian, J., Connell, K.J., Cowley, R.,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Dukhovskoy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D., Galbraith, N.R.,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Goni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G., Katz, F.,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Kramp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M., Kumar, A., Legler, D.M., Lumpkin, R., McMahon, C.R., Pierrot, D.,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Plueddemann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A.J., Smith, E.A., Sutton, A., Turpin, V., Jiang, L., Suneel, V.,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Wanninkhof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, R., Weller, R.A. &amp; Wong, A.P.S.; 2023; Effects of the Pandemic on Observing the Global Ocean; Bulletin of the American Meteorological Society; 104; E389-E410; 10.1175/bams-d-21-0210.1.</w:t>
      </w:r>
    </w:p>
    <w:p w14:paraId="0FB0249F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r w:rsidRPr="005D7A4C">
        <w:rPr>
          <w:rFonts w:ascii="Helvetica Neue" w:eastAsia="Helvetica Neue" w:hAnsi="Helvetica Neue" w:cs="Helvetica Neue"/>
          <w:sz w:val="18"/>
          <w:szCs w:val="18"/>
        </w:rPr>
        <w:t>Chen, Y., Zhang, Z., Wang, X., Liu, X. &amp; Zhou, M.; 2023; Interannual variations of heat budget in the lower layer of the eastern Ross Sea shelf and the forcing mechanisms in the Southern Ocean State Estimate; International Journal of Climatology; 43; 5055-5076; 10.1002/joc.8132.</w:t>
      </w:r>
    </w:p>
    <w:p w14:paraId="7379AA72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Ellis-Soto, D.,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Wikelski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M. &amp;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Jetz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, W.; 2023; Animal-borne sensors as a biologically informed lens on a changing climate; Nature Climate Change; 10.1038/s41558-023-01781-7.</w:t>
      </w:r>
    </w:p>
    <w:p w14:paraId="1D8CCA95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Gülk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B., Roquet, F.,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Naveira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Garabato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A.C., Narayanan, A.,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Rousset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C. &amp;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Madec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, G.; 2023; Variability and Remote Controls of the Warm‐Water Halo and Taylor Cap at Maud Rise; Journal of Geophysical Research: Oceans; 12810.1029/2022jc019517.</w:t>
      </w:r>
    </w:p>
    <w:p w14:paraId="3D4470A6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Himmich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K.,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Vancoppenolle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M.,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Madec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G.,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Sallee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J.B., Holland, P.R. &amp; Lebrun, M.; 2023; Drivers of </w:t>
      </w:r>
      <w:proofErr w:type="gramStart"/>
      <w:r w:rsidRPr="005D7A4C">
        <w:rPr>
          <w:rFonts w:ascii="Helvetica Neue" w:eastAsia="Helvetica Neue" w:hAnsi="Helvetica Neue" w:cs="Helvetica Neue"/>
          <w:sz w:val="18"/>
          <w:szCs w:val="18"/>
        </w:rPr>
        <w:t>Antarctic sea</w:t>
      </w:r>
      <w:proofErr w:type="gram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 ice advance; Nature Communications; 14; 6219; 10.1038/s41467-023-41962-8.</w:t>
      </w:r>
    </w:p>
    <w:p w14:paraId="05A264D4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Holbach, H.M., Bousquet, O., Bucci, L., Chang, P.,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Cione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J.,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Ditchek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S., Doyle, J.,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Duvel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J.-P.,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Elston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J.,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Goni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G., Hon, K.K., Ito, K.,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Jelenak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Z., Lei, X., Lumpkin, R., McMahon, C.R., Reason, C.,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Sanabia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E., Shay, L.K.,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Sippel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J.A.,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Sushko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A., Tang, J.,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Tsuboki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K., Yamada, H., Zawislak, J. &amp; Zhang, J.A.; 2023; Recent </w:t>
      </w:r>
      <w:r w:rsidRPr="005D7A4C">
        <w:rPr>
          <w:rFonts w:ascii="Helvetica Neue" w:eastAsia="Helvetica Neue" w:hAnsi="Helvetica Neue" w:cs="Helvetica Neue"/>
          <w:sz w:val="18"/>
          <w:szCs w:val="18"/>
        </w:rPr>
        <w:lastRenderedPageBreak/>
        <w:t>Advancements in Aircraft and In Situ Observations of Tropical Cyclones; Tropical Cyclone Research and Review; 12; 81-99; 10.1016/j.tcrr.2023.06.001.</w:t>
      </w:r>
    </w:p>
    <w:p w14:paraId="4202C84C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Jonsen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I.D., Grecian, W.J., Phillips, L., Carroll, G., McMahon, C., Harcourt, R.G.,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Hindell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M.A. &amp; Patterson, T.A.; 2023;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aniMotum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an R package for animal movement data: Rapid quality control,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behavioural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gramStart"/>
      <w:r w:rsidRPr="005D7A4C">
        <w:rPr>
          <w:rFonts w:ascii="Helvetica Neue" w:eastAsia="Helvetica Neue" w:hAnsi="Helvetica Neue" w:cs="Helvetica Neue"/>
          <w:sz w:val="18"/>
          <w:szCs w:val="18"/>
        </w:rPr>
        <w:t>estimation</w:t>
      </w:r>
      <w:proofErr w:type="gram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 and simulation; Methods in Ecology and Evolution; 10.1111/2041-210x.14060.</w:t>
      </w:r>
    </w:p>
    <w:p w14:paraId="7FCAD6AF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Le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Ster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L.,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Claustre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H.,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d’Ovidio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F.,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Nerini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D., Picard, B. &amp;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Guinet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C.; 2023; Improved accuracy and spatial resolution for bio-logging-derived chlorophyll a </w:t>
      </w:r>
      <w:proofErr w:type="gramStart"/>
      <w:r w:rsidRPr="005D7A4C">
        <w:rPr>
          <w:rFonts w:ascii="Helvetica Neue" w:eastAsia="Helvetica Neue" w:hAnsi="Helvetica Neue" w:cs="Helvetica Neue"/>
          <w:sz w:val="18"/>
          <w:szCs w:val="18"/>
        </w:rPr>
        <w:t>fluorescence measurements</w:t>
      </w:r>
      <w:proofErr w:type="gram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 in the Southern Ocean; Frontiers in Marine Science; 1010.3389/fmars.2023.1122822.</w:t>
      </w:r>
    </w:p>
    <w:p w14:paraId="239AF7EE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McMahon, C.R.,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Hindell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M.A.,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Charrassin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J.B., Coleman, R.,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Guinet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C., Harcourt, R.,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Labrousse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, S., Raymond, B., Sumner, M. &amp; Ribeiro, N.; 2023; Southern Ocean pinnipeds provide bathymetric insights on the East Antarctic continental shelf; Communications Earth &amp; Environment; 410.1038/s43247-023-00928-w.</w:t>
      </w:r>
    </w:p>
    <w:p w14:paraId="0B261EC9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Narayanan, A.,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Gille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S.T.,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Mazloff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, M.R., du Plessis, M.D., Murali, K. &amp; Roquet, F.; 2023; Zonal Distribution of Circumpolar Deep Water Transformation Rates and Its Relation to Heat Content on Antarctic Shelves; Journal of Geophysical Research: Oceans; 12810.1029/2022jc019310.</w:t>
      </w:r>
    </w:p>
    <w:p w14:paraId="5077B6C5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Ribeiro, N.,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Herraiz-Borreguero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L., Rintoul, S.R., Williams, G., McMahon, C.R.,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Hindell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M. &amp;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Guinet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C.; 2023; Oceanic Regime Shift to a Warmer Continental Shelf Adjacent to the Shackleton Ice Shelf, East Antarctica; Journal of Geophysical Research: Oceans; 128; e2023JC019882; 10.1029/2023JC019882 </w:t>
      </w:r>
    </w:p>
    <w:p w14:paraId="1BAB94C9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Silvano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Purkey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S., Gordon, A.L., Castagno, P., Stewart, A.L., Rintoul, S.R.,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Foppert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A., Gunn, K.L.,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Herraiz-Borreguero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L., Aoki, S., Nakayama, Y.,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Naveira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Garabato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A.C.,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Spingys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C.,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Akhoudas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C.H., Sallée, J.-B., de Lavergne, C., Abrahamsen, E.P.,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Meijers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A.J.S., Meredith, M.P., Zhou, S., Tamura, T., Yamazaki, K., Ohshima, K.I., Falco, P.,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Budillon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G.,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Hattermann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T.,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Janout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M.A.,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Llanillo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P., Bowen, M.M.,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Darelius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E.,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Østerhus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S., Nicholls, K.W., Stevens, C., Fernandez, D.,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Cimoli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L., Jacobs, S.S., Morrison, A.K., Hogg, A.M.,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Haumann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F.A.,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Mashayek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, A., Wang, Z., Kerr, R., Williams, G.D. &amp; Lee, W.S.; 2023; Observing Antarctic Bottom Water in the Southern Ocean; Frontiers in Marine Science; 1010.3389/fmars.2023.1221701.</w:t>
      </w:r>
    </w:p>
    <w:p w14:paraId="2077A81B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Viola, B., Wienecke, B., Green, C.-P.,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Corney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S., Raymond, B.,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Southwell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C., Sumner, M.D., Virtue, P.,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Wotherspoon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, S. &amp; Emmerson, L.; 2023; Marine distribution and habitat use by Snow Petrels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Pagodroma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 nivea in East Antarctica throughout the non-breeding period; Frontiers in Marine Science; 1010.3389/fmars.2023.1278229.</w:t>
      </w:r>
    </w:p>
    <w:p w14:paraId="2978D96B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r w:rsidRPr="005D7A4C">
        <w:rPr>
          <w:rFonts w:ascii="Helvetica Neue" w:eastAsia="Helvetica Neue" w:hAnsi="Helvetica Neue" w:cs="Helvetica Neue"/>
          <w:sz w:val="18"/>
          <w:szCs w:val="18"/>
        </w:rPr>
        <w:t xml:space="preserve">Yamazaki, K., Aoki, S. &amp; </w:t>
      </w:r>
      <w:proofErr w:type="spellStart"/>
      <w:r w:rsidRPr="005D7A4C">
        <w:rPr>
          <w:rFonts w:ascii="Helvetica Neue" w:eastAsia="Helvetica Neue" w:hAnsi="Helvetica Neue" w:cs="Helvetica Neue"/>
          <w:sz w:val="18"/>
          <w:szCs w:val="18"/>
        </w:rPr>
        <w:t>Mizobata</w:t>
      </w:r>
      <w:proofErr w:type="spellEnd"/>
      <w:r w:rsidRPr="005D7A4C">
        <w:rPr>
          <w:rFonts w:ascii="Helvetica Neue" w:eastAsia="Helvetica Neue" w:hAnsi="Helvetica Neue" w:cs="Helvetica Neue"/>
          <w:sz w:val="18"/>
          <w:szCs w:val="18"/>
        </w:rPr>
        <w:t>, K.; 2023; Diffusion of Circumpolar Deep Water Towards Antarctica; Journal of Geophysical Research: Oceans; 12810.1029/2022jc019422.</w:t>
      </w:r>
    </w:p>
    <w:p w14:paraId="1C39ADE6" w14:textId="77777777" w:rsidR="005D7A4C" w:rsidRPr="005D7A4C" w:rsidRDefault="005D7A4C" w:rsidP="005D7A4C">
      <w:pPr>
        <w:ind w:left="567" w:hanging="567"/>
        <w:rPr>
          <w:rFonts w:ascii="Helvetica Neue" w:eastAsia="Helvetica Neue" w:hAnsi="Helvetica Neue" w:cs="Helvetica Neue"/>
          <w:sz w:val="18"/>
          <w:szCs w:val="18"/>
        </w:rPr>
      </w:pPr>
      <w:r w:rsidRPr="005D7A4C">
        <w:rPr>
          <w:rFonts w:ascii="Helvetica Neue" w:eastAsia="Helvetica Neue" w:hAnsi="Helvetica Neue" w:cs="Helvetica Neue"/>
          <w:sz w:val="18"/>
          <w:szCs w:val="18"/>
        </w:rPr>
        <w:t>Yan, L., Wang, Z., Liu, C., Wu, Y., Qin, Q., Sun, C., Qian, J. &amp; Zhang, L.; 2023; The Salinity Budget of the Ross Sea Continental Shelf, Antarctica; Journal of Geophysical Research: Oceans; 12810.1029/2022jc018979.</w:t>
      </w:r>
    </w:p>
    <w:p w14:paraId="6628BB54" w14:textId="77777777" w:rsidR="00366F8F" w:rsidRDefault="00366F8F"/>
    <w:sectPr w:rsidR="00366F8F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44B9" w14:textId="77777777" w:rsidR="003400D7" w:rsidRDefault="003400D7">
      <w:pPr>
        <w:spacing w:after="0" w:line="240" w:lineRule="auto"/>
      </w:pPr>
      <w:r>
        <w:separator/>
      </w:r>
    </w:p>
  </w:endnote>
  <w:endnote w:type="continuationSeparator" w:id="0">
    <w:p w14:paraId="4579C124" w14:textId="77777777" w:rsidR="003400D7" w:rsidRDefault="0034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2E99" w14:textId="77777777" w:rsidR="00366F8F" w:rsidRDefault="00366F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A565" w14:textId="77777777" w:rsidR="003400D7" w:rsidRDefault="003400D7">
      <w:pPr>
        <w:spacing w:after="0" w:line="240" w:lineRule="auto"/>
      </w:pPr>
      <w:r>
        <w:separator/>
      </w:r>
    </w:p>
  </w:footnote>
  <w:footnote w:type="continuationSeparator" w:id="0">
    <w:p w14:paraId="2A824D54" w14:textId="77777777" w:rsidR="003400D7" w:rsidRDefault="003400D7">
      <w:pPr>
        <w:spacing w:after="0" w:line="240" w:lineRule="auto"/>
      </w:pPr>
      <w:r>
        <w:continuationSeparator/>
      </w:r>
    </w:p>
  </w:footnote>
  <w:footnote w:id="1">
    <w:p w14:paraId="530E3646" w14:textId="77777777" w:rsidR="00366F8F" w:rsidRPr="00F97977" w:rsidRDefault="00000000">
      <w:pPr>
        <w:spacing w:after="0" w:line="240" w:lineRule="auto"/>
        <w:rPr>
          <w:sz w:val="20"/>
          <w:szCs w:val="20"/>
          <w:lang w:val="fr-FR"/>
        </w:rPr>
      </w:pPr>
      <w:r>
        <w:rPr>
          <w:vertAlign w:val="superscript"/>
        </w:rPr>
        <w:footnoteRef/>
      </w:r>
      <w:r w:rsidRPr="00F97977">
        <w:rPr>
          <w:sz w:val="20"/>
          <w:szCs w:val="20"/>
          <w:lang w:val="fr-FR"/>
        </w:rPr>
        <w:t xml:space="preserve"> </w:t>
      </w:r>
      <w:hyperlink r:id="rId1">
        <w:r w:rsidRPr="00F97977">
          <w:rPr>
            <w:color w:val="1155CC"/>
            <w:sz w:val="20"/>
            <w:szCs w:val="20"/>
            <w:u w:val="single"/>
            <w:lang w:val="fr-FR"/>
          </w:rPr>
          <w:t>https://oceanexpert.org/downloadFile/45372</w:t>
        </w:r>
      </w:hyperlink>
      <w:r w:rsidRPr="00F97977">
        <w:rPr>
          <w:sz w:val="20"/>
          <w:szCs w:val="20"/>
          <w:lang w:val="fr-FR"/>
        </w:rPr>
        <w:t xml:space="preserve"> </w:t>
      </w:r>
    </w:p>
  </w:footnote>
  <w:footnote w:id="2">
    <w:p w14:paraId="150E5CD3" w14:textId="0074E67E" w:rsidR="00090943" w:rsidRPr="00F97977" w:rsidRDefault="00090943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F97977">
        <w:rPr>
          <w:lang w:val="fr-FR"/>
        </w:rPr>
        <w:t xml:space="preserve"> Bousquet, O. et al. </w:t>
      </w:r>
      <w:r>
        <w:t xml:space="preserve">Sea Turtles for Ocean Research and Monitoring: Overview and Initial Results of the STORM Project in the Southwest Indian Ocean. </w:t>
      </w:r>
      <w:r w:rsidRPr="00F97977">
        <w:rPr>
          <w:lang w:val="fr-FR"/>
        </w:rPr>
        <w:t xml:space="preserve">Frontiers in Marine Science 7 (2020). https://doi.org:10.3389/fmars.2020.594080 </w:t>
      </w:r>
    </w:p>
  </w:footnote>
  <w:footnote w:id="3">
    <w:p w14:paraId="26F2D966" w14:textId="40690580" w:rsidR="00090943" w:rsidRPr="00090943" w:rsidRDefault="00090943">
      <w:pPr>
        <w:pStyle w:val="FootnoteText"/>
      </w:pPr>
      <w:r>
        <w:rPr>
          <w:rStyle w:val="FootnoteReference"/>
        </w:rPr>
        <w:footnoteRef/>
      </w:r>
      <w:r w:rsidRPr="00F97977">
        <w:rPr>
          <w:lang w:val="fr-FR"/>
        </w:rPr>
        <w:t xml:space="preserve"> Bousquet, O. et al. </w:t>
      </w:r>
      <w:r>
        <w:t xml:space="preserve">Impact of Tropical Cyclones on Inhabited Areas of the SWIO Basin at Present and Future Horizons. Part 1: Overview and Observing Component of the Research Project RENOVRISK-CYCLONE. Atmosphere 12, 544 (2021). https://doi.org:10.3390/atmos12050544 </w:t>
      </w:r>
    </w:p>
  </w:footnote>
  <w:footnote w:id="4">
    <w:p w14:paraId="42626FBD" w14:textId="2E3C2F09" w:rsidR="00090943" w:rsidRPr="00090943" w:rsidRDefault="00090943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090943">
        <w:t>Holbach, H. M. et al. Recent Advancements in Aircraft and In Situ Observations of Tropical Cyclones. Tropical Cyclone Research and Review 12, 81-99 (2023). https://doi.org:10.1016/j.tcrr.2023.06.001</w:t>
      </w:r>
    </w:p>
  </w:footnote>
  <w:footnote w:id="5">
    <w:p w14:paraId="63450347" w14:textId="77777777" w:rsidR="00366F8F" w:rsidRDefault="00000000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Future plans</w:t>
      </w:r>
      <w:proofErr w:type="gramEnd"/>
      <w:r>
        <w:rPr>
          <w:sz w:val="20"/>
          <w:szCs w:val="20"/>
        </w:rPr>
        <w:t xml:space="preserve"> on implementation, instrumentation, data management, test, new sensors, plan for new EOV/ECV observations, capacity development,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7741" w14:textId="77777777" w:rsidR="00366F8F" w:rsidRDefault="00366F8F">
    <w:pPr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06B8" w14:textId="77777777" w:rsidR="00366F8F" w:rsidRDefault="00000000">
    <w:pPr>
      <w:keepLines/>
      <w:spacing w:before="240" w:after="0" w:line="240" w:lineRule="auto"/>
      <w:jc w:val="center"/>
      <w:rPr>
        <w:rFonts w:ascii="Helvetica Neue" w:eastAsia="Helvetica Neue" w:hAnsi="Helvetica Neue" w:cs="Helvetica Neue"/>
        <w:b/>
        <w:color w:val="073763"/>
        <w:sz w:val="26"/>
        <w:szCs w:val="26"/>
      </w:rPr>
    </w:pPr>
    <w:r>
      <w:rPr>
        <w:rFonts w:ascii="Helvetica Neue" w:eastAsia="Helvetica Neue" w:hAnsi="Helvetica Neue" w:cs="Helvetica Neue"/>
        <w:b/>
        <w:color w:val="073763"/>
        <w:sz w:val="34"/>
        <w:szCs w:val="34"/>
      </w:rPr>
      <w:t>15</w:t>
    </w:r>
    <w:r>
      <w:rPr>
        <w:rFonts w:ascii="Helvetica Neue" w:eastAsia="Helvetica Neue" w:hAnsi="Helvetica Neue" w:cs="Helvetica Neue"/>
        <w:b/>
        <w:color w:val="073763"/>
        <w:sz w:val="34"/>
        <w:szCs w:val="34"/>
        <w:vertAlign w:val="superscript"/>
      </w:rPr>
      <w:t>th</w:t>
    </w:r>
    <w:r>
      <w:rPr>
        <w:rFonts w:ascii="Helvetica Neue" w:eastAsia="Helvetica Neue" w:hAnsi="Helvetica Neue" w:cs="Helvetica Neue"/>
        <w:b/>
        <w:color w:val="073763"/>
        <w:sz w:val="34"/>
        <w:szCs w:val="34"/>
      </w:rPr>
      <w:t xml:space="preserve"> Observation Coordination Group (OCG-15)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BC6152A" wp14:editId="2926DD8D">
          <wp:simplePos x="0" y="0"/>
          <wp:positionH relativeFrom="column">
            <wp:posOffset>-619124</wp:posOffset>
          </wp:positionH>
          <wp:positionV relativeFrom="paragraph">
            <wp:posOffset>72391</wp:posOffset>
          </wp:positionV>
          <wp:extent cx="913422" cy="556357"/>
          <wp:effectExtent l="0" t="0" r="0" b="0"/>
          <wp:wrapNone/>
          <wp:docPr id="9355847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3422" cy="5563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A2A360" w14:textId="77777777" w:rsidR="00366F8F" w:rsidRDefault="00000000">
    <w:pPr>
      <w:spacing w:after="0" w:line="240" w:lineRule="auto"/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color w:val="073763"/>
        <w:sz w:val="26"/>
        <w:szCs w:val="26"/>
      </w:rPr>
      <w:t>13-17 May 2024, Victoria, British Columbia, Canada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8DB"/>
    <w:multiLevelType w:val="multilevel"/>
    <w:tmpl w:val="026E9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53C48"/>
    <w:multiLevelType w:val="hybridMultilevel"/>
    <w:tmpl w:val="88547DD2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921134"/>
    <w:multiLevelType w:val="hybridMultilevel"/>
    <w:tmpl w:val="540EF8C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833B7"/>
    <w:multiLevelType w:val="multilevel"/>
    <w:tmpl w:val="5F1C1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91DAB"/>
    <w:multiLevelType w:val="hybridMultilevel"/>
    <w:tmpl w:val="B44A2860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E843199"/>
    <w:multiLevelType w:val="multilevel"/>
    <w:tmpl w:val="DA2441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42416C8"/>
    <w:multiLevelType w:val="multilevel"/>
    <w:tmpl w:val="75E42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70389"/>
    <w:multiLevelType w:val="multilevel"/>
    <w:tmpl w:val="5E2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B49A4"/>
    <w:multiLevelType w:val="multilevel"/>
    <w:tmpl w:val="AF024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4689912">
    <w:abstractNumId w:val="8"/>
  </w:num>
  <w:num w:numId="2" w16cid:durableId="477502909">
    <w:abstractNumId w:val="5"/>
  </w:num>
  <w:num w:numId="3" w16cid:durableId="1241448555">
    <w:abstractNumId w:val="4"/>
  </w:num>
  <w:num w:numId="4" w16cid:durableId="175389603">
    <w:abstractNumId w:val="1"/>
  </w:num>
  <w:num w:numId="5" w16cid:durableId="1014112123">
    <w:abstractNumId w:val="7"/>
  </w:num>
  <w:num w:numId="6" w16cid:durableId="1244415317">
    <w:abstractNumId w:val="6"/>
  </w:num>
  <w:num w:numId="7" w16cid:durableId="265038631">
    <w:abstractNumId w:val="0"/>
  </w:num>
  <w:num w:numId="8" w16cid:durableId="1714382059">
    <w:abstractNumId w:val="3"/>
  </w:num>
  <w:num w:numId="9" w16cid:durableId="46100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8F"/>
    <w:rsid w:val="00090943"/>
    <w:rsid w:val="000C624F"/>
    <w:rsid w:val="001A565A"/>
    <w:rsid w:val="001A6C3D"/>
    <w:rsid w:val="001C1CBA"/>
    <w:rsid w:val="00207E9B"/>
    <w:rsid w:val="00285D84"/>
    <w:rsid w:val="003400D7"/>
    <w:rsid w:val="00366F8F"/>
    <w:rsid w:val="00394509"/>
    <w:rsid w:val="00477116"/>
    <w:rsid w:val="005D7A4C"/>
    <w:rsid w:val="0072339D"/>
    <w:rsid w:val="00763BD0"/>
    <w:rsid w:val="00867EFB"/>
    <w:rsid w:val="008A40E3"/>
    <w:rsid w:val="008C3347"/>
    <w:rsid w:val="008D5DEC"/>
    <w:rsid w:val="00A56D94"/>
    <w:rsid w:val="00AF6A8F"/>
    <w:rsid w:val="00B66294"/>
    <w:rsid w:val="00B77413"/>
    <w:rsid w:val="00B82EC1"/>
    <w:rsid w:val="00CD12DE"/>
    <w:rsid w:val="00EC7A77"/>
    <w:rsid w:val="00F34221"/>
    <w:rsid w:val="00F97977"/>
    <w:rsid w:val="00FA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183DD"/>
  <w15:docId w15:val="{F5C8B96D-1F87-2444-B4E5-ABAF8E55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1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090"/>
  </w:style>
  <w:style w:type="paragraph" w:styleId="Footer">
    <w:name w:val="footer"/>
    <w:basedOn w:val="Normal"/>
    <w:link w:val="FooterChar"/>
    <w:uiPriority w:val="99"/>
    <w:unhideWhenUsed/>
    <w:rsid w:val="0031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090"/>
  </w:style>
  <w:style w:type="paragraph" w:styleId="NormalWeb">
    <w:name w:val="Normal (Web)"/>
    <w:basedOn w:val="Normal"/>
    <w:uiPriority w:val="99"/>
    <w:semiHidden/>
    <w:unhideWhenUsed/>
    <w:rsid w:val="0031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0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47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A40E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909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9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0943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D5DE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yu@unesc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ceanexpert.org/downloadFile/4537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YGFW97J6+3jPfWpP9jisSiKbA==">CgMxLjA4AHIhMTFoOFhPbUFJR3lDWEpHYmg1elNZLVBoaDJ0YUdpQjkx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Ting</dc:creator>
  <cp:lastModifiedBy>Clive McMahon</cp:lastModifiedBy>
  <cp:revision>15</cp:revision>
  <dcterms:created xsi:type="dcterms:W3CDTF">2023-02-10T14:29:00Z</dcterms:created>
  <dcterms:modified xsi:type="dcterms:W3CDTF">2024-03-27T23:08:00Z</dcterms:modified>
</cp:coreProperties>
</file>