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rFonts w:ascii="Barlow" w:cs="Barlow" w:eastAsia="Barlow" w:hAnsi="Barlow"/>
          <w:color w:val="07376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00" w:line="240" w:lineRule="auto"/>
        <w:jc w:val="center"/>
        <w:rPr>
          <w:rFonts w:ascii="Helvetica Neue" w:cs="Helvetica Neue" w:eastAsia="Helvetica Neue" w:hAnsi="Helvetica Neue"/>
          <w:b w:val="1"/>
          <w:color w:val="073763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73763"/>
          <w:sz w:val="32"/>
          <w:szCs w:val="32"/>
          <w:rtl w:val="0"/>
        </w:rPr>
        <w:t xml:space="preserve">GOOS Network OCG-15 Report Template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Barlow" w:cs="Barlow" w:eastAsia="Barlow" w:hAnsi="Barlow"/>
          <w:color w:val="00153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We ask that you follow this template for reporting prior to OCG-15. Please note that we ask each Network to complete this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u w:val="single"/>
          <w:rtl w:val="0"/>
        </w:rPr>
        <w:t xml:space="preserve">reporting document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by April 12 2024 to highlight the advances during the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u w:val="single"/>
          <w:rtl w:val="0"/>
        </w:rPr>
        <w:t xml:space="preserve">last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u w:val="single"/>
          <w:rtl w:val="0"/>
        </w:rPr>
        <w:t xml:space="preserve">intersessional period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and prepare a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u w:val="single"/>
          <w:rtl w:val="0"/>
        </w:rPr>
        <w:t xml:space="preserve">poster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for the OCG-15 meeting (template to be provided). Please use this report to highlight what your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key challenges are, any ask for the OCG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(Exec, networks, OceanOPS, and/or GOOS), and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how OCG can support your network and activities towards an expanded, integrated and more fit for purpose global ocean observing system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These reports will be reviewed by the OCG Exec prior to OCG-15 and will help guide the conversation and action planning at the meeting, and inform the network posters.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This year, the reporting will be primarily through this written report - with opportunities to discuss the content and show advances through the poster session, and to collectively discuss challenges, opportunities and ‘asks’ in Session 10: Network issues and opportunities.</w:t>
      </w:r>
    </w:p>
    <w:p w:rsidR="00000000" w:rsidDel="00000000" w:rsidP="00000000" w:rsidRDefault="00000000" w:rsidRPr="00000000" w14:paraId="00000009">
      <w:pPr>
        <w:spacing w:after="0" w:line="24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Please be concise in your reporting, 4 page limit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Network reports should be submitted to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sz w:val="24"/>
            <w:szCs w:val="24"/>
            <w:u w:val="single"/>
            <w:rtl w:val="0"/>
          </w:rPr>
          <w:t xml:space="preserve">t.yu@unesco.org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by end of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day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April 12 (Friday)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2024</w:t>
      </w:r>
    </w:p>
    <w:p w:rsidR="00000000" w:rsidDel="00000000" w:rsidP="00000000" w:rsidRDefault="00000000" w:rsidRPr="00000000" w14:paraId="0000000C">
      <w:pPr>
        <w:spacing w:after="0" w:line="240" w:lineRule="auto"/>
        <w:jc w:val="left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left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Helvetica Neue" w:cs="Helvetica Neue" w:eastAsia="Helvetica Neue" w:hAnsi="Helvetica Neue"/>
          <w:b w:val="1"/>
          <w:color w:val="073763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73763"/>
          <w:sz w:val="32"/>
          <w:szCs w:val="32"/>
          <w:rtl w:val="0"/>
        </w:rPr>
        <w:t xml:space="preserve">GOOS Network Name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Helvetica Neue" w:cs="Helvetica Neue" w:eastAsia="Helvetica Neue" w:hAnsi="Helvetica Neue"/>
          <w:color w:val="07376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73763"/>
          <w:sz w:val="24"/>
          <w:szCs w:val="24"/>
          <w:rtl w:val="0"/>
        </w:rPr>
        <w:t xml:space="preserve">Prepared/submitted by ****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Highlight the key n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etwork successes</w:t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(add content here)</w:t>
      </w:r>
    </w:p>
    <w:p w:rsidR="00000000" w:rsidDel="00000000" w:rsidP="00000000" w:rsidRDefault="00000000" w:rsidRPr="00000000" w14:paraId="00000013">
      <w:pPr>
        <w:spacing w:after="0" w:line="24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How has the network advanced across the OCG Network Attribute areas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(add content here)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Future Plans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and Opportunities - at network and/or cross-network OCG level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(add content here)</w:t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Challenges and Concerns - at network and/or cross-network OCG level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(add content here)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Asks from OCG (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Exec, networks, OceanOPS, and/or GOOS), perhaps related to the responses to parts 3 and 4 and how OCG can support your network 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(add content here)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Recent publications, articles, etc. (if you want to share)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(add content here)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Quattrocento Sans" w:cs="Quattrocento Sans" w:eastAsia="Quattrocento Sans" w:hAnsi="Quattrocento Sans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rlow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02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Future plans </w:t>
      </w:r>
      <w:r w:rsidDel="00000000" w:rsidR="00000000" w:rsidRPr="00000000">
        <w:rPr>
          <w:sz w:val="20"/>
          <w:szCs w:val="20"/>
          <w:rtl w:val="0"/>
        </w:rPr>
        <w:t xml:space="preserve">on implementation, instrumentation, data management, test, new sensors, plan for new EOV/ECV observations, capacity development, etc.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2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https://oceanexpert.org/downloadFile/45372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Lines w:val="1"/>
      <w:spacing w:after="0" w:before="240" w:line="240" w:lineRule="auto"/>
      <w:jc w:val="center"/>
      <w:rPr>
        <w:rFonts w:ascii="Helvetica Neue" w:cs="Helvetica Neue" w:eastAsia="Helvetica Neue" w:hAnsi="Helvetica Neue"/>
        <w:b w:val="1"/>
        <w:color w:val="073763"/>
        <w:sz w:val="26"/>
        <w:szCs w:val="26"/>
      </w:rPr>
    </w:pPr>
    <w:r w:rsidDel="00000000" w:rsidR="00000000" w:rsidRPr="00000000">
      <w:rPr>
        <w:rFonts w:ascii="Helvetica Neue" w:cs="Helvetica Neue" w:eastAsia="Helvetica Neue" w:hAnsi="Helvetica Neue"/>
        <w:b w:val="1"/>
        <w:color w:val="073763"/>
        <w:sz w:val="34"/>
        <w:szCs w:val="34"/>
        <w:rtl w:val="0"/>
      </w:rPr>
      <w:t xml:space="preserve">15</w:t>
    </w:r>
    <w:r w:rsidDel="00000000" w:rsidR="00000000" w:rsidRPr="00000000">
      <w:rPr>
        <w:rFonts w:ascii="Helvetica Neue" w:cs="Helvetica Neue" w:eastAsia="Helvetica Neue" w:hAnsi="Helvetica Neue"/>
        <w:b w:val="1"/>
        <w:color w:val="073763"/>
        <w:sz w:val="34"/>
        <w:szCs w:val="34"/>
        <w:vertAlign w:val="superscript"/>
        <w:rtl w:val="0"/>
      </w:rPr>
      <w:t xml:space="preserve">th</w:t>
    </w:r>
    <w:r w:rsidDel="00000000" w:rsidR="00000000" w:rsidRPr="00000000">
      <w:rPr>
        <w:rFonts w:ascii="Helvetica Neue" w:cs="Helvetica Neue" w:eastAsia="Helvetica Neue" w:hAnsi="Helvetica Neue"/>
        <w:b w:val="1"/>
        <w:color w:val="073763"/>
        <w:sz w:val="34"/>
        <w:szCs w:val="34"/>
        <w:rtl w:val="0"/>
      </w:rPr>
      <w:t xml:space="preserve"> Observation Coordination Group (OCG-15)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-619124</wp:posOffset>
          </wp:positionH>
          <wp:positionV relativeFrom="paragraph">
            <wp:posOffset>72391</wp:posOffset>
          </wp:positionV>
          <wp:extent cx="913422" cy="556357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3422" cy="55635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spacing w:after="0" w:line="240" w:lineRule="auto"/>
      <w:jc w:val="center"/>
      <w:rPr>
        <w:rFonts w:ascii="Helvetica Neue" w:cs="Helvetica Neue" w:eastAsia="Helvetica Neue" w:hAnsi="Helvetica Neue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color w:val="073763"/>
        <w:sz w:val="26"/>
        <w:szCs w:val="26"/>
        <w:rtl w:val="0"/>
      </w:rPr>
      <w:t xml:space="preserve">13-17 May 2024, Victoria, British Columbia, Canada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31309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090"/>
  </w:style>
  <w:style w:type="paragraph" w:styleId="Footer">
    <w:name w:val="footer"/>
    <w:basedOn w:val="Normal"/>
    <w:link w:val="FooterChar"/>
    <w:uiPriority w:val="99"/>
    <w:unhideWhenUsed w:val="1"/>
    <w:rsid w:val="0031309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090"/>
  </w:style>
  <w:style w:type="paragraph" w:styleId="NormalWeb">
    <w:name w:val="Normal (Web)"/>
    <w:basedOn w:val="Normal"/>
    <w:uiPriority w:val="99"/>
    <w:semiHidden w:val="1"/>
    <w:unhideWhenUsed w:val="1"/>
    <w:rsid w:val="0031309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3130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3647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t.yu@unesco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11" Type="http://schemas.openxmlformats.org/officeDocument/2006/relationships/font" Target="fonts/Barlow-italic.ttf"/><Relationship Id="rId10" Type="http://schemas.openxmlformats.org/officeDocument/2006/relationships/font" Target="fonts/Barlow-bold.ttf"/><Relationship Id="rId12" Type="http://schemas.openxmlformats.org/officeDocument/2006/relationships/font" Target="fonts/Barlow-boldItalic.ttf"/><Relationship Id="rId9" Type="http://schemas.openxmlformats.org/officeDocument/2006/relationships/font" Target="fonts/Barlow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oceanexpert.org/downloadFile/45372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YGFW97J6+3jPfWpP9jisSiKbA==">CgMxLjA4AHIhMTFoOFhPbUFJR3lDWEpHYmg1elNZLVBoaDJ0YUdpQjkx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2023-02-10T14:29:00Z</dcterms:created>
  <dc:creator>Yu, Ting</dc:creator>
</cp:coreProperties>
</file>