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F7BA6" w:rsidRDefault="00000000">
      <w:pPr>
        <w:spacing w:line="31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Terms of Reference </w:t>
      </w:r>
    </w:p>
    <w:p w14:paraId="00000002" w14:textId="77777777" w:rsidR="008F7BA6" w:rsidRDefault="00000000">
      <w:pPr>
        <w:spacing w:line="31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Group of Experts on Capacity Development</w:t>
      </w:r>
    </w:p>
    <w:p w14:paraId="00000003" w14:textId="77777777" w:rsidR="008F7BA6" w:rsidRDefault="008F7BA6">
      <w:pPr>
        <w:spacing w:line="314" w:lineRule="auto"/>
        <w:jc w:val="center"/>
        <w:rPr>
          <w:b/>
          <w:sz w:val="24"/>
          <w:szCs w:val="24"/>
        </w:rPr>
      </w:pPr>
    </w:p>
    <w:p w14:paraId="00000004" w14:textId="77777777" w:rsidR="008F7BA6" w:rsidRPr="00BB1B04" w:rsidRDefault="00000000">
      <w:pPr>
        <w:spacing w:line="314" w:lineRule="auto"/>
        <w:jc w:val="both"/>
      </w:pPr>
      <w:r w:rsidRPr="00BB1B04">
        <w:rPr>
          <w:u w:val="single"/>
        </w:rPr>
        <w:t>Recognizing</w:t>
      </w:r>
      <w:r w:rsidRPr="00BB1B04">
        <w:t xml:space="preserve"> the importance of Capacity Development as one of the six functions of the IOC Medium-Term Strategy (2022-2029), enabling all Member States to participate in,                        </w:t>
      </w:r>
    </w:p>
    <w:p w14:paraId="00000005" w14:textId="77777777" w:rsidR="008F7BA6" w:rsidRPr="00BB1B04" w:rsidRDefault="00000000">
      <w:pPr>
        <w:spacing w:line="314" w:lineRule="auto"/>
        <w:jc w:val="both"/>
      </w:pPr>
      <w:r w:rsidRPr="00BB1B04">
        <w:t>and benefit from, ocean research and services that are vital to sustainable development and human welfare on the planet,</w:t>
      </w:r>
    </w:p>
    <w:p w14:paraId="00000006" w14:textId="2CDF76A3" w:rsidR="008F7BA6" w:rsidRPr="00BB1B04" w:rsidRDefault="00000000">
      <w:pPr>
        <w:spacing w:line="314" w:lineRule="auto"/>
        <w:jc w:val="both"/>
      </w:pPr>
      <w:r w:rsidRPr="00BB1B04">
        <w:rPr>
          <w:u w:val="single"/>
        </w:rPr>
        <w:t>Recalling</w:t>
      </w:r>
      <w:r w:rsidRPr="00BB1B04">
        <w:t xml:space="preserve"> the </w:t>
      </w:r>
      <w:r w:rsidRPr="00BB1B04">
        <w:rPr>
          <w:u w:val="single"/>
        </w:rPr>
        <w:t>adoption of</w:t>
      </w:r>
      <w:r w:rsidRPr="00BB1B04">
        <w:t xml:space="preserve"> the IOC Capacity Development Strategy 2023-2030 through IOC Decision A-32/4.3, </w:t>
      </w:r>
    </w:p>
    <w:p w14:paraId="13D72236" w14:textId="6B06AE8B" w:rsidR="00DD710A" w:rsidRPr="00BB1B04" w:rsidRDefault="00DD710A">
      <w:pPr>
        <w:spacing w:line="314" w:lineRule="auto"/>
        <w:jc w:val="both"/>
      </w:pPr>
      <w:r w:rsidRPr="00BB1B04">
        <w:rPr>
          <w:u w:val="single"/>
        </w:rPr>
        <w:t>Mindful</w:t>
      </w:r>
      <w:r w:rsidRPr="00BB1B04">
        <w:t xml:space="preserve"> of the role of the GE-CD in informing and, where relevant, assisting the Secretariat in implementing IOC CD initiatives,</w:t>
      </w:r>
    </w:p>
    <w:p w14:paraId="00000007" w14:textId="77777777" w:rsidR="008F7BA6" w:rsidRPr="00BB1B04" w:rsidRDefault="00000000">
      <w:pPr>
        <w:spacing w:after="240" w:line="314" w:lineRule="auto"/>
        <w:jc w:val="both"/>
      </w:pPr>
      <w:r w:rsidRPr="00BB1B04">
        <w:rPr>
          <w:u w:val="single"/>
        </w:rPr>
        <w:t>Decides</w:t>
      </w:r>
      <w:r w:rsidRPr="00BB1B04">
        <w:t xml:space="preserve"> to revise the Terms of Reference of the IOC Group of Experts on Capacity Development as follows:</w:t>
      </w:r>
    </w:p>
    <w:p w14:paraId="08C82884" w14:textId="298ECA14" w:rsidR="00BB1B04" w:rsidRPr="00BB1B04" w:rsidRDefault="00BB1B04" w:rsidP="00BB1B04">
      <w:pPr>
        <w:pStyle w:val="ListParagraph"/>
        <w:numPr>
          <w:ilvl w:val="0"/>
          <w:numId w:val="2"/>
        </w:numPr>
        <w:spacing w:line="288" w:lineRule="exact"/>
        <w:jc w:val="both"/>
        <w:rPr>
          <w:sz w:val="22"/>
          <w:szCs w:val="22"/>
        </w:rPr>
      </w:pPr>
      <w:r w:rsidRPr="00BB1B04">
        <w:rPr>
          <w:rFonts w:ascii="Arial" w:hAnsi="Arial" w:cs="Roboto"/>
          <w:color w:val="000000"/>
          <w:kern w:val="24"/>
          <w:sz w:val="22"/>
          <w:szCs w:val="22"/>
        </w:rPr>
        <w:t xml:space="preserve">assist global and regional </w:t>
      </w:r>
      <w:proofErr w:type="spellStart"/>
      <w:r w:rsidRPr="00BB1B04">
        <w:rPr>
          <w:rFonts w:ascii="Arial" w:hAnsi="Arial" w:cs="Roboto"/>
          <w:color w:val="000000"/>
          <w:kern w:val="24"/>
          <w:sz w:val="22"/>
          <w:szCs w:val="22"/>
        </w:rPr>
        <w:t>programmes</w:t>
      </w:r>
      <w:proofErr w:type="spellEnd"/>
      <w:r w:rsidRPr="00BB1B04">
        <w:rPr>
          <w:rFonts w:ascii="Arial" w:hAnsi="Arial" w:cs="Roboto"/>
          <w:color w:val="000000"/>
          <w:kern w:val="24"/>
          <w:sz w:val="22"/>
          <w:szCs w:val="22"/>
        </w:rPr>
        <w:t xml:space="preserve"> with the implementation of </w:t>
      </w:r>
      <w:r w:rsidRPr="00BB1B04">
        <w:rPr>
          <w:rFonts w:ascii="Arial" w:hAnsi="Arial" w:cs="Roboto"/>
          <w:color w:val="FF0000"/>
          <w:kern w:val="24"/>
          <w:sz w:val="22"/>
          <w:szCs w:val="22"/>
        </w:rPr>
        <w:t xml:space="preserve">capacity development needs assessments </w:t>
      </w:r>
      <w:r w:rsidRPr="00BB1B04">
        <w:rPr>
          <w:rFonts w:ascii="Arial" w:hAnsi="Arial" w:cs="Roboto"/>
          <w:color w:val="000000"/>
          <w:kern w:val="24"/>
          <w:sz w:val="22"/>
          <w:szCs w:val="22"/>
        </w:rPr>
        <w:t>in a consistent manner;</w:t>
      </w:r>
    </w:p>
    <w:p w14:paraId="65EB22AD" w14:textId="77777777" w:rsidR="00BB1B04" w:rsidRPr="00BB1B04" w:rsidRDefault="00BB1B04" w:rsidP="00BB1B04">
      <w:pPr>
        <w:pStyle w:val="ListParagraph"/>
        <w:spacing w:line="288" w:lineRule="exact"/>
        <w:jc w:val="both"/>
        <w:rPr>
          <w:sz w:val="22"/>
          <w:szCs w:val="22"/>
        </w:rPr>
      </w:pPr>
    </w:p>
    <w:p w14:paraId="01C71411" w14:textId="62055906" w:rsidR="00BB1B04" w:rsidRPr="00BB1B04" w:rsidRDefault="00BB1B04" w:rsidP="00BB1B04">
      <w:pPr>
        <w:pStyle w:val="ListParagraph"/>
        <w:numPr>
          <w:ilvl w:val="0"/>
          <w:numId w:val="2"/>
        </w:numPr>
        <w:spacing w:line="288" w:lineRule="exact"/>
        <w:jc w:val="both"/>
        <w:rPr>
          <w:sz w:val="22"/>
          <w:szCs w:val="22"/>
        </w:rPr>
      </w:pPr>
      <w:r w:rsidRPr="00BB1B04">
        <w:rPr>
          <w:rFonts w:ascii="Arial" w:hAnsi="Arial" w:cs="Roboto"/>
          <w:color w:val="000000"/>
          <w:kern w:val="24"/>
          <w:sz w:val="22"/>
          <w:szCs w:val="22"/>
        </w:rPr>
        <w:t xml:space="preserve">assist global and regional </w:t>
      </w:r>
      <w:proofErr w:type="spellStart"/>
      <w:r w:rsidRPr="00BB1B04">
        <w:rPr>
          <w:rFonts w:ascii="Arial" w:hAnsi="Arial" w:cs="Roboto"/>
          <w:color w:val="000000"/>
          <w:kern w:val="24"/>
          <w:sz w:val="22"/>
          <w:szCs w:val="22"/>
        </w:rPr>
        <w:t>programmes</w:t>
      </w:r>
      <w:proofErr w:type="spellEnd"/>
      <w:r w:rsidRPr="00BB1B04">
        <w:rPr>
          <w:rFonts w:ascii="Arial" w:hAnsi="Arial" w:cs="Roboto"/>
          <w:color w:val="000000"/>
          <w:kern w:val="24"/>
          <w:sz w:val="22"/>
          <w:szCs w:val="22"/>
        </w:rPr>
        <w:t xml:space="preserve"> with the </w:t>
      </w:r>
      <w:r w:rsidRPr="00BB1B04">
        <w:rPr>
          <w:rFonts w:ascii="Arial" w:hAnsi="Arial" w:cs="Roboto"/>
          <w:color w:val="FF0000"/>
          <w:kern w:val="24"/>
          <w:sz w:val="22"/>
          <w:szCs w:val="22"/>
        </w:rPr>
        <w:t xml:space="preserve">development of programmatic and regionally relevant capacity development work plans </w:t>
      </w:r>
      <w:r w:rsidRPr="00BB1B04">
        <w:rPr>
          <w:rFonts w:ascii="Arial" w:hAnsi="Arial" w:cs="Roboto"/>
          <w:color w:val="000000"/>
          <w:kern w:val="24"/>
          <w:sz w:val="22"/>
          <w:szCs w:val="22"/>
        </w:rPr>
        <w:t>based on the IOC CD strategy and related needs assessments, building on ongoing activities and making use of existing training and education facilities</w:t>
      </w:r>
      <w:r>
        <w:rPr>
          <w:rFonts w:ascii="Arial" w:hAnsi="Arial" w:cs="Roboto"/>
          <w:color w:val="000000"/>
          <w:kern w:val="24"/>
          <w:sz w:val="22"/>
          <w:szCs w:val="22"/>
        </w:rPr>
        <w:t>;</w:t>
      </w:r>
    </w:p>
    <w:p w14:paraId="02352A74" w14:textId="77777777" w:rsidR="00BB1B04" w:rsidRPr="00BB1B04" w:rsidRDefault="00BB1B04" w:rsidP="00BB1B04">
      <w:pPr>
        <w:pStyle w:val="ListParagraph"/>
        <w:spacing w:line="288" w:lineRule="exact"/>
        <w:jc w:val="both"/>
        <w:rPr>
          <w:sz w:val="22"/>
          <w:szCs w:val="22"/>
        </w:rPr>
      </w:pPr>
    </w:p>
    <w:p w14:paraId="4D5987EC" w14:textId="4CAA4D80" w:rsidR="00BB1B04" w:rsidRPr="00BB1B04" w:rsidRDefault="00BB1B04" w:rsidP="00BB1B04">
      <w:pPr>
        <w:pStyle w:val="ListParagraph"/>
        <w:numPr>
          <w:ilvl w:val="0"/>
          <w:numId w:val="2"/>
        </w:numPr>
        <w:spacing w:line="288" w:lineRule="exact"/>
        <w:jc w:val="both"/>
        <w:rPr>
          <w:sz w:val="22"/>
          <w:szCs w:val="22"/>
        </w:rPr>
      </w:pPr>
      <w:r w:rsidRPr="00BB1B04">
        <w:rPr>
          <w:rFonts w:ascii="Arial" w:hAnsi="Arial" w:cs="Roboto"/>
          <w:color w:val="000000"/>
          <w:kern w:val="24"/>
          <w:sz w:val="22"/>
          <w:szCs w:val="22"/>
        </w:rPr>
        <w:t xml:space="preserve">develop an </w:t>
      </w:r>
      <w:r w:rsidRPr="00BB1B04">
        <w:rPr>
          <w:rFonts w:ascii="Arial" w:hAnsi="Arial" w:cs="Roboto"/>
          <w:color w:val="FF0000"/>
          <w:kern w:val="24"/>
          <w:sz w:val="22"/>
          <w:szCs w:val="22"/>
        </w:rPr>
        <w:t xml:space="preserve">implementation plan for the current IOC CD Strategy 2023-2030 </w:t>
      </w:r>
      <w:r w:rsidRPr="00BB1B04">
        <w:rPr>
          <w:rFonts w:ascii="Arial" w:hAnsi="Arial" w:cs="Roboto"/>
          <w:color w:val="000000"/>
          <w:kern w:val="24"/>
          <w:sz w:val="22"/>
          <w:szCs w:val="22"/>
        </w:rPr>
        <w:t xml:space="preserve">for submission to the 33rd Assembly of the UNESCO IOC in June 2025; </w:t>
      </w:r>
    </w:p>
    <w:p w14:paraId="3C6C0B88" w14:textId="77777777" w:rsidR="00BB1B04" w:rsidRPr="00BB1B04" w:rsidRDefault="00BB1B04" w:rsidP="00BB1B04">
      <w:pPr>
        <w:pStyle w:val="ListParagraph"/>
        <w:spacing w:line="288" w:lineRule="exact"/>
        <w:jc w:val="both"/>
        <w:rPr>
          <w:sz w:val="22"/>
          <w:szCs w:val="22"/>
        </w:rPr>
      </w:pPr>
    </w:p>
    <w:p w14:paraId="7EC047F8" w14:textId="18033DB2" w:rsidR="00BB1B04" w:rsidRPr="00BB1B04" w:rsidRDefault="00BB1B04" w:rsidP="00BB1B04">
      <w:pPr>
        <w:pStyle w:val="ListParagraph"/>
        <w:numPr>
          <w:ilvl w:val="0"/>
          <w:numId w:val="2"/>
        </w:numPr>
        <w:spacing w:line="288" w:lineRule="exact"/>
        <w:jc w:val="both"/>
        <w:rPr>
          <w:sz w:val="22"/>
          <w:szCs w:val="22"/>
        </w:rPr>
      </w:pPr>
      <w:r w:rsidRPr="00BB1B04">
        <w:rPr>
          <w:rFonts w:ascii="Arial" w:hAnsi="Arial" w:cs="Roboto"/>
          <w:color w:val="000000"/>
          <w:kern w:val="24"/>
          <w:sz w:val="22"/>
          <w:szCs w:val="22"/>
        </w:rPr>
        <w:t xml:space="preserve">provide </w:t>
      </w:r>
      <w:r w:rsidRPr="00BB1B04">
        <w:rPr>
          <w:rFonts w:ascii="Arial" w:hAnsi="Arial" w:cs="Roboto"/>
          <w:color w:val="FF0000"/>
          <w:kern w:val="24"/>
          <w:sz w:val="22"/>
          <w:szCs w:val="22"/>
        </w:rPr>
        <w:t>advice</w:t>
      </w:r>
      <w:r w:rsidRPr="00BB1B04">
        <w:rPr>
          <w:rFonts w:ascii="Arial" w:hAnsi="Arial" w:cs="Roboto"/>
          <w:color w:val="000000"/>
          <w:kern w:val="24"/>
          <w:sz w:val="22"/>
          <w:szCs w:val="22"/>
        </w:rPr>
        <w:t xml:space="preserve"> to global and regional </w:t>
      </w:r>
      <w:proofErr w:type="spellStart"/>
      <w:r w:rsidRPr="00BB1B04">
        <w:rPr>
          <w:rFonts w:ascii="Arial" w:hAnsi="Arial" w:cs="Roboto"/>
          <w:color w:val="000000"/>
          <w:kern w:val="24"/>
          <w:sz w:val="22"/>
          <w:szCs w:val="22"/>
        </w:rPr>
        <w:t>programmes</w:t>
      </w:r>
      <w:proofErr w:type="spellEnd"/>
      <w:r w:rsidRPr="00BB1B04">
        <w:rPr>
          <w:rFonts w:ascii="Arial" w:hAnsi="Arial" w:cs="Roboto"/>
          <w:color w:val="000000"/>
          <w:kern w:val="24"/>
          <w:sz w:val="22"/>
          <w:szCs w:val="22"/>
        </w:rPr>
        <w:t xml:space="preserve"> on the </w:t>
      </w:r>
      <w:r w:rsidRPr="00BB1B04">
        <w:rPr>
          <w:rFonts w:ascii="Arial" w:hAnsi="Arial" w:cs="Roboto"/>
          <w:color w:val="FF0000"/>
          <w:kern w:val="24"/>
          <w:sz w:val="22"/>
          <w:szCs w:val="22"/>
        </w:rPr>
        <w:t xml:space="preserve">implementation </w:t>
      </w:r>
      <w:r w:rsidRPr="00BB1B04">
        <w:rPr>
          <w:rFonts w:ascii="Arial" w:hAnsi="Arial" w:cs="Roboto"/>
          <w:color w:val="000000"/>
          <w:kern w:val="24"/>
          <w:sz w:val="22"/>
          <w:szCs w:val="22"/>
        </w:rPr>
        <w:t xml:space="preserve">of the IOC Capacity Development Strategy 2023-2030 and on relevant </w:t>
      </w:r>
      <w:r w:rsidRPr="00BB1B04">
        <w:rPr>
          <w:rFonts w:ascii="Arial" w:hAnsi="Arial" w:cs="Roboto"/>
          <w:color w:val="FF0000"/>
          <w:kern w:val="24"/>
          <w:sz w:val="22"/>
          <w:szCs w:val="22"/>
        </w:rPr>
        <w:t xml:space="preserve">methods and tools </w:t>
      </w:r>
      <w:r w:rsidRPr="00BB1B04">
        <w:rPr>
          <w:rFonts w:ascii="Arial" w:hAnsi="Arial" w:cs="Roboto"/>
          <w:color w:val="000000"/>
          <w:kern w:val="24"/>
          <w:sz w:val="22"/>
          <w:szCs w:val="22"/>
        </w:rPr>
        <w:t>to improve the quality and impact of CD efforts;</w:t>
      </w:r>
    </w:p>
    <w:p w14:paraId="4F628E9C" w14:textId="77777777" w:rsidR="00BB1B04" w:rsidRPr="00BB1B04" w:rsidRDefault="00BB1B04" w:rsidP="00BB1B04">
      <w:pPr>
        <w:pStyle w:val="ListParagraph"/>
        <w:spacing w:line="288" w:lineRule="exact"/>
        <w:jc w:val="both"/>
        <w:rPr>
          <w:sz w:val="22"/>
          <w:szCs w:val="22"/>
        </w:rPr>
      </w:pPr>
    </w:p>
    <w:p w14:paraId="3195E0C4" w14:textId="1305D250" w:rsidR="00BB1B04" w:rsidRPr="00BB1B04" w:rsidRDefault="00BB1B04" w:rsidP="00BB1B04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BB1B04">
        <w:rPr>
          <w:rFonts w:ascii="Arial" w:hAnsi="Arial" w:cs="Roboto"/>
          <w:color w:val="000000"/>
          <w:kern w:val="24"/>
          <w:sz w:val="22"/>
          <w:szCs w:val="22"/>
        </w:rPr>
        <w:t xml:space="preserve">advise the design and conduct the </w:t>
      </w:r>
      <w:r w:rsidRPr="00BB1B04">
        <w:rPr>
          <w:rFonts w:ascii="Arial" w:hAnsi="Arial" w:cs="Roboto"/>
          <w:color w:val="FF0000"/>
          <w:kern w:val="24"/>
          <w:sz w:val="22"/>
          <w:szCs w:val="22"/>
        </w:rPr>
        <w:t xml:space="preserve">biennial CD survey </w:t>
      </w:r>
      <w:r w:rsidRPr="00BB1B04">
        <w:rPr>
          <w:rFonts w:ascii="Arial" w:hAnsi="Arial" w:cs="Roboto"/>
          <w:color w:val="000000"/>
          <w:kern w:val="24"/>
          <w:sz w:val="22"/>
          <w:szCs w:val="22"/>
        </w:rPr>
        <w:t>in close collaboration with the regional secretariats, possibly including CD implementation impact monitoring/metrics, also taking into account other methods such as regional reviews, science conferences etc.;</w:t>
      </w:r>
    </w:p>
    <w:p w14:paraId="61620028" w14:textId="77777777" w:rsidR="00BB1B04" w:rsidRPr="00BB1B04" w:rsidRDefault="00BB1B04" w:rsidP="00BB1B04">
      <w:pPr>
        <w:pStyle w:val="ListParagraph"/>
        <w:jc w:val="both"/>
        <w:rPr>
          <w:sz w:val="22"/>
          <w:szCs w:val="22"/>
        </w:rPr>
      </w:pPr>
    </w:p>
    <w:p w14:paraId="5DDC99CA" w14:textId="07ACE81C" w:rsidR="00BB1B04" w:rsidRPr="00BB1B04" w:rsidRDefault="00BB1B04" w:rsidP="00BB1B04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BB1B04">
        <w:rPr>
          <w:rFonts w:ascii="Arial" w:hAnsi="Arial" w:cs="Roboto"/>
          <w:color w:val="000000"/>
          <w:kern w:val="24"/>
          <w:sz w:val="22"/>
          <w:szCs w:val="22"/>
        </w:rPr>
        <w:t xml:space="preserve">ensure </w:t>
      </w:r>
      <w:r w:rsidRPr="00BB1B04">
        <w:rPr>
          <w:rFonts w:ascii="Arial" w:hAnsi="Arial" w:cs="Roboto"/>
          <w:color w:val="FF0000"/>
          <w:kern w:val="24"/>
          <w:sz w:val="22"/>
          <w:szCs w:val="22"/>
        </w:rPr>
        <w:t>coordination</w:t>
      </w:r>
      <w:r w:rsidRPr="00BB1B04">
        <w:rPr>
          <w:rFonts w:ascii="Arial" w:hAnsi="Arial" w:cs="Roboto"/>
          <w:color w:val="000000"/>
          <w:kern w:val="24"/>
          <w:sz w:val="22"/>
          <w:szCs w:val="22"/>
        </w:rPr>
        <w:t xml:space="preserve"> of the work of the Group of Experts and its Task Teams with </w:t>
      </w:r>
      <w:r w:rsidRPr="00BB1B04">
        <w:rPr>
          <w:rFonts w:ascii="Arial" w:hAnsi="Arial" w:cs="Roboto"/>
          <w:color w:val="FF0000"/>
          <w:kern w:val="24"/>
          <w:sz w:val="22"/>
          <w:szCs w:val="22"/>
        </w:rPr>
        <w:t>GOSR</w:t>
      </w:r>
      <w:r w:rsidRPr="00BB1B04">
        <w:rPr>
          <w:rFonts w:ascii="Arial" w:hAnsi="Arial" w:cs="Roboto"/>
          <w:color w:val="000000"/>
          <w:kern w:val="24"/>
          <w:sz w:val="22"/>
          <w:szCs w:val="22"/>
        </w:rPr>
        <w:t xml:space="preserve"> and CD aspects of the </w:t>
      </w:r>
      <w:r w:rsidRPr="00BB1B04">
        <w:rPr>
          <w:rFonts w:ascii="Arial" w:hAnsi="Arial" w:cs="Roboto"/>
          <w:color w:val="FF0000"/>
          <w:kern w:val="24"/>
          <w:sz w:val="22"/>
          <w:szCs w:val="22"/>
        </w:rPr>
        <w:t>United Nations Decade of Ocean Science for Sustainable Development</w:t>
      </w:r>
      <w:r w:rsidRPr="00BB1B04">
        <w:rPr>
          <w:rFonts w:ascii="Arial" w:hAnsi="Arial" w:cs="Roboto"/>
          <w:color w:val="000000"/>
          <w:kern w:val="24"/>
          <w:sz w:val="22"/>
          <w:szCs w:val="22"/>
        </w:rPr>
        <w:t>, including the Capacity Development Facility and Working Group 9 of the Vision 2030;</w:t>
      </w:r>
    </w:p>
    <w:p w14:paraId="0F512B07" w14:textId="77777777" w:rsidR="00BB1B04" w:rsidRPr="00BB1B04" w:rsidRDefault="00BB1B04" w:rsidP="00BB1B04">
      <w:pPr>
        <w:pStyle w:val="ListParagraph"/>
        <w:jc w:val="both"/>
        <w:rPr>
          <w:sz w:val="22"/>
          <w:szCs w:val="22"/>
        </w:rPr>
      </w:pPr>
    </w:p>
    <w:p w14:paraId="7304CB5F" w14:textId="37EC6F81" w:rsidR="00BB1B04" w:rsidRPr="00BB1B04" w:rsidRDefault="00BB1B04" w:rsidP="00BB1B04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BB1B04">
        <w:rPr>
          <w:rFonts w:ascii="Arial" w:hAnsi="Arial" w:cs="Roboto"/>
          <w:color w:val="000000"/>
          <w:kern w:val="24"/>
          <w:sz w:val="22"/>
          <w:szCs w:val="22"/>
        </w:rPr>
        <w:t xml:space="preserve">guide the further development and promotion of the </w:t>
      </w:r>
      <w:r w:rsidRPr="00BB1B04">
        <w:rPr>
          <w:rFonts w:ascii="Arial" w:hAnsi="Arial" w:cs="Roboto"/>
          <w:color w:val="FF0000"/>
          <w:kern w:val="24"/>
          <w:sz w:val="22"/>
          <w:szCs w:val="22"/>
        </w:rPr>
        <w:t xml:space="preserve">Ocean CD-Hub </w:t>
      </w:r>
      <w:r w:rsidRPr="00BB1B04">
        <w:rPr>
          <w:rFonts w:ascii="Arial" w:hAnsi="Arial" w:cs="Roboto"/>
          <w:color w:val="000000"/>
          <w:kern w:val="24"/>
          <w:sz w:val="22"/>
          <w:szCs w:val="22"/>
        </w:rPr>
        <w:t>by highlighting linkages of CD activities and collaboration opportunities between users and providers and among other global, regional and national organizations;</w:t>
      </w:r>
    </w:p>
    <w:p w14:paraId="047E780A" w14:textId="77777777" w:rsidR="00BB1B04" w:rsidRPr="00BB1B04" w:rsidRDefault="00BB1B04" w:rsidP="00BB1B04">
      <w:pPr>
        <w:pStyle w:val="ListParagraph"/>
        <w:jc w:val="both"/>
        <w:rPr>
          <w:sz w:val="22"/>
          <w:szCs w:val="22"/>
        </w:rPr>
      </w:pPr>
    </w:p>
    <w:p w14:paraId="00000014" w14:textId="7112FB33" w:rsidR="008F7BA6" w:rsidRPr="00BB1B04" w:rsidRDefault="00BB1B04" w:rsidP="00BB1B0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B1B04">
        <w:rPr>
          <w:rFonts w:ascii="Arial" w:hAnsi="Arial" w:cs="Roboto"/>
          <w:color w:val="000000"/>
          <w:kern w:val="24"/>
          <w:sz w:val="22"/>
          <w:szCs w:val="22"/>
        </w:rPr>
        <w:t xml:space="preserve">provide advice to Member States on the promotion of </w:t>
      </w:r>
      <w:r w:rsidRPr="00BB1B04">
        <w:rPr>
          <w:rFonts w:ascii="Arial" w:hAnsi="Arial" w:cs="Roboto"/>
          <w:color w:val="FF0000"/>
          <w:kern w:val="24"/>
          <w:sz w:val="22"/>
          <w:szCs w:val="22"/>
        </w:rPr>
        <w:t>visibility and reach</w:t>
      </w:r>
      <w:r w:rsidRPr="00BB1B04">
        <w:rPr>
          <w:rFonts w:ascii="Arial" w:hAnsi="Arial" w:cs="Roboto"/>
          <w:color w:val="000000"/>
          <w:kern w:val="24"/>
          <w:sz w:val="22"/>
          <w:szCs w:val="22"/>
        </w:rPr>
        <w:t xml:space="preserve"> of the IOC Capacity Development Strategy 2023-2030 to assist with the planning and implementation of their capacity development efforts.</w:t>
      </w:r>
      <w:r w:rsidRPr="00BB1B04">
        <w:rPr>
          <w:rFonts w:ascii="Roboto" w:eastAsia="Roboto" w:hAnsi="Roboto" w:cs="Roboto"/>
          <w:color w:val="000000"/>
          <w:kern w:val="24"/>
          <w:sz w:val="22"/>
          <w:szCs w:val="22"/>
        </w:rPr>
        <w:t xml:space="preserve"> </w:t>
      </w:r>
    </w:p>
    <w:sectPr w:rsidR="008F7BA6" w:rsidRPr="00BB1B04" w:rsidSect="00212051">
      <w:pgSz w:w="12240" w:h="15840"/>
      <w:pgMar w:top="103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CC6"/>
    <w:multiLevelType w:val="hybridMultilevel"/>
    <w:tmpl w:val="137AA890"/>
    <w:lvl w:ilvl="0" w:tplc="0E041AB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4B2C30D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6B44A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9D32EE9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34C6FC8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46767B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A1CCD52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632628F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397827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80C7E"/>
    <w:multiLevelType w:val="hybridMultilevel"/>
    <w:tmpl w:val="BF24598C"/>
    <w:lvl w:ilvl="0" w:tplc="CA20A23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7CE268B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9866F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1E446E3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0F6AA298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21BA34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4AD650F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3508BF20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E60CD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441804992">
    <w:abstractNumId w:val="0"/>
  </w:num>
  <w:num w:numId="2" w16cid:durableId="193307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A6"/>
    <w:rsid w:val="00212051"/>
    <w:rsid w:val="00733484"/>
    <w:rsid w:val="008F7BA6"/>
    <w:rsid w:val="00BB1B04"/>
    <w:rsid w:val="00DD710A"/>
    <w:rsid w:val="00E2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CE4DFA"/>
  <w15:docId w15:val="{C5AEFBC2-066D-6943-9329-5A07B02E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B1B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610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46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13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44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80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51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81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11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25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17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Diwa, Johanna Paula</cp:lastModifiedBy>
  <cp:revision>2</cp:revision>
  <dcterms:created xsi:type="dcterms:W3CDTF">2024-02-07T10:23:00Z</dcterms:created>
  <dcterms:modified xsi:type="dcterms:W3CDTF">2024-02-07T10:23:00Z</dcterms:modified>
</cp:coreProperties>
</file>