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C5DD" w14:textId="77777777" w:rsidR="0009556C" w:rsidRPr="00184DFD" w:rsidRDefault="0009556C" w:rsidP="0009556C">
      <w:pPr>
        <w:shd w:val="clear" w:color="auto" w:fill="D9D9D9"/>
        <w:jc w:val="center"/>
        <w:rPr>
          <w:b/>
          <w:lang w:val="en-GB"/>
        </w:rPr>
      </w:pPr>
      <w:r w:rsidRPr="00184DFD">
        <w:rPr>
          <w:b/>
          <w:lang w:val="en-GB"/>
        </w:rPr>
        <w:t>Team:</w:t>
      </w:r>
    </w:p>
    <w:p w14:paraId="73F589DF" w14:textId="77777777" w:rsidR="0009556C" w:rsidRPr="00184DFD" w:rsidRDefault="0009556C" w:rsidP="0009556C">
      <w:pPr>
        <w:shd w:val="clear" w:color="auto" w:fill="D9D9D9"/>
        <w:jc w:val="center"/>
        <w:rPr>
          <w:b/>
          <w:lang w:val="en-GB"/>
        </w:rPr>
      </w:pPr>
      <w:r w:rsidRPr="00184DFD">
        <w:rPr>
          <w:b/>
          <w:lang w:val="en-GB"/>
        </w:rPr>
        <w:t>Tsunami Generated by Volcanoes (TGV)</w:t>
      </w:r>
    </w:p>
    <w:p w14:paraId="2DB72101" w14:textId="77777777" w:rsidR="0009556C" w:rsidRPr="00184DFD" w:rsidRDefault="0009556C" w:rsidP="0009556C">
      <w:pPr>
        <w:shd w:val="clear" w:color="auto" w:fill="D9D9D9"/>
        <w:jc w:val="center"/>
        <w:rPr>
          <w:b/>
          <w:lang w:val="en-GB"/>
        </w:rPr>
      </w:pPr>
    </w:p>
    <w:p w14:paraId="6579F9E7" w14:textId="77777777" w:rsidR="0009556C" w:rsidRPr="00184DFD" w:rsidRDefault="0009556C" w:rsidP="0009556C">
      <w:pPr>
        <w:shd w:val="clear" w:color="auto" w:fill="D9D9D9"/>
        <w:jc w:val="center"/>
        <w:rPr>
          <w:b/>
          <w:lang w:val="en-GB"/>
        </w:rPr>
      </w:pPr>
      <w:r w:rsidRPr="00DB50EF">
        <w:rPr>
          <w:b/>
          <w:lang w:val="en-GB"/>
        </w:rPr>
        <w:t>C</w:t>
      </w:r>
      <w:r w:rsidRPr="00184DFD">
        <w:rPr>
          <w:b/>
          <w:lang w:val="en-GB"/>
        </w:rPr>
        <w:t>o-</w:t>
      </w:r>
      <w:r w:rsidRPr="00DB50EF">
        <w:rPr>
          <w:b/>
          <w:lang w:val="en-GB"/>
        </w:rPr>
        <w:t>C</w:t>
      </w:r>
      <w:r w:rsidRPr="00184DFD">
        <w:rPr>
          <w:b/>
          <w:lang w:val="en-GB"/>
        </w:rPr>
        <w:t>hairs</w:t>
      </w:r>
      <w:r w:rsidRPr="00DB50EF">
        <w:rPr>
          <w:b/>
          <w:lang w:val="en-GB"/>
        </w:rPr>
        <w:t xml:space="preserve">: Mr. </w:t>
      </w:r>
      <w:hyperlink r:id="rId7" w:history="1">
        <w:r w:rsidRPr="003E4B5E">
          <w:rPr>
            <w:rStyle w:val="Hyperlink"/>
            <w:b/>
            <w:lang w:val="en-GB"/>
          </w:rPr>
          <w:t>Geoff Kilgour</w:t>
        </w:r>
      </w:hyperlink>
      <w:r w:rsidRPr="00DB50EF">
        <w:rPr>
          <w:b/>
          <w:lang w:val="en-GB"/>
        </w:rPr>
        <w:t xml:space="preserve"> and VACANT</w:t>
      </w:r>
    </w:p>
    <w:p w14:paraId="13750B41" w14:textId="77777777" w:rsidR="0009556C" w:rsidRPr="00184DFD" w:rsidRDefault="0009556C" w:rsidP="0009556C">
      <w:pPr>
        <w:tabs>
          <w:tab w:val="clear" w:pos="567"/>
        </w:tabs>
        <w:snapToGrid/>
        <w:spacing w:after="240"/>
        <w:ind w:left="709"/>
        <w:jc w:val="both"/>
        <w:rPr>
          <w:lang w:val="en-GB"/>
        </w:rPr>
      </w:pPr>
    </w:p>
    <w:p w14:paraId="0C3D8B84" w14:textId="77777777" w:rsidR="0009556C" w:rsidRPr="00184DFD" w:rsidRDefault="0009556C" w:rsidP="0009556C">
      <w:pPr>
        <w:numPr>
          <w:ilvl w:val="0"/>
          <w:numId w:val="3"/>
        </w:numPr>
        <w:tabs>
          <w:tab w:val="clear" w:pos="567"/>
        </w:tabs>
        <w:snapToGrid/>
        <w:spacing w:after="240"/>
        <w:ind w:left="709" w:hanging="709"/>
        <w:jc w:val="both"/>
        <w:rPr>
          <w:lang w:val="en-GB"/>
        </w:rPr>
      </w:pPr>
      <w:r w:rsidRPr="00184DFD">
        <w:rPr>
          <w:lang w:val="en-GB"/>
        </w:rPr>
        <w:t xml:space="preserve">To confirm the list of volcanoes identified by the TGV </w:t>
      </w:r>
      <w:sdt>
        <w:sdtPr>
          <w:rPr>
            <w:lang w:val="en-GB"/>
          </w:rPr>
          <w:tag w:val="goog_rdk_49"/>
          <w:id w:val="-399133874"/>
        </w:sdtPr>
        <w:sdtContent>
          <w:r w:rsidRPr="00184DFD">
            <w:rPr>
              <w:lang w:val="en-GB"/>
            </w:rPr>
            <w:t xml:space="preserve">as posing a </w:t>
          </w:r>
        </w:sdtContent>
      </w:sdt>
      <w:r w:rsidRPr="00184DFD">
        <w:rPr>
          <w:lang w:val="en-GB"/>
        </w:rPr>
        <w:t xml:space="preserve">potential threat to the Pacific (referred in </w:t>
      </w:r>
      <w:sdt>
        <w:sdtPr>
          <w:rPr>
            <w:lang w:val="en-GB"/>
          </w:rPr>
          <w:tag w:val="goog_rdk_51"/>
          <w:id w:val="-122389925"/>
        </w:sdtPr>
        <w:sdtContent>
          <w:r w:rsidRPr="00184DFD">
            <w:rPr>
              <w:lang w:val="en-GB"/>
            </w:rPr>
            <w:t>A</w:t>
          </w:r>
        </w:sdtContent>
      </w:sdt>
      <w:r w:rsidRPr="00184DFD">
        <w:rPr>
          <w:lang w:val="en-GB"/>
        </w:rPr>
        <w:t>nnex 4 Technical Series 183), to identify additional potential threat volcanoes, and continually review the list.</w:t>
      </w:r>
    </w:p>
    <w:p w14:paraId="301E04B2" w14:textId="77777777" w:rsidR="0009556C" w:rsidRPr="00184DFD" w:rsidRDefault="0009556C" w:rsidP="0009556C">
      <w:pPr>
        <w:numPr>
          <w:ilvl w:val="0"/>
          <w:numId w:val="3"/>
        </w:numPr>
        <w:tabs>
          <w:tab w:val="clear" w:pos="567"/>
        </w:tabs>
        <w:snapToGrid/>
        <w:spacing w:after="240"/>
        <w:ind w:left="720" w:hanging="720"/>
        <w:jc w:val="both"/>
        <w:rPr>
          <w:lang w:val="en-GB"/>
        </w:rPr>
      </w:pPr>
      <w:r w:rsidRPr="00184DFD">
        <w:rPr>
          <w:lang w:val="en-GB"/>
        </w:rPr>
        <w:t>Among the volcanoes with potential tsunami threat, to identify those with implemented tsunami hazard assessment, monitoring, warning, and preparedness systems.</w:t>
      </w:r>
    </w:p>
    <w:p w14:paraId="0AA6EDEB" w14:textId="77777777" w:rsidR="0009556C" w:rsidRPr="00184DFD" w:rsidRDefault="0009556C" w:rsidP="0009556C">
      <w:pPr>
        <w:numPr>
          <w:ilvl w:val="0"/>
          <w:numId w:val="3"/>
        </w:numPr>
        <w:tabs>
          <w:tab w:val="clear" w:pos="567"/>
        </w:tabs>
        <w:snapToGrid/>
        <w:spacing w:after="240"/>
        <w:ind w:left="720" w:hanging="720"/>
        <w:jc w:val="both"/>
        <w:rPr>
          <w:lang w:val="en-GB"/>
        </w:rPr>
      </w:pPr>
      <w:r w:rsidRPr="00184DFD">
        <w:rPr>
          <w:color w:val="222222"/>
          <w:highlight w:val="white"/>
          <w:lang w:val="en-GB"/>
        </w:rPr>
        <w:t>To establish direct collaboration between ICG/PTWS member states and IAVCEI to facilitate the contribution of PTWS tsunami expertise to the monitoring and warning capability of existing volcano monitoring centres or NTWCs, as appropriate</w:t>
      </w:r>
      <w:r w:rsidRPr="00184DFD">
        <w:rPr>
          <w:color w:val="222222"/>
          <w:lang w:val="en-GB"/>
        </w:rPr>
        <w:t>.</w:t>
      </w:r>
    </w:p>
    <w:p w14:paraId="41020E43" w14:textId="77777777" w:rsidR="0009556C" w:rsidRPr="00184DFD" w:rsidRDefault="0009556C" w:rsidP="0009556C">
      <w:pPr>
        <w:widowControl w:val="0"/>
        <w:numPr>
          <w:ilvl w:val="0"/>
          <w:numId w:val="3"/>
        </w:numPr>
        <w:tabs>
          <w:tab w:val="clear" w:pos="567"/>
        </w:tabs>
        <w:snapToGrid/>
        <w:ind w:left="720" w:hanging="720"/>
        <w:jc w:val="both"/>
        <w:rPr>
          <w:lang w:val="en-GB"/>
        </w:rPr>
      </w:pPr>
      <w:r w:rsidRPr="00184DFD">
        <w:rPr>
          <w:lang w:val="en-GB"/>
        </w:rPr>
        <w:t xml:space="preserve">To </w:t>
      </w:r>
      <w:r w:rsidRPr="00184DFD">
        <w:rPr>
          <w:color w:val="222222"/>
          <w:highlight w:val="white"/>
          <w:lang w:val="en-GB"/>
        </w:rPr>
        <w:t xml:space="preserve">Identify potential volcanic partners in countries and international bodies, and recommend collaboration opportunities with them to improve tsunami early warning and to support the downstream decision makers affected by the </w:t>
      </w:r>
      <w:proofErr w:type="gramStart"/>
      <w:r w:rsidRPr="00184DFD">
        <w:rPr>
          <w:color w:val="222222"/>
          <w:highlight w:val="white"/>
          <w:lang w:val="en-GB"/>
        </w:rPr>
        <w:t>volcanically-generated</w:t>
      </w:r>
      <w:proofErr w:type="gramEnd"/>
      <w:r w:rsidRPr="00184DFD">
        <w:rPr>
          <w:color w:val="222222"/>
          <w:highlight w:val="white"/>
          <w:lang w:val="en-GB"/>
        </w:rPr>
        <w:t xml:space="preserve"> tsunami</w:t>
      </w:r>
      <w:r w:rsidRPr="00184DFD">
        <w:rPr>
          <w:color w:val="222222"/>
          <w:highlight w:val="white"/>
          <w:lang w:val="en-GB"/>
        </w:rPr>
        <w:br/>
      </w:r>
    </w:p>
    <w:p w14:paraId="06E9FB88" w14:textId="77777777" w:rsidR="0009556C" w:rsidRPr="00184DFD" w:rsidRDefault="0009556C" w:rsidP="0009556C">
      <w:pPr>
        <w:numPr>
          <w:ilvl w:val="0"/>
          <w:numId w:val="3"/>
        </w:numPr>
        <w:tabs>
          <w:tab w:val="clear" w:pos="567"/>
        </w:tabs>
        <w:snapToGrid/>
        <w:spacing w:after="240"/>
        <w:ind w:left="720" w:hanging="720"/>
        <w:jc w:val="both"/>
        <w:rPr>
          <w:lang w:val="en-GB"/>
        </w:rPr>
      </w:pPr>
      <w:r w:rsidRPr="00184DFD">
        <w:rPr>
          <w:lang w:val="en-GB"/>
        </w:rPr>
        <w:t xml:space="preserve">To develop guidelines on SOPs to monitor, detect, warn, and prepare for any </w:t>
      </w:r>
      <w:sdt>
        <w:sdtPr>
          <w:rPr>
            <w:lang w:val="en-GB"/>
          </w:rPr>
          <w:tag w:val="goog_rdk_54"/>
          <w:id w:val="-760835124"/>
          <w:showingPlcHdr/>
        </w:sdtPr>
        <w:sdtContent>
          <w:r w:rsidRPr="00184DFD">
            <w:rPr>
              <w:lang w:val="en-GB"/>
            </w:rPr>
            <w:t xml:space="preserve">     </w:t>
          </w:r>
        </w:sdtContent>
      </w:sdt>
      <w:r w:rsidRPr="00184DFD">
        <w:rPr>
          <w:lang w:val="en-GB"/>
        </w:rPr>
        <w:t xml:space="preserve"> volcano-induced tsunami waves.</w:t>
      </w:r>
    </w:p>
    <w:p w14:paraId="5963460E" w14:textId="77777777" w:rsidR="0009556C" w:rsidRPr="00184DFD" w:rsidRDefault="0009556C" w:rsidP="0009556C">
      <w:pPr>
        <w:numPr>
          <w:ilvl w:val="0"/>
          <w:numId w:val="3"/>
        </w:numPr>
        <w:tabs>
          <w:tab w:val="clear" w:pos="567"/>
        </w:tabs>
        <w:snapToGrid/>
        <w:spacing w:after="240"/>
        <w:ind w:left="720" w:hanging="720"/>
        <w:jc w:val="both"/>
        <w:rPr>
          <w:lang w:val="en-GB"/>
        </w:rPr>
      </w:pPr>
      <w:r w:rsidRPr="00184DFD">
        <w:rPr>
          <w:lang w:val="en-GB"/>
        </w:rPr>
        <w:t>To develop guidelines on SOPs to monitor, detect, warn, and prepare for any volcano process that could induce tsunami waves.</w:t>
      </w:r>
    </w:p>
    <w:p w14:paraId="50836306" w14:textId="77777777" w:rsidR="0009556C" w:rsidRPr="00184DFD" w:rsidRDefault="0009556C" w:rsidP="0009556C">
      <w:pPr>
        <w:widowControl w:val="0"/>
        <w:jc w:val="both"/>
        <w:rPr>
          <w:color w:val="000000"/>
          <w:lang w:val="en-GB"/>
        </w:rPr>
      </w:pPr>
      <w:r w:rsidRPr="00184DFD">
        <w:rPr>
          <w:color w:val="000000"/>
          <w:lang w:val="en-GB"/>
        </w:rPr>
        <w:t xml:space="preserve">The Task Team will be composed of members nominated by Member States, </w:t>
      </w:r>
      <w:sdt>
        <w:sdtPr>
          <w:rPr>
            <w:lang w:val="en-GB"/>
          </w:rPr>
          <w:tag w:val="goog_rdk_55"/>
          <w:id w:val="1628664785"/>
        </w:sdtPr>
        <w:sdtContent>
          <w:r w:rsidRPr="00184DFD">
            <w:rPr>
              <w:color w:val="000000"/>
              <w:lang w:val="en-GB"/>
            </w:rPr>
            <w:t xml:space="preserve">a </w:t>
          </w:r>
        </w:sdtContent>
      </w:sdt>
      <w:r w:rsidRPr="00184DFD">
        <w:rPr>
          <w:color w:val="000000"/>
          <w:lang w:val="en-GB"/>
        </w:rPr>
        <w:t>representative from ITIC, and invited observers. Co-chairs to be elected by the ICG.</w:t>
      </w:r>
    </w:p>
    <w:p w14:paraId="5B7AB226" w14:textId="77777777" w:rsidR="0009556C" w:rsidRPr="00184DFD" w:rsidRDefault="0009556C" w:rsidP="0009556C">
      <w:pPr>
        <w:widowControl w:val="0"/>
        <w:jc w:val="both"/>
        <w:rPr>
          <w:color w:val="000000"/>
          <w:lang w:val="en-GB"/>
        </w:rPr>
      </w:pPr>
    </w:p>
    <w:p w14:paraId="0D1134E6" w14:textId="77777777" w:rsidR="0009556C" w:rsidRPr="00184DFD" w:rsidRDefault="0009556C" w:rsidP="0009556C">
      <w:pPr>
        <w:widowControl w:val="0"/>
        <w:jc w:val="both"/>
        <w:rPr>
          <w:color w:val="000000"/>
          <w:lang w:val="en-GB"/>
        </w:rPr>
      </w:pPr>
    </w:p>
    <w:p w14:paraId="68270DE8" w14:textId="77777777" w:rsidR="0009556C" w:rsidRPr="00184DFD" w:rsidRDefault="0009556C" w:rsidP="0009556C">
      <w:pPr>
        <w:widowControl w:val="0"/>
        <w:jc w:val="both"/>
        <w:rPr>
          <w:color w:val="000000"/>
          <w:lang w:val="en-GB"/>
        </w:rPr>
      </w:pPr>
    </w:p>
    <w:p w14:paraId="3D4D5985" w14:textId="77777777" w:rsidR="0009556C" w:rsidRPr="00184DFD" w:rsidRDefault="0009556C" w:rsidP="0009556C">
      <w:pPr>
        <w:widowControl w:val="0"/>
        <w:jc w:val="both"/>
        <w:rPr>
          <w:color w:val="000000"/>
          <w:lang w:val="en-GB"/>
        </w:rPr>
      </w:pPr>
    </w:p>
    <w:p w14:paraId="5B700DCB" w14:textId="77777777" w:rsidR="0009556C" w:rsidRPr="00184DFD" w:rsidRDefault="0009556C" w:rsidP="0009556C">
      <w:pPr>
        <w:widowControl w:val="0"/>
        <w:jc w:val="both"/>
        <w:rPr>
          <w:color w:val="000000"/>
          <w:lang w:val="en-GB"/>
        </w:rPr>
      </w:pPr>
    </w:p>
    <w:p w14:paraId="74CE13B6" w14:textId="77777777" w:rsidR="0009556C" w:rsidRPr="00184DFD" w:rsidRDefault="0009556C" w:rsidP="0009556C">
      <w:pPr>
        <w:widowControl w:val="0"/>
        <w:jc w:val="both"/>
        <w:rPr>
          <w:color w:val="000000"/>
          <w:lang w:val="en-GB"/>
        </w:rPr>
      </w:pPr>
    </w:p>
    <w:p w14:paraId="20D72DB2" w14:textId="77777777" w:rsidR="0009556C" w:rsidRPr="00184DFD" w:rsidRDefault="0009556C" w:rsidP="0009556C">
      <w:pPr>
        <w:widowControl w:val="0"/>
        <w:jc w:val="both"/>
        <w:rPr>
          <w:color w:val="000000"/>
          <w:lang w:val="en-GB"/>
        </w:rPr>
      </w:pPr>
    </w:p>
    <w:p w14:paraId="7A00D3D0" w14:textId="77777777" w:rsidR="0009556C" w:rsidRPr="00184DFD" w:rsidRDefault="0009556C" w:rsidP="0009556C">
      <w:pPr>
        <w:widowControl w:val="0"/>
        <w:jc w:val="both"/>
        <w:rPr>
          <w:color w:val="000000"/>
          <w:lang w:val="en-GB"/>
        </w:rPr>
      </w:pPr>
    </w:p>
    <w:p w14:paraId="0CCABDB7" w14:textId="77777777" w:rsidR="0009556C" w:rsidRPr="00184DFD" w:rsidRDefault="0009556C" w:rsidP="0009556C">
      <w:pPr>
        <w:widowControl w:val="0"/>
        <w:jc w:val="both"/>
        <w:rPr>
          <w:color w:val="000000"/>
          <w:lang w:val="en-GB"/>
        </w:rPr>
      </w:pPr>
    </w:p>
    <w:p w14:paraId="58DCBF5D" w14:textId="77777777" w:rsidR="0009556C" w:rsidRPr="00184DFD" w:rsidRDefault="0009556C" w:rsidP="0009556C">
      <w:pPr>
        <w:widowControl w:val="0"/>
        <w:jc w:val="both"/>
        <w:rPr>
          <w:color w:val="000000"/>
          <w:lang w:val="en-GB"/>
        </w:rPr>
      </w:pPr>
    </w:p>
    <w:p w14:paraId="27A6413B" w14:textId="77777777" w:rsidR="0009556C" w:rsidRPr="00184DFD" w:rsidRDefault="0009556C" w:rsidP="0009556C">
      <w:pPr>
        <w:widowControl w:val="0"/>
        <w:jc w:val="both"/>
        <w:rPr>
          <w:color w:val="000000"/>
          <w:lang w:val="en-GB"/>
        </w:rPr>
      </w:pPr>
    </w:p>
    <w:p w14:paraId="3021443C" w14:textId="77777777" w:rsidR="0009556C" w:rsidRPr="00184DFD" w:rsidRDefault="0009556C" w:rsidP="0009556C">
      <w:pPr>
        <w:widowControl w:val="0"/>
        <w:jc w:val="both"/>
        <w:rPr>
          <w:color w:val="000000"/>
          <w:lang w:val="en-GB"/>
        </w:rPr>
      </w:pPr>
    </w:p>
    <w:p w14:paraId="0743766F" w14:textId="77777777" w:rsidR="0009556C" w:rsidRPr="00184DFD" w:rsidRDefault="0009556C" w:rsidP="0009556C">
      <w:pPr>
        <w:widowControl w:val="0"/>
        <w:jc w:val="both"/>
        <w:rPr>
          <w:color w:val="000000"/>
          <w:lang w:val="en-GB"/>
        </w:rPr>
      </w:pPr>
    </w:p>
    <w:p w14:paraId="4223427C" w14:textId="77777777" w:rsidR="0009556C" w:rsidRPr="00184DFD" w:rsidRDefault="0009556C" w:rsidP="0009556C">
      <w:pPr>
        <w:widowControl w:val="0"/>
        <w:jc w:val="both"/>
        <w:rPr>
          <w:color w:val="000000"/>
          <w:lang w:val="en-GB"/>
        </w:rPr>
      </w:pPr>
    </w:p>
    <w:p w14:paraId="5DBA77CC" w14:textId="77777777" w:rsidR="0009556C" w:rsidRPr="00184DFD" w:rsidRDefault="0009556C" w:rsidP="0009556C">
      <w:pPr>
        <w:widowControl w:val="0"/>
        <w:jc w:val="both"/>
        <w:rPr>
          <w:color w:val="000000"/>
          <w:lang w:val="en-GB"/>
        </w:rPr>
      </w:pPr>
    </w:p>
    <w:p w14:paraId="5592A466" w14:textId="77777777" w:rsidR="0009556C" w:rsidRPr="00184DFD" w:rsidRDefault="0009556C" w:rsidP="0009556C">
      <w:pPr>
        <w:widowControl w:val="0"/>
        <w:jc w:val="both"/>
        <w:rPr>
          <w:color w:val="000000"/>
          <w:lang w:val="en-GB"/>
        </w:rPr>
      </w:pPr>
    </w:p>
    <w:p w14:paraId="75B9CE58" w14:textId="77777777" w:rsidR="0009556C" w:rsidRPr="00184DFD" w:rsidRDefault="0009556C" w:rsidP="0009556C">
      <w:pPr>
        <w:widowControl w:val="0"/>
        <w:jc w:val="both"/>
        <w:rPr>
          <w:color w:val="000000"/>
          <w:lang w:val="en-GB"/>
        </w:rPr>
      </w:pPr>
    </w:p>
    <w:p w14:paraId="742DF862" w14:textId="77777777" w:rsidR="0009556C" w:rsidRPr="00184DFD" w:rsidRDefault="0009556C" w:rsidP="0009556C">
      <w:pPr>
        <w:widowControl w:val="0"/>
        <w:jc w:val="both"/>
        <w:rPr>
          <w:color w:val="000000"/>
          <w:lang w:val="en-GB"/>
        </w:rPr>
      </w:pPr>
    </w:p>
    <w:p w14:paraId="229EAF87" w14:textId="77777777" w:rsidR="0009556C" w:rsidRPr="00184DFD" w:rsidRDefault="0009556C" w:rsidP="0009556C">
      <w:pPr>
        <w:widowControl w:val="0"/>
        <w:jc w:val="both"/>
        <w:rPr>
          <w:color w:val="000000"/>
          <w:lang w:val="en-GB"/>
        </w:rPr>
      </w:pPr>
    </w:p>
    <w:p w14:paraId="3CC0A57C" w14:textId="77777777" w:rsidR="0009556C" w:rsidRDefault="0009556C" w:rsidP="0009556C">
      <w:pPr>
        <w:widowControl w:val="0"/>
        <w:jc w:val="both"/>
        <w:rPr>
          <w:color w:val="000000"/>
          <w:lang w:val="en-GB"/>
        </w:rPr>
      </w:pPr>
    </w:p>
    <w:p w14:paraId="45995EE9" w14:textId="77777777" w:rsidR="0009556C" w:rsidRDefault="0009556C" w:rsidP="0009556C">
      <w:pPr>
        <w:widowControl w:val="0"/>
        <w:jc w:val="both"/>
        <w:rPr>
          <w:color w:val="000000"/>
          <w:lang w:val="en-GB"/>
        </w:rPr>
      </w:pPr>
    </w:p>
    <w:p w14:paraId="27DAFAD2" w14:textId="77777777" w:rsidR="0009556C" w:rsidRPr="00184DFD" w:rsidRDefault="0009556C" w:rsidP="0009556C">
      <w:pPr>
        <w:widowControl w:val="0"/>
        <w:jc w:val="both"/>
        <w:rPr>
          <w:color w:val="000000"/>
          <w:lang w:val="en-GB"/>
        </w:rPr>
      </w:pPr>
    </w:p>
    <w:p w14:paraId="16D50C87" w14:textId="77777777" w:rsidR="0009556C" w:rsidRPr="00184DFD" w:rsidRDefault="0009556C" w:rsidP="0009556C">
      <w:pPr>
        <w:widowControl w:val="0"/>
        <w:jc w:val="both"/>
        <w:rPr>
          <w:lang w:val="en-GB"/>
        </w:rPr>
      </w:pPr>
    </w:p>
    <w:p w14:paraId="064E6067" w14:textId="77777777" w:rsidR="0009556C" w:rsidRPr="00184DFD" w:rsidRDefault="0009556C" w:rsidP="0009556C">
      <w:pPr>
        <w:widowControl w:val="0"/>
        <w:jc w:val="both"/>
        <w:rPr>
          <w:lang w:val="en-GB"/>
        </w:rPr>
      </w:pPr>
    </w:p>
    <w:p w14:paraId="07D4FC3B" w14:textId="77777777" w:rsidR="0009556C" w:rsidRPr="00184DFD" w:rsidRDefault="0009556C" w:rsidP="0009556C">
      <w:pPr>
        <w:widowControl w:val="0"/>
        <w:jc w:val="both"/>
        <w:rPr>
          <w:lang w:val="en-GB"/>
        </w:rPr>
      </w:pPr>
    </w:p>
    <w:p w14:paraId="10DD0860" w14:textId="77777777" w:rsidR="0009556C" w:rsidRPr="00184DFD" w:rsidRDefault="0009556C" w:rsidP="0009556C">
      <w:pPr>
        <w:widowControl w:val="0"/>
        <w:jc w:val="both"/>
        <w:rPr>
          <w:lang w:val="en-GB"/>
        </w:rPr>
      </w:pPr>
    </w:p>
    <w:p w14:paraId="0A971369" w14:textId="77777777" w:rsidR="0009556C" w:rsidRPr="00184DFD" w:rsidRDefault="0009556C" w:rsidP="0009556C">
      <w:pPr>
        <w:keepNext/>
        <w:shd w:val="clear" w:color="auto" w:fill="D9D9D9"/>
        <w:jc w:val="center"/>
        <w:rPr>
          <w:b/>
          <w:lang w:val="en-GB"/>
        </w:rPr>
      </w:pPr>
      <w:r w:rsidRPr="00184DFD">
        <w:rPr>
          <w:b/>
          <w:lang w:val="en-GB"/>
        </w:rPr>
        <w:t>Working Group 3:</w:t>
      </w:r>
      <w:r w:rsidRPr="00184DFD">
        <w:rPr>
          <w:b/>
          <w:lang w:val="en-GB"/>
        </w:rPr>
        <w:br/>
        <w:t>Disaster Risk Management and Preparedness</w:t>
      </w:r>
    </w:p>
    <w:p w14:paraId="60D05006" w14:textId="77777777" w:rsidR="0009556C" w:rsidRPr="00184DFD" w:rsidRDefault="0009556C" w:rsidP="0009556C">
      <w:pPr>
        <w:keepNext/>
        <w:shd w:val="clear" w:color="auto" w:fill="D9D9D9"/>
        <w:jc w:val="center"/>
        <w:rPr>
          <w:b/>
          <w:lang w:val="en-GB"/>
        </w:rPr>
      </w:pPr>
    </w:p>
    <w:p w14:paraId="329AEED1" w14:textId="77777777" w:rsidR="0009556C" w:rsidRPr="00184DFD" w:rsidRDefault="0009556C" w:rsidP="0009556C">
      <w:pPr>
        <w:keepNext/>
        <w:shd w:val="clear" w:color="auto" w:fill="D9D9D9"/>
        <w:jc w:val="center"/>
        <w:rPr>
          <w:b/>
          <w:lang w:val="en-GB"/>
        </w:rPr>
      </w:pPr>
      <w:r w:rsidRPr="000F018A">
        <w:rPr>
          <w:b/>
          <w:lang w:val="en-GB"/>
        </w:rPr>
        <w:t>C</w:t>
      </w:r>
      <w:r w:rsidRPr="00184DFD">
        <w:rPr>
          <w:b/>
          <w:lang w:val="en-GB"/>
        </w:rPr>
        <w:t>hair</w:t>
      </w:r>
      <w:r w:rsidRPr="000F018A">
        <w:rPr>
          <w:b/>
          <w:lang w:val="en-GB"/>
        </w:rPr>
        <w:t xml:space="preserve">: Ms. </w:t>
      </w:r>
      <w:hyperlink r:id="rId8" w:history="1">
        <w:r w:rsidRPr="000F018A">
          <w:rPr>
            <w:rStyle w:val="Hyperlink"/>
            <w:b/>
            <w:lang w:val="en-GB"/>
          </w:rPr>
          <w:t>Ashleigh Fromont</w:t>
        </w:r>
      </w:hyperlink>
      <w:r w:rsidRPr="000F018A">
        <w:rPr>
          <w:b/>
          <w:lang w:val="en-GB"/>
        </w:rPr>
        <w:t xml:space="preserve"> </w:t>
      </w:r>
    </w:p>
    <w:p w14:paraId="7CC88C55" w14:textId="77777777" w:rsidR="0009556C" w:rsidRPr="00184DFD" w:rsidRDefault="0009556C" w:rsidP="0009556C">
      <w:pPr>
        <w:keepNext/>
        <w:shd w:val="clear" w:color="auto" w:fill="D9D9D9"/>
        <w:jc w:val="center"/>
        <w:rPr>
          <w:b/>
          <w:lang w:val="en-GB"/>
        </w:rPr>
      </w:pPr>
      <w:r w:rsidRPr="000F018A">
        <w:rPr>
          <w:b/>
          <w:lang w:val="en-GB"/>
        </w:rPr>
        <w:t>V</w:t>
      </w:r>
      <w:r w:rsidRPr="00184DFD">
        <w:rPr>
          <w:b/>
          <w:lang w:val="en-GB"/>
        </w:rPr>
        <w:t>ice-</w:t>
      </w:r>
      <w:r w:rsidRPr="000F018A">
        <w:rPr>
          <w:b/>
          <w:lang w:val="en-GB"/>
        </w:rPr>
        <w:t>C</w:t>
      </w:r>
      <w:r w:rsidRPr="00184DFD">
        <w:rPr>
          <w:b/>
          <w:lang w:val="en-GB"/>
        </w:rPr>
        <w:t>hair</w:t>
      </w:r>
      <w:r w:rsidRPr="000F018A">
        <w:rPr>
          <w:b/>
          <w:lang w:val="en-GB"/>
        </w:rPr>
        <w:t xml:space="preserve">: Ms. </w:t>
      </w:r>
      <w:hyperlink r:id="rId9" w:history="1">
        <w:r w:rsidRPr="000F018A">
          <w:rPr>
            <w:rStyle w:val="Hyperlink"/>
            <w:b/>
            <w:lang w:val="en-GB"/>
          </w:rPr>
          <w:t>Laura Kong</w:t>
        </w:r>
      </w:hyperlink>
    </w:p>
    <w:p w14:paraId="34BC92DD" w14:textId="77777777" w:rsidR="0009556C" w:rsidRPr="00184DFD" w:rsidRDefault="0009556C" w:rsidP="0009556C">
      <w:pPr>
        <w:tabs>
          <w:tab w:val="clear" w:pos="567"/>
        </w:tabs>
        <w:snapToGrid/>
        <w:spacing w:after="240"/>
        <w:ind w:left="709"/>
        <w:jc w:val="both"/>
        <w:rPr>
          <w:lang w:val="en-GB"/>
        </w:rPr>
      </w:pPr>
    </w:p>
    <w:p w14:paraId="415AF709" w14:textId="77777777" w:rsidR="0009556C" w:rsidRPr="00184DFD" w:rsidRDefault="0009556C" w:rsidP="0009556C">
      <w:pPr>
        <w:numPr>
          <w:ilvl w:val="0"/>
          <w:numId w:val="2"/>
        </w:numPr>
        <w:tabs>
          <w:tab w:val="clear" w:pos="567"/>
        </w:tabs>
        <w:snapToGrid/>
        <w:spacing w:after="240"/>
        <w:ind w:left="709" w:hanging="709"/>
        <w:jc w:val="both"/>
        <w:rPr>
          <w:lang w:val="en-GB"/>
        </w:rPr>
      </w:pPr>
      <w:r w:rsidRPr="00184DFD">
        <w:rPr>
          <w:lang w:val="en-GB"/>
        </w:rPr>
        <w:t>In collaboration with TOWS Task Team on Disaster Management and Preparedness and organizations such as UNDRR, support the exchange of experiences and information on risk reduction and preparedness actions, and matters related to disaster management.</w:t>
      </w:r>
    </w:p>
    <w:p w14:paraId="59C3EA70" w14:textId="77777777" w:rsidR="0009556C" w:rsidRPr="00184DFD" w:rsidRDefault="0009556C" w:rsidP="0009556C">
      <w:pPr>
        <w:numPr>
          <w:ilvl w:val="0"/>
          <w:numId w:val="2"/>
        </w:numPr>
        <w:tabs>
          <w:tab w:val="clear" w:pos="567"/>
        </w:tabs>
        <w:snapToGrid/>
        <w:spacing w:after="240"/>
        <w:ind w:left="709" w:hanging="709"/>
        <w:jc w:val="both"/>
        <w:rPr>
          <w:lang w:val="en-GB"/>
        </w:rPr>
      </w:pPr>
      <w:r w:rsidRPr="00184DFD">
        <w:rPr>
          <w:lang w:val="en-GB"/>
        </w:rPr>
        <w:t>Promote preparedness in coastal communities through education and awareness products and campaigns.</w:t>
      </w:r>
    </w:p>
    <w:p w14:paraId="4C05A02E" w14:textId="77777777" w:rsidR="0009556C" w:rsidRPr="00184DFD" w:rsidRDefault="0009556C" w:rsidP="0009556C">
      <w:pPr>
        <w:numPr>
          <w:ilvl w:val="0"/>
          <w:numId w:val="2"/>
        </w:numPr>
        <w:tabs>
          <w:tab w:val="clear" w:pos="567"/>
        </w:tabs>
        <w:snapToGrid/>
        <w:spacing w:after="240"/>
        <w:ind w:left="709" w:hanging="709"/>
        <w:jc w:val="both"/>
        <w:rPr>
          <w:lang w:val="en-GB"/>
        </w:rPr>
      </w:pPr>
      <w:r w:rsidRPr="00184DFD">
        <w:rPr>
          <w:lang w:val="en-GB"/>
        </w:rPr>
        <w:t>Facilitate SOP training across regions to strengthen emergency response capabilities of Member States and their Disaster Management Offices.</w:t>
      </w:r>
    </w:p>
    <w:p w14:paraId="0EDEE838" w14:textId="77777777" w:rsidR="0009556C" w:rsidRPr="00184DFD" w:rsidRDefault="0009556C" w:rsidP="0009556C">
      <w:pPr>
        <w:numPr>
          <w:ilvl w:val="0"/>
          <w:numId w:val="2"/>
        </w:numPr>
        <w:tabs>
          <w:tab w:val="clear" w:pos="567"/>
        </w:tabs>
        <w:snapToGrid/>
        <w:spacing w:after="240"/>
        <w:ind w:left="709" w:hanging="709"/>
        <w:jc w:val="both"/>
        <w:rPr>
          <w:lang w:val="en-GB"/>
        </w:rPr>
      </w:pPr>
      <w:r w:rsidRPr="00184DFD">
        <w:rPr>
          <w:lang w:val="en-GB"/>
        </w:rPr>
        <w:t>Develop and promote best practice preparedness material, programs, and assessment tools.</w:t>
      </w:r>
    </w:p>
    <w:p w14:paraId="187F6837" w14:textId="77777777" w:rsidR="0009556C" w:rsidRPr="00184DFD" w:rsidRDefault="0009556C" w:rsidP="0009556C">
      <w:pPr>
        <w:numPr>
          <w:ilvl w:val="0"/>
          <w:numId w:val="2"/>
        </w:numPr>
        <w:tabs>
          <w:tab w:val="clear" w:pos="567"/>
        </w:tabs>
        <w:snapToGrid/>
        <w:spacing w:after="240"/>
        <w:ind w:left="709" w:hanging="709"/>
        <w:jc w:val="both"/>
        <w:rPr>
          <w:lang w:val="en-GB"/>
        </w:rPr>
      </w:pPr>
      <w:r w:rsidRPr="00184DFD">
        <w:rPr>
          <w:lang w:val="en-GB"/>
        </w:rPr>
        <w:t>Develop and Promote tsunami risk reduction theory and practice</w:t>
      </w:r>
      <w:sdt>
        <w:sdtPr>
          <w:rPr>
            <w:lang w:val="en-GB"/>
          </w:rPr>
          <w:tag w:val="goog_rdk_56"/>
          <w:id w:val="1714768878"/>
        </w:sdtPr>
        <w:sdtContent>
          <w:r w:rsidRPr="00184DFD">
            <w:rPr>
              <w:lang w:val="en-GB"/>
            </w:rPr>
            <w:t>.</w:t>
          </w:r>
        </w:sdtContent>
      </w:sdt>
    </w:p>
    <w:p w14:paraId="6ACDBE79" w14:textId="77777777" w:rsidR="0009556C" w:rsidRPr="00184DFD" w:rsidRDefault="0009556C" w:rsidP="0009556C">
      <w:pPr>
        <w:numPr>
          <w:ilvl w:val="0"/>
          <w:numId w:val="2"/>
        </w:numPr>
        <w:tabs>
          <w:tab w:val="clear" w:pos="567"/>
        </w:tabs>
        <w:snapToGrid/>
        <w:spacing w:after="240"/>
        <w:ind w:left="709" w:hanging="709"/>
        <w:jc w:val="both"/>
        <w:rPr>
          <w:lang w:val="en-GB"/>
        </w:rPr>
      </w:pPr>
      <w:r w:rsidRPr="00184DFD">
        <w:rPr>
          <w:lang w:val="en-GB"/>
        </w:rPr>
        <w:t>Support the ITIC of the ICG</w:t>
      </w:r>
      <w:sdt>
        <w:sdtPr>
          <w:rPr>
            <w:lang w:val="en-GB"/>
          </w:rPr>
          <w:tag w:val="goog_rdk_57"/>
          <w:id w:val="1272058399"/>
        </w:sdtPr>
        <w:sdtContent>
          <w:r w:rsidRPr="00184DFD">
            <w:rPr>
              <w:lang w:val="en-GB"/>
            </w:rPr>
            <w:t>.</w:t>
          </w:r>
        </w:sdtContent>
      </w:sdt>
    </w:p>
    <w:p w14:paraId="72112682" w14:textId="77777777" w:rsidR="0009556C" w:rsidRPr="00184DFD" w:rsidRDefault="0009556C" w:rsidP="0009556C">
      <w:pPr>
        <w:spacing w:after="480"/>
        <w:jc w:val="both"/>
        <w:rPr>
          <w:lang w:val="en-GB"/>
        </w:rPr>
      </w:pPr>
      <w:r w:rsidRPr="00184DFD">
        <w:rPr>
          <w:lang w:val="en-GB"/>
        </w:rPr>
        <w:t>The Group will be composed of members nominated by Member States, regional organisations, a representative of ITIC with a Chair and a Vice-Chair to be elected by the ICG.</w:t>
      </w:r>
    </w:p>
    <w:p w14:paraId="16FF417D" w14:textId="77777777" w:rsidR="0009556C" w:rsidRPr="00184DFD" w:rsidRDefault="0009556C" w:rsidP="0009556C">
      <w:pPr>
        <w:spacing w:after="480"/>
        <w:jc w:val="both"/>
        <w:rPr>
          <w:lang w:val="en-GB"/>
        </w:rPr>
      </w:pPr>
    </w:p>
    <w:p w14:paraId="5980206A" w14:textId="77777777" w:rsidR="0009556C" w:rsidRPr="00184DFD" w:rsidRDefault="0009556C" w:rsidP="0009556C">
      <w:pPr>
        <w:spacing w:after="480"/>
        <w:jc w:val="both"/>
        <w:rPr>
          <w:lang w:val="en-GB"/>
        </w:rPr>
      </w:pPr>
    </w:p>
    <w:p w14:paraId="236871B4" w14:textId="77777777" w:rsidR="0009556C" w:rsidRPr="00184DFD" w:rsidRDefault="0009556C" w:rsidP="0009556C">
      <w:pPr>
        <w:spacing w:after="480"/>
        <w:jc w:val="both"/>
        <w:rPr>
          <w:lang w:val="en-GB"/>
        </w:rPr>
      </w:pPr>
    </w:p>
    <w:p w14:paraId="78DECF25" w14:textId="77777777" w:rsidR="0009556C" w:rsidRPr="00184DFD" w:rsidRDefault="0009556C" w:rsidP="0009556C">
      <w:pPr>
        <w:spacing w:after="480"/>
        <w:jc w:val="both"/>
        <w:rPr>
          <w:lang w:val="en-GB"/>
        </w:rPr>
      </w:pPr>
    </w:p>
    <w:p w14:paraId="16BDA698" w14:textId="77777777" w:rsidR="0009556C" w:rsidRPr="00184DFD" w:rsidRDefault="0009556C" w:rsidP="0009556C">
      <w:pPr>
        <w:spacing w:after="480"/>
        <w:jc w:val="both"/>
        <w:rPr>
          <w:lang w:val="en-GB"/>
        </w:rPr>
      </w:pPr>
    </w:p>
    <w:p w14:paraId="04ACDB48" w14:textId="77777777" w:rsidR="0009556C" w:rsidRPr="00184DFD" w:rsidRDefault="0009556C" w:rsidP="0009556C">
      <w:pPr>
        <w:spacing w:after="480"/>
        <w:jc w:val="both"/>
        <w:rPr>
          <w:lang w:val="en-GB"/>
        </w:rPr>
      </w:pPr>
    </w:p>
    <w:p w14:paraId="76650643" w14:textId="77777777" w:rsidR="0009556C" w:rsidRPr="00184DFD" w:rsidRDefault="0009556C" w:rsidP="0009556C">
      <w:pPr>
        <w:spacing w:after="480"/>
        <w:jc w:val="both"/>
        <w:rPr>
          <w:lang w:val="en-GB"/>
        </w:rPr>
      </w:pPr>
    </w:p>
    <w:p w14:paraId="1CAE1F85" w14:textId="77777777" w:rsidR="0009556C" w:rsidRPr="00184DFD" w:rsidRDefault="0009556C" w:rsidP="0009556C">
      <w:pPr>
        <w:spacing w:after="480"/>
        <w:jc w:val="both"/>
        <w:rPr>
          <w:lang w:val="en-GB"/>
        </w:rPr>
      </w:pPr>
    </w:p>
    <w:p w14:paraId="5EFBE970" w14:textId="77777777" w:rsidR="0009556C" w:rsidRPr="00184DFD" w:rsidRDefault="0009556C" w:rsidP="0009556C">
      <w:pPr>
        <w:spacing w:after="480"/>
        <w:jc w:val="both"/>
        <w:rPr>
          <w:lang w:val="en-GB"/>
        </w:rPr>
      </w:pPr>
    </w:p>
    <w:p w14:paraId="01374967" w14:textId="77777777" w:rsidR="0009556C" w:rsidRPr="00184DFD" w:rsidRDefault="0009556C" w:rsidP="0009556C">
      <w:pPr>
        <w:spacing w:after="480"/>
        <w:jc w:val="both"/>
        <w:rPr>
          <w:lang w:val="en-GB"/>
        </w:rPr>
      </w:pPr>
    </w:p>
    <w:p w14:paraId="4107B47B" w14:textId="77777777" w:rsidR="0009556C" w:rsidRPr="00184DFD" w:rsidRDefault="0009556C" w:rsidP="0009556C">
      <w:pPr>
        <w:shd w:val="clear" w:color="auto" w:fill="D9D9D9"/>
        <w:jc w:val="center"/>
        <w:rPr>
          <w:b/>
          <w:lang w:val="en-GB"/>
        </w:rPr>
      </w:pPr>
      <w:r w:rsidRPr="00184DFD">
        <w:rPr>
          <w:b/>
          <w:lang w:val="en-GB"/>
        </w:rPr>
        <w:t>WG3 Task Team:</w:t>
      </w:r>
      <w:r w:rsidRPr="00184DFD">
        <w:rPr>
          <w:b/>
          <w:lang w:val="en-GB"/>
        </w:rPr>
        <w:br/>
        <w:t>Tsunami Ready</w:t>
      </w:r>
    </w:p>
    <w:p w14:paraId="5FA3B823" w14:textId="77777777" w:rsidR="0009556C" w:rsidRPr="00184DFD" w:rsidRDefault="0009556C" w:rsidP="0009556C">
      <w:pPr>
        <w:shd w:val="clear" w:color="auto" w:fill="D9D9D9"/>
        <w:jc w:val="center"/>
        <w:rPr>
          <w:b/>
          <w:lang w:val="en-GB"/>
        </w:rPr>
      </w:pPr>
    </w:p>
    <w:p w14:paraId="26DBF9C6" w14:textId="77777777" w:rsidR="0009556C" w:rsidRPr="00184DFD" w:rsidRDefault="0009556C" w:rsidP="0009556C">
      <w:pPr>
        <w:shd w:val="clear" w:color="auto" w:fill="D9D9D9"/>
        <w:jc w:val="center"/>
        <w:rPr>
          <w:b/>
          <w:lang w:val="en-GB"/>
        </w:rPr>
      </w:pPr>
      <w:r w:rsidRPr="000F018A">
        <w:rPr>
          <w:b/>
          <w:lang w:val="en-GB"/>
        </w:rPr>
        <w:t>C</w:t>
      </w:r>
      <w:r w:rsidRPr="00184DFD">
        <w:rPr>
          <w:b/>
          <w:lang w:val="en-GB"/>
        </w:rPr>
        <w:t>o-</w:t>
      </w:r>
      <w:r w:rsidRPr="000F018A">
        <w:rPr>
          <w:b/>
          <w:lang w:val="en-GB"/>
        </w:rPr>
        <w:t>C</w:t>
      </w:r>
      <w:r w:rsidRPr="00184DFD">
        <w:rPr>
          <w:b/>
          <w:lang w:val="en-GB"/>
        </w:rPr>
        <w:t>hair</w:t>
      </w:r>
      <w:r w:rsidRPr="000F018A">
        <w:rPr>
          <w:b/>
          <w:lang w:val="en-GB"/>
        </w:rPr>
        <w:t xml:space="preserve">s: Ms. </w:t>
      </w:r>
      <w:hyperlink r:id="rId10" w:history="1">
        <w:r w:rsidRPr="000F018A">
          <w:rPr>
            <w:rStyle w:val="Hyperlink"/>
            <w:b/>
            <w:lang w:val="en-GB"/>
          </w:rPr>
          <w:t xml:space="preserve">Laura Kong </w:t>
        </w:r>
      </w:hyperlink>
      <w:r w:rsidRPr="000F018A">
        <w:rPr>
          <w:b/>
          <w:lang w:val="en-GB"/>
        </w:rPr>
        <w:t xml:space="preserve">and Ms. </w:t>
      </w:r>
      <w:hyperlink r:id="rId11" w:history="1">
        <w:r w:rsidRPr="000F018A">
          <w:rPr>
            <w:rStyle w:val="Hyperlink"/>
            <w:b/>
            <w:lang w:val="en-GB"/>
          </w:rPr>
          <w:t>Ashleigh Fromont</w:t>
        </w:r>
      </w:hyperlink>
    </w:p>
    <w:p w14:paraId="6009D959" w14:textId="77777777" w:rsidR="0009556C" w:rsidRPr="00184DFD" w:rsidRDefault="0009556C" w:rsidP="0009556C">
      <w:pPr>
        <w:spacing w:after="240"/>
        <w:jc w:val="both"/>
        <w:rPr>
          <w:lang w:val="en-GB"/>
        </w:rPr>
      </w:pPr>
    </w:p>
    <w:p w14:paraId="74E422EA" w14:textId="77777777" w:rsidR="0009556C" w:rsidRPr="00184DFD" w:rsidRDefault="0009556C" w:rsidP="0009556C">
      <w:pPr>
        <w:spacing w:after="240"/>
        <w:jc w:val="both"/>
        <w:rPr>
          <w:lang w:val="en-GB"/>
        </w:rPr>
      </w:pPr>
      <w:r w:rsidRPr="00184DFD">
        <w:rPr>
          <w:lang w:val="en-GB"/>
        </w:rPr>
        <w:t>This expert Task Team will facilitate and coordinate efforts relating to the Tsunami Ready Recognition Programme and within the ICG/PTWS, in support of UN Ocean Decade Goals.</w:t>
      </w:r>
    </w:p>
    <w:p w14:paraId="6F1C6750" w14:textId="77777777" w:rsidR="0009556C" w:rsidRPr="00184DFD" w:rsidRDefault="0009556C" w:rsidP="0009556C">
      <w:pPr>
        <w:numPr>
          <w:ilvl w:val="0"/>
          <w:numId w:val="1"/>
        </w:numPr>
        <w:tabs>
          <w:tab w:val="clear" w:pos="567"/>
        </w:tabs>
        <w:snapToGrid/>
        <w:spacing w:after="240"/>
        <w:ind w:left="714" w:hanging="672"/>
        <w:jc w:val="both"/>
        <w:rPr>
          <w:lang w:val="en-GB"/>
        </w:rPr>
      </w:pPr>
      <w:r w:rsidRPr="00184DFD">
        <w:rPr>
          <w:lang w:val="en-GB"/>
        </w:rPr>
        <w:t xml:space="preserve">Develop formal PTWS guidelines following the 'Tsunami Ready Equivalency Approach’ for recognition of tsunami readiness of communities not implementing the </w:t>
      </w:r>
      <w:sdt>
        <w:sdtPr>
          <w:rPr>
            <w:lang w:val="en-GB"/>
          </w:rPr>
          <w:tag w:val="goog_rdk_58"/>
          <w:id w:val="2052177579"/>
        </w:sdtPr>
        <w:sdtContent>
          <w:r w:rsidRPr="00184DFD">
            <w:rPr>
              <w:lang w:val="en-GB"/>
            </w:rPr>
            <w:t xml:space="preserve">IOC </w:t>
          </w:r>
        </w:sdtContent>
      </w:sdt>
      <w:r w:rsidRPr="00184DFD">
        <w:rPr>
          <w:lang w:val="en-GB"/>
        </w:rPr>
        <w:t>Tsunami Ready Recognition Programme,</w:t>
      </w:r>
    </w:p>
    <w:p w14:paraId="2FB44F17" w14:textId="77777777" w:rsidR="0009556C" w:rsidRPr="00184DFD" w:rsidRDefault="0009556C" w:rsidP="0009556C">
      <w:pPr>
        <w:numPr>
          <w:ilvl w:val="0"/>
          <w:numId w:val="1"/>
        </w:numPr>
        <w:tabs>
          <w:tab w:val="clear" w:pos="567"/>
        </w:tabs>
        <w:snapToGrid/>
        <w:spacing w:after="240"/>
        <w:ind w:hanging="672"/>
        <w:rPr>
          <w:lang w:val="en-GB"/>
        </w:rPr>
      </w:pPr>
      <w:r w:rsidRPr="00184DFD">
        <w:rPr>
          <w:lang w:val="en-GB"/>
        </w:rPr>
        <w:t xml:space="preserve">Monitor Tsunami Ready campaigns and outcomes, and report results, </w:t>
      </w:r>
    </w:p>
    <w:p w14:paraId="334AF5E8" w14:textId="77777777" w:rsidR="0009556C" w:rsidRPr="00184DFD" w:rsidRDefault="0009556C" w:rsidP="0009556C">
      <w:pPr>
        <w:numPr>
          <w:ilvl w:val="0"/>
          <w:numId w:val="1"/>
        </w:numPr>
        <w:tabs>
          <w:tab w:val="clear" w:pos="567"/>
        </w:tabs>
        <w:snapToGrid/>
        <w:spacing w:after="240"/>
        <w:ind w:hanging="672"/>
        <w:rPr>
          <w:lang w:val="en-GB"/>
        </w:rPr>
      </w:pPr>
      <w:r w:rsidRPr="00184DFD">
        <w:rPr>
          <w:lang w:val="en-GB"/>
        </w:rPr>
        <w:t>Ensure the advocacy for Tsunami Ready is aligned with other PTWS and IOC documents,</w:t>
      </w:r>
    </w:p>
    <w:p w14:paraId="5DC882DF" w14:textId="77777777" w:rsidR="0009556C" w:rsidRPr="00184DFD" w:rsidRDefault="0009556C" w:rsidP="0009556C">
      <w:pPr>
        <w:numPr>
          <w:ilvl w:val="0"/>
          <w:numId w:val="1"/>
        </w:numPr>
        <w:tabs>
          <w:tab w:val="clear" w:pos="567"/>
        </w:tabs>
        <w:snapToGrid/>
        <w:spacing w:after="240"/>
        <w:ind w:hanging="672"/>
        <w:rPr>
          <w:lang w:val="en-GB"/>
        </w:rPr>
      </w:pPr>
      <w:r w:rsidRPr="00184DFD">
        <w:rPr>
          <w:lang w:val="en-GB"/>
        </w:rPr>
        <w:t>Advise on the Tsunami Ready workflow as it pertains to the PTWS and regions,</w:t>
      </w:r>
    </w:p>
    <w:p w14:paraId="70518AB0" w14:textId="77777777" w:rsidR="0009556C" w:rsidRPr="00184DFD" w:rsidRDefault="0009556C" w:rsidP="0009556C">
      <w:pPr>
        <w:numPr>
          <w:ilvl w:val="0"/>
          <w:numId w:val="1"/>
        </w:numPr>
        <w:tabs>
          <w:tab w:val="clear" w:pos="567"/>
        </w:tabs>
        <w:snapToGrid/>
        <w:spacing w:after="240"/>
        <w:ind w:hanging="672"/>
        <w:rPr>
          <w:lang w:val="en-GB"/>
        </w:rPr>
      </w:pPr>
      <w:r w:rsidRPr="00184DFD">
        <w:rPr>
          <w:lang w:val="en-GB"/>
        </w:rPr>
        <w:t>Support ITIC in its efforts to facilitate the implementation of Tsunami Ready in PTWS Member States, </w:t>
      </w:r>
    </w:p>
    <w:p w14:paraId="03426E70" w14:textId="77777777" w:rsidR="0009556C" w:rsidRPr="00184DFD" w:rsidRDefault="0009556C" w:rsidP="0009556C">
      <w:pPr>
        <w:numPr>
          <w:ilvl w:val="0"/>
          <w:numId w:val="1"/>
        </w:numPr>
        <w:tabs>
          <w:tab w:val="clear" w:pos="567"/>
        </w:tabs>
        <w:snapToGrid/>
        <w:spacing w:after="240"/>
        <w:ind w:hanging="672"/>
        <w:jc w:val="both"/>
        <w:rPr>
          <w:lang w:val="en-GB"/>
        </w:rPr>
      </w:pPr>
      <w:r w:rsidRPr="00184DFD">
        <w:rPr>
          <w:lang w:val="en-GB"/>
        </w:rPr>
        <w:t>Support ITIC’s efforts to develop standardized training supporting Tsunami Ready under the framework of OTGA, such as through feedback on content and helping to test trainings before officially deployed,</w:t>
      </w:r>
    </w:p>
    <w:p w14:paraId="269372C4" w14:textId="77777777" w:rsidR="0009556C" w:rsidRPr="00184DFD" w:rsidRDefault="0009556C" w:rsidP="0009556C">
      <w:pPr>
        <w:numPr>
          <w:ilvl w:val="0"/>
          <w:numId w:val="1"/>
        </w:numPr>
        <w:tabs>
          <w:tab w:val="clear" w:pos="567"/>
        </w:tabs>
        <w:snapToGrid/>
        <w:spacing w:after="240"/>
        <w:ind w:hanging="672"/>
        <w:jc w:val="both"/>
        <w:rPr>
          <w:lang w:val="en-GB"/>
        </w:rPr>
      </w:pPr>
      <w:r w:rsidRPr="00184DFD">
        <w:rPr>
          <w:lang w:val="en-GB"/>
        </w:rPr>
        <w:t>Help to identify sources of funding in support of the implementation of Tsunami Ready,</w:t>
      </w:r>
    </w:p>
    <w:p w14:paraId="01A685E7" w14:textId="77777777" w:rsidR="0009556C" w:rsidRPr="00184DFD" w:rsidRDefault="0009556C" w:rsidP="0009556C">
      <w:pPr>
        <w:numPr>
          <w:ilvl w:val="0"/>
          <w:numId w:val="1"/>
        </w:numPr>
        <w:tabs>
          <w:tab w:val="clear" w:pos="567"/>
        </w:tabs>
        <w:snapToGrid/>
        <w:spacing w:after="240"/>
        <w:ind w:hanging="672"/>
        <w:jc w:val="both"/>
        <w:rPr>
          <w:lang w:val="en-GB"/>
        </w:rPr>
      </w:pPr>
      <w:r w:rsidRPr="00184DFD">
        <w:rPr>
          <w:lang w:val="en-GB"/>
        </w:rPr>
        <w:t>Report progress on encouraging the standard text in the UNESCO-IOC Tsunami Ready signage for vertical evacuation, such as “Go to the designated building for vertical evacuation”,</w:t>
      </w:r>
    </w:p>
    <w:p w14:paraId="6C6B97FA" w14:textId="77777777" w:rsidR="0009556C" w:rsidRPr="00184DFD" w:rsidRDefault="0009556C" w:rsidP="0009556C">
      <w:pPr>
        <w:numPr>
          <w:ilvl w:val="0"/>
          <w:numId w:val="1"/>
        </w:numPr>
        <w:tabs>
          <w:tab w:val="clear" w:pos="567"/>
        </w:tabs>
        <w:snapToGrid/>
        <w:spacing w:after="240"/>
        <w:ind w:hanging="672"/>
        <w:rPr>
          <w:lang w:val="en-GB"/>
        </w:rPr>
      </w:pPr>
      <w:r w:rsidRPr="00184DFD">
        <w:rPr>
          <w:lang w:val="en-GB"/>
        </w:rPr>
        <w:t>Report progress toward informing the public on the validity of the recognition, to be indicated on Tsunami Ready signage and on the certificate under the UNESCO-IOC Tsunami Ready logo.</w:t>
      </w:r>
    </w:p>
    <w:p w14:paraId="76B24056" w14:textId="77777777" w:rsidR="0009556C" w:rsidRPr="00184DFD" w:rsidRDefault="0009556C" w:rsidP="0009556C">
      <w:pPr>
        <w:spacing w:after="240"/>
        <w:rPr>
          <w:lang w:val="en-GB"/>
        </w:rPr>
      </w:pPr>
      <w:r w:rsidRPr="00184DFD">
        <w:rPr>
          <w:lang w:val="en-GB"/>
        </w:rPr>
        <w:t>The Group will be composed of members nominated by the Member States, representative of ITIC, with two co-chairs to be elected by the ICG.</w:t>
      </w:r>
    </w:p>
    <w:p w14:paraId="2F5B2BFD" w14:textId="77777777" w:rsidR="0009556C" w:rsidRPr="00184DFD" w:rsidRDefault="0009556C" w:rsidP="0009556C">
      <w:pPr>
        <w:rPr>
          <w:lang w:val="en-GB"/>
        </w:rPr>
      </w:pPr>
      <w:r w:rsidRPr="00184DFD">
        <w:rPr>
          <w:lang w:val="en-GB"/>
        </w:rPr>
        <w:t> </w:t>
      </w:r>
    </w:p>
    <w:p w14:paraId="57B34F6B" w14:textId="77777777" w:rsidR="0009556C" w:rsidRPr="00184DFD" w:rsidRDefault="0009556C" w:rsidP="0009556C">
      <w:pPr>
        <w:rPr>
          <w:lang w:val="en-GB"/>
        </w:rPr>
      </w:pPr>
    </w:p>
    <w:p w14:paraId="14FA92CA" w14:textId="77777777" w:rsidR="0009556C" w:rsidRPr="00184DFD" w:rsidRDefault="0009556C" w:rsidP="0009556C">
      <w:pPr>
        <w:rPr>
          <w:lang w:val="en-GB"/>
        </w:rPr>
      </w:pPr>
    </w:p>
    <w:p w14:paraId="6BDE1DD5" w14:textId="77777777" w:rsidR="0009556C" w:rsidRPr="00184DFD" w:rsidRDefault="0009556C" w:rsidP="0009556C">
      <w:pPr>
        <w:rPr>
          <w:lang w:val="en-GB"/>
        </w:rPr>
      </w:pPr>
    </w:p>
    <w:p w14:paraId="432B5509" w14:textId="77777777" w:rsidR="0009556C" w:rsidRPr="00184DFD" w:rsidRDefault="0009556C" w:rsidP="0009556C">
      <w:pPr>
        <w:rPr>
          <w:lang w:val="en-GB"/>
        </w:rPr>
      </w:pPr>
    </w:p>
    <w:p w14:paraId="5085BA70" w14:textId="77777777" w:rsidR="00A9298C" w:rsidRPr="0009556C" w:rsidRDefault="00A9298C">
      <w:pPr>
        <w:rPr>
          <w:lang w:val="en-GB"/>
        </w:rPr>
      </w:pPr>
    </w:p>
    <w:sectPr w:rsidR="00A9298C" w:rsidRPr="000955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04AB" w14:textId="77777777" w:rsidR="007454C8" w:rsidRDefault="007454C8" w:rsidP="0009556C">
      <w:r>
        <w:separator/>
      </w:r>
    </w:p>
  </w:endnote>
  <w:endnote w:type="continuationSeparator" w:id="0">
    <w:p w14:paraId="490E741F" w14:textId="77777777" w:rsidR="007454C8" w:rsidRDefault="007454C8" w:rsidP="0009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AAC1" w14:textId="77777777" w:rsidR="0009556C" w:rsidRDefault="00095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65D" w14:textId="77777777" w:rsidR="0009556C" w:rsidRDefault="00095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2057" w14:textId="77777777" w:rsidR="0009556C" w:rsidRDefault="0009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E3CE" w14:textId="77777777" w:rsidR="007454C8" w:rsidRDefault="007454C8" w:rsidP="0009556C">
      <w:r>
        <w:separator/>
      </w:r>
    </w:p>
  </w:footnote>
  <w:footnote w:type="continuationSeparator" w:id="0">
    <w:p w14:paraId="190D82AB" w14:textId="77777777" w:rsidR="007454C8" w:rsidRDefault="007454C8" w:rsidP="0009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4B6B" w14:textId="77777777" w:rsidR="0009556C" w:rsidRDefault="00095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839C" w14:textId="588B5477" w:rsidR="0009556C" w:rsidRPr="0009556C" w:rsidRDefault="0009556C" w:rsidP="0009556C">
    <w:pPr>
      <w:pStyle w:val="Header"/>
      <w:jc w:val="center"/>
      <w:rPr>
        <w:lang w:val="en-US"/>
      </w:rPr>
    </w:pPr>
    <w:r w:rsidRPr="00184DFD">
      <w:rPr>
        <w:rFonts w:cs="Arial"/>
        <w:b/>
        <w:bCs/>
        <w:szCs w:val="22"/>
        <w:lang w:val="en-GB"/>
      </w:rPr>
      <w:t>ICG/PTWS Working Groups and Task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9540" w14:textId="77777777" w:rsidR="0009556C" w:rsidRDefault="0009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60A9"/>
    <w:multiLevelType w:val="multilevel"/>
    <w:tmpl w:val="076C1A72"/>
    <w:lvl w:ilvl="0">
      <w:start w:val="1"/>
      <w:numFmt w:val="decimal"/>
      <w:pStyle w:val="ListBullet2"/>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7AD422A"/>
    <w:multiLevelType w:val="multilevel"/>
    <w:tmpl w:val="E92CF6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1257405"/>
    <w:multiLevelType w:val="multilevel"/>
    <w:tmpl w:val="62BA05F2"/>
    <w:lvl w:ilvl="0">
      <w:start w:val="1"/>
      <w:numFmt w:val="decimal"/>
      <w:lvlText w:val="%1."/>
      <w:lvlJc w:val="left"/>
      <w:pPr>
        <w:ind w:left="360" w:hanging="360"/>
      </w:pPr>
      <w:rPr>
        <w:smallCaps w:val="0"/>
        <w:strike w:val="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5301091">
    <w:abstractNumId w:val="0"/>
  </w:num>
  <w:num w:numId="2" w16cid:durableId="1733233898">
    <w:abstractNumId w:val="2"/>
  </w:num>
  <w:num w:numId="3" w16cid:durableId="31129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6C"/>
    <w:rsid w:val="0009556C"/>
    <w:rsid w:val="007454C8"/>
    <w:rsid w:val="009C4F16"/>
    <w:rsid w:val="00A929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85AC189"/>
  <w15:chartTrackingRefBased/>
  <w15:docId w15:val="{5C3F2ACC-39F1-4E60-AF33-481DA336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6C"/>
    <w:pPr>
      <w:tabs>
        <w:tab w:val="left" w:pos="567"/>
      </w:tabs>
      <w:snapToGrid w:val="0"/>
      <w:spacing w:after="0" w:line="240" w:lineRule="auto"/>
    </w:pPr>
    <w:rPr>
      <w:rFonts w:ascii="Arial" w:eastAsia="SimSun" w:hAnsi="Arial" w:cs="Times New Roman"/>
      <w:snapToGrid w:val="0"/>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09556C"/>
    <w:rPr>
      <w:color w:val="0000FF"/>
      <w:u w:val="single"/>
    </w:rPr>
  </w:style>
  <w:style w:type="paragraph" w:styleId="ListBullet2">
    <w:name w:val="List Bullet 2"/>
    <w:basedOn w:val="Normal"/>
    <w:rsid w:val="0009556C"/>
    <w:pPr>
      <w:numPr>
        <w:numId w:val="1"/>
      </w:numPr>
      <w:tabs>
        <w:tab w:val="clear" w:pos="567"/>
      </w:tabs>
      <w:autoSpaceDE w:val="0"/>
      <w:autoSpaceDN w:val="0"/>
      <w:adjustRightInd w:val="0"/>
      <w:snapToGrid/>
      <w:spacing w:before="120" w:after="120"/>
      <w:ind w:left="1302" w:hanging="582"/>
      <w:contextualSpacing/>
      <w:jc w:val="both"/>
    </w:pPr>
    <w:rPr>
      <w:rFonts w:ascii="ArialMT" w:eastAsia="Times New Roman" w:hAnsi="ArialMT" w:cs="ArialMT"/>
      <w:snapToGrid/>
      <w:szCs w:val="22"/>
      <w:lang w:val="en-US" w:eastAsia="en-US"/>
    </w:rPr>
  </w:style>
  <w:style w:type="paragraph" w:styleId="Header">
    <w:name w:val="header"/>
    <w:basedOn w:val="Normal"/>
    <w:link w:val="HeaderChar"/>
    <w:uiPriority w:val="99"/>
    <w:unhideWhenUsed/>
    <w:rsid w:val="0009556C"/>
    <w:pPr>
      <w:tabs>
        <w:tab w:val="clear" w:pos="567"/>
        <w:tab w:val="center" w:pos="4536"/>
        <w:tab w:val="right" w:pos="9072"/>
      </w:tabs>
    </w:pPr>
  </w:style>
  <w:style w:type="character" w:customStyle="1" w:styleId="HeaderChar">
    <w:name w:val="Header Char"/>
    <w:basedOn w:val="DefaultParagraphFont"/>
    <w:link w:val="Header"/>
    <w:uiPriority w:val="99"/>
    <w:rsid w:val="0009556C"/>
    <w:rPr>
      <w:rFonts w:ascii="Arial" w:eastAsia="SimSun" w:hAnsi="Arial" w:cs="Times New Roman"/>
      <w:snapToGrid w:val="0"/>
      <w:kern w:val="0"/>
      <w:szCs w:val="24"/>
      <w14:ligatures w14:val="none"/>
    </w:rPr>
  </w:style>
  <w:style w:type="paragraph" w:styleId="Footer">
    <w:name w:val="footer"/>
    <w:basedOn w:val="Normal"/>
    <w:link w:val="FooterChar"/>
    <w:uiPriority w:val="99"/>
    <w:unhideWhenUsed/>
    <w:rsid w:val="0009556C"/>
    <w:pPr>
      <w:tabs>
        <w:tab w:val="clear" w:pos="567"/>
        <w:tab w:val="center" w:pos="4536"/>
        <w:tab w:val="right" w:pos="9072"/>
      </w:tabs>
    </w:pPr>
  </w:style>
  <w:style w:type="character" w:customStyle="1" w:styleId="FooterChar">
    <w:name w:val="Footer Char"/>
    <w:basedOn w:val="DefaultParagraphFont"/>
    <w:link w:val="Footer"/>
    <w:uiPriority w:val="99"/>
    <w:rsid w:val="0009556C"/>
    <w:rPr>
      <w:rFonts w:ascii="Arial" w:eastAsia="SimSun" w:hAnsi="Arial" w:cs="Times New Roman"/>
      <w:snapToGrid w:val="0"/>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xpert/4980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eanexpert.org/expert/6398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expert/4980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ceanexpert.org/expert/160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ceanexpert.org/expert/160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3579</Characters>
  <Application>Microsoft Office Word</Application>
  <DocSecurity>0</DocSecurity>
  <Lines>143</Lines>
  <Paragraphs>62</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Seng, Denis</dc:creator>
  <cp:keywords/>
  <dc:description/>
  <cp:lastModifiedBy>Chang Seng, Denis</cp:lastModifiedBy>
  <cp:revision>1</cp:revision>
  <dcterms:created xsi:type="dcterms:W3CDTF">2024-01-30T10:35:00Z</dcterms:created>
  <dcterms:modified xsi:type="dcterms:W3CDTF">2024-01-30T10:37:00Z</dcterms:modified>
</cp:coreProperties>
</file>