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2314" w14:textId="77777777" w:rsidR="00021CE1" w:rsidRDefault="00021CE1" w:rsidP="00021CE1">
      <w:pPr>
        <w:jc w:val="center"/>
        <w:rPr>
          <w:rFonts w:cs="Arial"/>
          <w:b/>
          <w:sz w:val="28"/>
          <w:szCs w:val="28"/>
        </w:rPr>
      </w:pPr>
    </w:p>
    <w:p w14:paraId="72C0A083" w14:textId="77777777" w:rsidR="00021CE1" w:rsidRDefault="00021CE1" w:rsidP="00021CE1">
      <w:pPr>
        <w:jc w:val="center"/>
        <w:rPr>
          <w:rFonts w:cs="Arial"/>
          <w:b/>
          <w:sz w:val="28"/>
          <w:szCs w:val="28"/>
        </w:rPr>
      </w:pPr>
      <w:r w:rsidRPr="007D10B6">
        <w:rPr>
          <w:rFonts w:cs="Arial"/>
          <w:b/>
          <w:sz w:val="28"/>
          <w:szCs w:val="28"/>
        </w:rPr>
        <w:t>Progress on procedures for the review of the NODC health status within the IODE network 16 March 2023</w:t>
      </w:r>
      <w:r>
        <w:rPr>
          <w:rFonts w:cs="Arial"/>
          <w:b/>
          <w:sz w:val="28"/>
          <w:szCs w:val="28"/>
        </w:rPr>
        <w:t xml:space="preserve"> – for discussion</w:t>
      </w:r>
    </w:p>
    <w:p w14:paraId="62DAB128" w14:textId="77777777" w:rsidR="00021CE1" w:rsidRPr="007D10B6" w:rsidRDefault="00021CE1" w:rsidP="00021CE1">
      <w:pPr>
        <w:jc w:val="center"/>
        <w:rPr>
          <w:rFonts w:cs="Arial"/>
          <w:b/>
          <w:color w:val="005F3D"/>
          <w:sz w:val="28"/>
          <w:szCs w:val="28"/>
        </w:rPr>
      </w:pPr>
    </w:p>
    <w:p w14:paraId="7ACB3733" w14:textId="77777777" w:rsidR="00021CE1" w:rsidRPr="0015748E" w:rsidRDefault="00021CE1" w:rsidP="00021CE1">
      <w:pPr>
        <w:rPr>
          <w:rFonts w:asciiTheme="minorHAnsi" w:hAnsiTheme="minorHAnsi" w:cstheme="minorHAnsi"/>
        </w:rPr>
      </w:pPr>
    </w:p>
    <w:p w14:paraId="6111A067" w14:textId="77777777" w:rsidR="00021CE1" w:rsidRPr="00021CE1" w:rsidRDefault="00021CE1" w:rsidP="00021CE1">
      <w:pPr>
        <w:rPr>
          <w:rFonts w:cs="Arial"/>
        </w:rPr>
      </w:pPr>
      <w:r w:rsidRPr="00021CE1">
        <w:rPr>
          <w:rFonts w:cs="Arial"/>
        </w:rPr>
        <w:t xml:space="preserve">The mission of an NODC is to provide access and stewardship for the national resource of oceanographic data (see: </w:t>
      </w:r>
      <w:hyperlink r:id="rId7" w:history="1">
        <w:r w:rsidRPr="00021CE1">
          <w:rPr>
            <w:rStyle w:val="Hyperlink"/>
            <w:rFonts w:eastAsiaTheme="minorHAnsi" w:cs="Arial"/>
            <w:iCs/>
          </w:rPr>
          <w:t>Guide for Establishing an IODE National Oceanographic Data Centre, IODE Associate Data Unit or IODE Associate Information Unit (3rd revised edition)</w:t>
        </w:r>
      </w:hyperlink>
      <w:r w:rsidRPr="00021CE1">
        <w:rPr>
          <w:rFonts w:cs="Arial"/>
        </w:rPr>
        <w:t>). This task requires the gathering, quality control, processing, summarization, dissemination, and preservation of data generated by national and international agencies.</w:t>
      </w:r>
    </w:p>
    <w:p w14:paraId="7C437970" w14:textId="77777777" w:rsidR="00021CE1" w:rsidRPr="00021CE1" w:rsidRDefault="00021CE1" w:rsidP="00021CE1">
      <w:pPr>
        <w:rPr>
          <w:rFonts w:cs="Arial"/>
        </w:rPr>
      </w:pPr>
      <w:r w:rsidRPr="00021CE1">
        <w:rPr>
          <w:rFonts w:cs="Arial"/>
        </w:rPr>
        <w:t xml:space="preserve"> </w:t>
      </w:r>
    </w:p>
    <w:p w14:paraId="4396BEB7" w14:textId="77777777" w:rsidR="00021CE1" w:rsidRPr="00021CE1" w:rsidRDefault="00021CE1" w:rsidP="00021CE1">
      <w:pPr>
        <w:rPr>
          <w:rFonts w:cs="Arial"/>
        </w:rPr>
      </w:pPr>
      <w:r w:rsidRPr="00021CE1">
        <w:rPr>
          <w:rFonts w:cs="Arial"/>
        </w:rPr>
        <w:t xml:space="preserve">The full range of data management tasks to be carried out by a national oceanographic data management “system” can be summarized as follows: </w:t>
      </w:r>
    </w:p>
    <w:p w14:paraId="091F443B" w14:textId="77777777" w:rsidR="00021CE1" w:rsidRPr="00021CE1" w:rsidRDefault="00021CE1" w:rsidP="00021CE1">
      <w:pPr>
        <w:pStyle w:val="ListParagraph"/>
        <w:numPr>
          <w:ilvl w:val="0"/>
          <w:numId w:val="1"/>
        </w:numPr>
        <w:rPr>
          <w:rFonts w:cs="Arial"/>
          <w:szCs w:val="22"/>
        </w:rPr>
      </w:pPr>
      <w:r w:rsidRPr="00021CE1">
        <w:rPr>
          <w:rFonts w:cs="Arial"/>
          <w:szCs w:val="22"/>
        </w:rPr>
        <w:t xml:space="preserve">receiving data from national, regional and international programmes collecting oceanographic data; </w:t>
      </w:r>
    </w:p>
    <w:p w14:paraId="0F89456E" w14:textId="77777777" w:rsidR="00021CE1" w:rsidRPr="00021CE1" w:rsidRDefault="00021CE1" w:rsidP="00021CE1">
      <w:pPr>
        <w:pStyle w:val="ListParagraph"/>
        <w:numPr>
          <w:ilvl w:val="0"/>
          <w:numId w:val="1"/>
        </w:numPr>
        <w:rPr>
          <w:rFonts w:cs="Arial"/>
          <w:szCs w:val="22"/>
        </w:rPr>
      </w:pPr>
      <w:r w:rsidRPr="00021CE1">
        <w:rPr>
          <w:rFonts w:cs="Arial"/>
          <w:szCs w:val="22"/>
        </w:rPr>
        <w:t xml:space="preserve">verifying the quality of the data (using agreed upon standards); </w:t>
      </w:r>
    </w:p>
    <w:p w14:paraId="20395711" w14:textId="77777777" w:rsidR="00021CE1" w:rsidRPr="00021CE1" w:rsidRDefault="00021CE1" w:rsidP="00021CE1">
      <w:pPr>
        <w:pStyle w:val="ListParagraph"/>
        <w:numPr>
          <w:ilvl w:val="0"/>
          <w:numId w:val="1"/>
        </w:numPr>
        <w:rPr>
          <w:rFonts w:cs="Arial"/>
          <w:szCs w:val="22"/>
        </w:rPr>
      </w:pPr>
      <w:r w:rsidRPr="00021CE1">
        <w:rPr>
          <w:rFonts w:cs="Arial"/>
          <w:szCs w:val="22"/>
        </w:rPr>
        <w:t xml:space="preserve">ensuring the long term preservation of the data and associated information required for correct interpretation of the data; and </w:t>
      </w:r>
    </w:p>
    <w:p w14:paraId="52CDF34D" w14:textId="77777777" w:rsidR="00021CE1" w:rsidRPr="00021CE1" w:rsidRDefault="00021CE1" w:rsidP="00021CE1">
      <w:pPr>
        <w:pStyle w:val="ListParagraph"/>
        <w:numPr>
          <w:ilvl w:val="0"/>
          <w:numId w:val="1"/>
        </w:numPr>
        <w:rPr>
          <w:rFonts w:cs="Arial"/>
          <w:szCs w:val="22"/>
        </w:rPr>
      </w:pPr>
      <w:r w:rsidRPr="00021CE1">
        <w:rPr>
          <w:rFonts w:cs="Arial"/>
          <w:szCs w:val="22"/>
        </w:rPr>
        <w:t xml:space="preserve">making data available, </w:t>
      </w:r>
      <w:proofErr w:type="gramStart"/>
      <w:r w:rsidRPr="00021CE1">
        <w:rPr>
          <w:rFonts w:cs="Arial"/>
          <w:szCs w:val="22"/>
        </w:rPr>
        <w:t>nationally</w:t>
      </w:r>
      <w:proofErr w:type="gramEnd"/>
      <w:r w:rsidRPr="00021CE1">
        <w:rPr>
          <w:rFonts w:cs="Arial"/>
          <w:szCs w:val="22"/>
        </w:rPr>
        <w:t xml:space="preserve"> and internationally.</w:t>
      </w:r>
    </w:p>
    <w:p w14:paraId="41FBBFCB" w14:textId="77777777" w:rsidR="00021CE1" w:rsidRPr="00021CE1" w:rsidRDefault="00021CE1" w:rsidP="00021CE1">
      <w:pPr>
        <w:autoSpaceDE w:val="0"/>
        <w:autoSpaceDN w:val="0"/>
        <w:adjustRightInd w:val="0"/>
        <w:rPr>
          <w:rFonts w:eastAsiaTheme="minorHAnsi" w:cs="Arial"/>
        </w:rPr>
      </w:pPr>
    </w:p>
    <w:p w14:paraId="71F99B05" w14:textId="77777777" w:rsidR="00021CE1" w:rsidRPr="00021CE1" w:rsidRDefault="00021CE1" w:rsidP="00021CE1">
      <w:pPr>
        <w:autoSpaceDE w:val="0"/>
        <w:autoSpaceDN w:val="0"/>
        <w:adjustRightInd w:val="0"/>
        <w:rPr>
          <w:rFonts w:eastAsiaTheme="minorHAnsi" w:cs="Arial"/>
        </w:rPr>
      </w:pPr>
      <w:r w:rsidRPr="00021CE1">
        <w:rPr>
          <w:rFonts w:eastAsiaTheme="minorHAnsi" w:cs="Arial"/>
        </w:rPr>
        <w:t>During IODE-XXV (2019) it was suggested that that a review exercise should be carried out to identify those NODCs that are no longer active and to investigate why they have become inactive. Moreover if there is still an interest in developing data management services then these centres should be provided with the necessary guidance to restart their activities.</w:t>
      </w:r>
    </w:p>
    <w:p w14:paraId="0FBD0B93" w14:textId="77777777" w:rsidR="00021CE1" w:rsidRPr="00021CE1" w:rsidRDefault="00021CE1" w:rsidP="00021CE1">
      <w:pPr>
        <w:autoSpaceDE w:val="0"/>
        <w:autoSpaceDN w:val="0"/>
        <w:adjustRightInd w:val="0"/>
        <w:rPr>
          <w:rFonts w:eastAsiaTheme="minorHAnsi" w:cs="Arial"/>
        </w:rPr>
      </w:pPr>
      <w:r w:rsidRPr="00021CE1">
        <w:rPr>
          <w:rFonts w:eastAsiaTheme="minorHAnsi" w:cs="Arial"/>
        </w:rPr>
        <w:t xml:space="preserve"> </w:t>
      </w:r>
    </w:p>
    <w:p w14:paraId="6271CA83" w14:textId="77777777" w:rsidR="00021CE1" w:rsidRPr="00021CE1" w:rsidRDefault="00021CE1" w:rsidP="00021CE1">
      <w:pPr>
        <w:autoSpaceDE w:val="0"/>
        <w:autoSpaceDN w:val="0"/>
        <w:adjustRightInd w:val="0"/>
        <w:rPr>
          <w:rFonts w:eastAsiaTheme="minorHAnsi" w:cs="Arial"/>
          <w:b/>
        </w:rPr>
      </w:pPr>
      <w:r w:rsidRPr="00021CE1">
        <w:rPr>
          <w:rFonts w:eastAsiaTheme="minorHAnsi" w:cs="Arial"/>
        </w:rPr>
        <w:t>To pursue this objective Decision IODE-XXV.3.2.4 (Establishment</w:t>
      </w:r>
      <w:r w:rsidRPr="00021CE1">
        <w:rPr>
          <w:rFonts w:cs="Arial"/>
          <w:bCs/>
        </w:rPr>
        <w:t xml:space="preserve"> of an Inter-sessional Working Group on the Review of NODC health status within the IODE network)</w:t>
      </w:r>
      <w:r w:rsidRPr="00021CE1">
        <w:rPr>
          <w:rFonts w:cs="Arial"/>
          <w:b/>
          <w:bCs/>
        </w:rPr>
        <w:t xml:space="preserve"> </w:t>
      </w:r>
      <w:r w:rsidRPr="00021CE1">
        <w:rPr>
          <w:rFonts w:eastAsiaTheme="minorHAnsi" w:cs="Arial"/>
        </w:rPr>
        <w:t xml:space="preserve">was adopted. Unfortunately the Working Group was not able to complete its task so in preparation for IODE-XXVI, a </w:t>
      </w:r>
      <w:r w:rsidRPr="00021CE1">
        <w:rPr>
          <w:rFonts w:cs="Arial"/>
        </w:rPr>
        <w:t>pre-committee working group was established to r</w:t>
      </w:r>
      <w:r w:rsidRPr="00021CE1">
        <w:rPr>
          <w:rStyle w:val="Strong"/>
          <w:rFonts w:eastAsia="Arial" w:cs="Arial"/>
        </w:rPr>
        <w:t>eview of NODC health status within the IODE network. This group met on 18 February 2021 and discussed how the health of NODCs could be measured and was informed of the system in place for OBIS nodes.</w:t>
      </w:r>
      <w:r w:rsidRPr="00021CE1">
        <w:rPr>
          <w:rFonts w:eastAsiaTheme="minorHAnsi" w:cs="Arial"/>
          <w:b/>
        </w:rPr>
        <w:t xml:space="preserve"> </w:t>
      </w:r>
    </w:p>
    <w:p w14:paraId="4272E1B3" w14:textId="77777777" w:rsidR="00021CE1" w:rsidRPr="00021CE1" w:rsidRDefault="00021CE1" w:rsidP="00021CE1">
      <w:pPr>
        <w:pStyle w:val="NormalWeb"/>
        <w:rPr>
          <w:rFonts w:ascii="Arial" w:hAnsi="Arial" w:cs="Arial"/>
          <w:sz w:val="22"/>
          <w:szCs w:val="22"/>
        </w:rPr>
      </w:pPr>
    </w:p>
    <w:p w14:paraId="4C496F43" w14:textId="77777777" w:rsidR="00021CE1" w:rsidRPr="00021CE1" w:rsidRDefault="00021CE1" w:rsidP="00021CE1">
      <w:pPr>
        <w:pStyle w:val="NormalWeb"/>
        <w:rPr>
          <w:rFonts w:ascii="Arial" w:hAnsi="Arial" w:cs="Arial"/>
          <w:sz w:val="22"/>
          <w:szCs w:val="22"/>
        </w:rPr>
      </w:pPr>
      <w:r w:rsidRPr="00021CE1">
        <w:rPr>
          <w:rFonts w:ascii="Arial" w:hAnsi="Arial" w:cs="Arial"/>
          <w:sz w:val="22"/>
          <w:szCs w:val="22"/>
        </w:rPr>
        <w:t xml:space="preserve">The IODE Steering Group for OBIS evaluates the health status of OBIS nodes at each annual Steering Group meeting (see Appendix 1). The OBIS secretariat prepares a health status check report of each OBIS node based on a check list of six items and informs the OBIS node manager on their status 3 months before the SG meeting. An OBIS node is considered </w:t>
      </w:r>
      <w:r w:rsidRPr="00021CE1">
        <w:rPr>
          <w:rFonts w:ascii="Arial" w:hAnsi="Arial" w:cs="Arial"/>
          <w:bCs/>
          <w:sz w:val="22"/>
          <w:szCs w:val="22"/>
          <w:u w:val="single"/>
        </w:rPr>
        <w:t>inactive</w:t>
      </w:r>
      <w:r w:rsidRPr="00021CE1">
        <w:rPr>
          <w:rFonts w:ascii="Arial" w:hAnsi="Arial" w:cs="Arial"/>
          <w:sz w:val="22"/>
          <w:szCs w:val="22"/>
        </w:rPr>
        <w:t xml:space="preserve"> when it meets any of these criteria. At the Steering Group meeting the results of the health check are presented including a listing of the inactive OBIS nodes.</w:t>
      </w:r>
    </w:p>
    <w:p w14:paraId="383E3202" w14:textId="77777777" w:rsidR="00021CE1" w:rsidRPr="00021CE1" w:rsidRDefault="00021CE1" w:rsidP="00021CE1">
      <w:pPr>
        <w:pStyle w:val="NormalWeb"/>
        <w:rPr>
          <w:rFonts w:ascii="Arial" w:hAnsi="Arial" w:cs="Arial"/>
          <w:sz w:val="22"/>
          <w:szCs w:val="22"/>
        </w:rPr>
      </w:pPr>
    </w:p>
    <w:p w14:paraId="45115A4E" w14:textId="77777777" w:rsidR="00021CE1" w:rsidRPr="00021CE1" w:rsidRDefault="00021CE1" w:rsidP="00021CE1">
      <w:pPr>
        <w:rPr>
          <w:rFonts w:cs="Arial"/>
        </w:rPr>
      </w:pPr>
      <w:r w:rsidRPr="00021CE1">
        <w:rPr>
          <w:rFonts w:cs="Arial"/>
        </w:rPr>
        <w:t>Taking into account the information and checklist provided by OBIS, their suggestion that it is valuable to be able to check the status independently, and the full range of data management tasks of an NODC (noted above), a preliminary checklist for the health status of NODCs has been drawn up and is given below together with some comments. A few of the items require input from the NODC, but other items can be independently checked. Further work is needed to determine the NODC health check process, for example, how frequently it should be carried out, precisely which checks need to be met for an NODC to be considered active and how inactive NODCs can be assisted to become active again. It is suggested that the IODE Management Group should oversee the process.</w:t>
      </w:r>
    </w:p>
    <w:p w14:paraId="45C24B89" w14:textId="77777777" w:rsidR="00021CE1" w:rsidRPr="00021CE1" w:rsidRDefault="00021CE1" w:rsidP="00021CE1">
      <w:pPr>
        <w:rPr>
          <w:rFonts w:cs="Arial"/>
        </w:rPr>
      </w:pPr>
    </w:p>
    <w:p w14:paraId="49D8A182" w14:textId="77777777" w:rsidR="00021CE1" w:rsidRPr="00021CE1" w:rsidRDefault="00021CE1" w:rsidP="00021CE1">
      <w:pPr>
        <w:rPr>
          <w:rFonts w:cs="Arial"/>
          <w:lang w:val="en-US"/>
        </w:rPr>
      </w:pPr>
    </w:p>
    <w:p w14:paraId="16B8D0CB" w14:textId="77777777" w:rsidR="00021CE1" w:rsidRPr="00021CE1" w:rsidRDefault="00021CE1" w:rsidP="00021CE1">
      <w:pPr>
        <w:rPr>
          <w:rFonts w:cs="Arial"/>
          <w:lang w:val="en-US"/>
        </w:rPr>
      </w:pPr>
    </w:p>
    <w:p w14:paraId="4B2ECA0C" w14:textId="77777777" w:rsidR="00021CE1" w:rsidRPr="00021CE1" w:rsidRDefault="00021CE1" w:rsidP="00021CE1">
      <w:pPr>
        <w:rPr>
          <w:rFonts w:cs="Arial"/>
        </w:rPr>
      </w:pPr>
    </w:p>
    <w:p w14:paraId="5D0A0114" w14:textId="77777777" w:rsidR="00021CE1" w:rsidRPr="00021CE1" w:rsidRDefault="00021CE1" w:rsidP="00021CE1">
      <w:pPr>
        <w:spacing w:after="120"/>
        <w:rPr>
          <w:rFonts w:cs="Arial"/>
          <w:b/>
        </w:rPr>
      </w:pPr>
      <w:r w:rsidRPr="00021CE1">
        <w:rPr>
          <w:rFonts w:cs="Arial"/>
          <w:b/>
        </w:rPr>
        <w:lastRenderedPageBreak/>
        <w:t>Table 1: Preliminary NODC health status checklist (Version 1)</w:t>
      </w:r>
    </w:p>
    <w:tbl>
      <w:tblPr>
        <w:tblStyle w:val="TableGrid"/>
        <w:tblW w:w="0" w:type="auto"/>
        <w:tblInd w:w="108" w:type="dxa"/>
        <w:tblLook w:val="04A0" w:firstRow="1" w:lastRow="0" w:firstColumn="1" w:lastColumn="0" w:noHBand="0" w:noVBand="1"/>
      </w:tblPr>
      <w:tblGrid>
        <w:gridCol w:w="426"/>
        <w:gridCol w:w="3969"/>
        <w:gridCol w:w="4739"/>
      </w:tblGrid>
      <w:tr w:rsidR="00021CE1" w:rsidRPr="00021CE1" w14:paraId="1101995C" w14:textId="77777777" w:rsidTr="00D2535A">
        <w:tc>
          <w:tcPr>
            <w:tcW w:w="426" w:type="dxa"/>
          </w:tcPr>
          <w:p w14:paraId="63D84A7C" w14:textId="77777777" w:rsidR="00021CE1" w:rsidRPr="00021CE1" w:rsidRDefault="00021CE1" w:rsidP="00D2535A">
            <w:pPr>
              <w:pStyle w:val="ListParagraph"/>
              <w:spacing w:before="60" w:after="60"/>
              <w:ind w:left="0"/>
              <w:rPr>
                <w:rFonts w:cs="Arial"/>
                <w:b/>
              </w:rPr>
            </w:pPr>
          </w:p>
        </w:tc>
        <w:tc>
          <w:tcPr>
            <w:tcW w:w="3969" w:type="dxa"/>
          </w:tcPr>
          <w:p w14:paraId="7BAE584D" w14:textId="77777777" w:rsidR="00021CE1" w:rsidRPr="00021CE1" w:rsidRDefault="00021CE1" w:rsidP="00D2535A">
            <w:pPr>
              <w:pStyle w:val="ListParagraph"/>
              <w:spacing w:before="60" w:after="60"/>
              <w:ind w:left="0"/>
              <w:rPr>
                <w:rFonts w:cs="Arial"/>
                <w:b/>
              </w:rPr>
            </w:pPr>
            <w:r w:rsidRPr="00021CE1">
              <w:rPr>
                <w:rFonts w:cs="Arial"/>
                <w:b/>
              </w:rPr>
              <w:t>NODC Status Check</w:t>
            </w:r>
          </w:p>
        </w:tc>
        <w:tc>
          <w:tcPr>
            <w:tcW w:w="4739" w:type="dxa"/>
          </w:tcPr>
          <w:p w14:paraId="6A7E7955" w14:textId="77777777" w:rsidR="00021CE1" w:rsidRPr="00021CE1" w:rsidRDefault="00021CE1" w:rsidP="00D2535A">
            <w:pPr>
              <w:spacing w:before="60" w:after="60"/>
              <w:rPr>
                <w:rFonts w:cs="Arial"/>
                <w:b/>
              </w:rPr>
            </w:pPr>
            <w:r w:rsidRPr="00021CE1">
              <w:rPr>
                <w:rFonts w:cs="Arial"/>
                <w:b/>
              </w:rPr>
              <w:t>Comments</w:t>
            </w:r>
          </w:p>
        </w:tc>
      </w:tr>
      <w:tr w:rsidR="00021CE1" w:rsidRPr="00021CE1" w14:paraId="6B278512" w14:textId="77777777" w:rsidTr="00D2535A">
        <w:tc>
          <w:tcPr>
            <w:tcW w:w="426" w:type="dxa"/>
          </w:tcPr>
          <w:p w14:paraId="05650BFB" w14:textId="77777777" w:rsidR="00021CE1" w:rsidRPr="00021CE1" w:rsidRDefault="00021CE1" w:rsidP="00021CE1">
            <w:pPr>
              <w:pStyle w:val="ListParagraph"/>
              <w:numPr>
                <w:ilvl w:val="0"/>
                <w:numId w:val="2"/>
              </w:numPr>
              <w:ind w:left="0" w:firstLine="0"/>
              <w:jc w:val="left"/>
              <w:rPr>
                <w:rFonts w:cs="Arial"/>
              </w:rPr>
            </w:pPr>
          </w:p>
        </w:tc>
        <w:tc>
          <w:tcPr>
            <w:tcW w:w="3969" w:type="dxa"/>
          </w:tcPr>
          <w:p w14:paraId="10896072" w14:textId="77777777" w:rsidR="00021CE1" w:rsidRPr="00021CE1" w:rsidRDefault="00021CE1" w:rsidP="00D2535A">
            <w:pPr>
              <w:pStyle w:val="ListParagraph"/>
              <w:ind w:left="0"/>
              <w:rPr>
                <w:rFonts w:cs="Arial"/>
              </w:rPr>
            </w:pPr>
            <w:r w:rsidRPr="00021CE1">
              <w:rPr>
                <w:rFonts w:cs="Arial"/>
              </w:rPr>
              <w:t>The NODC contact point does not respond to e-mails/CLs/other communications, etc.</w:t>
            </w:r>
          </w:p>
        </w:tc>
        <w:tc>
          <w:tcPr>
            <w:tcW w:w="4739" w:type="dxa"/>
          </w:tcPr>
          <w:p w14:paraId="0145BB1A" w14:textId="77777777" w:rsidR="00021CE1" w:rsidRPr="00021CE1" w:rsidRDefault="00021CE1" w:rsidP="00D2535A">
            <w:pPr>
              <w:rPr>
                <w:rFonts w:cs="Arial"/>
              </w:rPr>
            </w:pPr>
            <w:r w:rsidRPr="00021CE1">
              <w:rPr>
                <w:rFonts w:cs="Arial"/>
              </w:rPr>
              <w:t>No response indicates that the NODC is not active. A timescale needs to be agreed – e.g. no replies received over the last two years for example.</w:t>
            </w:r>
          </w:p>
        </w:tc>
      </w:tr>
      <w:tr w:rsidR="00021CE1" w:rsidRPr="00021CE1" w14:paraId="7145F582" w14:textId="77777777" w:rsidTr="00D2535A">
        <w:tc>
          <w:tcPr>
            <w:tcW w:w="426" w:type="dxa"/>
          </w:tcPr>
          <w:p w14:paraId="6628FF52" w14:textId="77777777" w:rsidR="00021CE1" w:rsidRPr="00021CE1" w:rsidRDefault="00021CE1" w:rsidP="00021CE1">
            <w:pPr>
              <w:pStyle w:val="ListParagraph"/>
              <w:numPr>
                <w:ilvl w:val="0"/>
                <w:numId w:val="2"/>
              </w:numPr>
              <w:ind w:left="0" w:firstLine="0"/>
              <w:jc w:val="left"/>
              <w:rPr>
                <w:rFonts w:cs="Arial"/>
              </w:rPr>
            </w:pPr>
          </w:p>
        </w:tc>
        <w:tc>
          <w:tcPr>
            <w:tcW w:w="3969" w:type="dxa"/>
          </w:tcPr>
          <w:p w14:paraId="4DD7D4DD" w14:textId="77777777" w:rsidR="00021CE1" w:rsidRPr="00021CE1" w:rsidRDefault="00021CE1" w:rsidP="00D2535A">
            <w:pPr>
              <w:pStyle w:val="ListParagraph"/>
              <w:ind w:left="0"/>
              <w:rPr>
                <w:rFonts w:cs="Arial"/>
              </w:rPr>
            </w:pPr>
            <w:r w:rsidRPr="00021CE1">
              <w:rPr>
                <w:rFonts w:cs="Arial"/>
              </w:rPr>
              <w:t xml:space="preserve">If no response in 1. above, then contact NODC host institution or IOC Action Address. </w:t>
            </w:r>
          </w:p>
        </w:tc>
        <w:tc>
          <w:tcPr>
            <w:tcW w:w="4739" w:type="dxa"/>
          </w:tcPr>
          <w:p w14:paraId="6C0E0796" w14:textId="77777777" w:rsidR="00021CE1" w:rsidRPr="00021CE1" w:rsidRDefault="00021CE1" w:rsidP="00D2535A">
            <w:pPr>
              <w:rPr>
                <w:rFonts w:cs="Arial"/>
              </w:rPr>
            </w:pPr>
            <w:r w:rsidRPr="00021CE1">
              <w:rPr>
                <w:rFonts w:cs="Arial"/>
              </w:rPr>
              <w:t>If no reply, then NODC is considered inactive. A reply will clarify whether the NODC is active or inactive, and whether capacity development or other assistance is required.</w:t>
            </w:r>
          </w:p>
        </w:tc>
      </w:tr>
      <w:tr w:rsidR="00021CE1" w:rsidRPr="00021CE1" w14:paraId="5FE69568" w14:textId="77777777" w:rsidTr="00D2535A">
        <w:tc>
          <w:tcPr>
            <w:tcW w:w="426" w:type="dxa"/>
          </w:tcPr>
          <w:p w14:paraId="23E86B59" w14:textId="77777777" w:rsidR="00021CE1" w:rsidRPr="00021CE1" w:rsidRDefault="00021CE1" w:rsidP="00021CE1">
            <w:pPr>
              <w:pStyle w:val="ListParagraph"/>
              <w:numPr>
                <w:ilvl w:val="0"/>
                <w:numId w:val="2"/>
              </w:numPr>
              <w:ind w:left="0" w:firstLine="0"/>
              <w:jc w:val="left"/>
              <w:rPr>
                <w:rFonts w:cs="Arial"/>
              </w:rPr>
            </w:pPr>
          </w:p>
        </w:tc>
        <w:tc>
          <w:tcPr>
            <w:tcW w:w="3969" w:type="dxa"/>
          </w:tcPr>
          <w:p w14:paraId="266AF732" w14:textId="77777777" w:rsidR="00021CE1" w:rsidRPr="00021CE1" w:rsidRDefault="00021CE1" w:rsidP="00D2535A">
            <w:pPr>
              <w:pStyle w:val="ListParagraph"/>
              <w:ind w:left="0"/>
              <w:rPr>
                <w:rFonts w:cs="Arial"/>
              </w:rPr>
            </w:pPr>
            <w:r w:rsidRPr="00021CE1">
              <w:rPr>
                <w:rFonts w:cs="Arial"/>
              </w:rPr>
              <w:t xml:space="preserve">Has the NODC participated in IODE Committee meetings? </w:t>
            </w:r>
          </w:p>
        </w:tc>
        <w:tc>
          <w:tcPr>
            <w:tcW w:w="4739" w:type="dxa"/>
          </w:tcPr>
          <w:p w14:paraId="709A060A" w14:textId="77777777" w:rsidR="00021CE1" w:rsidRPr="00021CE1" w:rsidRDefault="00021CE1" w:rsidP="00D2535A">
            <w:pPr>
              <w:rPr>
                <w:rFonts w:cs="Arial"/>
              </w:rPr>
            </w:pPr>
            <w:r w:rsidRPr="00021CE1">
              <w:rPr>
                <w:rFonts w:cs="Arial"/>
              </w:rPr>
              <w:t>Can be checked independently from list of participants. NODC could be considered active if a representative has attended the most recent meeting (or one of the last two/three meetings).</w:t>
            </w:r>
          </w:p>
        </w:tc>
      </w:tr>
      <w:tr w:rsidR="00021CE1" w:rsidRPr="00021CE1" w14:paraId="03D36253" w14:textId="77777777" w:rsidTr="00D2535A">
        <w:tc>
          <w:tcPr>
            <w:tcW w:w="426" w:type="dxa"/>
          </w:tcPr>
          <w:p w14:paraId="2BFEA6A7" w14:textId="77777777" w:rsidR="00021CE1" w:rsidRPr="00021CE1" w:rsidRDefault="00021CE1" w:rsidP="00021CE1">
            <w:pPr>
              <w:pStyle w:val="ListParagraph"/>
              <w:numPr>
                <w:ilvl w:val="0"/>
                <w:numId w:val="2"/>
              </w:numPr>
              <w:ind w:left="0" w:firstLine="0"/>
              <w:jc w:val="left"/>
              <w:rPr>
                <w:rFonts w:cs="Arial"/>
              </w:rPr>
            </w:pPr>
          </w:p>
        </w:tc>
        <w:tc>
          <w:tcPr>
            <w:tcW w:w="3969" w:type="dxa"/>
          </w:tcPr>
          <w:p w14:paraId="634C0F69" w14:textId="77777777" w:rsidR="00021CE1" w:rsidRPr="00021CE1" w:rsidRDefault="00021CE1" w:rsidP="00D2535A">
            <w:pPr>
              <w:pStyle w:val="ListParagraph"/>
              <w:ind w:left="0"/>
              <w:rPr>
                <w:rFonts w:cs="Arial"/>
              </w:rPr>
            </w:pPr>
            <w:r w:rsidRPr="00021CE1">
              <w:rPr>
                <w:rFonts w:cs="Arial"/>
              </w:rPr>
              <w:t xml:space="preserve">Does the NODC have a website with information about the NODC, contact points, services provided? </w:t>
            </w:r>
          </w:p>
        </w:tc>
        <w:tc>
          <w:tcPr>
            <w:tcW w:w="4739" w:type="dxa"/>
          </w:tcPr>
          <w:p w14:paraId="77F81891" w14:textId="77777777" w:rsidR="00021CE1" w:rsidRPr="00021CE1" w:rsidRDefault="00021CE1" w:rsidP="00D2535A">
            <w:pPr>
              <w:rPr>
                <w:rFonts w:cs="Arial"/>
              </w:rPr>
            </w:pPr>
            <w:r w:rsidRPr="00021CE1">
              <w:rPr>
                <w:rFonts w:cs="Arial"/>
              </w:rPr>
              <w:t>Request website address if not already known. Active website indicates an active NODC. Can be checked independently.</w:t>
            </w:r>
          </w:p>
        </w:tc>
      </w:tr>
      <w:tr w:rsidR="00021CE1" w:rsidRPr="00021CE1" w14:paraId="058C5340" w14:textId="77777777" w:rsidTr="00D2535A">
        <w:tc>
          <w:tcPr>
            <w:tcW w:w="426" w:type="dxa"/>
          </w:tcPr>
          <w:p w14:paraId="5F6FB024" w14:textId="77777777" w:rsidR="00021CE1" w:rsidRPr="00021CE1" w:rsidRDefault="00021CE1" w:rsidP="00021CE1">
            <w:pPr>
              <w:pStyle w:val="ListParagraph"/>
              <w:numPr>
                <w:ilvl w:val="0"/>
                <w:numId w:val="2"/>
              </w:numPr>
              <w:ind w:left="0" w:firstLine="0"/>
              <w:jc w:val="left"/>
              <w:rPr>
                <w:rFonts w:cs="Arial"/>
              </w:rPr>
            </w:pPr>
          </w:p>
        </w:tc>
        <w:tc>
          <w:tcPr>
            <w:tcW w:w="3969" w:type="dxa"/>
          </w:tcPr>
          <w:p w14:paraId="5AC53270" w14:textId="77777777" w:rsidR="00021CE1" w:rsidRPr="00021CE1" w:rsidRDefault="00021CE1" w:rsidP="00D2535A">
            <w:pPr>
              <w:pStyle w:val="ListParagraph"/>
              <w:ind w:left="0"/>
              <w:rPr>
                <w:rFonts w:cs="Arial"/>
              </w:rPr>
            </w:pPr>
            <w:r w:rsidRPr="00021CE1">
              <w:rPr>
                <w:rFonts w:cs="Arial"/>
              </w:rPr>
              <w:t>Has the NODC provided information about data held?</w:t>
            </w:r>
          </w:p>
        </w:tc>
        <w:tc>
          <w:tcPr>
            <w:tcW w:w="4739" w:type="dxa"/>
          </w:tcPr>
          <w:p w14:paraId="5A2CD8F7" w14:textId="77777777" w:rsidR="00021CE1" w:rsidRPr="00021CE1" w:rsidRDefault="00021CE1" w:rsidP="00D2535A">
            <w:pPr>
              <w:rPr>
                <w:rFonts w:cs="Arial"/>
              </w:rPr>
            </w:pPr>
            <w:r w:rsidRPr="00021CE1">
              <w:rPr>
                <w:rFonts w:cs="Arial"/>
              </w:rPr>
              <w:t>Request information from NODC on metadata catalogue, data holdings, data access, etc. No response could indicate NODC is inactive.</w:t>
            </w:r>
          </w:p>
        </w:tc>
      </w:tr>
      <w:tr w:rsidR="00021CE1" w:rsidRPr="00021CE1" w14:paraId="7C1F9431" w14:textId="77777777" w:rsidTr="00D2535A">
        <w:tc>
          <w:tcPr>
            <w:tcW w:w="426" w:type="dxa"/>
          </w:tcPr>
          <w:p w14:paraId="736277B8" w14:textId="77777777" w:rsidR="00021CE1" w:rsidRPr="00021CE1" w:rsidRDefault="00021CE1" w:rsidP="00021CE1">
            <w:pPr>
              <w:pStyle w:val="ListParagraph"/>
              <w:numPr>
                <w:ilvl w:val="0"/>
                <w:numId w:val="2"/>
              </w:numPr>
              <w:ind w:left="0" w:firstLine="0"/>
              <w:jc w:val="left"/>
              <w:rPr>
                <w:rFonts w:cs="Arial"/>
              </w:rPr>
            </w:pPr>
          </w:p>
        </w:tc>
        <w:tc>
          <w:tcPr>
            <w:tcW w:w="3969" w:type="dxa"/>
          </w:tcPr>
          <w:p w14:paraId="2397B3E6" w14:textId="77777777" w:rsidR="00021CE1" w:rsidRPr="00021CE1" w:rsidRDefault="00021CE1" w:rsidP="00D2535A">
            <w:pPr>
              <w:pStyle w:val="ListParagraph"/>
              <w:ind w:left="0"/>
              <w:rPr>
                <w:rFonts w:cs="Arial"/>
              </w:rPr>
            </w:pPr>
            <w:r w:rsidRPr="00021CE1">
              <w:rPr>
                <w:rFonts w:cs="Arial"/>
              </w:rPr>
              <w:t>Does the NODC contribute to IODE global data projects (</w:t>
            </w:r>
            <w:proofErr w:type="gramStart"/>
            <w:r w:rsidRPr="00021CE1">
              <w:rPr>
                <w:rFonts w:cs="Arial"/>
              </w:rPr>
              <w:t>e.g.</w:t>
            </w:r>
            <w:proofErr w:type="gramEnd"/>
            <w:r w:rsidRPr="00021CE1">
              <w:rPr>
                <w:rFonts w:cs="Arial"/>
              </w:rPr>
              <w:t xml:space="preserve"> WOD, GTSPP, GOSUD, GODAR) and/or to OBIS (through its national/regional node)? </w:t>
            </w:r>
          </w:p>
        </w:tc>
        <w:tc>
          <w:tcPr>
            <w:tcW w:w="4739" w:type="dxa"/>
          </w:tcPr>
          <w:p w14:paraId="0DDD4152" w14:textId="77777777" w:rsidR="00021CE1" w:rsidRPr="00021CE1" w:rsidRDefault="00021CE1" w:rsidP="00D2535A">
            <w:pPr>
              <w:rPr>
                <w:rFonts w:cs="Arial"/>
              </w:rPr>
            </w:pPr>
            <w:r w:rsidRPr="00021CE1">
              <w:rPr>
                <w:rFonts w:cs="Arial"/>
              </w:rPr>
              <w:t>Can be checked independently with the project leaders. Need to agree a timescale – e.g. data supplied in the last one or two years.</w:t>
            </w:r>
          </w:p>
        </w:tc>
      </w:tr>
      <w:tr w:rsidR="00021CE1" w:rsidRPr="00021CE1" w14:paraId="4D14E137" w14:textId="77777777" w:rsidTr="00D2535A">
        <w:tc>
          <w:tcPr>
            <w:tcW w:w="426" w:type="dxa"/>
          </w:tcPr>
          <w:p w14:paraId="62851ED9" w14:textId="77777777" w:rsidR="00021CE1" w:rsidRPr="00021CE1" w:rsidRDefault="00021CE1" w:rsidP="00021CE1">
            <w:pPr>
              <w:pStyle w:val="ListParagraph"/>
              <w:numPr>
                <w:ilvl w:val="0"/>
                <w:numId w:val="2"/>
              </w:numPr>
              <w:ind w:left="0" w:firstLine="0"/>
              <w:jc w:val="left"/>
              <w:rPr>
                <w:rFonts w:cs="Arial"/>
              </w:rPr>
            </w:pPr>
          </w:p>
        </w:tc>
        <w:tc>
          <w:tcPr>
            <w:tcW w:w="3969" w:type="dxa"/>
          </w:tcPr>
          <w:p w14:paraId="27FD5F33" w14:textId="77777777" w:rsidR="00021CE1" w:rsidRPr="00021CE1" w:rsidRDefault="00021CE1" w:rsidP="00D2535A">
            <w:pPr>
              <w:pStyle w:val="ListParagraph"/>
              <w:ind w:left="0"/>
              <w:rPr>
                <w:rFonts w:cs="Arial"/>
              </w:rPr>
            </w:pPr>
            <w:r w:rsidRPr="00021CE1">
              <w:rPr>
                <w:rFonts w:cs="Arial"/>
              </w:rPr>
              <w:t xml:space="preserve">Has the NODC contributed to </w:t>
            </w:r>
            <w:proofErr w:type="spellStart"/>
            <w:r w:rsidRPr="00021CE1">
              <w:rPr>
                <w:rFonts w:cs="Arial"/>
              </w:rPr>
              <w:t>ODIScat</w:t>
            </w:r>
            <w:proofErr w:type="spellEnd"/>
            <w:r w:rsidRPr="00021CE1">
              <w:rPr>
                <w:rFonts w:cs="Arial"/>
              </w:rPr>
              <w:t>?</w:t>
            </w:r>
          </w:p>
        </w:tc>
        <w:tc>
          <w:tcPr>
            <w:tcW w:w="4739" w:type="dxa"/>
          </w:tcPr>
          <w:p w14:paraId="3E39DE60" w14:textId="77777777" w:rsidR="00021CE1" w:rsidRPr="00021CE1" w:rsidRDefault="00021CE1" w:rsidP="00D2535A">
            <w:pPr>
              <w:rPr>
                <w:rFonts w:cs="Arial"/>
              </w:rPr>
            </w:pPr>
            <w:r w:rsidRPr="00021CE1">
              <w:rPr>
                <w:rFonts w:cs="Arial"/>
              </w:rPr>
              <w:t xml:space="preserve">Can be checked with </w:t>
            </w:r>
            <w:proofErr w:type="spellStart"/>
            <w:r w:rsidRPr="00021CE1">
              <w:rPr>
                <w:rFonts w:cs="Arial"/>
              </w:rPr>
              <w:t>ODIScat</w:t>
            </w:r>
            <w:proofErr w:type="spellEnd"/>
            <w:r w:rsidRPr="00021CE1">
              <w:rPr>
                <w:rFonts w:cs="Arial"/>
              </w:rPr>
              <w:t>. Need to agree on timescale (i.e. information last reviewed/updated one or perhaps two years ago).</w:t>
            </w:r>
          </w:p>
        </w:tc>
      </w:tr>
      <w:tr w:rsidR="00021CE1" w:rsidRPr="00021CE1" w14:paraId="4B6833B8" w14:textId="77777777" w:rsidTr="00D2535A">
        <w:tc>
          <w:tcPr>
            <w:tcW w:w="426" w:type="dxa"/>
          </w:tcPr>
          <w:p w14:paraId="3510DABD" w14:textId="77777777" w:rsidR="00021CE1" w:rsidRPr="00021CE1" w:rsidRDefault="00021CE1" w:rsidP="00021CE1">
            <w:pPr>
              <w:pStyle w:val="ListParagraph"/>
              <w:numPr>
                <w:ilvl w:val="0"/>
                <w:numId w:val="2"/>
              </w:numPr>
              <w:ind w:left="0" w:firstLine="0"/>
              <w:jc w:val="left"/>
              <w:rPr>
                <w:rFonts w:cs="Arial"/>
              </w:rPr>
            </w:pPr>
          </w:p>
        </w:tc>
        <w:tc>
          <w:tcPr>
            <w:tcW w:w="3969" w:type="dxa"/>
          </w:tcPr>
          <w:p w14:paraId="62A463BE" w14:textId="77777777" w:rsidR="00021CE1" w:rsidRPr="00021CE1" w:rsidRDefault="00021CE1" w:rsidP="00D2535A">
            <w:pPr>
              <w:pStyle w:val="ListParagraph"/>
              <w:ind w:left="0"/>
              <w:rPr>
                <w:rFonts w:cs="Arial"/>
              </w:rPr>
            </w:pPr>
            <w:r w:rsidRPr="00021CE1">
              <w:rPr>
                <w:rFonts w:cs="Arial"/>
              </w:rPr>
              <w:t xml:space="preserve">Does the NODC participate in an ODIN (where there is one)? </w:t>
            </w:r>
          </w:p>
        </w:tc>
        <w:tc>
          <w:tcPr>
            <w:tcW w:w="4739" w:type="dxa"/>
          </w:tcPr>
          <w:p w14:paraId="57935D1E" w14:textId="77777777" w:rsidR="00021CE1" w:rsidRPr="00021CE1" w:rsidRDefault="00021CE1" w:rsidP="00D2535A">
            <w:pPr>
              <w:rPr>
                <w:rFonts w:cs="Arial"/>
              </w:rPr>
            </w:pPr>
            <w:r w:rsidRPr="00021CE1">
              <w:rPr>
                <w:rFonts w:cs="Arial"/>
              </w:rPr>
              <w:t>Can be checked with the appropriate ODIN coordinator.</w:t>
            </w:r>
          </w:p>
        </w:tc>
      </w:tr>
      <w:tr w:rsidR="00021CE1" w:rsidRPr="00021CE1" w14:paraId="1AD7AD6E" w14:textId="77777777" w:rsidTr="00D2535A">
        <w:tc>
          <w:tcPr>
            <w:tcW w:w="426" w:type="dxa"/>
          </w:tcPr>
          <w:p w14:paraId="7795024A" w14:textId="77777777" w:rsidR="00021CE1" w:rsidRPr="00021CE1" w:rsidRDefault="00021CE1" w:rsidP="00021CE1">
            <w:pPr>
              <w:pStyle w:val="ListParagraph"/>
              <w:numPr>
                <w:ilvl w:val="0"/>
                <w:numId w:val="2"/>
              </w:numPr>
              <w:ind w:left="0" w:firstLine="0"/>
              <w:jc w:val="left"/>
              <w:rPr>
                <w:rFonts w:cs="Arial"/>
              </w:rPr>
            </w:pPr>
          </w:p>
        </w:tc>
        <w:tc>
          <w:tcPr>
            <w:tcW w:w="3969" w:type="dxa"/>
          </w:tcPr>
          <w:p w14:paraId="2A85D907" w14:textId="77777777" w:rsidR="00021CE1" w:rsidRPr="00021CE1" w:rsidRDefault="00021CE1" w:rsidP="00D2535A">
            <w:pPr>
              <w:pStyle w:val="ListParagraph"/>
              <w:ind w:left="0"/>
              <w:rPr>
                <w:rFonts w:cs="Arial"/>
              </w:rPr>
            </w:pPr>
            <w:r w:rsidRPr="00021CE1">
              <w:rPr>
                <w:rFonts w:eastAsia="ArialMT" w:cs="Arial"/>
                <w:lang w:eastAsia="ru-RU"/>
              </w:rPr>
              <w:t>Capacity development plans and activities – has the NODC a</w:t>
            </w:r>
            <w:r w:rsidRPr="00021CE1">
              <w:rPr>
                <w:rFonts w:cs="Arial"/>
              </w:rPr>
              <w:t xml:space="preserve">ttended at OTGA training courses? </w:t>
            </w:r>
          </w:p>
        </w:tc>
        <w:tc>
          <w:tcPr>
            <w:tcW w:w="4739" w:type="dxa"/>
          </w:tcPr>
          <w:p w14:paraId="6BE3BD07" w14:textId="77777777" w:rsidR="00021CE1" w:rsidRPr="00021CE1" w:rsidRDefault="00021CE1" w:rsidP="00D2535A">
            <w:pPr>
              <w:rPr>
                <w:rFonts w:cs="Arial"/>
              </w:rPr>
            </w:pPr>
            <w:r w:rsidRPr="00021CE1">
              <w:rPr>
                <w:rFonts w:cs="Arial"/>
              </w:rPr>
              <w:t>Can be checked independently against OTGA course attendance records.</w:t>
            </w:r>
          </w:p>
        </w:tc>
      </w:tr>
    </w:tbl>
    <w:p w14:paraId="5F25206A" w14:textId="77777777" w:rsidR="00021CE1" w:rsidRPr="00021CE1" w:rsidRDefault="00021CE1" w:rsidP="00021CE1">
      <w:pPr>
        <w:rPr>
          <w:rFonts w:cs="Arial"/>
        </w:rPr>
      </w:pPr>
    </w:p>
    <w:p w14:paraId="2E5958FA" w14:textId="77777777" w:rsidR="00021CE1" w:rsidRPr="00021CE1" w:rsidRDefault="00021CE1" w:rsidP="00021CE1">
      <w:pPr>
        <w:rPr>
          <w:rFonts w:cs="Arial"/>
        </w:rPr>
      </w:pPr>
    </w:p>
    <w:p w14:paraId="34B739D3" w14:textId="77777777" w:rsidR="00021CE1" w:rsidRPr="00021CE1" w:rsidRDefault="00021CE1" w:rsidP="00021CE1">
      <w:pPr>
        <w:rPr>
          <w:rFonts w:cs="Arial"/>
        </w:rPr>
      </w:pPr>
      <w:r w:rsidRPr="00021CE1">
        <w:rPr>
          <w:rFonts w:cs="Arial"/>
        </w:rPr>
        <w:t>After discussions with the IODE Secretariat the preliminary list has been refined slightly to take into account how IODE is evolving. A scoring system has been added and some timescales suggested for the criteria. The changes are: Checks 1 and 2 have been combined as they are closely linked; Check 5 has been removed as it requires input from NODCs and is thus not an independent check and also can be covered by Check 7; and Check 8 has been removed due to the evolving situation with the ODINs and will be covered by extending Check 6 to include regional as well as global data projects. The refined and updated version of the health checks is shown in Table 2 (note checks have been renumbered).</w:t>
      </w:r>
      <w:r w:rsidR="0003092D">
        <w:rPr>
          <w:rFonts w:cs="Arial"/>
        </w:rPr>
        <w:t xml:space="preserve"> A number of outstanding questions and suggestions are highlighted.</w:t>
      </w:r>
    </w:p>
    <w:p w14:paraId="743226AC" w14:textId="77777777" w:rsidR="0003092D" w:rsidRDefault="0003092D">
      <w:pPr>
        <w:spacing w:after="200" w:line="276" w:lineRule="auto"/>
        <w:jc w:val="left"/>
        <w:rPr>
          <w:rFonts w:cs="Arial"/>
        </w:rPr>
      </w:pPr>
      <w:r>
        <w:rPr>
          <w:rFonts w:cs="Arial"/>
        </w:rPr>
        <w:br w:type="page"/>
      </w:r>
    </w:p>
    <w:p w14:paraId="43027837" w14:textId="77777777" w:rsidR="00021CE1" w:rsidRPr="00021CE1" w:rsidRDefault="00021CE1" w:rsidP="00021CE1">
      <w:pPr>
        <w:rPr>
          <w:rFonts w:cs="Arial"/>
        </w:rPr>
      </w:pPr>
      <w:r w:rsidRPr="00021CE1">
        <w:rPr>
          <w:rFonts w:cs="Arial"/>
          <w:b/>
        </w:rPr>
        <w:lastRenderedPageBreak/>
        <w:t>Table 2: Preliminary NODC health status checklist (Version 2)</w:t>
      </w:r>
    </w:p>
    <w:tbl>
      <w:tblPr>
        <w:tblStyle w:val="TableGrid"/>
        <w:tblpPr w:leftFromText="180" w:rightFromText="180" w:vertAnchor="text" w:horzAnchor="margin" w:tblpY="338"/>
        <w:tblW w:w="9747" w:type="dxa"/>
        <w:tblLayout w:type="fixed"/>
        <w:tblLook w:val="04A0" w:firstRow="1" w:lastRow="0" w:firstColumn="1" w:lastColumn="0" w:noHBand="0" w:noVBand="1"/>
      </w:tblPr>
      <w:tblGrid>
        <w:gridCol w:w="534"/>
        <w:gridCol w:w="2126"/>
        <w:gridCol w:w="3118"/>
        <w:gridCol w:w="3969"/>
      </w:tblGrid>
      <w:tr w:rsidR="00021CE1" w:rsidRPr="00021CE1" w14:paraId="1A6662DE" w14:textId="77777777" w:rsidTr="00021CE1">
        <w:tc>
          <w:tcPr>
            <w:tcW w:w="534" w:type="dxa"/>
          </w:tcPr>
          <w:p w14:paraId="50CAA6D4" w14:textId="77777777" w:rsidR="00021CE1" w:rsidRPr="00021CE1" w:rsidRDefault="00021CE1" w:rsidP="00D2535A">
            <w:pPr>
              <w:pStyle w:val="ListParagraph"/>
              <w:spacing w:before="40" w:after="40"/>
              <w:ind w:left="0"/>
              <w:rPr>
                <w:rFonts w:cs="Arial"/>
                <w:b/>
              </w:rPr>
            </w:pPr>
          </w:p>
        </w:tc>
        <w:tc>
          <w:tcPr>
            <w:tcW w:w="2126" w:type="dxa"/>
          </w:tcPr>
          <w:p w14:paraId="096EEC7C" w14:textId="77777777" w:rsidR="00021CE1" w:rsidRPr="00021CE1" w:rsidRDefault="00021CE1" w:rsidP="00D2535A">
            <w:pPr>
              <w:pStyle w:val="ListParagraph"/>
              <w:spacing w:before="40" w:after="40"/>
              <w:ind w:left="0"/>
              <w:contextualSpacing w:val="0"/>
              <w:rPr>
                <w:rFonts w:cs="Arial"/>
                <w:b/>
              </w:rPr>
            </w:pPr>
            <w:r w:rsidRPr="00021CE1">
              <w:rPr>
                <w:rFonts w:cs="Arial"/>
                <w:b/>
              </w:rPr>
              <w:t>NODC Status Check</w:t>
            </w:r>
          </w:p>
        </w:tc>
        <w:tc>
          <w:tcPr>
            <w:tcW w:w="3118" w:type="dxa"/>
          </w:tcPr>
          <w:p w14:paraId="7F72FFE0" w14:textId="77777777" w:rsidR="00021CE1" w:rsidRPr="00021CE1" w:rsidRDefault="00021CE1" w:rsidP="00D2535A">
            <w:pPr>
              <w:spacing w:before="40" w:after="40"/>
              <w:rPr>
                <w:rFonts w:cs="Arial"/>
                <w:b/>
              </w:rPr>
            </w:pPr>
            <w:r w:rsidRPr="00021CE1">
              <w:rPr>
                <w:rFonts w:cs="Arial"/>
                <w:b/>
              </w:rPr>
              <w:t>Rationale</w:t>
            </w:r>
          </w:p>
        </w:tc>
        <w:tc>
          <w:tcPr>
            <w:tcW w:w="3969" w:type="dxa"/>
          </w:tcPr>
          <w:p w14:paraId="79CF225E" w14:textId="77777777" w:rsidR="00021CE1" w:rsidRPr="00021CE1" w:rsidRDefault="00021CE1" w:rsidP="00D2535A">
            <w:pPr>
              <w:spacing w:before="40" w:after="40"/>
              <w:rPr>
                <w:rFonts w:cs="Arial"/>
                <w:b/>
              </w:rPr>
            </w:pPr>
            <w:r w:rsidRPr="00021CE1">
              <w:rPr>
                <w:rFonts w:cs="Arial"/>
                <w:b/>
              </w:rPr>
              <w:t>Comments / questions</w:t>
            </w:r>
          </w:p>
        </w:tc>
      </w:tr>
      <w:tr w:rsidR="00021CE1" w:rsidRPr="00021CE1" w14:paraId="0C7E0520" w14:textId="77777777" w:rsidTr="00021CE1">
        <w:tc>
          <w:tcPr>
            <w:tcW w:w="534" w:type="dxa"/>
          </w:tcPr>
          <w:p w14:paraId="64EB95B8" w14:textId="77777777" w:rsidR="00021CE1" w:rsidRPr="00021CE1" w:rsidRDefault="00021CE1" w:rsidP="00D2535A">
            <w:pPr>
              <w:rPr>
                <w:rFonts w:cs="Arial"/>
              </w:rPr>
            </w:pPr>
            <w:r w:rsidRPr="00021CE1">
              <w:rPr>
                <w:rFonts w:cs="Arial"/>
              </w:rPr>
              <w:t>1.</w:t>
            </w:r>
          </w:p>
        </w:tc>
        <w:tc>
          <w:tcPr>
            <w:tcW w:w="2126" w:type="dxa"/>
          </w:tcPr>
          <w:p w14:paraId="3CDBA117" w14:textId="77777777" w:rsidR="00021CE1" w:rsidRPr="00021CE1" w:rsidRDefault="00021CE1" w:rsidP="00D2535A">
            <w:pPr>
              <w:pStyle w:val="ListParagraph"/>
              <w:ind w:left="0"/>
              <w:rPr>
                <w:rFonts w:cs="Arial"/>
              </w:rPr>
            </w:pPr>
            <w:r w:rsidRPr="00021CE1">
              <w:rPr>
                <w:rFonts w:cs="Arial"/>
              </w:rPr>
              <w:t>The NODC contact point does not respond to e-mails/CLs/other communications, etc. Followed up by IODE Secretariat contacting the NODC host institution or IOC Action Address.</w:t>
            </w:r>
          </w:p>
        </w:tc>
        <w:tc>
          <w:tcPr>
            <w:tcW w:w="3118" w:type="dxa"/>
          </w:tcPr>
          <w:p w14:paraId="50BFC2C0" w14:textId="77777777" w:rsidR="00021CE1" w:rsidRPr="00021CE1" w:rsidRDefault="00021CE1" w:rsidP="00D2535A">
            <w:pPr>
              <w:rPr>
                <w:rFonts w:cs="Arial"/>
              </w:rPr>
            </w:pPr>
            <w:r w:rsidRPr="00021CE1">
              <w:rPr>
                <w:rFonts w:cs="Arial"/>
              </w:rPr>
              <w:t>No response from the NODC contact point may indicate that the NODC is not active. A timescale needs to be agreed – e.g. no replies received over the last two years.</w:t>
            </w:r>
          </w:p>
          <w:p w14:paraId="679F1FF5" w14:textId="77777777" w:rsidR="00021CE1" w:rsidRPr="00021CE1" w:rsidRDefault="00021CE1" w:rsidP="00D2535A">
            <w:pPr>
              <w:rPr>
                <w:rFonts w:cs="Arial"/>
              </w:rPr>
            </w:pPr>
            <w:r w:rsidRPr="00021CE1">
              <w:rPr>
                <w:rFonts w:cs="Arial"/>
              </w:rPr>
              <w:t>If no reply from the host institution or Action Address, then NODC is considered inactive. A reply clarifies whether the NODC is active or inactive, and whether capacity development is required.</w:t>
            </w:r>
          </w:p>
        </w:tc>
        <w:tc>
          <w:tcPr>
            <w:tcW w:w="3969" w:type="dxa"/>
          </w:tcPr>
          <w:p w14:paraId="5E99DC88" w14:textId="77777777" w:rsidR="00021CE1" w:rsidRPr="00021CE1" w:rsidRDefault="00021CE1" w:rsidP="00D2535A">
            <w:pPr>
              <w:rPr>
                <w:rFonts w:cs="Arial"/>
                <w:color w:val="201F1E"/>
                <w:shd w:val="clear" w:color="auto" w:fill="FFFFFF"/>
              </w:rPr>
            </w:pPr>
            <w:r w:rsidRPr="00021CE1">
              <w:rPr>
                <w:rFonts w:cs="Arial"/>
                <w:color w:val="201F1E"/>
                <w:shd w:val="clear" w:color="auto" w:fill="FFFFFF"/>
              </w:rPr>
              <w:t xml:space="preserve">Currently the IODE Secretariat sends a Circular Letter every year or two years to the IOC focal points and for cases where there was no answer we follow up with emails to the IODE contacts concerned. This provides an independent check with the IODE secretariat holding the information. </w:t>
            </w:r>
          </w:p>
          <w:p w14:paraId="4FAE4823" w14:textId="77777777" w:rsidR="00021CE1" w:rsidRPr="00021CE1" w:rsidRDefault="00021CE1" w:rsidP="00D2535A">
            <w:pPr>
              <w:rPr>
                <w:rFonts w:cs="Arial"/>
                <w:color w:val="201F1E"/>
                <w:shd w:val="clear" w:color="auto" w:fill="FFFFFF"/>
              </w:rPr>
            </w:pPr>
          </w:p>
          <w:p w14:paraId="6C1254C8" w14:textId="77777777" w:rsidR="00021CE1" w:rsidRPr="00021CE1" w:rsidRDefault="00021CE1" w:rsidP="00D2535A">
            <w:pPr>
              <w:rPr>
                <w:rFonts w:cs="Arial"/>
                <w:color w:val="201F1E"/>
                <w:highlight w:val="cyan"/>
                <w:shd w:val="clear" w:color="auto" w:fill="FFFFFF"/>
              </w:rPr>
            </w:pPr>
            <w:r w:rsidRPr="00021CE1">
              <w:rPr>
                <w:rFonts w:cs="Arial"/>
                <w:color w:val="201F1E"/>
                <w:highlight w:val="cyan"/>
                <w:shd w:val="clear" w:color="auto" w:fill="FFFFFF"/>
              </w:rPr>
              <w:t>Suggest that a positive response within past 4 years means that the NODC is active.</w:t>
            </w:r>
          </w:p>
          <w:p w14:paraId="164B7658" w14:textId="77777777" w:rsidR="00021CE1" w:rsidRPr="00021CE1" w:rsidRDefault="00021CE1" w:rsidP="00D2535A">
            <w:pPr>
              <w:rPr>
                <w:rFonts w:cs="Arial"/>
                <w:color w:val="201F1E"/>
                <w:highlight w:val="cyan"/>
                <w:shd w:val="clear" w:color="auto" w:fill="FFFFFF"/>
              </w:rPr>
            </w:pPr>
          </w:p>
          <w:p w14:paraId="6807C0D8" w14:textId="77777777" w:rsidR="00021CE1" w:rsidRPr="00021CE1" w:rsidRDefault="00021CE1" w:rsidP="00D2535A">
            <w:pPr>
              <w:rPr>
                <w:rFonts w:cs="Arial"/>
                <w:b/>
                <w:bCs/>
                <w:color w:val="201F1E"/>
                <w:shd w:val="clear" w:color="auto" w:fill="FFFFFF"/>
              </w:rPr>
            </w:pPr>
            <w:r w:rsidRPr="00021CE1">
              <w:rPr>
                <w:rFonts w:cs="Arial"/>
                <w:b/>
                <w:bCs/>
                <w:color w:val="201F1E"/>
                <w:highlight w:val="cyan"/>
                <w:shd w:val="clear" w:color="auto" w:fill="FFFFFF"/>
              </w:rPr>
              <w:t xml:space="preserve">5 points </w:t>
            </w:r>
            <w:r w:rsidRPr="00021CE1">
              <w:rPr>
                <w:rFonts w:cs="Arial"/>
                <w:bCs/>
                <w:color w:val="201F1E"/>
                <w:highlight w:val="cyan"/>
                <w:shd w:val="clear" w:color="auto" w:fill="FFFFFF"/>
              </w:rPr>
              <w:t>for response from NODC or host institution/IOC Action Address.</w:t>
            </w:r>
          </w:p>
        </w:tc>
      </w:tr>
      <w:tr w:rsidR="00021CE1" w:rsidRPr="00021CE1" w14:paraId="3D4B1589" w14:textId="77777777" w:rsidTr="00021CE1">
        <w:tc>
          <w:tcPr>
            <w:tcW w:w="534" w:type="dxa"/>
          </w:tcPr>
          <w:p w14:paraId="59974A41" w14:textId="77777777" w:rsidR="00021CE1" w:rsidRPr="00021CE1" w:rsidRDefault="00021CE1" w:rsidP="00D2535A">
            <w:pPr>
              <w:rPr>
                <w:rFonts w:cs="Arial"/>
              </w:rPr>
            </w:pPr>
            <w:r w:rsidRPr="00021CE1">
              <w:rPr>
                <w:rFonts w:cs="Arial"/>
              </w:rPr>
              <w:t>2.</w:t>
            </w:r>
          </w:p>
        </w:tc>
        <w:tc>
          <w:tcPr>
            <w:tcW w:w="2126" w:type="dxa"/>
          </w:tcPr>
          <w:p w14:paraId="1C089135" w14:textId="77777777" w:rsidR="00021CE1" w:rsidRPr="00021CE1" w:rsidRDefault="00021CE1" w:rsidP="00D2535A">
            <w:pPr>
              <w:pStyle w:val="ListParagraph"/>
              <w:ind w:left="0"/>
              <w:rPr>
                <w:rFonts w:cs="Arial"/>
              </w:rPr>
            </w:pPr>
            <w:r w:rsidRPr="00021CE1">
              <w:rPr>
                <w:rFonts w:cs="Arial"/>
              </w:rPr>
              <w:t xml:space="preserve">Has the NODC participated in IODE Committee meetings? </w:t>
            </w:r>
          </w:p>
        </w:tc>
        <w:tc>
          <w:tcPr>
            <w:tcW w:w="3118" w:type="dxa"/>
          </w:tcPr>
          <w:p w14:paraId="0FB75FD2" w14:textId="77777777" w:rsidR="00021CE1" w:rsidRPr="00021CE1" w:rsidRDefault="00021CE1" w:rsidP="00D2535A">
            <w:pPr>
              <w:rPr>
                <w:rFonts w:cs="Arial"/>
              </w:rPr>
            </w:pPr>
            <w:r w:rsidRPr="00021CE1">
              <w:rPr>
                <w:rFonts w:cs="Arial"/>
              </w:rPr>
              <w:t>Can be checked independently from IODE Committee list of participants/meeting report. An NODC could be considered active if a representative has attended the most recent meeting (or one of the last two meetings).</w:t>
            </w:r>
          </w:p>
        </w:tc>
        <w:tc>
          <w:tcPr>
            <w:tcW w:w="3969" w:type="dxa"/>
          </w:tcPr>
          <w:p w14:paraId="08E3AC4C" w14:textId="77777777" w:rsidR="00021CE1" w:rsidRPr="00021CE1" w:rsidRDefault="00021CE1" w:rsidP="00D2535A">
            <w:pPr>
              <w:rPr>
                <w:rFonts w:cs="Arial"/>
                <w:color w:val="201F1E"/>
                <w:highlight w:val="cyan"/>
                <w:shd w:val="clear" w:color="auto" w:fill="FFFFFF"/>
              </w:rPr>
            </w:pPr>
            <w:r w:rsidRPr="00021CE1">
              <w:rPr>
                <w:rFonts w:cs="Arial"/>
                <w:color w:val="201F1E"/>
                <w:shd w:val="clear" w:color="auto" w:fill="FFFFFF"/>
              </w:rPr>
              <w:t xml:space="preserve">This depends heavily on financial capacity of the NODC. Further discussion needed on the period. For example, do we consider the past 2 sessions (4 years) or can they have participated 15 years ago and then not anymore? </w:t>
            </w:r>
            <w:r w:rsidRPr="00021CE1">
              <w:rPr>
                <w:rFonts w:cs="Arial"/>
                <w:color w:val="201F1E"/>
                <w:highlight w:val="cyan"/>
                <w:shd w:val="clear" w:color="auto" w:fill="FFFFFF"/>
              </w:rPr>
              <w:t>Initial suggestion is to give 1 point/session going back 10 years max (so the NODC could gain a </w:t>
            </w:r>
            <w:r w:rsidRPr="00021CE1">
              <w:rPr>
                <w:rFonts w:cs="Arial"/>
                <w:b/>
                <w:bCs/>
                <w:color w:val="201F1E"/>
                <w:highlight w:val="cyan"/>
                <w:shd w:val="clear" w:color="auto" w:fill="FFFFFF"/>
              </w:rPr>
              <w:t>max of 5 points</w:t>
            </w:r>
            <w:r w:rsidRPr="00021CE1">
              <w:rPr>
                <w:rFonts w:cs="Arial"/>
                <w:color w:val="201F1E"/>
                <w:highlight w:val="cyan"/>
                <w:shd w:val="clear" w:color="auto" w:fill="FFFFFF"/>
              </w:rPr>
              <w:t>).</w:t>
            </w:r>
          </w:p>
          <w:p w14:paraId="21558B25" w14:textId="77777777" w:rsidR="00021CE1" w:rsidRPr="00021CE1" w:rsidRDefault="00021CE1" w:rsidP="00D2535A">
            <w:pPr>
              <w:rPr>
                <w:rFonts w:cs="Arial"/>
                <w:color w:val="201F1E"/>
                <w:highlight w:val="cyan"/>
                <w:shd w:val="clear" w:color="auto" w:fill="FFFFFF"/>
              </w:rPr>
            </w:pPr>
            <w:r w:rsidRPr="00021CE1">
              <w:rPr>
                <w:rFonts w:cs="Arial"/>
                <w:color w:val="201F1E"/>
                <w:highlight w:val="cyan"/>
                <w:shd w:val="clear" w:color="auto" w:fill="FFFFFF"/>
              </w:rPr>
              <w:t xml:space="preserve">Other questions needing discussion: </w:t>
            </w:r>
          </w:p>
          <w:p w14:paraId="69C7D25F" w14:textId="77777777" w:rsidR="00021CE1" w:rsidRPr="00021CE1" w:rsidRDefault="00021CE1" w:rsidP="00021CE1">
            <w:pPr>
              <w:pStyle w:val="ListParagraph"/>
              <w:numPr>
                <w:ilvl w:val="0"/>
                <w:numId w:val="3"/>
              </w:numPr>
              <w:jc w:val="left"/>
              <w:rPr>
                <w:rFonts w:cs="Arial"/>
                <w:highlight w:val="cyan"/>
                <w:shd w:val="clear" w:color="auto" w:fill="FFFFFF"/>
              </w:rPr>
            </w:pPr>
            <w:r w:rsidRPr="00021CE1">
              <w:rPr>
                <w:rFonts w:cs="Arial"/>
                <w:highlight w:val="cyan"/>
                <w:shd w:val="clear" w:color="auto" w:fill="FFFFFF"/>
              </w:rPr>
              <w:t>Will there be opportunities for remote participation in the future? That will help those who have no travel funds.</w:t>
            </w:r>
          </w:p>
          <w:p w14:paraId="31DE6EBD" w14:textId="77777777" w:rsidR="00021CE1" w:rsidRPr="00021CE1" w:rsidRDefault="00021CE1" w:rsidP="00021CE1">
            <w:pPr>
              <w:pStyle w:val="ListParagraph"/>
              <w:numPr>
                <w:ilvl w:val="0"/>
                <w:numId w:val="3"/>
              </w:numPr>
              <w:jc w:val="left"/>
              <w:rPr>
                <w:rFonts w:cs="Arial"/>
                <w:color w:val="201F1E"/>
                <w:shd w:val="clear" w:color="auto" w:fill="FFFFFF"/>
              </w:rPr>
            </w:pPr>
            <w:r w:rsidRPr="00021CE1">
              <w:rPr>
                <w:rFonts w:cs="Arial"/>
                <w:highlight w:val="cyan"/>
                <w:bdr w:val="none" w:sz="0" w:space="0" w:color="auto" w:frame="1"/>
              </w:rPr>
              <w:t>Should there be something included about responding to the IODE Survey? It’s possible that an NODC might respond, but be unable to attend the IODE Committee due to lack of travel funds.</w:t>
            </w:r>
          </w:p>
        </w:tc>
      </w:tr>
      <w:tr w:rsidR="00021CE1" w:rsidRPr="00021CE1" w14:paraId="73B759DC" w14:textId="77777777" w:rsidTr="00021CE1">
        <w:tc>
          <w:tcPr>
            <w:tcW w:w="534" w:type="dxa"/>
          </w:tcPr>
          <w:p w14:paraId="0486108D" w14:textId="77777777" w:rsidR="00021CE1" w:rsidRPr="00021CE1" w:rsidRDefault="00021CE1" w:rsidP="00D2535A">
            <w:pPr>
              <w:rPr>
                <w:rFonts w:cs="Arial"/>
              </w:rPr>
            </w:pPr>
            <w:r w:rsidRPr="00021CE1">
              <w:rPr>
                <w:rFonts w:cs="Arial"/>
              </w:rPr>
              <w:t>3.</w:t>
            </w:r>
          </w:p>
        </w:tc>
        <w:tc>
          <w:tcPr>
            <w:tcW w:w="2126" w:type="dxa"/>
          </w:tcPr>
          <w:p w14:paraId="2635944A" w14:textId="77777777" w:rsidR="00021CE1" w:rsidRPr="00021CE1" w:rsidRDefault="00021CE1" w:rsidP="00D2535A">
            <w:pPr>
              <w:pStyle w:val="ListParagraph"/>
              <w:ind w:left="0"/>
              <w:rPr>
                <w:rFonts w:cs="Arial"/>
              </w:rPr>
            </w:pPr>
            <w:r w:rsidRPr="00021CE1">
              <w:rPr>
                <w:rFonts w:cs="Arial"/>
              </w:rPr>
              <w:t xml:space="preserve">Does the NODC have a website with information about the NODC, contact points, services provided? </w:t>
            </w:r>
          </w:p>
        </w:tc>
        <w:tc>
          <w:tcPr>
            <w:tcW w:w="3118" w:type="dxa"/>
          </w:tcPr>
          <w:p w14:paraId="7086B505" w14:textId="77777777" w:rsidR="00021CE1" w:rsidRPr="00021CE1" w:rsidRDefault="00021CE1" w:rsidP="00D2535A">
            <w:pPr>
              <w:rPr>
                <w:rFonts w:cs="Arial"/>
              </w:rPr>
            </w:pPr>
            <w:r w:rsidRPr="00021CE1">
              <w:rPr>
                <w:rFonts w:cs="Arial"/>
              </w:rPr>
              <w:t>Request website address if not already known. Active website indicates an active NODC. Can be checked independently.</w:t>
            </w:r>
          </w:p>
        </w:tc>
        <w:tc>
          <w:tcPr>
            <w:tcW w:w="3969" w:type="dxa"/>
          </w:tcPr>
          <w:p w14:paraId="7ADB6E5C" w14:textId="77777777" w:rsidR="00021CE1" w:rsidRPr="00021CE1" w:rsidRDefault="00021CE1" w:rsidP="00D2535A">
            <w:pPr>
              <w:rPr>
                <w:rFonts w:cs="Arial"/>
                <w:color w:val="201F1E"/>
                <w:shd w:val="clear" w:color="auto" w:fill="FFFFFF"/>
              </w:rPr>
            </w:pPr>
            <w:r w:rsidRPr="00021CE1">
              <w:rPr>
                <w:rFonts w:cs="Arial"/>
                <w:color w:val="201F1E"/>
                <w:shd w:val="clear" w:color="auto" w:fill="FFFFFF"/>
              </w:rPr>
              <w:t>This requires some manual work in checking for websites, o</w:t>
            </w:r>
            <w:r w:rsidRPr="00021CE1">
              <w:rPr>
                <w:rFonts w:cs="Arial"/>
                <w:shd w:val="clear" w:color="auto" w:fill="FFFFFF"/>
              </w:rPr>
              <w:t>r </w:t>
            </w:r>
            <w:r w:rsidRPr="00021CE1">
              <w:rPr>
                <w:rFonts w:cs="Arial"/>
                <w:bCs/>
                <w:highlight w:val="cyan"/>
                <w:bdr w:val="none" w:sz="0" w:space="0" w:color="auto" w:frame="1"/>
              </w:rPr>
              <w:t>perhaps we could request the website address when checking the NODC contact point details?</w:t>
            </w:r>
          </w:p>
          <w:p w14:paraId="4F25AED7" w14:textId="77777777" w:rsidR="00021CE1" w:rsidRPr="00021CE1" w:rsidRDefault="00021CE1" w:rsidP="00D2535A">
            <w:pPr>
              <w:rPr>
                <w:rFonts w:cs="Arial"/>
                <w:b/>
                <w:bCs/>
                <w:color w:val="201F1E"/>
                <w:shd w:val="clear" w:color="auto" w:fill="FFFFFF"/>
              </w:rPr>
            </w:pPr>
          </w:p>
          <w:p w14:paraId="73B14BD7" w14:textId="77777777" w:rsidR="00021CE1" w:rsidRPr="00021CE1" w:rsidRDefault="00021CE1" w:rsidP="00D2535A">
            <w:pPr>
              <w:rPr>
                <w:rFonts w:cs="Arial"/>
              </w:rPr>
            </w:pPr>
            <w:r w:rsidRPr="00021CE1">
              <w:rPr>
                <w:rFonts w:cs="Arial"/>
                <w:b/>
                <w:bCs/>
                <w:color w:val="201F1E"/>
                <w:shd w:val="clear" w:color="auto" w:fill="FFFFFF"/>
              </w:rPr>
              <w:t xml:space="preserve">2 points </w:t>
            </w:r>
            <w:r w:rsidRPr="00021CE1">
              <w:rPr>
                <w:rFonts w:cs="Arial"/>
                <w:bCs/>
                <w:color w:val="201F1E"/>
                <w:shd w:val="clear" w:color="auto" w:fill="FFFFFF"/>
              </w:rPr>
              <w:t>for an active website/up to date.</w:t>
            </w:r>
          </w:p>
        </w:tc>
      </w:tr>
      <w:tr w:rsidR="00021CE1" w:rsidRPr="00021CE1" w14:paraId="7B4C1292" w14:textId="77777777" w:rsidTr="00021CE1">
        <w:tc>
          <w:tcPr>
            <w:tcW w:w="534" w:type="dxa"/>
          </w:tcPr>
          <w:p w14:paraId="5BFF3658" w14:textId="77777777" w:rsidR="00021CE1" w:rsidRPr="00021CE1" w:rsidRDefault="00021CE1" w:rsidP="00D2535A">
            <w:pPr>
              <w:rPr>
                <w:rFonts w:cs="Arial"/>
              </w:rPr>
            </w:pPr>
            <w:r w:rsidRPr="00021CE1">
              <w:rPr>
                <w:rFonts w:cs="Arial"/>
              </w:rPr>
              <w:t>4.</w:t>
            </w:r>
          </w:p>
        </w:tc>
        <w:tc>
          <w:tcPr>
            <w:tcW w:w="2126" w:type="dxa"/>
          </w:tcPr>
          <w:p w14:paraId="68D4BDAF" w14:textId="77777777" w:rsidR="00021CE1" w:rsidRPr="00021CE1" w:rsidRDefault="00021CE1" w:rsidP="00D2535A">
            <w:pPr>
              <w:pStyle w:val="ListParagraph"/>
              <w:ind w:left="0"/>
              <w:rPr>
                <w:rFonts w:cs="Arial"/>
              </w:rPr>
            </w:pPr>
            <w:r w:rsidRPr="00021CE1">
              <w:rPr>
                <w:rFonts w:cs="Arial"/>
              </w:rPr>
              <w:t>Does the NODC contribute to IODE global data projects (</w:t>
            </w:r>
            <w:proofErr w:type="gramStart"/>
            <w:r w:rsidRPr="00021CE1">
              <w:rPr>
                <w:rFonts w:cs="Arial"/>
              </w:rPr>
              <w:t>e.g.</w:t>
            </w:r>
            <w:proofErr w:type="gramEnd"/>
            <w:r w:rsidRPr="00021CE1">
              <w:rPr>
                <w:rFonts w:cs="Arial"/>
              </w:rPr>
              <w:t xml:space="preserve"> WOD, GTSPP, GOSUD, </w:t>
            </w:r>
            <w:r w:rsidRPr="00021CE1">
              <w:rPr>
                <w:rFonts w:cs="Arial"/>
              </w:rPr>
              <w:lastRenderedPageBreak/>
              <w:t>GODAR) and/or to OBIS (through its national/regional node)? Or does the NODC contribute to regional projects.</w:t>
            </w:r>
          </w:p>
        </w:tc>
        <w:tc>
          <w:tcPr>
            <w:tcW w:w="3118" w:type="dxa"/>
          </w:tcPr>
          <w:p w14:paraId="447DDC1C" w14:textId="77777777" w:rsidR="00021CE1" w:rsidRPr="00021CE1" w:rsidRDefault="00021CE1" w:rsidP="00D2535A">
            <w:pPr>
              <w:rPr>
                <w:rFonts w:cs="Arial"/>
              </w:rPr>
            </w:pPr>
            <w:r w:rsidRPr="00021CE1">
              <w:rPr>
                <w:rFonts w:cs="Arial"/>
              </w:rPr>
              <w:lastRenderedPageBreak/>
              <w:t xml:space="preserve">Can be checked independently with the project leaders/steering groups. Need to agree a timescale – e.g. data </w:t>
            </w:r>
            <w:r w:rsidRPr="00021CE1">
              <w:rPr>
                <w:rFonts w:cs="Arial"/>
              </w:rPr>
              <w:lastRenderedPageBreak/>
              <w:t>supplied in the last one or two years.</w:t>
            </w:r>
          </w:p>
        </w:tc>
        <w:tc>
          <w:tcPr>
            <w:tcW w:w="3969" w:type="dxa"/>
          </w:tcPr>
          <w:p w14:paraId="2B71E97A" w14:textId="77777777" w:rsidR="00021CE1" w:rsidRPr="00021CE1" w:rsidRDefault="00021CE1" w:rsidP="00D2535A">
            <w:pPr>
              <w:rPr>
                <w:rFonts w:cs="Arial"/>
                <w:b/>
                <w:bCs/>
                <w:color w:val="201F1E"/>
                <w:shd w:val="clear" w:color="auto" w:fill="FFFFFF"/>
              </w:rPr>
            </w:pPr>
            <w:r w:rsidRPr="00021CE1">
              <w:rPr>
                <w:rFonts w:cs="Arial"/>
                <w:color w:val="201F1E"/>
                <w:shd w:val="clear" w:color="auto" w:fill="FFFFFF"/>
              </w:rPr>
              <w:lastRenderedPageBreak/>
              <w:t xml:space="preserve">This is important. Suggest give </w:t>
            </w:r>
            <w:r w:rsidRPr="00021CE1">
              <w:rPr>
                <w:rFonts w:cs="Arial"/>
                <w:b/>
                <w:bCs/>
                <w:color w:val="201F1E"/>
                <w:shd w:val="clear" w:color="auto" w:fill="FFFFFF"/>
              </w:rPr>
              <w:t>10 points.</w:t>
            </w:r>
          </w:p>
          <w:p w14:paraId="4C16B5DA" w14:textId="77777777" w:rsidR="00021CE1" w:rsidRPr="00021CE1" w:rsidRDefault="00021CE1" w:rsidP="00D2535A">
            <w:pPr>
              <w:rPr>
                <w:rFonts w:cs="Arial"/>
                <w:highlight w:val="cyan"/>
              </w:rPr>
            </w:pPr>
            <w:r w:rsidRPr="00021CE1">
              <w:rPr>
                <w:rFonts w:cs="Arial"/>
                <w:highlight w:val="cyan"/>
              </w:rPr>
              <w:t>Questions:</w:t>
            </w:r>
          </w:p>
          <w:p w14:paraId="1E4B3F71" w14:textId="77777777" w:rsidR="00021CE1" w:rsidRPr="00021CE1" w:rsidRDefault="00021CE1" w:rsidP="00021CE1">
            <w:pPr>
              <w:pStyle w:val="ListParagraph"/>
              <w:numPr>
                <w:ilvl w:val="0"/>
                <w:numId w:val="4"/>
              </w:numPr>
              <w:jc w:val="left"/>
              <w:rPr>
                <w:rFonts w:cs="Arial"/>
                <w:highlight w:val="cyan"/>
              </w:rPr>
            </w:pPr>
            <w:r w:rsidRPr="00021CE1">
              <w:rPr>
                <w:rFonts w:cs="Arial"/>
                <w:bCs/>
                <w:highlight w:val="cyan"/>
                <w:shd w:val="clear" w:color="auto" w:fill="FFFFFF"/>
              </w:rPr>
              <w:t xml:space="preserve">What is the best way of allocating the points? Does the NODC get </w:t>
            </w:r>
            <w:r w:rsidRPr="00021CE1">
              <w:rPr>
                <w:rFonts w:cs="Arial"/>
                <w:bCs/>
                <w:highlight w:val="cyan"/>
                <w:shd w:val="clear" w:color="auto" w:fill="FFFFFF"/>
              </w:rPr>
              <w:lastRenderedPageBreak/>
              <w:t>10 points if it contributes to just one project, or should there be a scale?</w:t>
            </w:r>
          </w:p>
          <w:p w14:paraId="47CDA452" w14:textId="77777777" w:rsidR="00021CE1" w:rsidRPr="00021CE1" w:rsidRDefault="00021CE1" w:rsidP="00021CE1">
            <w:pPr>
              <w:pStyle w:val="ListParagraph"/>
              <w:numPr>
                <w:ilvl w:val="0"/>
                <w:numId w:val="4"/>
              </w:numPr>
              <w:jc w:val="left"/>
              <w:rPr>
                <w:rFonts w:cs="Arial"/>
                <w:highlight w:val="cyan"/>
              </w:rPr>
            </w:pPr>
            <w:r w:rsidRPr="00021CE1">
              <w:rPr>
                <w:rFonts w:cs="Arial"/>
                <w:bCs/>
                <w:highlight w:val="cyan"/>
                <w:shd w:val="clear" w:color="auto" w:fill="FFFFFF"/>
              </w:rPr>
              <w:t>What period should this cover? Is one to two years sufficient or should it be longer – e.g. 5 years?)</w:t>
            </w:r>
          </w:p>
          <w:p w14:paraId="3725C890" w14:textId="77777777" w:rsidR="00021CE1" w:rsidRPr="00021CE1" w:rsidRDefault="00021CE1" w:rsidP="00021CE1">
            <w:pPr>
              <w:pStyle w:val="ListParagraph"/>
              <w:numPr>
                <w:ilvl w:val="0"/>
                <w:numId w:val="4"/>
              </w:numPr>
              <w:jc w:val="left"/>
              <w:rPr>
                <w:rFonts w:cs="Arial"/>
                <w:highlight w:val="cyan"/>
              </w:rPr>
            </w:pPr>
            <w:r w:rsidRPr="00021CE1">
              <w:rPr>
                <w:rFonts w:cs="Arial"/>
                <w:bCs/>
                <w:highlight w:val="cyan"/>
                <w:shd w:val="clear" w:color="auto" w:fill="FFFFFF"/>
              </w:rPr>
              <w:t>Is a list of regional projects needed? And are there contact points for these available?</w:t>
            </w:r>
          </w:p>
          <w:p w14:paraId="3F8C0FEF" w14:textId="77777777" w:rsidR="00021CE1" w:rsidRPr="00021CE1" w:rsidRDefault="00021CE1" w:rsidP="00D2535A">
            <w:pPr>
              <w:rPr>
                <w:rFonts w:cs="Arial"/>
              </w:rPr>
            </w:pPr>
            <w:r w:rsidRPr="00021CE1">
              <w:rPr>
                <w:rFonts w:cs="Arial"/>
                <w:bdr w:val="none" w:sz="0" w:space="0" w:color="auto" w:frame="1"/>
              </w:rPr>
              <w:t>Note: Need to check that the right answers can be obtained. For example BODC contributes to Argo and these data go to WOD, but because of the way they arrive from the Argo Global Data Assembly Centres, I don’t think that they are tagged with BODC - it is possible that they are NOC or just UK.</w:t>
            </w:r>
          </w:p>
        </w:tc>
      </w:tr>
      <w:tr w:rsidR="00021CE1" w:rsidRPr="00021CE1" w14:paraId="787F8291" w14:textId="77777777" w:rsidTr="00021CE1">
        <w:tc>
          <w:tcPr>
            <w:tcW w:w="534" w:type="dxa"/>
          </w:tcPr>
          <w:p w14:paraId="30716792" w14:textId="77777777" w:rsidR="00021CE1" w:rsidRPr="00021CE1" w:rsidRDefault="00021CE1" w:rsidP="00D2535A">
            <w:pPr>
              <w:rPr>
                <w:rFonts w:cs="Arial"/>
              </w:rPr>
            </w:pPr>
            <w:r w:rsidRPr="00021CE1">
              <w:rPr>
                <w:rFonts w:cs="Arial"/>
              </w:rPr>
              <w:lastRenderedPageBreak/>
              <w:t>5.</w:t>
            </w:r>
          </w:p>
        </w:tc>
        <w:tc>
          <w:tcPr>
            <w:tcW w:w="2126" w:type="dxa"/>
          </w:tcPr>
          <w:p w14:paraId="099F21B0" w14:textId="77777777" w:rsidR="00021CE1" w:rsidRPr="00021CE1" w:rsidRDefault="00021CE1" w:rsidP="00D2535A">
            <w:pPr>
              <w:pStyle w:val="ListParagraph"/>
              <w:ind w:left="0"/>
              <w:rPr>
                <w:rFonts w:cs="Arial"/>
              </w:rPr>
            </w:pPr>
            <w:r w:rsidRPr="00021CE1">
              <w:rPr>
                <w:rFonts w:cs="Arial"/>
              </w:rPr>
              <w:t xml:space="preserve">Has the NODC contributed to </w:t>
            </w:r>
            <w:proofErr w:type="spellStart"/>
            <w:r w:rsidRPr="00021CE1">
              <w:rPr>
                <w:rFonts w:cs="Arial"/>
              </w:rPr>
              <w:t>ODIScat</w:t>
            </w:r>
            <w:proofErr w:type="spellEnd"/>
            <w:r w:rsidRPr="00021CE1">
              <w:rPr>
                <w:rFonts w:cs="Arial"/>
              </w:rPr>
              <w:t>?</w:t>
            </w:r>
          </w:p>
        </w:tc>
        <w:tc>
          <w:tcPr>
            <w:tcW w:w="3118" w:type="dxa"/>
          </w:tcPr>
          <w:p w14:paraId="38DC01A7" w14:textId="77777777" w:rsidR="00021CE1" w:rsidRPr="00021CE1" w:rsidRDefault="00021CE1" w:rsidP="00D2535A">
            <w:pPr>
              <w:rPr>
                <w:rFonts w:cs="Arial"/>
              </w:rPr>
            </w:pPr>
            <w:r w:rsidRPr="00021CE1">
              <w:rPr>
                <w:rFonts w:cs="Arial"/>
              </w:rPr>
              <w:t xml:space="preserve">Can be checked with </w:t>
            </w:r>
            <w:proofErr w:type="spellStart"/>
            <w:r w:rsidRPr="00021CE1">
              <w:rPr>
                <w:rFonts w:cs="Arial"/>
              </w:rPr>
              <w:t>ODIScat</w:t>
            </w:r>
            <w:proofErr w:type="spellEnd"/>
            <w:r w:rsidRPr="00021CE1">
              <w:rPr>
                <w:rFonts w:cs="Arial"/>
              </w:rPr>
              <w:t>. Need to agree on timescale (i.e. information last reviewed/ updated or new entries added. 1 or perhaps 2 years ago).</w:t>
            </w:r>
          </w:p>
        </w:tc>
        <w:tc>
          <w:tcPr>
            <w:tcW w:w="3969" w:type="dxa"/>
          </w:tcPr>
          <w:p w14:paraId="6B383DA8" w14:textId="77777777" w:rsidR="00021CE1" w:rsidRPr="00021CE1" w:rsidRDefault="00021CE1" w:rsidP="00D2535A">
            <w:pPr>
              <w:shd w:val="clear" w:color="auto" w:fill="FFFFFF"/>
              <w:rPr>
                <w:rFonts w:cs="Arial"/>
                <w:highlight w:val="cyan"/>
              </w:rPr>
            </w:pPr>
            <w:r w:rsidRPr="00021CE1">
              <w:rPr>
                <w:rFonts w:cs="Arial"/>
              </w:rPr>
              <w:t xml:space="preserve">Need to agree on timescale, i.e. for when information last reviewed/updated or new entries added. </w:t>
            </w:r>
            <w:r w:rsidRPr="00021CE1">
              <w:rPr>
                <w:rFonts w:cs="Arial"/>
                <w:highlight w:val="cyan"/>
              </w:rPr>
              <w:t>Maybe somewhere between 1 and 5 years?</w:t>
            </w:r>
          </w:p>
          <w:p w14:paraId="67A235A3" w14:textId="77777777" w:rsidR="00021CE1" w:rsidRPr="00021CE1" w:rsidRDefault="00021CE1" w:rsidP="00D2535A">
            <w:pPr>
              <w:rPr>
                <w:rFonts w:cs="Arial"/>
                <w:bCs/>
                <w:highlight w:val="cyan"/>
                <w:shd w:val="clear" w:color="auto" w:fill="FFFFFF"/>
              </w:rPr>
            </w:pPr>
          </w:p>
          <w:p w14:paraId="54F0A5B9" w14:textId="77777777" w:rsidR="00021CE1" w:rsidRPr="00021CE1" w:rsidRDefault="00021CE1" w:rsidP="00D2535A">
            <w:pPr>
              <w:rPr>
                <w:rFonts w:cs="Arial"/>
                <w:b/>
                <w:bCs/>
                <w:shd w:val="clear" w:color="auto" w:fill="FFFFFF"/>
              </w:rPr>
            </w:pPr>
            <w:r w:rsidRPr="00021CE1">
              <w:rPr>
                <w:rFonts w:cs="Arial"/>
                <w:bCs/>
                <w:highlight w:val="cyan"/>
                <w:shd w:val="clear" w:color="auto" w:fill="FFFFFF"/>
              </w:rPr>
              <w:t xml:space="preserve">Information will be in </w:t>
            </w:r>
            <w:proofErr w:type="spellStart"/>
            <w:r w:rsidRPr="00021CE1">
              <w:rPr>
                <w:rFonts w:cs="Arial"/>
                <w:bCs/>
                <w:highlight w:val="cyan"/>
                <w:shd w:val="clear" w:color="auto" w:fill="FFFFFF"/>
              </w:rPr>
              <w:t>ODIScat</w:t>
            </w:r>
            <w:proofErr w:type="spellEnd"/>
            <w:r w:rsidRPr="00021CE1">
              <w:rPr>
                <w:rFonts w:cs="Arial"/>
                <w:bCs/>
                <w:highlight w:val="cyan"/>
                <w:shd w:val="clear" w:color="auto" w:fill="FFFFFF"/>
              </w:rPr>
              <w:t xml:space="preserve"> and can be provided by the coordinator?</w:t>
            </w:r>
          </w:p>
          <w:p w14:paraId="2F129F8C" w14:textId="77777777" w:rsidR="00021CE1" w:rsidRPr="00021CE1" w:rsidRDefault="00021CE1" w:rsidP="00D2535A">
            <w:pPr>
              <w:rPr>
                <w:rFonts w:cs="Arial"/>
                <w:b/>
                <w:bCs/>
                <w:shd w:val="clear" w:color="auto" w:fill="FFFFFF"/>
              </w:rPr>
            </w:pPr>
            <w:r w:rsidRPr="00021CE1">
              <w:rPr>
                <w:rFonts w:cs="Arial"/>
                <w:b/>
                <w:bCs/>
                <w:shd w:val="clear" w:color="auto" w:fill="FFFFFF"/>
              </w:rPr>
              <w:t xml:space="preserve">5 </w:t>
            </w:r>
            <w:r w:rsidRPr="00021CE1">
              <w:rPr>
                <w:rFonts w:cs="Arial"/>
                <w:b/>
                <w:bCs/>
                <w:color w:val="201F1E"/>
                <w:shd w:val="clear" w:color="auto" w:fill="FFFFFF"/>
              </w:rPr>
              <w:t xml:space="preserve">points </w:t>
            </w:r>
            <w:r w:rsidRPr="00021CE1">
              <w:rPr>
                <w:rFonts w:cs="Arial"/>
                <w:bCs/>
                <w:color w:val="201F1E"/>
                <w:shd w:val="clear" w:color="auto" w:fill="FFFFFF"/>
              </w:rPr>
              <w:t>for active contribution</w:t>
            </w:r>
          </w:p>
        </w:tc>
      </w:tr>
      <w:tr w:rsidR="00021CE1" w:rsidRPr="00021CE1" w14:paraId="7AAD9D2A" w14:textId="77777777" w:rsidTr="00021CE1">
        <w:tc>
          <w:tcPr>
            <w:tcW w:w="534" w:type="dxa"/>
          </w:tcPr>
          <w:p w14:paraId="4EC0E42B" w14:textId="77777777" w:rsidR="00021CE1" w:rsidRPr="00021CE1" w:rsidRDefault="00021CE1" w:rsidP="00D2535A">
            <w:pPr>
              <w:rPr>
                <w:rFonts w:cs="Arial"/>
              </w:rPr>
            </w:pPr>
            <w:r w:rsidRPr="00021CE1">
              <w:rPr>
                <w:rFonts w:cs="Arial"/>
              </w:rPr>
              <w:t>6.</w:t>
            </w:r>
          </w:p>
        </w:tc>
        <w:tc>
          <w:tcPr>
            <w:tcW w:w="2126" w:type="dxa"/>
          </w:tcPr>
          <w:p w14:paraId="58FE2A40" w14:textId="77777777" w:rsidR="00021CE1" w:rsidRPr="00021CE1" w:rsidRDefault="00021CE1" w:rsidP="00D2535A">
            <w:pPr>
              <w:pStyle w:val="ListParagraph"/>
              <w:ind w:left="0"/>
              <w:rPr>
                <w:rFonts w:cs="Arial"/>
              </w:rPr>
            </w:pPr>
            <w:r w:rsidRPr="00021CE1">
              <w:rPr>
                <w:rFonts w:eastAsia="ArialMT" w:cs="Arial"/>
                <w:lang w:eastAsia="ru-RU"/>
              </w:rPr>
              <w:t>Capacity development plans and activities – has the NODC a</w:t>
            </w:r>
            <w:r w:rsidRPr="00021CE1">
              <w:rPr>
                <w:rFonts w:cs="Arial"/>
              </w:rPr>
              <w:t xml:space="preserve">ttended at OTGA training courses? </w:t>
            </w:r>
          </w:p>
        </w:tc>
        <w:tc>
          <w:tcPr>
            <w:tcW w:w="3118" w:type="dxa"/>
          </w:tcPr>
          <w:p w14:paraId="29A7B0EB" w14:textId="77777777" w:rsidR="00021CE1" w:rsidRPr="00021CE1" w:rsidRDefault="00021CE1" w:rsidP="00D2535A">
            <w:pPr>
              <w:rPr>
                <w:rFonts w:cs="Arial"/>
              </w:rPr>
            </w:pPr>
            <w:r w:rsidRPr="00021CE1">
              <w:rPr>
                <w:rFonts w:cs="Arial"/>
              </w:rPr>
              <w:t>Can be checked independently against OTGA course attendance records and</w:t>
            </w:r>
            <w:r w:rsidRPr="00021CE1">
              <w:rPr>
                <w:rFonts w:cs="Arial"/>
                <w:bCs/>
                <w:shd w:val="clear" w:color="auto" w:fill="FFFFFF"/>
              </w:rPr>
              <w:t xml:space="preserve"> information provided by the OTGA Coordinator.</w:t>
            </w:r>
          </w:p>
        </w:tc>
        <w:tc>
          <w:tcPr>
            <w:tcW w:w="3969" w:type="dxa"/>
          </w:tcPr>
          <w:p w14:paraId="213AEEC8" w14:textId="77777777" w:rsidR="00021CE1" w:rsidRPr="00021CE1" w:rsidRDefault="00021CE1" w:rsidP="00D2535A">
            <w:pPr>
              <w:rPr>
                <w:rFonts w:cs="Arial"/>
                <w:color w:val="201F1E"/>
                <w:shd w:val="clear" w:color="auto" w:fill="FFFFFF"/>
              </w:rPr>
            </w:pPr>
            <w:r w:rsidRPr="00021CE1">
              <w:rPr>
                <w:rFonts w:cs="Arial"/>
                <w:color w:val="201F1E"/>
                <w:shd w:val="clear" w:color="auto" w:fill="FFFFFF"/>
              </w:rPr>
              <w:t xml:space="preserve">As this is currently stated then Member States/NODCs that do not need the training are disadvantaged. However it can be re-phrased to include capacity development plans/activities as provider or recipient. </w:t>
            </w:r>
            <w:r w:rsidRPr="00021CE1">
              <w:rPr>
                <w:rFonts w:cs="Arial"/>
                <w:color w:val="201F1E"/>
                <w:highlight w:val="cyan"/>
                <w:shd w:val="clear" w:color="auto" w:fill="FFFFFF"/>
              </w:rPr>
              <w:t>Need to indicate how an NODC can get involved as a provider. Needs a timescale – maybe 5 years?</w:t>
            </w:r>
            <w:r w:rsidRPr="00021CE1">
              <w:rPr>
                <w:rFonts w:cs="Arial"/>
                <w:color w:val="201F1E"/>
                <w:shd w:val="clear" w:color="auto" w:fill="FFFFFF"/>
              </w:rPr>
              <w:t xml:space="preserve"> </w:t>
            </w:r>
          </w:p>
          <w:p w14:paraId="6CE7261A" w14:textId="77777777" w:rsidR="00021CE1" w:rsidRPr="00021CE1" w:rsidRDefault="00021CE1" w:rsidP="00D2535A">
            <w:pPr>
              <w:rPr>
                <w:rFonts w:cs="Arial"/>
                <w:b/>
                <w:bCs/>
                <w:color w:val="201F1E"/>
                <w:shd w:val="clear" w:color="auto" w:fill="FFFFFF"/>
              </w:rPr>
            </w:pPr>
            <w:r w:rsidRPr="00021CE1">
              <w:rPr>
                <w:rFonts w:cs="Arial"/>
                <w:color w:val="201F1E"/>
                <w:shd w:val="clear" w:color="auto" w:fill="FFFFFF"/>
              </w:rPr>
              <w:t>Assign </w:t>
            </w:r>
            <w:r w:rsidRPr="00021CE1">
              <w:rPr>
                <w:rFonts w:cs="Arial"/>
                <w:b/>
                <w:bCs/>
                <w:color w:val="201F1E"/>
                <w:shd w:val="clear" w:color="auto" w:fill="FFFFFF"/>
              </w:rPr>
              <w:t>3 points.</w:t>
            </w:r>
          </w:p>
        </w:tc>
      </w:tr>
    </w:tbl>
    <w:p w14:paraId="71735FD9" w14:textId="77777777" w:rsidR="00021CE1" w:rsidRPr="00021CE1" w:rsidRDefault="00021CE1" w:rsidP="00021CE1">
      <w:pPr>
        <w:rPr>
          <w:rFonts w:cs="Arial"/>
        </w:rPr>
      </w:pPr>
    </w:p>
    <w:p w14:paraId="7230F0F4" w14:textId="77777777" w:rsidR="00021CE1" w:rsidRPr="00021CE1" w:rsidRDefault="00021CE1" w:rsidP="00021CE1">
      <w:pPr>
        <w:pStyle w:val="xmsonormal"/>
        <w:shd w:val="clear" w:color="auto" w:fill="FFFFFF"/>
        <w:spacing w:before="0" w:beforeAutospacing="0" w:after="0" w:afterAutospacing="0"/>
        <w:jc w:val="both"/>
        <w:rPr>
          <w:rFonts w:ascii="Arial" w:hAnsi="Arial" w:cs="Arial"/>
          <w:sz w:val="22"/>
          <w:szCs w:val="22"/>
          <w:bdr w:val="none" w:sz="0" w:space="0" w:color="auto" w:frame="1"/>
          <w:lang w:val="en-US"/>
        </w:rPr>
      </w:pPr>
      <w:r w:rsidRPr="00021CE1">
        <w:rPr>
          <w:rFonts w:ascii="Arial" w:hAnsi="Arial" w:cs="Arial"/>
          <w:sz w:val="22"/>
          <w:szCs w:val="22"/>
          <w:bdr w:val="none" w:sz="0" w:space="0" w:color="auto" w:frame="1"/>
          <w:lang w:val="en-US"/>
        </w:rPr>
        <w:t xml:space="preserve">The number of points for each health check is given in Table 2. This gives a maximum total of 30 points. </w:t>
      </w:r>
      <w:r w:rsidRPr="00021CE1">
        <w:rPr>
          <w:rFonts w:ascii="Arial" w:hAnsi="Arial" w:cs="Arial"/>
          <w:sz w:val="22"/>
          <w:szCs w:val="22"/>
          <w:highlight w:val="cyan"/>
          <w:bdr w:val="none" w:sz="0" w:space="0" w:color="auto" w:frame="1"/>
          <w:lang w:val="en-US"/>
        </w:rPr>
        <w:t>It is suggested that if an NODC has fewer than 15 points it is considered inactive and remedial measures need to be taken. This would benefit from some further discussion.</w:t>
      </w:r>
      <w:r w:rsidRPr="00021CE1">
        <w:rPr>
          <w:rFonts w:ascii="Arial" w:hAnsi="Arial" w:cs="Arial"/>
          <w:sz w:val="22"/>
          <w:szCs w:val="22"/>
          <w:bdr w:val="none" w:sz="0" w:space="0" w:color="auto" w:frame="1"/>
          <w:lang w:val="en-US"/>
        </w:rPr>
        <w:t xml:space="preserve"> </w:t>
      </w:r>
    </w:p>
    <w:p w14:paraId="5A98BAD9" w14:textId="77777777" w:rsidR="00021CE1" w:rsidRPr="00021CE1" w:rsidRDefault="00021CE1" w:rsidP="00021CE1">
      <w:pPr>
        <w:pStyle w:val="xmsonormal"/>
        <w:shd w:val="clear" w:color="auto" w:fill="FFFFFF"/>
        <w:spacing w:before="0" w:beforeAutospacing="0" w:after="0" w:afterAutospacing="0"/>
        <w:jc w:val="both"/>
        <w:rPr>
          <w:rFonts w:ascii="Arial" w:hAnsi="Arial" w:cs="Arial"/>
          <w:sz w:val="22"/>
          <w:szCs w:val="22"/>
          <w:bdr w:val="none" w:sz="0" w:space="0" w:color="auto" w:frame="1"/>
          <w:lang w:val="en-US"/>
        </w:rPr>
      </w:pPr>
    </w:p>
    <w:p w14:paraId="3044FA90" w14:textId="77777777" w:rsidR="00021CE1" w:rsidRPr="00021CE1" w:rsidRDefault="00021CE1" w:rsidP="00021CE1">
      <w:pPr>
        <w:pStyle w:val="xmsonormal"/>
        <w:shd w:val="clear" w:color="auto" w:fill="FFFFFF"/>
        <w:spacing w:before="0" w:beforeAutospacing="0" w:after="0" w:afterAutospacing="0"/>
        <w:jc w:val="both"/>
        <w:rPr>
          <w:rFonts w:ascii="Arial" w:hAnsi="Arial" w:cs="Arial"/>
          <w:sz w:val="22"/>
          <w:szCs w:val="22"/>
        </w:rPr>
      </w:pPr>
      <w:r w:rsidRPr="00021CE1">
        <w:rPr>
          <w:rFonts w:ascii="Arial" w:hAnsi="Arial" w:cs="Arial"/>
          <w:sz w:val="22"/>
          <w:szCs w:val="22"/>
        </w:rPr>
        <w:t xml:space="preserve">As it is likely that the life of the Inter-sessional Working Group will be extended and strengthened with additional members at IODE-XXVII, hopefully this document can act as the starting point and the questions/comments below and in Table 2 discussed and resolved. </w:t>
      </w:r>
    </w:p>
    <w:p w14:paraId="614D3715" w14:textId="77777777" w:rsidR="00021CE1" w:rsidRPr="00021CE1" w:rsidRDefault="00021CE1" w:rsidP="00021CE1">
      <w:pPr>
        <w:rPr>
          <w:rFonts w:cs="Arial"/>
        </w:rPr>
      </w:pPr>
    </w:p>
    <w:p w14:paraId="6A47197C" w14:textId="77777777" w:rsidR="00021CE1" w:rsidRPr="00021CE1" w:rsidRDefault="00021CE1" w:rsidP="00021CE1">
      <w:pPr>
        <w:rPr>
          <w:rFonts w:cs="Arial"/>
          <w:bdr w:val="none" w:sz="0" w:space="0" w:color="auto" w:frame="1"/>
        </w:rPr>
      </w:pPr>
      <w:r w:rsidRPr="00021CE1">
        <w:rPr>
          <w:rFonts w:cs="Arial"/>
          <w:highlight w:val="cyan"/>
        </w:rPr>
        <w:t xml:space="preserve">Are there other checks that should be included? For example, </w:t>
      </w:r>
      <w:r w:rsidRPr="00021CE1">
        <w:rPr>
          <w:rFonts w:cs="Arial"/>
          <w:highlight w:val="cyan"/>
          <w:bdr w:val="none" w:sz="0" w:space="0" w:color="auto" w:frame="1"/>
        </w:rPr>
        <w:t xml:space="preserve">should there be a question about accreditation/QMF? In the future ODIS can be included – or perhaps check 5 (contribution to </w:t>
      </w:r>
      <w:proofErr w:type="spellStart"/>
      <w:r w:rsidRPr="00021CE1">
        <w:rPr>
          <w:rFonts w:cs="Arial"/>
          <w:highlight w:val="cyan"/>
          <w:bdr w:val="none" w:sz="0" w:space="0" w:color="auto" w:frame="1"/>
        </w:rPr>
        <w:t>ODISCat</w:t>
      </w:r>
      <w:proofErr w:type="spellEnd"/>
      <w:r w:rsidRPr="00021CE1">
        <w:rPr>
          <w:rFonts w:cs="Arial"/>
          <w:highlight w:val="cyan"/>
          <w:bdr w:val="none" w:sz="0" w:space="0" w:color="auto" w:frame="1"/>
        </w:rPr>
        <w:t xml:space="preserve">) could be expanded to include Ocean </w:t>
      </w:r>
      <w:proofErr w:type="spellStart"/>
      <w:r w:rsidRPr="00021CE1">
        <w:rPr>
          <w:rFonts w:cs="Arial"/>
          <w:highlight w:val="cyan"/>
          <w:bdr w:val="none" w:sz="0" w:space="0" w:color="auto" w:frame="1"/>
        </w:rPr>
        <w:t>InfoHub</w:t>
      </w:r>
      <w:proofErr w:type="spellEnd"/>
      <w:r w:rsidRPr="00021CE1">
        <w:rPr>
          <w:rFonts w:cs="Arial"/>
          <w:highlight w:val="cyan"/>
          <w:bdr w:val="none" w:sz="0" w:space="0" w:color="auto" w:frame="1"/>
        </w:rPr>
        <w:t xml:space="preserve"> and ODIS.</w:t>
      </w:r>
    </w:p>
    <w:p w14:paraId="44A9A9BA" w14:textId="77777777" w:rsidR="00021CE1" w:rsidRPr="00021CE1" w:rsidRDefault="00021CE1" w:rsidP="00021CE1">
      <w:pPr>
        <w:shd w:val="clear" w:color="auto" w:fill="FFFFFF"/>
        <w:rPr>
          <w:rFonts w:cs="Arial"/>
          <w:color w:val="201F1E"/>
          <w:bdr w:val="none" w:sz="0" w:space="0" w:color="auto" w:frame="1"/>
        </w:rPr>
      </w:pPr>
    </w:p>
    <w:p w14:paraId="3BE10BD4" w14:textId="77777777" w:rsidR="00021CE1" w:rsidRPr="00021CE1" w:rsidRDefault="00021CE1" w:rsidP="00021CE1">
      <w:pPr>
        <w:shd w:val="clear" w:color="auto" w:fill="FFFFFF"/>
        <w:rPr>
          <w:rFonts w:cs="Arial"/>
          <w:bdr w:val="none" w:sz="0" w:space="0" w:color="auto" w:frame="1"/>
        </w:rPr>
      </w:pPr>
      <w:r w:rsidRPr="00021CE1">
        <w:rPr>
          <w:rFonts w:cs="Arial"/>
          <w:highlight w:val="cyan"/>
          <w:bdr w:val="none" w:sz="0" w:space="0" w:color="auto" w:frame="1"/>
        </w:rPr>
        <w:t>Discussion is required about what measures can be taken if an NODC fails – and how it can be helped back to functionality, for some this will be possible, but for others maybe not.</w:t>
      </w:r>
      <w:r w:rsidRPr="00021CE1">
        <w:rPr>
          <w:rFonts w:cs="Arial"/>
          <w:bdr w:val="none" w:sz="0" w:space="0" w:color="auto" w:frame="1"/>
        </w:rPr>
        <w:t xml:space="preserve"> Possible tools to assist an NODC include:</w:t>
      </w:r>
      <w:r w:rsidRPr="00021CE1">
        <w:rPr>
          <w:rFonts w:cs="Arial"/>
        </w:rPr>
        <w:t xml:space="preserve"> Manuals and Guides, OTGA training courses, </w:t>
      </w:r>
      <w:r w:rsidRPr="00021CE1">
        <w:rPr>
          <w:rFonts w:cs="Arial"/>
        </w:rPr>
        <w:lastRenderedPageBreak/>
        <w:t xml:space="preserve">twinning with active NODCs, regional cooperation, etc. </w:t>
      </w:r>
      <w:r w:rsidRPr="00021CE1">
        <w:rPr>
          <w:rFonts w:cs="Arial"/>
          <w:bdr w:val="none" w:sz="0" w:space="0" w:color="auto" w:frame="1"/>
        </w:rPr>
        <w:t>There also needs to be a timescale for bringing an NODC ‘back to life’.</w:t>
      </w:r>
    </w:p>
    <w:p w14:paraId="438F93E4" w14:textId="77777777" w:rsidR="00021CE1" w:rsidRPr="00021CE1" w:rsidRDefault="00021CE1" w:rsidP="00021CE1">
      <w:pPr>
        <w:rPr>
          <w:rFonts w:cs="Arial"/>
          <w:color w:val="0070C0"/>
          <w:bdr w:val="none" w:sz="0" w:space="0" w:color="auto" w:frame="1"/>
        </w:rPr>
      </w:pPr>
    </w:p>
    <w:p w14:paraId="76295D6E" w14:textId="77777777" w:rsidR="00021CE1" w:rsidRPr="00021CE1" w:rsidRDefault="00021CE1" w:rsidP="00021CE1">
      <w:pPr>
        <w:rPr>
          <w:rFonts w:cs="Arial"/>
          <w:bdr w:val="none" w:sz="0" w:space="0" w:color="auto" w:frame="1"/>
        </w:rPr>
      </w:pPr>
      <w:r w:rsidRPr="00021CE1">
        <w:rPr>
          <w:rFonts w:cs="Arial"/>
          <w:bdr w:val="none" w:sz="0" w:space="0" w:color="auto" w:frame="1"/>
        </w:rPr>
        <w:t xml:space="preserve">Table 2 above indicates who can provide the information for each criterion. Then the information would need to be compiled into a status report perhaps by the IODE Secretariat or Management Group (or a volunteer) and then could be </w:t>
      </w:r>
      <w:r w:rsidRPr="00021CE1">
        <w:rPr>
          <w:rFonts w:cs="Arial"/>
          <w:highlight w:val="cyan"/>
          <w:bdr w:val="none" w:sz="0" w:space="0" w:color="auto" w:frame="1"/>
        </w:rPr>
        <w:t>reviewed (annually? biennially?) by the M</w:t>
      </w:r>
      <w:r w:rsidR="0003092D">
        <w:rPr>
          <w:rFonts w:cs="Arial"/>
          <w:highlight w:val="cyan"/>
          <w:bdr w:val="none" w:sz="0" w:space="0" w:color="auto" w:frame="1"/>
        </w:rPr>
        <w:t xml:space="preserve">anagement </w:t>
      </w:r>
      <w:r w:rsidRPr="00021CE1">
        <w:rPr>
          <w:rFonts w:cs="Arial"/>
          <w:highlight w:val="cyan"/>
          <w:bdr w:val="none" w:sz="0" w:space="0" w:color="auto" w:frame="1"/>
        </w:rPr>
        <w:t>G</w:t>
      </w:r>
      <w:r w:rsidR="0003092D">
        <w:rPr>
          <w:rFonts w:cs="Arial"/>
          <w:highlight w:val="cyan"/>
          <w:bdr w:val="none" w:sz="0" w:space="0" w:color="auto" w:frame="1"/>
        </w:rPr>
        <w:t>roup</w:t>
      </w:r>
      <w:r w:rsidRPr="00021CE1">
        <w:rPr>
          <w:rFonts w:cs="Arial"/>
          <w:highlight w:val="cyan"/>
          <w:bdr w:val="none" w:sz="0" w:space="0" w:color="auto" w:frame="1"/>
        </w:rPr>
        <w:t>.</w:t>
      </w:r>
      <w:r w:rsidRPr="00021CE1">
        <w:rPr>
          <w:rFonts w:cs="Arial"/>
          <w:bdr w:val="none" w:sz="0" w:space="0" w:color="auto" w:frame="1"/>
        </w:rPr>
        <w:t xml:space="preserve"> Once the NODC health checks, scoring system and mechanism for assisting inactive NODCs have been resolved, a short document will be compiled describing the process.  </w:t>
      </w:r>
    </w:p>
    <w:p w14:paraId="2BF2295E" w14:textId="77777777" w:rsidR="00021CE1" w:rsidRPr="00021CE1" w:rsidRDefault="00021CE1" w:rsidP="00021CE1">
      <w:pPr>
        <w:rPr>
          <w:rFonts w:cs="Arial"/>
        </w:rPr>
      </w:pPr>
    </w:p>
    <w:p w14:paraId="0429BDEA" w14:textId="77777777" w:rsidR="00021CE1" w:rsidRPr="00021CE1" w:rsidRDefault="00021CE1" w:rsidP="00021CE1">
      <w:pPr>
        <w:spacing w:after="120"/>
        <w:rPr>
          <w:rFonts w:cs="Arial"/>
        </w:rPr>
      </w:pPr>
      <w:r w:rsidRPr="00021CE1">
        <w:rPr>
          <w:rFonts w:cs="Arial"/>
        </w:rPr>
        <w:t>Suggested outline of the document to determine the health of NODCs:</w:t>
      </w:r>
    </w:p>
    <w:p w14:paraId="5067676A" w14:textId="77777777" w:rsidR="00021CE1" w:rsidRPr="00021CE1" w:rsidRDefault="00021CE1" w:rsidP="00021CE1">
      <w:pPr>
        <w:pStyle w:val="ListParagraph"/>
        <w:numPr>
          <w:ilvl w:val="0"/>
          <w:numId w:val="5"/>
        </w:numPr>
        <w:spacing w:after="200"/>
        <w:rPr>
          <w:rFonts w:cs="Arial"/>
          <w:szCs w:val="22"/>
        </w:rPr>
      </w:pPr>
      <w:r w:rsidRPr="00021CE1">
        <w:rPr>
          <w:rFonts w:cs="Arial"/>
          <w:szCs w:val="22"/>
        </w:rPr>
        <w:t>Introduction</w:t>
      </w:r>
    </w:p>
    <w:p w14:paraId="29F72A32" w14:textId="77777777" w:rsidR="00021CE1" w:rsidRPr="00021CE1" w:rsidRDefault="00021CE1" w:rsidP="00021CE1">
      <w:pPr>
        <w:pStyle w:val="ListParagraph"/>
        <w:numPr>
          <w:ilvl w:val="0"/>
          <w:numId w:val="5"/>
        </w:numPr>
        <w:spacing w:after="200"/>
        <w:rPr>
          <w:rFonts w:cs="Arial"/>
          <w:szCs w:val="22"/>
        </w:rPr>
      </w:pPr>
      <w:r w:rsidRPr="00021CE1">
        <w:rPr>
          <w:rFonts w:cs="Arial"/>
          <w:szCs w:val="22"/>
        </w:rPr>
        <w:t>Criteria for judging health of NODCs including scoring scheme</w:t>
      </w:r>
    </w:p>
    <w:p w14:paraId="0A1A8E18" w14:textId="77777777" w:rsidR="00021CE1" w:rsidRPr="00021CE1" w:rsidRDefault="00021CE1" w:rsidP="00021CE1">
      <w:pPr>
        <w:pStyle w:val="ListParagraph"/>
        <w:numPr>
          <w:ilvl w:val="0"/>
          <w:numId w:val="5"/>
        </w:numPr>
        <w:spacing w:after="200"/>
        <w:rPr>
          <w:rFonts w:cs="Arial"/>
          <w:szCs w:val="22"/>
        </w:rPr>
      </w:pPr>
      <w:r w:rsidRPr="00021CE1">
        <w:rPr>
          <w:rFonts w:cs="Arial"/>
          <w:szCs w:val="22"/>
        </w:rPr>
        <w:t xml:space="preserve">How to deal with inactive or failed NODCs? </w:t>
      </w:r>
    </w:p>
    <w:p w14:paraId="37C9DE99" w14:textId="77777777" w:rsidR="00021CE1" w:rsidRPr="00021CE1" w:rsidRDefault="00021CE1" w:rsidP="00021CE1">
      <w:pPr>
        <w:pStyle w:val="ListParagraph"/>
        <w:numPr>
          <w:ilvl w:val="0"/>
          <w:numId w:val="5"/>
        </w:numPr>
        <w:spacing w:after="200"/>
        <w:rPr>
          <w:rFonts w:cs="Arial"/>
          <w:szCs w:val="22"/>
        </w:rPr>
      </w:pPr>
      <w:r w:rsidRPr="00021CE1">
        <w:rPr>
          <w:rFonts w:cs="Arial"/>
          <w:szCs w:val="22"/>
        </w:rPr>
        <w:t>Description of reporting mechanism</w:t>
      </w:r>
    </w:p>
    <w:p w14:paraId="566D700B" w14:textId="77777777" w:rsidR="00021CE1" w:rsidRPr="00021CE1" w:rsidRDefault="00021CE1" w:rsidP="00021CE1">
      <w:pPr>
        <w:rPr>
          <w:rFonts w:cs="Arial"/>
        </w:rPr>
      </w:pPr>
    </w:p>
    <w:p w14:paraId="3F703561" w14:textId="77777777" w:rsidR="00021CE1" w:rsidRDefault="00021CE1">
      <w:pPr>
        <w:spacing w:after="200" w:line="276" w:lineRule="auto"/>
        <w:jc w:val="left"/>
        <w:rPr>
          <w:rFonts w:eastAsiaTheme="minorHAnsi" w:cs="Arial"/>
          <w:b/>
          <w:color w:val="1F3762"/>
          <w:szCs w:val="22"/>
          <w:lang w:eastAsia="en-US"/>
        </w:rPr>
      </w:pPr>
      <w:r>
        <w:rPr>
          <w:rFonts w:cs="Arial"/>
          <w:b/>
          <w:color w:val="1F3762"/>
          <w:szCs w:val="22"/>
        </w:rPr>
        <w:br w:type="page"/>
      </w:r>
    </w:p>
    <w:p w14:paraId="4EBCACD8" w14:textId="77777777" w:rsidR="00021CE1" w:rsidRPr="0003092D" w:rsidRDefault="00021CE1" w:rsidP="00021CE1">
      <w:pPr>
        <w:pStyle w:val="Default"/>
        <w:rPr>
          <w:rFonts w:ascii="Arial" w:hAnsi="Arial" w:cs="Arial"/>
          <w:b/>
          <w:color w:val="auto"/>
          <w:sz w:val="22"/>
          <w:szCs w:val="22"/>
        </w:rPr>
      </w:pPr>
      <w:r w:rsidRPr="0003092D">
        <w:rPr>
          <w:rFonts w:ascii="Arial" w:hAnsi="Arial" w:cs="Arial"/>
          <w:b/>
          <w:color w:val="auto"/>
          <w:sz w:val="22"/>
          <w:szCs w:val="22"/>
        </w:rPr>
        <w:lastRenderedPageBreak/>
        <w:t>Appendix 1: OBIS Node Health Checks</w:t>
      </w:r>
    </w:p>
    <w:p w14:paraId="373FB5CF" w14:textId="77777777" w:rsidR="00021CE1" w:rsidRDefault="00021CE1" w:rsidP="00021CE1">
      <w:pPr>
        <w:pStyle w:val="Default"/>
        <w:rPr>
          <w:rFonts w:ascii="Arial" w:hAnsi="Arial" w:cs="Arial"/>
          <w:color w:val="auto"/>
          <w:sz w:val="22"/>
          <w:szCs w:val="22"/>
        </w:rPr>
      </w:pPr>
    </w:p>
    <w:p w14:paraId="222E89C9" w14:textId="77777777" w:rsidR="00021CE1" w:rsidRPr="00021CE1" w:rsidRDefault="00021CE1" w:rsidP="00021CE1">
      <w:pPr>
        <w:pStyle w:val="Default"/>
        <w:rPr>
          <w:rFonts w:ascii="Arial" w:hAnsi="Arial" w:cs="Arial"/>
          <w:sz w:val="22"/>
          <w:szCs w:val="22"/>
        </w:rPr>
      </w:pPr>
      <w:r w:rsidRPr="00021CE1">
        <w:rPr>
          <w:rFonts w:ascii="Arial" w:hAnsi="Arial" w:cs="Arial"/>
          <w:color w:val="auto"/>
          <w:sz w:val="22"/>
          <w:szCs w:val="22"/>
        </w:rPr>
        <w:t>Extract from:</w:t>
      </w:r>
      <w:r w:rsidRPr="00021CE1">
        <w:rPr>
          <w:rFonts w:ascii="Arial" w:hAnsi="Arial" w:cs="Arial"/>
          <w:b/>
          <w:color w:val="1F3762"/>
          <w:sz w:val="22"/>
          <w:szCs w:val="22"/>
        </w:rPr>
        <w:t xml:space="preserve"> </w:t>
      </w:r>
      <w:r w:rsidRPr="00021CE1">
        <w:rPr>
          <w:rFonts w:ascii="Arial" w:hAnsi="Arial" w:cs="Arial"/>
          <w:sz w:val="22"/>
          <w:szCs w:val="22"/>
        </w:rPr>
        <w:t>IODE Steering Group for OBIS (SG-OBIS), Sixth Session, 1-3 February 2017 Reports of Meetings of Experts and Equivalent Bodies, UNESCO 2017 (English), UNESCO, 27 pp. 3 annexes.</w:t>
      </w:r>
    </w:p>
    <w:p w14:paraId="6E68B7B6" w14:textId="77777777" w:rsidR="00021CE1" w:rsidRPr="00021CE1" w:rsidRDefault="00021CE1" w:rsidP="00021CE1">
      <w:pPr>
        <w:pStyle w:val="Default"/>
        <w:rPr>
          <w:rFonts w:ascii="Arial" w:hAnsi="Arial" w:cs="Arial"/>
          <w:color w:val="1F3762"/>
          <w:sz w:val="22"/>
          <w:szCs w:val="22"/>
        </w:rPr>
      </w:pPr>
    </w:p>
    <w:p w14:paraId="425CBD33" w14:textId="77777777" w:rsidR="00021CE1" w:rsidRPr="00021CE1" w:rsidRDefault="00021CE1" w:rsidP="00021CE1">
      <w:pPr>
        <w:pStyle w:val="Default"/>
        <w:rPr>
          <w:rFonts w:ascii="Arial" w:hAnsi="Arial" w:cs="Arial"/>
          <w:b/>
          <w:color w:val="1F3762"/>
          <w:sz w:val="22"/>
          <w:szCs w:val="22"/>
        </w:rPr>
      </w:pPr>
      <w:r w:rsidRPr="00021CE1">
        <w:rPr>
          <w:rFonts w:ascii="Arial" w:hAnsi="Arial" w:cs="Arial"/>
          <w:b/>
          <w:color w:val="1F3762"/>
          <w:sz w:val="22"/>
          <w:szCs w:val="22"/>
        </w:rPr>
        <w:t xml:space="preserve">Annex 2: OBIS Node Health Status Check and Transition Strategy </w:t>
      </w:r>
    </w:p>
    <w:p w14:paraId="7AD31F92" w14:textId="77777777" w:rsidR="00021CE1" w:rsidRPr="00021CE1" w:rsidRDefault="00021CE1" w:rsidP="00021CE1">
      <w:pPr>
        <w:pStyle w:val="Default"/>
        <w:rPr>
          <w:rFonts w:ascii="Arial" w:hAnsi="Arial" w:cs="Arial"/>
          <w:sz w:val="22"/>
          <w:szCs w:val="22"/>
        </w:rPr>
      </w:pPr>
      <w:r w:rsidRPr="00021CE1">
        <w:rPr>
          <w:rFonts w:ascii="Arial" w:hAnsi="Arial" w:cs="Arial"/>
          <w:sz w:val="22"/>
          <w:szCs w:val="22"/>
        </w:rPr>
        <w:t xml:space="preserve">First, OBIS nodes should operate under IODE as either IODE/ADU or IODE/NODC. As such OBIS nodes are a member of the IODE network. </w:t>
      </w:r>
    </w:p>
    <w:p w14:paraId="106F2046" w14:textId="77777777" w:rsidR="00021CE1" w:rsidRPr="00021CE1" w:rsidRDefault="00021CE1" w:rsidP="00021CE1">
      <w:pPr>
        <w:pStyle w:val="Default"/>
        <w:rPr>
          <w:rFonts w:ascii="Arial" w:hAnsi="Arial" w:cs="Arial"/>
          <w:sz w:val="22"/>
          <w:szCs w:val="22"/>
        </w:rPr>
      </w:pPr>
    </w:p>
    <w:p w14:paraId="1235D734" w14:textId="77777777" w:rsidR="00021CE1" w:rsidRPr="00021CE1" w:rsidRDefault="00021CE1" w:rsidP="00021CE1">
      <w:pPr>
        <w:pStyle w:val="Default"/>
        <w:rPr>
          <w:rFonts w:ascii="Arial" w:hAnsi="Arial" w:cs="Arial"/>
          <w:sz w:val="22"/>
          <w:szCs w:val="22"/>
        </w:rPr>
      </w:pPr>
      <w:r w:rsidRPr="00021CE1">
        <w:rPr>
          <w:rFonts w:ascii="Arial" w:hAnsi="Arial" w:cs="Arial"/>
          <w:sz w:val="22"/>
          <w:szCs w:val="22"/>
        </w:rPr>
        <w:t xml:space="preserve">The IODE Steering Group (SG) for OBIS evaluates the health status of OBIS nodes at each annual SG meeting, and considers an OBIS node as </w:t>
      </w:r>
      <w:r w:rsidRPr="00021CE1">
        <w:rPr>
          <w:rFonts w:ascii="Arial" w:hAnsi="Arial" w:cs="Arial"/>
          <w:b/>
          <w:bCs/>
          <w:sz w:val="22"/>
          <w:szCs w:val="22"/>
        </w:rPr>
        <w:t xml:space="preserve">inactive </w:t>
      </w:r>
      <w:r w:rsidRPr="00021CE1">
        <w:rPr>
          <w:rFonts w:ascii="Arial" w:hAnsi="Arial" w:cs="Arial"/>
          <w:sz w:val="22"/>
          <w:szCs w:val="22"/>
        </w:rPr>
        <w:t xml:space="preserve">when it meets any of the following conditions: </w:t>
      </w:r>
    </w:p>
    <w:p w14:paraId="368D9B17" w14:textId="77777777" w:rsidR="00021CE1" w:rsidRPr="00021CE1" w:rsidRDefault="00021CE1" w:rsidP="00021CE1">
      <w:pPr>
        <w:pStyle w:val="Default"/>
        <w:rPr>
          <w:rFonts w:ascii="Arial" w:hAnsi="Arial" w:cs="Arial"/>
          <w:sz w:val="22"/>
          <w:szCs w:val="22"/>
        </w:rPr>
      </w:pPr>
    </w:p>
    <w:p w14:paraId="718399D8" w14:textId="77777777" w:rsidR="00021CE1" w:rsidRPr="00021CE1" w:rsidRDefault="00021CE1" w:rsidP="00021CE1">
      <w:pPr>
        <w:pStyle w:val="Default"/>
        <w:spacing w:after="120"/>
        <w:rPr>
          <w:rFonts w:ascii="Arial" w:hAnsi="Arial" w:cs="Arial"/>
          <w:sz w:val="22"/>
          <w:szCs w:val="22"/>
        </w:rPr>
      </w:pPr>
      <w:r w:rsidRPr="00021CE1">
        <w:rPr>
          <w:rFonts w:ascii="Arial" w:hAnsi="Arial" w:cs="Arial"/>
          <w:sz w:val="22"/>
          <w:szCs w:val="22"/>
        </w:rPr>
        <w:t xml:space="preserve">1. The OBIS node manager recurrently fails to answer the communications from the project manager or the SG co-chairs in the last 12 months </w:t>
      </w:r>
    </w:p>
    <w:p w14:paraId="60B1E129" w14:textId="77777777" w:rsidR="00021CE1" w:rsidRPr="00021CE1" w:rsidRDefault="00021CE1" w:rsidP="00021CE1">
      <w:pPr>
        <w:pStyle w:val="Default"/>
        <w:spacing w:after="120"/>
        <w:rPr>
          <w:rFonts w:ascii="Arial" w:hAnsi="Arial" w:cs="Arial"/>
          <w:sz w:val="22"/>
          <w:szCs w:val="22"/>
        </w:rPr>
      </w:pPr>
      <w:r w:rsidRPr="00021CE1">
        <w:rPr>
          <w:rFonts w:ascii="Arial" w:hAnsi="Arial" w:cs="Arial"/>
          <w:sz w:val="22"/>
          <w:szCs w:val="22"/>
        </w:rPr>
        <w:t xml:space="preserve">2. The OBIS node manager or a representative fails to attend (personally or virtually) the last 2 SG meetings without any written reason </w:t>
      </w:r>
    </w:p>
    <w:p w14:paraId="2317DF1A" w14:textId="77777777" w:rsidR="00021CE1" w:rsidRPr="00021CE1" w:rsidRDefault="00021CE1" w:rsidP="00021CE1">
      <w:pPr>
        <w:pStyle w:val="Default"/>
        <w:spacing w:after="120"/>
        <w:rPr>
          <w:rFonts w:ascii="Arial" w:hAnsi="Arial" w:cs="Arial"/>
          <w:sz w:val="22"/>
          <w:szCs w:val="22"/>
        </w:rPr>
      </w:pPr>
      <w:r w:rsidRPr="00021CE1">
        <w:rPr>
          <w:rFonts w:ascii="Arial" w:hAnsi="Arial" w:cs="Arial"/>
          <w:sz w:val="22"/>
          <w:szCs w:val="22"/>
        </w:rPr>
        <w:t xml:space="preserve">3. The OBIS node does not have an IPT </w:t>
      </w:r>
    </w:p>
    <w:p w14:paraId="65D6AFED" w14:textId="77777777" w:rsidR="00021CE1" w:rsidRPr="00021CE1" w:rsidRDefault="00021CE1" w:rsidP="00021CE1">
      <w:pPr>
        <w:pStyle w:val="Default"/>
        <w:spacing w:after="120"/>
        <w:rPr>
          <w:rFonts w:ascii="Arial" w:hAnsi="Arial" w:cs="Arial"/>
          <w:sz w:val="22"/>
          <w:szCs w:val="22"/>
        </w:rPr>
      </w:pPr>
      <w:r w:rsidRPr="00021CE1">
        <w:rPr>
          <w:rFonts w:ascii="Arial" w:hAnsi="Arial" w:cs="Arial"/>
          <w:sz w:val="22"/>
          <w:szCs w:val="22"/>
        </w:rPr>
        <w:t xml:space="preserve">4. The OBIS node has an IPT, but it has not been running for the last 12 months </w:t>
      </w:r>
    </w:p>
    <w:p w14:paraId="7827FBE0" w14:textId="77777777" w:rsidR="00021CE1" w:rsidRPr="00021CE1" w:rsidRDefault="00021CE1" w:rsidP="00021CE1">
      <w:pPr>
        <w:pStyle w:val="Default"/>
        <w:spacing w:after="120"/>
        <w:rPr>
          <w:rFonts w:ascii="Arial" w:hAnsi="Arial" w:cs="Arial"/>
          <w:sz w:val="22"/>
          <w:szCs w:val="22"/>
        </w:rPr>
      </w:pPr>
      <w:r w:rsidRPr="00021CE1">
        <w:rPr>
          <w:rFonts w:ascii="Arial" w:hAnsi="Arial" w:cs="Arial"/>
          <w:sz w:val="22"/>
          <w:szCs w:val="22"/>
        </w:rPr>
        <w:t xml:space="preserve">5. The datasets in the OBIS node's IPT have been removed and not restored in the last 12 months (without any explanation) </w:t>
      </w:r>
    </w:p>
    <w:p w14:paraId="30F6A5FB" w14:textId="77777777" w:rsidR="00021CE1" w:rsidRPr="00021CE1" w:rsidRDefault="00021CE1" w:rsidP="00021CE1">
      <w:pPr>
        <w:pStyle w:val="Default"/>
        <w:rPr>
          <w:rFonts w:ascii="Arial" w:hAnsi="Arial" w:cs="Arial"/>
          <w:sz w:val="22"/>
          <w:szCs w:val="22"/>
        </w:rPr>
      </w:pPr>
      <w:r w:rsidRPr="00021CE1">
        <w:rPr>
          <w:rFonts w:ascii="Arial" w:hAnsi="Arial" w:cs="Arial"/>
          <w:sz w:val="22"/>
          <w:szCs w:val="22"/>
        </w:rPr>
        <w:t xml:space="preserve">6. The OBIS node has not provided new data for the last 2 years </w:t>
      </w:r>
    </w:p>
    <w:p w14:paraId="014A4D5A" w14:textId="77777777" w:rsidR="00021CE1" w:rsidRPr="00021CE1" w:rsidRDefault="00021CE1" w:rsidP="00021CE1">
      <w:pPr>
        <w:pStyle w:val="Default"/>
        <w:rPr>
          <w:rFonts w:ascii="Arial" w:hAnsi="Arial" w:cs="Arial"/>
          <w:sz w:val="22"/>
          <w:szCs w:val="22"/>
        </w:rPr>
      </w:pPr>
    </w:p>
    <w:p w14:paraId="1A862DE5" w14:textId="77777777" w:rsidR="00021CE1" w:rsidRPr="00021CE1" w:rsidRDefault="00021CE1" w:rsidP="00021CE1">
      <w:pPr>
        <w:pStyle w:val="Default"/>
        <w:rPr>
          <w:rFonts w:ascii="Arial" w:hAnsi="Arial" w:cs="Arial"/>
          <w:sz w:val="22"/>
          <w:szCs w:val="22"/>
        </w:rPr>
      </w:pPr>
      <w:r w:rsidRPr="00021CE1">
        <w:rPr>
          <w:rFonts w:ascii="Arial" w:hAnsi="Arial" w:cs="Arial"/>
          <w:sz w:val="22"/>
          <w:szCs w:val="22"/>
        </w:rPr>
        <w:t xml:space="preserve">The OBIS Secretariat prepares a health status check report of each OBIS node based on the six items above and informs the OBIS node manager on their status 3 months before the SG meeting. </w:t>
      </w:r>
    </w:p>
    <w:p w14:paraId="289B6683" w14:textId="77777777" w:rsidR="00021CE1" w:rsidRPr="00021CE1" w:rsidRDefault="00021CE1" w:rsidP="00021CE1">
      <w:pPr>
        <w:pStyle w:val="Default"/>
        <w:rPr>
          <w:rFonts w:ascii="Arial" w:hAnsi="Arial" w:cs="Arial"/>
          <w:sz w:val="22"/>
          <w:szCs w:val="22"/>
        </w:rPr>
      </w:pPr>
    </w:p>
    <w:p w14:paraId="6CB87708" w14:textId="77777777" w:rsidR="00021CE1" w:rsidRPr="00021CE1" w:rsidRDefault="00021CE1" w:rsidP="00021CE1">
      <w:pPr>
        <w:pStyle w:val="Default"/>
        <w:rPr>
          <w:rFonts w:ascii="Arial" w:hAnsi="Arial" w:cs="Arial"/>
          <w:sz w:val="22"/>
          <w:szCs w:val="22"/>
        </w:rPr>
      </w:pPr>
      <w:r w:rsidRPr="00021CE1">
        <w:rPr>
          <w:rFonts w:ascii="Arial" w:hAnsi="Arial" w:cs="Arial"/>
          <w:sz w:val="22"/>
          <w:szCs w:val="22"/>
        </w:rPr>
        <w:t xml:space="preserve">At the SG meeting, the SG-OBIS co-chair will present the results of the OBIS nodes health status check report including a listing of the inactive OBIS nodes. </w:t>
      </w:r>
    </w:p>
    <w:p w14:paraId="7BBB6261" w14:textId="77777777" w:rsidR="00021CE1" w:rsidRPr="00021CE1" w:rsidRDefault="00021CE1" w:rsidP="00021CE1">
      <w:pPr>
        <w:pStyle w:val="Default"/>
        <w:rPr>
          <w:rFonts w:ascii="Arial" w:hAnsi="Arial" w:cs="Arial"/>
          <w:sz w:val="22"/>
          <w:szCs w:val="22"/>
        </w:rPr>
      </w:pPr>
    </w:p>
    <w:p w14:paraId="5EBA1E32" w14:textId="77777777" w:rsidR="00021CE1" w:rsidRPr="00021CE1" w:rsidRDefault="00021CE1" w:rsidP="00021CE1">
      <w:pPr>
        <w:pStyle w:val="Default"/>
        <w:rPr>
          <w:rFonts w:ascii="Arial" w:hAnsi="Arial" w:cs="Arial"/>
          <w:sz w:val="22"/>
          <w:szCs w:val="22"/>
        </w:rPr>
      </w:pPr>
      <w:r w:rsidRPr="00021CE1">
        <w:rPr>
          <w:rFonts w:ascii="Arial" w:hAnsi="Arial" w:cs="Arial"/>
          <w:sz w:val="22"/>
          <w:szCs w:val="22"/>
        </w:rPr>
        <w:t xml:space="preserve">The SG-OBIS members representing active OBIS Nodes will make one of the following decisions: </w:t>
      </w:r>
    </w:p>
    <w:p w14:paraId="252540DA" w14:textId="77777777" w:rsidR="00021CE1" w:rsidRPr="00021CE1" w:rsidRDefault="00021CE1" w:rsidP="00021CE1">
      <w:pPr>
        <w:pStyle w:val="Default"/>
        <w:rPr>
          <w:rFonts w:ascii="Arial" w:hAnsi="Arial" w:cs="Arial"/>
          <w:sz w:val="22"/>
          <w:szCs w:val="22"/>
        </w:rPr>
      </w:pPr>
      <w:r w:rsidRPr="00021CE1">
        <w:rPr>
          <w:rFonts w:ascii="Arial" w:hAnsi="Arial" w:cs="Arial"/>
          <w:sz w:val="22"/>
          <w:szCs w:val="22"/>
        </w:rPr>
        <w:t xml:space="preserve">1. Request the inactive OBIS node to submit a plan with actions, deliverables and times to improve their performance, within 3 months, to the OBIS Secretariat. This plan is reviewed and accepted by the OBIS-Executive Committee </w:t>
      </w:r>
    </w:p>
    <w:p w14:paraId="2135B91F" w14:textId="77777777" w:rsidR="00021CE1" w:rsidRPr="00021CE1" w:rsidRDefault="00021CE1" w:rsidP="00021CE1">
      <w:pPr>
        <w:pStyle w:val="Default"/>
        <w:rPr>
          <w:rFonts w:ascii="Arial" w:hAnsi="Arial" w:cs="Arial"/>
          <w:sz w:val="22"/>
          <w:szCs w:val="22"/>
        </w:rPr>
      </w:pPr>
    </w:p>
    <w:p w14:paraId="250BB082" w14:textId="77777777" w:rsidR="00021CE1" w:rsidRPr="00021CE1" w:rsidRDefault="00021CE1" w:rsidP="00021CE1">
      <w:pPr>
        <w:pStyle w:val="Default"/>
        <w:rPr>
          <w:rFonts w:ascii="Arial" w:hAnsi="Arial" w:cs="Arial"/>
          <w:sz w:val="22"/>
          <w:szCs w:val="22"/>
        </w:rPr>
      </w:pPr>
      <w:r w:rsidRPr="00021CE1">
        <w:rPr>
          <w:rFonts w:ascii="Arial" w:hAnsi="Arial" w:cs="Arial"/>
          <w:sz w:val="22"/>
          <w:szCs w:val="22"/>
        </w:rPr>
        <w:t xml:space="preserve">Or </w:t>
      </w:r>
    </w:p>
    <w:p w14:paraId="4C7F2153" w14:textId="77777777" w:rsidR="00021CE1" w:rsidRPr="00021CE1" w:rsidRDefault="00021CE1" w:rsidP="00021CE1">
      <w:pPr>
        <w:pStyle w:val="Default"/>
        <w:rPr>
          <w:rFonts w:ascii="Arial" w:hAnsi="Arial" w:cs="Arial"/>
          <w:sz w:val="22"/>
          <w:szCs w:val="22"/>
        </w:rPr>
      </w:pPr>
      <w:r w:rsidRPr="00021CE1">
        <w:rPr>
          <w:rFonts w:ascii="Arial" w:hAnsi="Arial" w:cs="Arial"/>
          <w:sz w:val="22"/>
          <w:szCs w:val="22"/>
        </w:rPr>
        <w:t xml:space="preserve">2. Provide a recommendation to the IOC Committee on IODE to remove the OBIS node from the IODE network. </w:t>
      </w:r>
    </w:p>
    <w:p w14:paraId="442E4C89" w14:textId="77777777" w:rsidR="00021CE1" w:rsidRPr="00021CE1" w:rsidRDefault="00021CE1" w:rsidP="00021CE1">
      <w:pPr>
        <w:pStyle w:val="Default"/>
        <w:rPr>
          <w:rFonts w:ascii="Arial" w:hAnsi="Arial" w:cs="Arial"/>
          <w:sz w:val="22"/>
          <w:szCs w:val="22"/>
        </w:rPr>
      </w:pPr>
    </w:p>
    <w:p w14:paraId="3F3B0660" w14:textId="77777777" w:rsidR="00021CE1" w:rsidRPr="00021CE1" w:rsidRDefault="00021CE1" w:rsidP="00021CE1">
      <w:pPr>
        <w:pStyle w:val="Default"/>
        <w:rPr>
          <w:rFonts w:ascii="Arial" w:hAnsi="Arial" w:cs="Arial"/>
          <w:sz w:val="22"/>
          <w:szCs w:val="22"/>
        </w:rPr>
      </w:pPr>
      <w:r w:rsidRPr="00021CE1">
        <w:rPr>
          <w:rFonts w:ascii="Arial" w:hAnsi="Arial" w:cs="Arial"/>
          <w:sz w:val="22"/>
          <w:szCs w:val="22"/>
        </w:rPr>
        <w:t xml:space="preserve">In either case, the OBIS Secretariat will inform the OBIS node manager of the SG-OBIS decision, with a copy to the IODE officers and the IODE national coordinator for data management of the country concerned. </w:t>
      </w:r>
    </w:p>
    <w:p w14:paraId="56706C36" w14:textId="77777777" w:rsidR="00021CE1" w:rsidRPr="00021CE1" w:rsidRDefault="00021CE1" w:rsidP="00021CE1">
      <w:pPr>
        <w:pStyle w:val="Default"/>
        <w:rPr>
          <w:rFonts w:ascii="Arial" w:hAnsi="Arial" w:cs="Arial"/>
          <w:sz w:val="22"/>
          <w:szCs w:val="22"/>
        </w:rPr>
      </w:pPr>
    </w:p>
    <w:p w14:paraId="31F43D91" w14:textId="77777777" w:rsidR="00021CE1" w:rsidRPr="00021CE1" w:rsidRDefault="00021CE1" w:rsidP="00021CE1">
      <w:pPr>
        <w:pStyle w:val="Default"/>
        <w:rPr>
          <w:rFonts w:ascii="Arial" w:hAnsi="Arial" w:cs="Arial"/>
          <w:sz w:val="22"/>
          <w:szCs w:val="22"/>
        </w:rPr>
      </w:pPr>
      <w:r w:rsidRPr="00021CE1">
        <w:rPr>
          <w:rFonts w:ascii="Arial" w:hAnsi="Arial" w:cs="Arial"/>
          <w:sz w:val="22"/>
          <w:szCs w:val="22"/>
        </w:rPr>
        <w:t xml:space="preserve">The IODE Committee is requested to consider the recommendation from the OBIS Steering Group and it may either accept the recommendation or request the inactive OBIS node to submit an action plan (option 1). </w:t>
      </w:r>
    </w:p>
    <w:p w14:paraId="01EAB760" w14:textId="77777777" w:rsidR="00021CE1" w:rsidRPr="00021CE1" w:rsidRDefault="00021CE1" w:rsidP="00021CE1">
      <w:pPr>
        <w:pStyle w:val="Default"/>
        <w:rPr>
          <w:rFonts w:ascii="Arial" w:hAnsi="Arial" w:cs="Arial"/>
          <w:sz w:val="22"/>
          <w:szCs w:val="22"/>
        </w:rPr>
      </w:pPr>
      <w:r w:rsidRPr="00021CE1">
        <w:rPr>
          <w:rFonts w:ascii="Arial" w:hAnsi="Arial" w:cs="Arial"/>
          <w:sz w:val="22"/>
          <w:szCs w:val="22"/>
        </w:rPr>
        <w:t xml:space="preserve">When the inactive OBIS node is removed from the IODE network, the SG-OBIS will ask whether another OBIS node is interested in taking over the responsibilities of the removed OBIS node, until a new OBIS node in the country/region is established. </w:t>
      </w:r>
    </w:p>
    <w:p w14:paraId="24898D3B" w14:textId="77777777" w:rsidR="004364F7" w:rsidRPr="00021CE1" w:rsidRDefault="004364F7" w:rsidP="00021CE1">
      <w:pPr>
        <w:jc w:val="left"/>
        <w:rPr>
          <w:rFonts w:cs="Arial"/>
        </w:rPr>
      </w:pPr>
    </w:p>
    <w:sectPr w:rsidR="004364F7" w:rsidRPr="00021CE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E21F" w14:textId="77777777" w:rsidR="00F54BE1" w:rsidRDefault="00F54BE1" w:rsidP="00021CE1">
      <w:r>
        <w:separator/>
      </w:r>
    </w:p>
  </w:endnote>
  <w:endnote w:type="continuationSeparator" w:id="0">
    <w:p w14:paraId="0F2B61F6" w14:textId="77777777" w:rsidR="00F54BE1" w:rsidRDefault="00F54BE1" w:rsidP="0002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D3335" w14:textId="77777777" w:rsidR="00F54BE1" w:rsidRDefault="00F54BE1" w:rsidP="00021CE1">
      <w:r>
        <w:separator/>
      </w:r>
    </w:p>
  </w:footnote>
  <w:footnote w:type="continuationSeparator" w:id="0">
    <w:p w14:paraId="60DE29EE" w14:textId="77777777" w:rsidR="00F54BE1" w:rsidRDefault="00F54BE1" w:rsidP="00021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2EDE" w14:textId="06356F44" w:rsidR="00021CE1" w:rsidRDefault="00021CE1" w:rsidP="00021CE1">
    <w:pPr>
      <w:pStyle w:val="Header"/>
      <w:jc w:val="right"/>
    </w:pPr>
    <w:r w:rsidRPr="00454950">
      <w:t>IOC/IODE-</w:t>
    </w:r>
    <w:r>
      <w:t>IWG</w:t>
    </w:r>
    <w:r w:rsidRPr="00454950">
      <w:t>-</w:t>
    </w:r>
    <w:r>
      <w:t>Health-1/</w:t>
    </w:r>
    <w:r w:rsidR="00204D65">
      <w:t>5</w:t>
    </w:r>
  </w:p>
  <w:p w14:paraId="5CD7CB58" w14:textId="77777777" w:rsidR="00021CE1" w:rsidRPr="00380D9D" w:rsidRDefault="00021CE1" w:rsidP="00021CE1">
    <w:pPr>
      <w:pStyle w:val="Header"/>
      <w:jc w:val="right"/>
      <w:rPr>
        <w:rFonts w:cs="Arial"/>
      </w:rPr>
    </w:pPr>
    <w:r w:rsidRPr="00380D9D">
      <w:rPr>
        <w:rFonts w:cs="Arial"/>
      </w:rPr>
      <w:t xml:space="preserve">Page </w:t>
    </w:r>
    <w:r w:rsidRPr="00380D9D">
      <w:rPr>
        <w:rFonts w:cs="Arial"/>
      </w:rPr>
      <w:fldChar w:fldCharType="begin"/>
    </w:r>
    <w:r w:rsidRPr="00380D9D">
      <w:rPr>
        <w:rFonts w:cs="Arial"/>
      </w:rPr>
      <w:instrText xml:space="preserve"> PAGE </w:instrText>
    </w:r>
    <w:r w:rsidRPr="00380D9D">
      <w:rPr>
        <w:rFonts w:cs="Arial"/>
      </w:rPr>
      <w:fldChar w:fldCharType="separate"/>
    </w:r>
    <w:r w:rsidR="0003092D">
      <w:rPr>
        <w:rFonts w:cs="Arial"/>
        <w:noProof/>
      </w:rPr>
      <w:t>6</w:t>
    </w:r>
    <w:r w:rsidRPr="00380D9D">
      <w:rPr>
        <w:rFonts w:cs="Arial"/>
      </w:rPr>
      <w:fldChar w:fldCharType="end"/>
    </w:r>
    <w:r w:rsidRPr="00380D9D">
      <w:rPr>
        <w:rFonts w:cs="Arial"/>
      </w:rPr>
      <w:t xml:space="preserve"> of </w:t>
    </w:r>
    <w:r w:rsidRPr="00380D9D">
      <w:rPr>
        <w:rFonts w:cs="Arial"/>
      </w:rPr>
      <w:fldChar w:fldCharType="begin"/>
    </w:r>
    <w:r w:rsidRPr="00380D9D">
      <w:rPr>
        <w:rFonts w:cs="Arial"/>
      </w:rPr>
      <w:instrText xml:space="preserve"> NUMPAGES </w:instrText>
    </w:r>
    <w:r w:rsidRPr="00380D9D">
      <w:rPr>
        <w:rFonts w:cs="Arial"/>
      </w:rPr>
      <w:fldChar w:fldCharType="separate"/>
    </w:r>
    <w:r w:rsidR="0003092D">
      <w:rPr>
        <w:rFonts w:cs="Arial"/>
        <w:noProof/>
      </w:rPr>
      <w:t>6</w:t>
    </w:r>
    <w:r w:rsidRPr="00380D9D">
      <w:rPr>
        <w:rFonts w:cs="Arial"/>
      </w:rPr>
      <w:fldChar w:fldCharType="end"/>
    </w:r>
  </w:p>
  <w:p w14:paraId="5DA0E0DC" w14:textId="77777777" w:rsidR="00021CE1" w:rsidRDefault="00021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923"/>
    <w:multiLevelType w:val="hybridMultilevel"/>
    <w:tmpl w:val="4DBCA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CF48A5"/>
    <w:multiLevelType w:val="hybridMultilevel"/>
    <w:tmpl w:val="08564144"/>
    <w:lvl w:ilvl="0" w:tplc="47D06CC4">
      <w:start w:val="1"/>
      <w:numFmt w:val="decimal"/>
      <w:lvlText w:val="(%1)"/>
      <w:lvlJc w:val="left"/>
      <w:pPr>
        <w:ind w:left="360" w:hanging="360"/>
      </w:pPr>
      <w:rPr>
        <w:rFonts w:hint="default"/>
        <w:color w:val="201F1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D870CE"/>
    <w:multiLevelType w:val="hybridMultilevel"/>
    <w:tmpl w:val="D1401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4102DF"/>
    <w:multiLevelType w:val="hybridMultilevel"/>
    <w:tmpl w:val="858237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401469D"/>
    <w:multiLevelType w:val="hybridMultilevel"/>
    <w:tmpl w:val="36FCBA38"/>
    <w:lvl w:ilvl="0" w:tplc="4FAE38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46882015">
    <w:abstractNumId w:val="2"/>
  </w:num>
  <w:num w:numId="2" w16cid:durableId="661617552">
    <w:abstractNumId w:val="3"/>
  </w:num>
  <w:num w:numId="3" w16cid:durableId="2016805316">
    <w:abstractNumId w:val="1"/>
  </w:num>
  <w:num w:numId="4" w16cid:durableId="1211923224">
    <w:abstractNumId w:val="4"/>
  </w:num>
  <w:num w:numId="5" w16cid:durableId="64057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CE1"/>
    <w:rsid w:val="00016458"/>
    <w:rsid w:val="00021CE1"/>
    <w:rsid w:val="0003092D"/>
    <w:rsid w:val="00032515"/>
    <w:rsid w:val="000353A0"/>
    <w:rsid w:val="0003652E"/>
    <w:rsid w:val="00041211"/>
    <w:rsid w:val="0004478B"/>
    <w:rsid w:val="00051A8C"/>
    <w:rsid w:val="0005765C"/>
    <w:rsid w:val="000B3377"/>
    <w:rsid w:val="000B45F6"/>
    <w:rsid w:val="000B610C"/>
    <w:rsid w:val="000C0DA6"/>
    <w:rsid w:val="000D0633"/>
    <w:rsid w:val="000D5B36"/>
    <w:rsid w:val="000F3034"/>
    <w:rsid w:val="001340DC"/>
    <w:rsid w:val="0013486E"/>
    <w:rsid w:val="001777E0"/>
    <w:rsid w:val="00181309"/>
    <w:rsid w:val="001C307F"/>
    <w:rsid w:val="001F09BD"/>
    <w:rsid w:val="00202EF9"/>
    <w:rsid w:val="00204D65"/>
    <w:rsid w:val="0022527E"/>
    <w:rsid w:val="00233905"/>
    <w:rsid w:val="00267721"/>
    <w:rsid w:val="00277A2E"/>
    <w:rsid w:val="00282C83"/>
    <w:rsid w:val="002A0DD9"/>
    <w:rsid w:val="002E356A"/>
    <w:rsid w:val="002F3F71"/>
    <w:rsid w:val="00350473"/>
    <w:rsid w:val="00365D2A"/>
    <w:rsid w:val="00366858"/>
    <w:rsid w:val="003B44B0"/>
    <w:rsid w:val="003D4140"/>
    <w:rsid w:val="003D7D99"/>
    <w:rsid w:val="004364F7"/>
    <w:rsid w:val="004413CF"/>
    <w:rsid w:val="00454FB2"/>
    <w:rsid w:val="004564E1"/>
    <w:rsid w:val="004600A1"/>
    <w:rsid w:val="00465E2B"/>
    <w:rsid w:val="00474148"/>
    <w:rsid w:val="00475F75"/>
    <w:rsid w:val="00484444"/>
    <w:rsid w:val="00497FDE"/>
    <w:rsid w:val="004A3A10"/>
    <w:rsid w:val="004B5C0C"/>
    <w:rsid w:val="004C3501"/>
    <w:rsid w:val="004C5A0D"/>
    <w:rsid w:val="004D769E"/>
    <w:rsid w:val="004F5343"/>
    <w:rsid w:val="00506301"/>
    <w:rsid w:val="00511010"/>
    <w:rsid w:val="00511947"/>
    <w:rsid w:val="00535EE3"/>
    <w:rsid w:val="0054669D"/>
    <w:rsid w:val="0059449B"/>
    <w:rsid w:val="005B67DE"/>
    <w:rsid w:val="005C1153"/>
    <w:rsid w:val="005D67B0"/>
    <w:rsid w:val="005D6A45"/>
    <w:rsid w:val="005D7E82"/>
    <w:rsid w:val="0061446C"/>
    <w:rsid w:val="00620301"/>
    <w:rsid w:val="00632A8D"/>
    <w:rsid w:val="0063614A"/>
    <w:rsid w:val="006401EB"/>
    <w:rsid w:val="00643071"/>
    <w:rsid w:val="006443DA"/>
    <w:rsid w:val="006457CA"/>
    <w:rsid w:val="006565C4"/>
    <w:rsid w:val="0068368D"/>
    <w:rsid w:val="00687DF9"/>
    <w:rsid w:val="006918CC"/>
    <w:rsid w:val="006C7F94"/>
    <w:rsid w:val="006F0ACE"/>
    <w:rsid w:val="006F0DC0"/>
    <w:rsid w:val="00702D2A"/>
    <w:rsid w:val="0074034B"/>
    <w:rsid w:val="00741D55"/>
    <w:rsid w:val="00743AB7"/>
    <w:rsid w:val="0074403B"/>
    <w:rsid w:val="00757764"/>
    <w:rsid w:val="00764D24"/>
    <w:rsid w:val="007837EC"/>
    <w:rsid w:val="007A5BDB"/>
    <w:rsid w:val="007B0334"/>
    <w:rsid w:val="007C0717"/>
    <w:rsid w:val="007C12EC"/>
    <w:rsid w:val="007D5E60"/>
    <w:rsid w:val="007D6024"/>
    <w:rsid w:val="007E0947"/>
    <w:rsid w:val="007F23FC"/>
    <w:rsid w:val="007F40B5"/>
    <w:rsid w:val="007F59EE"/>
    <w:rsid w:val="007F6967"/>
    <w:rsid w:val="008123C9"/>
    <w:rsid w:val="00816159"/>
    <w:rsid w:val="008511E3"/>
    <w:rsid w:val="0085321D"/>
    <w:rsid w:val="00867463"/>
    <w:rsid w:val="00886566"/>
    <w:rsid w:val="008870FA"/>
    <w:rsid w:val="00890A29"/>
    <w:rsid w:val="00891D2D"/>
    <w:rsid w:val="008B0F4B"/>
    <w:rsid w:val="008B3041"/>
    <w:rsid w:val="008F5ACD"/>
    <w:rsid w:val="00902DE3"/>
    <w:rsid w:val="00912502"/>
    <w:rsid w:val="009222AB"/>
    <w:rsid w:val="00924CC5"/>
    <w:rsid w:val="00942E2F"/>
    <w:rsid w:val="00956A24"/>
    <w:rsid w:val="00967000"/>
    <w:rsid w:val="00986A9C"/>
    <w:rsid w:val="009A159A"/>
    <w:rsid w:val="009C20AE"/>
    <w:rsid w:val="009E5603"/>
    <w:rsid w:val="009F4BDB"/>
    <w:rsid w:val="00A10D4A"/>
    <w:rsid w:val="00A132DD"/>
    <w:rsid w:val="00A245F4"/>
    <w:rsid w:val="00A261EE"/>
    <w:rsid w:val="00A3685A"/>
    <w:rsid w:val="00A46110"/>
    <w:rsid w:val="00A51D96"/>
    <w:rsid w:val="00A601AF"/>
    <w:rsid w:val="00A71322"/>
    <w:rsid w:val="00A91C5E"/>
    <w:rsid w:val="00AA6B18"/>
    <w:rsid w:val="00AB300A"/>
    <w:rsid w:val="00AC77F0"/>
    <w:rsid w:val="00AE444E"/>
    <w:rsid w:val="00AF20E6"/>
    <w:rsid w:val="00B01F02"/>
    <w:rsid w:val="00B03018"/>
    <w:rsid w:val="00B9044E"/>
    <w:rsid w:val="00B936E9"/>
    <w:rsid w:val="00BA2782"/>
    <w:rsid w:val="00BA5E0D"/>
    <w:rsid w:val="00BA74B9"/>
    <w:rsid w:val="00BB322A"/>
    <w:rsid w:val="00BB5940"/>
    <w:rsid w:val="00BC20A7"/>
    <w:rsid w:val="00BE3737"/>
    <w:rsid w:val="00BF35F0"/>
    <w:rsid w:val="00C143E8"/>
    <w:rsid w:val="00C470B7"/>
    <w:rsid w:val="00C5553D"/>
    <w:rsid w:val="00C66D63"/>
    <w:rsid w:val="00C7308E"/>
    <w:rsid w:val="00C73EE4"/>
    <w:rsid w:val="00C8252D"/>
    <w:rsid w:val="00C924BD"/>
    <w:rsid w:val="00C96EC0"/>
    <w:rsid w:val="00CC34F2"/>
    <w:rsid w:val="00CD0702"/>
    <w:rsid w:val="00CD4C98"/>
    <w:rsid w:val="00CD6E1A"/>
    <w:rsid w:val="00CE1593"/>
    <w:rsid w:val="00CF64CF"/>
    <w:rsid w:val="00D11A31"/>
    <w:rsid w:val="00D23158"/>
    <w:rsid w:val="00D27EB7"/>
    <w:rsid w:val="00D33DAE"/>
    <w:rsid w:val="00D46944"/>
    <w:rsid w:val="00D565B0"/>
    <w:rsid w:val="00D76505"/>
    <w:rsid w:val="00D916D6"/>
    <w:rsid w:val="00D95894"/>
    <w:rsid w:val="00DA6D38"/>
    <w:rsid w:val="00DC2AE2"/>
    <w:rsid w:val="00DF72DD"/>
    <w:rsid w:val="00E1308F"/>
    <w:rsid w:val="00E147FB"/>
    <w:rsid w:val="00E4074A"/>
    <w:rsid w:val="00E429FE"/>
    <w:rsid w:val="00E602E6"/>
    <w:rsid w:val="00E829E8"/>
    <w:rsid w:val="00E84ACF"/>
    <w:rsid w:val="00EA0064"/>
    <w:rsid w:val="00EA72A0"/>
    <w:rsid w:val="00EB0FCE"/>
    <w:rsid w:val="00EB48F2"/>
    <w:rsid w:val="00EB58F2"/>
    <w:rsid w:val="00EB6312"/>
    <w:rsid w:val="00EB6F9A"/>
    <w:rsid w:val="00EC4406"/>
    <w:rsid w:val="00EC62DE"/>
    <w:rsid w:val="00EE65F8"/>
    <w:rsid w:val="00F169B2"/>
    <w:rsid w:val="00F2194B"/>
    <w:rsid w:val="00F233D1"/>
    <w:rsid w:val="00F23B7D"/>
    <w:rsid w:val="00F311CA"/>
    <w:rsid w:val="00F315D7"/>
    <w:rsid w:val="00F31C80"/>
    <w:rsid w:val="00F42B58"/>
    <w:rsid w:val="00F42E1E"/>
    <w:rsid w:val="00F54BE1"/>
    <w:rsid w:val="00F57435"/>
    <w:rsid w:val="00F76EDF"/>
    <w:rsid w:val="00F81FC6"/>
    <w:rsid w:val="00F82991"/>
    <w:rsid w:val="00FB4DBF"/>
    <w:rsid w:val="00FD4C12"/>
    <w:rsid w:val="00FD4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55E1"/>
  <w15:docId w15:val="{FC39922A-42B5-6648-8EFF-525BFE6F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E1"/>
    <w:pPr>
      <w:spacing w:after="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CE1"/>
    <w:pPr>
      <w:ind w:left="720"/>
      <w:contextualSpacing/>
    </w:pPr>
  </w:style>
  <w:style w:type="paragraph" w:styleId="NormalWeb">
    <w:name w:val="Normal (Web)"/>
    <w:basedOn w:val="Normal"/>
    <w:uiPriority w:val="99"/>
    <w:unhideWhenUsed/>
    <w:rsid w:val="00021CE1"/>
    <w:rPr>
      <w:rFonts w:ascii="Times New Roman" w:hAnsi="Times New Roman"/>
      <w:sz w:val="24"/>
    </w:rPr>
  </w:style>
  <w:style w:type="character" w:styleId="Hyperlink">
    <w:name w:val="Hyperlink"/>
    <w:basedOn w:val="DefaultParagraphFont"/>
    <w:uiPriority w:val="99"/>
    <w:unhideWhenUsed/>
    <w:rsid w:val="00021CE1"/>
    <w:rPr>
      <w:color w:val="0000FF" w:themeColor="hyperlink"/>
      <w:u w:val="single"/>
    </w:rPr>
  </w:style>
  <w:style w:type="character" w:styleId="Strong">
    <w:name w:val="Strong"/>
    <w:basedOn w:val="DefaultParagraphFont"/>
    <w:uiPriority w:val="22"/>
    <w:qFormat/>
    <w:rsid w:val="00021CE1"/>
    <w:rPr>
      <w:b/>
      <w:bCs/>
    </w:rPr>
  </w:style>
  <w:style w:type="paragraph" w:customStyle="1" w:styleId="Default">
    <w:name w:val="Default"/>
    <w:rsid w:val="00021CE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21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21CE1"/>
    <w:pPr>
      <w:spacing w:before="100" w:beforeAutospacing="1" w:after="100" w:afterAutospacing="1"/>
      <w:jc w:val="left"/>
    </w:pPr>
    <w:rPr>
      <w:rFonts w:ascii="Times New Roman" w:hAnsi="Times New Roman"/>
      <w:sz w:val="24"/>
    </w:rPr>
  </w:style>
  <w:style w:type="paragraph" w:styleId="Header">
    <w:name w:val="header"/>
    <w:basedOn w:val="Normal"/>
    <w:link w:val="HeaderChar"/>
    <w:uiPriority w:val="99"/>
    <w:unhideWhenUsed/>
    <w:rsid w:val="00021CE1"/>
    <w:pPr>
      <w:tabs>
        <w:tab w:val="center" w:pos="4513"/>
        <w:tab w:val="right" w:pos="9026"/>
      </w:tabs>
    </w:pPr>
  </w:style>
  <w:style w:type="character" w:customStyle="1" w:styleId="HeaderChar">
    <w:name w:val="Header Char"/>
    <w:basedOn w:val="DefaultParagraphFont"/>
    <w:link w:val="Header"/>
    <w:uiPriority w:val="99"/>
    <w:rsid w:val="00021CE1"/>
    <w:rPr>
      <w:rFonts w:ascii="Arial" w:eastAsia="Times New Roman" w:hAnsi="Arial" w:cs="Times New Roman"/>
      <w:szCs w:val="24"/>
      <w:lang w:eastAsia="en-GB"/>
    </w:rPr>
  </w:style>
  <w:style w:type="paragraph" w:styleId="Footer">
    <w:name w:val="footer"/>
    <w:basedOn w:val="Normal"/>
    <w:link w:val="FooterChar"/>
    <w:uiPriority w:val="99"/>
    <w:unhideWhenUsed/>
    <w:rsid w:val="00021CE1"/>
    <w:pPr>
      <w:tabs>
        <w:tab w:val="center" w:pos="4513"/>
        <w:tab w:val="right" w:pos="9026"/>
      </w:tabs>
    </w:pPr>
  </w:style>
  <w:style w:type="character" w:customStyle="1" w:styleId="FooterChar">
    <w:name w:val="Footer Char"/>
    <w:basedOn w:val="DefaultParagraphFont"/>
    <w:link w:val="Footer"/>
    <w:uiPriority w:val="99"/>
    <w:rsid w:val="00021CE1"/>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ceanexpert.org/document/308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100</TotalTime>
  <Pages>6</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Rickards</dc:creator>
  <cp:lastModifiedBy>Pissierssens, Peter</cp:lastModifiedBy>
  <cp:revision>3</cp:revision>
  <dcterms:created xsi:type="dcterms:W3CDTF">2023-09-22T08:44:00Z</dcterms:created>
  <dcterms:modified xsi:type="dcterms:W3CDTF">2023-09-27T14:07:00Z</dcterms:modified>
</cp:coreProperties>
</file>