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B3BBA" w14:textId="77777777" w:rsidR="0008104C" w:rsidRDefault="002067F4">
      <w:pPr>
        <w:pStyle w:val="Standard"/>
        <w:jc w:val="center"/>
        <w:rPr>
          <w:b/>
          <w:sz w:val="22"/>
          <w:szCs w:val="22"/>
          <w:lang w:val="en-GB"/>
        </w:rPr>
      </w:pPr>
      <w:r>
        <w:rPr>
          <w:b/>
          <w:sz w:val="22"/>
          <w:szCs w:val="22"/>
          <w:lang w:val="en-GB"/>
        </w:rPr>
        <w:t xml:space="preserve">FACT SHEET </w:t>
      </w:r>
      <w:r w:rsidR="00D12059">
        <w:rPr>
          <w:b/>
          <w:sz w:val="22"/>
          <w:szCs w:val="22"/>
          <w:lang w:val="en-GB"/>
        </w:rPr>
        <w:t>Task Team</w:t>
      </w:r>
      <w:r>
        <w:rPr>
          <w:b/>
          <w:sz w:val="22"/>
          <w:szCs w:val="22"/>
          <w:lang w:val="en-GB"/>
        </w:rPr>
        <w:t>:</w:t>
      </w:r>
    </w:p>
    <w:p w14:paraId="7BCF1945" w14:textId="77777777" w:rsidR="0008104C" w:rsidRDefault="0008104C">
      <w:pPr>
        <w:pStyle w:val="Standard"/>
        <w:jc w:val="center"/>
        <w:rPr>
          <w:b/>
          <w:sz w:val="22"/>
          <w:szCs w:val="22"/>
          <w:lang w:val="en-GB"/>
        </w:rPr>
      </w:pPr>
    </w:p>
    <w:p w14:paraId="53096FF0" w14:textId="77777777" w:rsidR="0008104C" w:rsidRDefault="00D12059">
      <w:pPr>
        <w:pStyle w:val="Standard"/>
        <w:jc w:val="center"/>
        <w:rPr>
          <w:b/>
          <w:sz w:val="22"/>
          <w:szCs w:val="22"/>
          <w:lang w:val="en-GB"/>
        </w:rPr>
      </w:pPr>
      <w:r w:rsidRPr="00D12059">
        <w:rPr>
          <w:b/>
          <w:sz w:val="22"/>
          <w:szCs w:val="22"/>
          <w:lang w:val="en-GB"/>
        </w:rPr>
        <w:t>Pacific Island Countries and Territories Working Group Task Team on Capacity Development</w:t>
      </w:r>
    </w:p>
    <w:p w14:paraId="2C183E67" w14:textId="77777777" w:rsidR="0008104C" w:rsidRDefault="0008104C">
      <w:pPr>
        <w:pStyle w:val="Standard"/>
        <w:rPr>
          <w:lang w:val="en-GB"/>
        </w:rPr>
      </w:pPr>
    </w:p>
    <w:p w14:paraId="391EC4B1" w14:textId="194527B1" w:rsidR="00900EBB" w:rsidRDefault="002067F4">
      <w:pPr>
        <w:pStyle w:val="Standard"/>
        <w:jc w:val="center"/>
        <w:rPr>
          <w:lang w:val="en-GB"/>
        </w:rPr>
      </w:pPr>
      <w:r>
        <w:rPr>
          <w:b/>
          <w:lang w:val="en-GB"/>
        </w:rPr>
        <w:t>Chair</w:t>
      </w:r>
      <w:r>
        <w:rPr>
          <w:lang w:val="en-GB"/>
        </w:rPr>
        <w:t>:</w:t>
      </w:r>
      <w:r>
        <w:t xml:space="preserve"> </w:t>
      </w:r>
      <w:r w:rsidR="00D97858" w:rsidRPr="00D97858">
        <w:rPr>
          <w:lang w:val="en-GB"/>
        </w:rPr>
        <w:t>Mr Ofa Fa’anunu (Tonga)</w:t>
      </w:r>
      <w:r w:rsidR="00900EBB">
        <w:rPr>
          <w:lang w:val="en-GB"/>
        </w:rPr>
        <w:t>, (April 2015 -</w:t>
      </w:r>
    </w:p>
    <w:p w14:paraId="6C6C9AE2" w14:textId="77777777" w:rsidR="0008104C" w:rsidRDefault="0008104C">
      <w:pPr>
        <w:pStyle w:val="Standard"/>
        <w:rPr>
          <w:b/>
          <w:lang w:val="en-GB"/>
        </w:rPr>
      </w:pPr>
    </w:p>
    <w:p w14:paraId="1D7EAF1D" w14:textId="77777777" w:rsidR="00D12059" w:rsidRDefault="00D12059">
      <w:pPr>
        <w:pStyle w:val="Standard"/>
        <w:rPr>
          <w:lang w:val="en-GB"/>
        </w:rPr>
      </w:pPr>
    </w:p>
    <w:tbl>
      <w:tblPr>
        <w:tblW w:w="9288" w:type="dxa"/>
        <w:tblInd w:w="-108" w:type="dxa"/>
        <w:tblLayout w:type="fixed"/>
        <w:tblCellMar>
          <w:left w:w="10" w:type="dxa"/>
          <w:right w:w="10" w:type="dxa"/>
        </w:tblCellMar>
        <w:tblLook w:val="0000" w:firstRow="0" w:lastRow="0" w:firstColumn="0" w:lastColumn="0" w:noHBand="0" w:noVBand="0"/>
      </w:tblPr>
      <w:tblGrid>
        <w:gridCol w:w="9288"/>
      </w:tblGrid>
      <w:tr w:rsidR="0008104C" w:rsidRPr="00B66858" w14:paraId="795DB146"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0AB4D" w14:textId="77777777" w:rsidR="0008104C" w:rsidRDefault="007409D9">
            <w:pPr>
              <w:pStyle w:val="Standard"/>
              <w:rPr>
                <w:b/>
                <w:sz w:val="18"/>
                <w:szCs w:val="18"/>
                <w:lang w:val="en-GB"/>
              </w:rPr>
            </w:pPr>
            <w:r w:rsidRPr="007409D9">
              <w:rPr>
                <w:b/>
                <w:sz w:val="18"/>
                <w:szCs w:val="18"/>
                <w:lang w:val="en-GB"/>
              </w:rPr>
              <w:t>Pacific Island Countries and Territories Working Group Task Team on Capacity Development</w:t>
            </w:r>
          </w:p>
          <w:p w14:paraId="3A88728E" w14:textId="77777777" w:rsidR="0008104C" w:rsidRDefault="0008104C">
            <w:pPr>
              <w:pStyle w:val="Standard"/>
              <w:rPr>
                <w:sz w:val="18"/>
                <w:szCs w:val="18"/>
                <w:lang w:val="en-GB"/>
              </w:rPr>
            </w:pPr>
          </w:p>
          <w:p w14:paraId="1F9F734D" w14:textId="77777777" w:rsidR="0008104C" w:rsidRDefault="00900EBB">
            <w:pPr>
              <w:pStyle w:val="Standard"/>
            </w:pPr>
            <w:r>
              <w:rPr>
                <w:sz w:val="18"/>
                <w:szCs w:val="18"/>
                <w:u w:val="single"/>
                <w:lang w:val="en-GB"/>
              </w:rPr>
              <w:t>Terms of Reference</w:t>
            </w:r>
            <w:r w:rsidR="002067F4">
              <w:rPr>
                <w:sz w:val="18"/>
                <w:szCs w:val="18"/>
                <w:lang w:val="en-GB"/>
              </w:rPr>
              <w:t>:</w:t>
            </w:r>
          </w:p>
          <w:p w14:paraId="43170FEA" w14:textId="77777777" w:rsidR="009415BF" w:rsidRDefault="009415BF" w:rsidP="00900EBB">
            <w:pPr>
              <w:pStyle w:val="Standard"/>
              <w:rPr>
                <w:rFonts w:eastAsia="PMingLiU" w:cs="Arial"/>
                <w:sz w:val="18"/>
                <w:szCs w:val="18"/>
                <w:lang w:val="en-GB"/>
              </w:rPr>
            </w:pPr>
          </w:p>
          <w:p w14:paraId="7027E4F2" w14:textId="77777777" w:rsidR="00B66858" w:rsidRPr="00B66858" w:rsidRDefault="00B66858" w:rsidP="00B66858">
            <w:pPr>
              <w:widowControl/>
              <w:numPr>
                <w:ilvl w:val="0"/>
                <w:numId w:val="12"/>
              </w:numPr>
              <w:tabs>
                <w:tab w:val="num" w:pos="720"/>
              </w:tabs>
              <w:suppressAutoHyphens w:val="0"/>
              <w:autoSpaceDN/>
              <w:spacing w:after="240"/>
              <w:jc w:val="both"/>
              <w:textAlignment w:val="auto"/>
              <w:rPr>
                <w:rFonts w:eastAsia="Times New Roman"/>
                <w:kern w:val="0"/>
                <w:szCs w:val="22"/>
                <w:lang w:val="en-GB" w:eastAsia="en-US"/>
              </w:rPr>
            </w:pPr>
            <w:r w:rsidRPr="00B66858">
              <w:rPr>
                <w:rFonts w:eastAsia="Times New Roman"/>
                <w:kern w:val="0"/>
                <w:szCs w:val="22"/>
                <w:lang w:val="en-US" w:eastAsia="en-US"/>
              </w:rPr>
              <w:t>Continue the development of competency framework for National Tsunami Warning Centers personnel and pilot it in Vanuatu, Fiji, Samoa, and Tonga as well as report progress and lessons learnt to ICG/PTWS WG1, 2, and 3.</w:t>
            </w:r>
          </w:p>
          <w:p w14:paraId="67DAE97E" w14:textId="77777777" w:rsidR="00B66858" w:rsidRPr="00B66858" w:rsidRDefault="00B66858" w:rsidP="00B66858">
            <w:pPr>
              <w:widowControl/>
              <w:numPr>
                <w:ilvl w:val="0"/>
                <w:numId w:val="12"/>
              </w:numPr>
              <w:tabs>
                <w:tab w:val="num" w:pos="720"/>
              </w:tabs>
              <w:suppressAutoHyphens w:val="0"/>
              <w:autoSpaceDN/>
              <w:spacing w:after="240"/>
              <w:jc w:val="both"/>
              <w:textAlignment w:val="auto"/>
              <w:rPr>
                <w:rFonts w:eastAsia="Times New Roman"/>
                <w:kern w:val="0"/>
                <w:szCs w:val="22"/>
                <w:lang w:val="en-GB" w:eastAsia="en-US"/>
              </w:rPr>
            </w:pPr>
            <w:r w:rsidRPr="00B66858">
              <w:rPr>
                <w:rFonts w:eastAsia="Times New Roman"/>
                <w:kern w:val="0"/>
                <w:szCs w:val="22"/>
                <w:lang w:val="en-US" w:eastAsia="en-US"/>
              </w:rPr>
              <w:t>Continue to monitor and coordinate Pilot Tsunami Ready Recognition Pilot Program and TEMPP in Samoa, Tonga, Fiji, Cook Islands, Solomon Islands and Vanuatu and review the Tsunami Ready Checklist for PICT (Pacific Island Countries and Territory) schools and communities.</w:t>
            </w:r>
          </w:p>
          <w:p w14:paraId="2DF0FA93" w14:textId="77777777" w:rsidR="00B66858" w:rsidRPr="00B66858" w:rsidRDefault="00B66858" w:rsidP="00B66858">
            <w:pPr>
              <w:widowControl/>
              <w:numPr>
                <w:ilvl w:val="0"/>
                <w:numId w:val="12"/>
              </w:numPr>
              <w:tabs>
                <w:tab w:val="num" w:pos="720"/>
              </w:tabs>
              <w:suppressAutoHyphens w:val="0"/>
              <w:autoSpaceDN/>
              <w:spacing w:after="240"/>
              <w:jc w:val="both"/>
              <w:textAlignment w:val="auto"/>
              <w:rPr>
                <w:rFonts w:eastAsia="Times New Roman"/>
                <w:kern w:val="0"/>
                <w:szCs w:val="22"/>
                <w:lang w:val="en-GB" w:eastAsia="en-US"/>
              </w:rPr>
            </w:pPr>
            <w:r w:rsidRPr="00B66858">
              <w:rPr>
                <w:rFonts w:eastAsia="Times New Roman"/>
                <w:kern w:val="0"/>
                <w:szCs w:val="22"/>
                <w:lang w:val="en-US" w:eastAsia="en-US"/>
              </w:rPr>
              <w:t>Continue to develop the guideline for National Tsunami Warning Centers in responding to local Tsunami and develop competency for warning personal and report to WG1, 2 and 3.</w:t>
            </w:r>
          </w:p>
          <w:p w14:paraId="24B1C5EA" w14:textId="615CEE51" w:rsidR="00B66858" w:rsidRPr="00B66858" w:rsidRDefault="00B66858" w:rsidP="00B66858">
            <w:pPr>
              <w:widowControl/>
              <w:numPr>
                <w:ilvl w:val="0"/>
                <w:numId w:val="12"/>
              </w:numPr>
              <w:suppressAutoHyphens w:val="0"/>
              <w:autoSpaceDN/>
              <w:spacing w:after="240"/>
              <w:jc w:val="both"/>
              <w:textAlignment w:val="auto"/>
              <w:rPr>
                <w:rFonts w:eastAsia="Times New Roman"/>
                <w:kern w:val="0"/>
                <w:szCs w:val="22"/>
                <w:lang w:val="en-GB" w:eastAsia="en-US"/>
              </w:rPr>
            </w:pPr>
            <w:r w:rsidRPr="00B66858">
              <w:rPr>
                <w:rFonts w:eastAsia="Times New Roman"/>
                <w:kern w:val="0"/>
                <w:szCs w:val="22"/>
                <w:lang w:val="en-GB" w:eastAsia="en-US"/>
              </w:rPr>
              <w:t> </w:t>
            </w:r>
            <w:r w:rsidRPr="00B66858">
              <w:rPr>
                <w:rFonts w:eastAsia="Times New Roman"/>
                <w:kern w:val="0"/>
                <w:szCs w:val="22"/>
                <w:lang w:val="en-US" w:eastAsia="en-US"/>
              </w:rPr>
              <w:t>Develop an online survey of warning and mitigation capabilities in PICTs (Member countries and IOC)</w:t>
            </w:r>
            <w:r w:rsidRPr="00B66858">
              <w:rPr>
                <w:rFonts w:eastAsia="Times New Roman"/>
                <w:kern w:val="0"/>
                <w:szCs w:val="22"/>
                <w:lang w:val="en-GB" w:eastAsia="en-US"/>
              </w:rPr>
              <w:t>.</w:t>
            </w:r>
          </w:p>
          <w:p w14:paraId="5F3A6406" w14:textId="77777777" w:rsidR="00DA6B45" w:rsidRPr="00DA6B45" w:rsidRDefault="00DA6B45" w:rsidP="00DA6B45">
            <w:pPr>
              <w:suppressAutoHyphens w:val="0"/>
              <w:autoSpaceDE w:val="0"/>
              <w:adjustRightInd w:val="0"/>
              <w:textAlignment w:val="auto"/>
              <w:rPr>
                <w:rFonts w:eastAsiaTheme="minorEastAsia"/>
                <w:kern w:val="0"/>
                <w:szCs w:val="24"/>
                <w:lang w:val="en-GB" w:eastAsia="zh-TW"/>
              </w:rPr>
            </w:pPr>
            <w:r w:rsidRPr="00DA6B45">
              <w:rPr>
                <w:rFonts w:eastAsiaTheme="minorEastAsia"/>
                <w:color w:val="000000"/>
                <w:kern w:val="0"/>
                <w:szCs w:val="22"/>
                <w:lang w:val="en-US" w:eastAsia="en-US"/>
              </w:rPr>
              <w:t>The Task Team Members: Australia, New Caledonia (Co-Chair), Tonga (Co-Chair), Samoa, Vanuatu, New Zealand, Solomon Islands, Fiji, PNG, ITIC, SPREP, SPC, IOC, PTWC. Co-chairs to be elected by the ICG.</w:t>
            </w:r>
          </w:p>
          <w:p w14:paraId="5E1C28FF" w14:textId="77777777" w:rsidR="0008104C" w:rsidRDefault="0008104C">
            <w:pPr>
              <w:pStyle w:val="Standard"/>
              <w:ind w:left="180"/>
              <w:rPr>
                <w:sz w:val="18"/>
                <w:szCs w:val="18"/>
                <w:lang w:val="en-GB"/>
              </w:rPr>
            </w:pPr>
          </w:p>
        </w:tc>
      </w:tr>
      <w:tr w:rsidR="0008104C" w:rsidRPr="00E01BD4" w14:paraId="44FA1DE6"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66C730" w14:textId="77777777" w:rsidR="0008104C" w:rsidRDefault="0008104C">
            <w:pPr>
              <w:pStyle w:val="Standard"/>
              <w:rPr>
                <w:sz w:val="20"/>
                <w:szCs w:val="20"/>
              </w:rPr>
            </w:pPr>
          </w:p>
          <w:p w14:paraId="73F4408B" w14:textId="77777777" w:rsidR="0008104C" w:rsidRDefault="002067F4">
            <w:pPr>
              <w:pStyle w:val="Standard"/>
            </w:pPr>
            <w:r>
              <w:rPr>
                <w:sz w:val="20"/>
                <w:szCs w:val="20"/>
                <w:u w:val="single"/>
                <w:lang w:val="en-GB"/>
              </w:rPr>
              <w:t>Membership</w:t>
            </w:r>
            <w:r>
              <w:rPr>
                <w:sz w:val="20"/>
                <w:szCs w:val="20"/>
                <w:lang w:val="en-GB"/>
              </w:rPr>
              <w:t>:</w:t>
            </w:r>
          </w:p>
          <w:p w14:paraId="7C5D18F7" w14:textId="77777777" w:rsidR="007409D9" w:rsidRPr="007409D9" w:rsidRDefault="007409D9" w:rsidP="007409D9">
            <w:pPr>
              <w:pStyle w:val="Standard"/>
              <w:numPr>
                <w:ilvl w:val="0"/>
                <w:numId w:val="11"/>
              </w:numPr>
              <w:rPr>
                <w:sz w:val="20"/>
                <w:szCs w:val="20"/>
                <w:lang w:val="es-ES"/>
              </w:rPr>
            </w:pPr>
            <w:r w:rsidRPr="007409D9">
              <w:rPr>
                <w:sz w:val="20"/>
                <w:szCs w:val="20"/>
                <w:lang w:val="es-ES"/>
              </w:rPr>
              <w:t>Mr Mulipola Ausetalia Titimaea</w:t>
            </w:r>
            <w:r>
              <w:rPr>
                <w:sz w:val="20"/>
                <w:szCs w:val="20"/>
                <w:lang w:val="es-ES"/>
              </w:rPr>
              <w:t xml:space="preserve">, </w:t>
            </w:r>
            <w:r w:rsidRPr="007409D9">
              <w:rPr>
                <w:sz w:val="20"/>
                <w:szCs w:val="20"/>
                <w:lang w:val="es-ES"/>
              </w:rPr>
              <w:t>Samoa</w:t>
            </w:r>
          </w:p>
          <w:p w14:paraId="1A93C155" w14:textId="77777777" w:rsidR="0008104C" w:rsidRDefault="00900EBB" w:rsidP="007409D9">
            <w:pPr>
              <w:pStyle w:val="Standard"/>
              <w:numPr>
                <w:ilvl w:val="0"/>
                <w:numId w:val="11"/>
              </w:numPr>
              <w:rPr>
                <w:sz w:val="20"/>
                <w:szCs w:val="20"/>
              </w:rPr>
            </w:pPr>
            <w:r>
              <w:rPr>
                <w:sz w:val="20"/>
                <w:szCs w:val="20"/>
              </w:rPr>
              <w:t xml:space="preserve">Mr 'Ofa FA'ANUNU, </w:t>
            </w:r>
            <w:r w:rsidRPr="00900EBB">
              <w:rPr>
                <w:sz w:val="20"/>
                <w:szCs w:val="20"/>
              </w:rPr>
              <w:t>Meteorological Service</w:t>
            </w:r>
            <w:r>
              <w:rPr>
                <w:sz w:val="20"/>
                <w:szCs w:val="20"/>
              </w:rPr>
              <w:t>, Tonga</w:t>
            </w:r>
          </w:p>
          <w:p w14:paraId="316C8843" w14:textId="77777777" w:rsidR="007409D9" w:rsidRDefault="007409D9" w:rsidP="007409D9">
            <w:pPr>
              <w:pStyle w:val="Standard"/>
              <w:numPr>
                <w:ilvl w:val="0"/>
                <w:numId w:val="11"/>
              </w:numPr>
              <w:rPr>
                <w:sz w:val="20"/>
                <w:szCs w:val="20"/>
              </w:rPr>
            </w:pPr>
            <w:r>
              <w:rPr>
                <w:sz w:val="20"/>
                <w:szCs w:val="20"/>
              </w:rPr>
              <w:t xml:space="preserve">Members to be nominated by </w:t>
            </w:r>
            <w:r w:rsidRPr="007409D9">
              <w:rPr>
                <w:sz w:val="20"/>
                <w:szCs w:val="20"/>
              </w:rPr>
              <w:t xml:space="preserve">Australia, Cook Islands, France - French Polynesia, France- New Caledonia, Kiribati, New Zealand, </w:t>
            </w:r>
            <w:r w:rsidR="00331233" w:rsidRPr="007409D9">
              <w:rPr>
                <w:sz w:val="20"/>
                <w:szCs w:val="20"/>
              </w:rPr>
              <w:t>Solomon Islands, Vanuatu</w:t>
            </w:r>
            <w:r w:rsidRPr="007409D9">
              <w:rPr>
                <w:sz w:val="20"/>
                <w:szCs w:val="20"/>
              </w:rPr>
              <w:t>, ITIC, SPREP, SPC, PTWC</w:t>
            </w:r>
          </w:p>
          <w:p w14:paraId="2BB43687" w14:textId="77777777" w:rsidR="00E01BD4" w:rsidRDefault="00E01BD4" w:rsidP="00E01BD4">
            <w:pPr>
              <w:pStyle w:val="Standard"/>
              <w:numPr>
                <w:ilvl w:val="0"/>
                <w:numId w:val="11"/>
              </w:numPr>
              <w:rPr>
                <w:sz w:val="20"/>
                <w:szCs w:val="20"/>
              </w:rPr>
            </w:pPr>
            <w:r w:rsidRPr="00E01BD4">
              <w:rPr>
                <w:sz w:val="20"/>
                <w:szCs w:val="20"/>
              </w:rPr>
              <w:t>Nick Kuster</w:t>
            </w:r>
            <w:r>
              <w:rPr>
                <w:sz w:val="20"/>
                <w:szCs w:val="20"/>
              </w:rPr>
              <w:t>, NWS, Australia</w:t>
            </w:r>
          </w:p>
          <w:p w14:paraId="3B9C97C2" w14:textId="77777777" w:rsidR="00900EBB" w:rsidRDefault="00900EBB" w:rsidP="00900EBB">
            <w:pPr>
              <w:pStyle w:val="Standard"/>
              <w:rPr>
                <w:sz w:val="20"/>
                <w:szCs w:val="20"/>
              </w:rPr>
            </w:pPr>
          </w:p>
          <w:p w14:paraId="0176C898" w14:textId="77777777" w:rsidR="0008104C" w:rsidRDefault="0008104C" w:rsidP="00900EBB">
            <w:pPr>
              <w:pStyle w:val="Standard"/>
              <w:ind w:left="252"/>
              <w:rPr>
                <w:sz w:val="20"/>
                <w:szCs w:val="20"/>
              </w:rPr>
            </w:pPr>
          </w:p>
        </w:tc>
      </w:tr>
      <w:tr w:rsidR="0008104C" w:rsidRPr="002C47E8" w14:paraId="0623C806"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59E09D" w14:textId="77777777" w:rsidR="0008104C" w:rsidRDefault="0008104C">
            <w:pPr>
              <w:pStyle w:val="Standard"/>
              <w:rPr>
                <w:sz w:val="18"/>
                <w:szCs w:val="18"/>
                <w:u w:val="single"/>
              </w:rPr>
            </w:pPr>
          </w:p>
          <w:p w14:paraId="750AC717" w14:textId="77777777" w:rsidR="0008104C" w:rsidRDefault="002067F4">
            <w:pPr>
              <w:pStyle w:val="Standard"/>
            </w:pPr>
            <w:r>
              <w:rPr>
                <w:sz w:val="18"/>
                <w:szCs w:val="18"/>
                <w:u w:val="single"/>
                <w:lang w:val="en-GB"/>
              </w:rPr>
              <w:t>The following applies for all working groups</w:t>
            </w:r>
            <w:r>
              <w:rPr>
                <w:sz w:val="18"/>
                <w:szCs w:val="18"/>
                <w:lang w:val="en-GB"/>
              </w:rPr>
              <w:t>:</w:t>
            </w:r>
          </w:p>
          <w:p w14:paraId="3984B850" w14:textId="77777777" w:rsidR="0008104C" w:rsidRDefault="002067F4">
            <w:pPr>
              <w:pStyle w:val="Standard"/>
              <w:rPr>
                <w:sz w:val="18"/>
                <w:szCs w:val="18"/>
                <w:lang w:val="en-GB"/>
              </w:rPr>
            </w:pPr>
            <w:r>
              <w:rPr>
                <w:sz w:val="18"/>
                <w:szCs w:val="18"/>
                <w:lang w:val="en-GB"/>
              </w:rPr>
              <w:t>Languages:  English, Spanish and French</w:t>
            </w:r>
          </w:p>
          <w:p w14:paraId="339FB1C0" w14:textId="77777777" w:rsidR="0008104C" w:rsidRDefault="002067F4">
            <w:pPr>
              <w:pStyle w:val="Standard"/>
              <w:rPr>
                <w:sz w:val="18"/>
                <w:szCs w:val="18"/>
                <w:lang w:val="en-GB"/>
              </w:rPr>
            </w:pPr>
            <w:r>
              <w:rPr>
                <w:sz w:val="18"/>
                <w:szCs w:val="18"/>
                <w:lang w:val="en-GB"/>
              </w:rPr>
              <w:t>Meetings:  Meet intersessionally.</w:t>
            </w:r>
          </w:p>
          <w:p w14:paraId="1072E0AE" w14:textId="77777777" w:rsidR="0008104C" w:rsidRDefault="002067F4">
            <w:pPr>
              <w:pStyle w:val="Standard"/>
              <w:rPr>
                <w:sz w:val="18"/>
                <w:szCs w:val="18"/>
                <w:lang w:val="en-GB"/>
              </w:rPr>
            </w:pPr>
            <w:r>
              <w:rPr>
                <w:sz w:val="18"/>
                <w:szCs w:val="18"/>
                <w:lang w:val="en-GB"/>
              </w:rPr>
              <w:t>Coordinator and Elections:  Follow the rules of procedures applying to IOC Subsidiary Bodies.  Chair and at least one vice chair who will be elected either by the ICG/PTWS or the members of the working group for two years with possible reelection of one term in the same position.</w:t>
            </w:r>
          </w:p>
          <w:p w14:paraId="22222318" w14:textId="77777777" w:rsidR="0008104C" w:rsidRDefault="002067F4">
            <w:pPr>
              <w:pStyle w:val="Standard"/>
              <w:rPr>
                <w:sz w:val="18"/>
                <w:szCs w:val="18"/>
                <w:lang w:val="en-GB"/>
              </w:rPr>
            </w:pPr>
            <w:r>
              <w:rPr>
                <w:sz w:val="18"/>
                <w:szCs w:val="18"/>
                <w:lang w:val="en-GB"/>
              </w:rPr>
              <w:t>Members and appointment:  Nominated by member states in accordance with the rules of procedures applying to IOC Subsidiary bodies.  Technical experts can be invited at the discretion of the Chair.</w:t>
            </w:r>
          </w:p>
          <w:p w14:paraId="12A905D2" w14:textId="77777777" w:rsidR="0008104C" w:rsidRDefault="002067F4">
            <w:pPr>
              <w:pStyle w:val="Standard"/>
              <w:rPr>
                <w:sz w:val="18"/>
                <w:szCs w:val="18"/>
                <w:lang w:val="en-GB"/>
              </w:rPr>
            </w:pPr>
            <w:r>
              <w:rPr>
                <w:sz w:val="18"/>
                <w:szCs w:val="18"/>
                <w:lang w:val="en-GB"/>
              </w:rPr>
              <w:t>Calendar of Intersessional work should be determined by the working group at the working group meeting and included in the report.</w:t>
            </w:r>
          </w:p>
          <w:p w14:paraId="7951024E" w14:textId="77777777" w:rsidR="0008104C" w:rsidRDefault="002067F4">
            <w:pPr>
              <w:pStyle w:val="Standard"/>
              <w:rPr>
                <w:sz w:val="18"/>
                <w:szCs w:val="18"/>
                <w:lang w:val="en-GB"/>
              </w:rPr>
            </w:pPr>
            <w:r>
              <w:rPr>
                <w:sz w:val="18"/>
                <w:szCs w:val="18"/>
                <w:lang w:val="en-GB"/>
              </w:rPr>
              <w:t>Duration of the WG:  Two years.</w:t>
            </w:r>
          </w:p>
          <w:p w14:paraId="33D2734E" w14:textId="77777777" w:rsidR="0008104C" w:rsidRDefault="002067F4">
            <w:pPr>
              <w:pStyle w:val="Standard"/>
              <w:rPr>
                <w:sz w:val="18"/>
                <w:szCs w:val="18"/>
                <w:lang w:val="en-GB"/>
              </w:rPr>
            </w:pPr>
            <w:r>
              <w:rPr>
                <w:sz w:val="18"/>
                <w:szCs w:val="18"/>
                <w:lang w:val="en-GB"/>
              </w:rPr>
              <w:t xml:space="preserve">Reports:  A final report has to be submitted two months before the parent body meeting and for each working group meeting within the two following months.  </w:t>
            </w:r>
          </w:p>
          <w:p w14:paraId="2B9E52AD" w14:textId="77777777" w:rsidR="0008104C" w:rsidRDefault="002067F4">
            <w:pPr>
              <w:pStyle w:val="Standard"/>
              <w:rPr>
                <w:sz w:val="18"/>
                <w:szCs w:val="18"/>
                <w:lang w:val="en-GB"/>
              </w:rPr>
            </w:pPr>
            <w:r>
              <w:rPr>
                <w:sz w:val="18"/>
                <w:szCs w:val="18"/>
                <w:lang w:val="en-GB"/>
              </w:rPr>
              <w:t>Financial resources:  At national expense.</w:t>
            </w:r>
          </w:p>
          <w:p w14:paraId="73D67A6E" w14:textId="77777777" w:rsidR="0008104C" w:rsidRDefault="002067F4">
            <w:pPr>
              <w:pStyle w:val="Standard"/>
              <w:rPr>
                <w:sz w:val="18"/>
                <w:szCs w:val="18"/>
                <w:lang w:val="en-GB"/>
              </w:rPr>
            </w:pPr>
            <w:r>
              <w:rPr>
                <w:sz w:val="18"/>
                <w:szCs w:val="18"/>
                <w:lang w:val="en-GB"/>
              </w:rPr>
              <w:t>Amendments:  As warranted by the working groups.</w:t>
            </w:r>
          </w:p>
        </w:tc>
      </w:tr>
      <w:tr w:rsidR="0008104C" w:rsidRPr="002C47E8" w14:paraId="67F162AF" w14:textId="77777777">
        <w:tc>
          <w:tcPr>
            <w:tcW w:w="92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BD3D9C" w14:textId="77777777" w:rsidR="0008104C" w:rsidRDefault="0008104C">
            <w:pPr>
              <w:pStyle w:val="Standard"/>
              <w:rPr>
                <w:sz w:val="18"/>
                <w:szCs w:val="18"/>
                <w:u w:val="single"/>
                <w:lang w:val="en-GB"/>
              </w:rPr>
            </w:pPr>
          </w:p>
        </w:tc>
      </w:tr>
    </w:tbl>
    <w:p w14:paraId="3263CBAF" w14:textId="77777777" w:rsidR="0008104C" w:rsidRDefault="0008104C">
      <w:pPr>
        <w:pStyle w:val="Standard"/>
        <w:rPr>
          <w:lang w:val="en-GB"/>
        </w:rPr>
      </w:pPr>
    </w:p>
    <w:p w14:paraId="3989D8EF" w14:textId="77777777" w:rsidR="0008104C" w:rsidRDefault="002067F4">
      <w:pPr>
        <w:pStyle w:val="Standard"/>
        <w:pageBreakBefore/>
        <w:jc w:val="center"/>
      </w:pPr>
      <w:r>
        <w:rPr>
          <w:b/>
          <w:u w:val="single"/>
        </w:rPr>
        <w:lastRenderedPageBreak/>
        <w:t xml:space="preserve">Contact Details </w:t>
      </w:r>
      <w:r w:rsidR="007409D9" w:rsidRPr="007409D9">
        <w:rPr>
          <w:b/>
          <w:u w:val="single"/>
        </w:rPr>
        <w:t>Pacific Island Countries and Territories Working Group Task Team on Capacity Development</w:t>
      </w:r>
    </w:p>
    <w:p w14:paraId="785412ED" w14:textId="77777777" w:rsidR="0008104C" w:rsidRDefault="0008104C">
      <w:pPr>
        <w:pStyle w:val="Standard"/>
      </w:pPr>
    </w:p>
    <w:tbl>
      <w:tblPr>
        <w:tblW w:w="9251" w:type="dxa"/>
        <w:tblInd w:w="-108" w:type="dxa"/>
        <w:tblLayout w:type="fixed"/>
        <w:tblCellMar>
          <w:left w:w="10" w:type="dxa"/>
          <w:right w:w="10" w:type="dxa"/>
        </w:tblCellMar>
        <w:tblLook w:val="0000" w:firstRow="0" w:lastRow="0" w:firstColumn="0" w:lastColumn="0" w:noHBand="0" w:noVBand="0"/>
      </w:tblPr>
      <w:tblGrid>
        <w:gridCol w:w="3897"/>
        <w:gridCol w:w="2098"/>
        <w:gridCol w:w="3256"/>
      </w:tblGrid>
      <w:tr w:rsidR="0008104C" w14:paraId="614655FF"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70096" w14:textId="77777777" w:rsidR="0008104C" w:rsidRDefault="002067F4">
            <w:pPr>
              <w:pStyle w:val="Standard"/>
              <w:jc w:val="center"/>
              <w:rPr>
                <w:b/>
                <w:sz w:val="20"/>
                <w:szCs w:val="20"/>
              </w:rPr>
            </w:pPr>
            <w:r>
              <w:rPr>
                <w:b/>
                <w:sz w:val="20"/>
                <w:szCs w:val="20"/>
              </w:rPr>
              <w:t>Name and Contact Details</w:t>
            </w: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8E6950" w14:textId="77777777" w:rsidR="0008104C" w:rsidRDefault="002067F4">
            <w:pPr>
              <w:pStyle w:val="Standard"/>
              <w:jc w:val="center"/>
              <w:rPr>
                <w:b/>
                <w:sz w:val="20"/>
                <w:szCs w:val="20"/>
              </w:rPr>
            </w:pPr>
            <w:r>
              <w:rPr>
                <w:b/>
                <w:sz w:val="20"/>
                <w:szCs w:val="20"/>
              </w:rPr>
              <w:t>Institution, Country</w:t>
            </w: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6AEE57" w14:textId="77777777" w:rsidR="0008104C" w:rsidRDefault="002067F4">
            <w:pPr>
              <w:pStyle w:val="Standard"/>
              <w:jc w:val="center"/>
              <w:rPr>
                <w:b/>
                <w:sz w:val="20"/>
                <w:szCs w:val="20"/>
              </w:rPr>
            </w:pPr>
            <w:r>
              <w:rPr>
                <w:b/>
                <w:sz w:val="20"/>
                <w:szCs w:val="20"/>
              </w:rPr>
              <w:t>Email</w:t>
            </w:r>
          </w:p>
        </w:tc>
      </w:tr>
      <w:tr w:rsidR="007409D9" w:rsidRPr="00D97858" w14:paraId="3F197FCB"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5E0208" w14:textId="77777777" w:rsidR="007409D9" w:rsidRPr="009415BF" w:rsidRDefault="007409D9" w:rsidP="00900EBB">
            <w:pPr>
              <w:pStyle w:val="Standard"/>
            </w:pP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80EA69" w14:textId="77777777" w:rsidR="007409D9" w:rsidRPr="009415BF" w:rsidRDefault="007409D9">
            <w:pPr>
              <w:pStyle w:val="Standard"/>
              <w:rPr>
                <w:sz w:val="20"/>
                <w:szCs w:val="20"/>
              </w:rPr>
            </w:pP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ADA180" w14:textId="77777777" w:rsidR="007409D9" w:rsidRPr="009415BF" w:rsidRDefault="007409D9">
            <w:pPr>
              <w:pStyle w:val="Standard"/>
            </w:pPr>
          </w:p>
        </w:tc>
      </w:tr>
      <w:tr w:rsidR="0008104C" w:rsidRPr="00D97858" w14:paraId="7CB1EA6B"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4875D9" w14:textId="77777777" w:rsidR="0008104C" w:rsidRDefault="009415BF" w:rsidP="00900EBB">
            <w:pPr>
              <w:pStyle w:val="Standard"/>
              <w:rPr>
                <w:sz w:val="20"/>
                <w:szCs w:val="20"/>
              </w:rPr>
            </w:pPr>
            <w:r w:rsidRPr="009415BF">
              <w:t xml:space="preserve">Mr 'Ofa FA'ANUNU </w:t>
            </w:r>
            <w:r w:rsidRPr="009415BF">
              <w:br/>
              <w:t>Director of Meteorological Service</w:t>
            </w:r>
            <w:r w:rsidRPr="009415BF">
              <w:br/>
              <w:t>Tonga Meteorological Services</w:t>
            </w:r>
            <w:r w:rsidRPr="009415BF">
              <w:br/>
              <w:t>P.O. Box 845</w:t>
            </w:r>
            <w:r w:rsidRPr="009415BF">
              <w:br/>
              <w:t>Nuku'Alofa</w:t>
            </w:r>
            <w:r w:rsidRPr="009415BF">
              <w:br/>
              <w:t>Tonga</w:t>
            </w:r>
            <w:r w:rsidRPr="009415BF">
              <w:br/>
            </w:r>
            <w:r>
              <w:t>Tel: +676 35123</w:t>
            </w:r>
            <w:r>
              <w:br/>
              <w:t>Fax: +676 28032</w:t>
            </w: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DDDD47" w14:textId="77777777" w:rsidR="0008104C" w:rsidRDefault="009415BF">
            <w:pPr>
              <w:pStyle w:val="Standard"/>
              <w:rPr>
                <w:sz w:val="20"/>
                <w:szCs w:val="20"/>
              </w:rPr>
            </w:pPr>
            <w:r w:rsidRPr="009415BF">
              <w:rPr>
                <w:sz w:val="20"/>
                <w:szCs w:val="20"/>
              </w:rPr>
              <w:t>Tonga Meteorological Services</w:t>
            </w:r>
            <w:r>
              <w:rPr>
                <w:sz w:val="20"/>
                <w:szCs w:val="20"/>
              </w:rPr>
              <w:t>, Tonga</w:t>
            </w: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7E9F4C" w14:textId="77777777" w:rsidR="0008104C" w:rsidRDefault="009415BF">
            <w:pPr>
              <w:pStyle w:val="Standard"/>
              <w:rPr>
                <w:sz w:val="20"/>
                <w:szCs w:val="20"/>
              </w:rPr>
            </w:pPr>
            <w:r w:rsidRPr="009415BF">
              <w:t>ofaf@met.gov.to</w:t>
            </w:r>
          </w:p>
        </w:tc>
      </w:tr>
      <w:tr w:rsidR="0008104C" w:rsidRPr="002C47E8" w14:paraId="48F21EDA"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AF378" w14:textId="77777777" w:rsidR="007409D9" w:rsidRPr="007409D9" w:rsidRDefault="007409D9" w:rsidP="007409D9">
            <w:pPr>
              <w:pStyle w:val="Standard"/>
              <w:rPr>
                <w:sz w:val="20"/>
                <w:szCs w:val="20"/>
              </w:rPr>
            </w:pPr>
            <w:r w:rsidRPr="007409D9">
              <w:rPr>
                <w:sz w:val="20"/>
                <w:szCs w:val="20"/>
              </w:rPr>
              <w:t xml:space="preserve">Mr. Mulipola Ausetalia Tainau TITIMAEA </w:t>
            </w:r>
          </w:p>
          <w:p w14:paraId="17DB3251" w14:textId="77777777" w:rsidR="007409D9" w:rsidRPr="007409D9" w:rsidRDefault="007409D9" w:rsidP="007409D9">
            <w:pPr>
              <w:pStyle w:val="Standard"/>
              <w:rPr>
                <w:sz w:val="20"/>
                <w:szCs w:val="20"/>
              </w:rPr>
            </w:pPr>
            <w:r w:rsidRPr="007409D9">
              <w:rPr>
                <w:sz w:val="20"/>
                <w:szCs w:val="20"/>
              </w:rPr>
              <w:t>Assistant CEO, Meteorology Division</w:t>
            </w:r>
          </w:p>
          <w:p w14:paraId="4F25FA3B" w14:textId="77777777" w:rsidR="007409D9" w:rsidRPr="007409D9" w:rsidRDefault="007409D9" w:rsidP="007409D9">
            <w:pPr>
              <w:pStyle w:val="Standard"/>
              <w:rPr>
                <w:sz w:val="20"/>
                <w:szCs w:val="20"/>
              </w:rPr>
            </w:pPr>
            <w:r w:rsidRPr="007409D9">
              <w:rPr>
                <w:sz w:val="20"/>
                <w:szCs w:val="20"/>
              </w:rPr>
              <w:t>Meteorology Division</w:t>
            </w:r>
          </w:p>
          <w:p w14:paraId="7EFD9B19" w14:textId="77777777" w:rsidR="007409D9" w:rsidRPr="007409D9" w:rsidRDefault="007409D9" w:rsidP="007409D9">
            <w:pPr>
              <w:pStyle w:val="Standard"/>
              <w:rPr>
                <w:sz w:val="20"/>
                <w:szCs w:val="20"/>
              </w:rPr>
            </w:pPr>
            <w:r w:rsidRPr="007409D9">
              <w:rPr>
                <w:sz w:val="20"/>
                <w:szCs w:val="20"/>
              </w:rPr>
              <w:t>Ministry of Natural Resources and Environment</w:t>
            </w:r>
          </w:p>
          <w:p w14:paraId="6233FCF9" w14:textId="77777777" w:rsidR="007409D9" w:rsidRPr="007409D9" w:rsidRDefault="007409D9" w:rsidP="007409D9">
            <w:pPr>
              <w:pStyle w:val="Standard"/>
              <w:rPr>
                <w:sz w:val="20"/>
                <w:szCs w:val="20"/>
              </w:rPr>
            </w:pPr>
            <w:r w:rsidRPr="007409D9">
              <w:rPr>
                <w:sz w:val="20"/>
                <w:szCs w:val="20"/>
              </w:rPr>
              <w:t>Samoa</w:t>
            </w:r>
          </w:p>
          <w:p w14:paraId="7F7CD610" w14:textId="77777777" w:rsidR="007409D9" w:rsidRPr="007409D9" w:rsidRDefault="007409D9" w:rsidP="007409D9">
            <w:pPr>
              <w:pStyle w:val="Standard"/>
              <w:rPr>
                <w:sz w:val="20"/>
                <w:szCs w:val="20"/>
              </w:rPr>
            </w:pPr>
            <w:r w:rsidRPr="007409D9">
              <w:rPr>
                <w:sz w:val="20"/>
                <w:szCs w:val="20"/>
              </w:rPr>
              <w:t>Tel: +685 20855</w:t>
            </w:r>
          </w:p>
          <w:p w14:paraId="732D1C72" w14:textId="77777777" w:rsidR="0008104C" w:rsidRDefault="007409D9" w:rsidP="007409D9">
            <w:pPr>
              <w:pStyle w:val="Standard"/>
              <w:rPr>
                <w:sz w:val="20"/>
                <w:szCs w:val="20"/>
              </w:rPr>
            </w:pPr>
            <w:r>
              <w:rPr>
                <w:sz w:val="20"/>
                <w:szCs w:val="20"/>
              </w:rPr>
              <w:t>Fax: +685 20857</w:t>
            </w: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A92C57" w14:textId="77777777" w:rsidR="0008104C" w:rsidRPr="007409D9" w:rsidRDefault="007409D9" w:rsidP="007409D9">
            <w:pPr>
              <w:pStyle w:val="Standard"/>
              <w:rPr>
                <w:sz w:val="20"/>
                <w:szCs w:val="20"/>
                <w:lang w:val="en-GB"/>
              </w:rPr>
            </w:pPr>
            <w:r w:rsidRPr="007409D9">
              <w:rPr>
                <w:sz w:val="20"/>
                <w:szCs w:val="20"/>
                <w:lang w:val="en-GB"/>
              </w:rPr>
              <w:t>Ministry of Natural Resources and Environment</w:t>
            </w:r>
            <w:r>
              <w:rPr>
                <w:sz w:val="20"/>
                <w:szCs w:val="20"/>
                <w:lang w:val="en-GB"/>
              </w:rPr>
              <w:t xml:space="preserve">, </w:t>
            </w:r>
            <w:r w:rsidRPr="007409D9">
              <w:rPr>
                <w:sz w:val="20"/>
                <w:szCs w:val="20"/>
                <w:lang w:val="en-GB"/>
              </w:rPr>
              <w:t>Samo</w:t>
            </w: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16C0E1" w14:textId="77777777" w:rsidR="0008104C" w:rsidRPr="00331233" w:rsidRDefault="007409D9">
            <w:pPr>
              <w:pStyle w:val="Standard"/>
              <w:rPr>
                <w:sz w:val="20"/>
                <w:szCs w:val="20"/>
                <w:lang w:val="en-GB"/>
              </w:rPr>
            </w:pPr>
            <w:r w:rsidRPr="00331233">
              <w:rPr>
                <w:sz w:val="20"/>
                <w:szCs w:val="20"/>
                <w:lang w:val="en-GB"/>
              </w:rPr>
              <w:t>ausetalia.titimaea@mnre.gov.w</w:t>
            </w:r>
          </w:p>
        </w:tc>
      </w:tr>
      <w:tr w:rsidR="0008104C" w:rsidRPr="002C47E8" w14:paraId="01C91723"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9663FF" w14:textId="77777777" w:rsidR="0008104C" w:rsidRDefault="00E01BD4">
            <w:pPr>
              <w:pStyle w:val="Standard"/>
              <w:rPr>
                <w:sz w:val="20"/>
                <w:szCs w:val="20"/>
                <w:lang w:val="en-GB"/>
              </w:rPr>
            </w:pPr>
            <w:r w:rsidRPr="00E01BD4">
              <w:rPr>
                <w:sz w:val="20"/>
                <w:szCs w:val="20"/>
                <w:lang w:val="en-GB"/>
              </w:rPr>
              <w:t>Nick Kuster</w:t>
            </w:r>
          </w:p>
          <w:p w14:paraId="2386D61A" w14:textId="77777777" w:rsidR="00E01BD4" w:rsidRPr="00E01BD4" w:rsidRDefault="00E01BD4" w:rsidP="00E01BD4">
            <w:pPr>
              <w:pStyle w:val="Standard"/>
              <w:rPr>
                <w:sz w:val="20"/>
                <w:szCs w:val="20"/>
                <w:lang w:val="en-GB"/>
              </w:rPr>
            </w:pPr>
            <w:r w:rsidRPr="00E01BD4">
              <w:rPr>
                <w:sz w:val="20"/>
                <w:szCs w:val="20"/>
                <w:lang w:val="en-GB"/>
              </w:rPr>
              <w:t>Planning Coordinator, Chair Tsunami Capability Development Group | Emergency Risk Management NSW State Emergency Service - State Headquarters</w:t>
            </w:r>
          </w:p>
          <w:p w14:paraId="06D05A39" w14:textId="77777777" w:rsidR="00E01BD4" w:rsidRPr="00331233" w:rsidRDefault="00E01BD4" w:rsidP="00E01BD4">
            <w:pPr>
              <w:pStyle w:val="Standard"/>
              <w:rPr>
                <w:sz w:val="20"/>
                <w:szCs w:val="20"/>
                <w:lang w:val="en-GB"/>
              </w:rPr>
            </w:pP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21E7B8" w14:textId="77777777" w:rsidR="0008104C" w:rsidRPr="00331233" w:rsidRDefault="00E01BD4">
            <w:pPr>
              <w:pStyle w:val="Standard"/>
              <w:rPr>
                <w:sz w:val="20"/>
                <w:szCs w:val="20"/>
                <w:lang w:val="en-GB"/>
              </w:rPr>
            </w:pPr>
            <w:r>
              <w:rPr>
                <w:sz w:val="20"/>
                <w:szCs w:val="20"/>
                <w:lang w:val="en-GB"/>
              </w:rPr>
              <w:t>NWS, Australia</w:t>
            </w: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C33B5C" w14:textId="77777777" w:rsidR="0008104C" w:rsidRPr="00331233" w:rsidRDefault="00E01BD4" w:rsidP="00E01BD4">
            <w:pPr>
              <w:pStyle w:val="Standard"/>
              <w:rPr>
                <w:sz w:val="20"/>
                <w:szCs w:val="20"/>
                <w:lang w:val="en-GB"/>
              </w:rPr>
            </w:pPr>
            <w:r w:rsidRPr="00E01BD4">
              <w:rPr>
                <w:sz w:val="20"/>
                <w:szCs w:val="20"/>
                <w:lang w:val="en-GB"/>
              </w:rPr>
              <w:t>Nicholas.Kuster@ses.nsw.gov.au</w:t>
            </w:r>
          </w:p>
        </w:tc>
      </w:tr>
      <w:tr w:rsidR="0008104C" w:rsidRPr="002C47E8" w14:paraId="548281ED"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89549C" w14:textId="77777777" w:rsidR="0008104C" w:rsidRPr="00331233" w:rsidRDefault="0008104C">
            <w:pPr>
              <w:pStyle w:val="Standard"/>
              <w:rPr>
                <w:sz w:val="20"/>
                <w:szCs w:val="20"/>
                <w:lang w:val="en-GB"/>
              </w:rPr>
            </w:pP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7FB5AD" w14:textId="77777777" w:rsidR="0008104C" w:rsidRPr="00331233" w:rsidRDefault="0008104C">
            <w:pPr>
              <w:pStyle w:val="Standard"/>
              <w:rPr>
                <w:sz w:val="20"/>
                <w:szCs w:val="20"/>
                <w:lang w:val="en-GB"/>
              </w:rPr>
            </w:pP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695F87" w14:textId="77777777" w:rsidR="0008104C" w:rsidRPr="00331233" w:rsidRDefault="0008104C">
            <w:pPr>
              <w:pStyle w:val="Standard"/>
              <w:rPr>
                <w:sz w:val="20"/>
                <w:szCs w:val="20"/>
                <w:lang w:val="en-GB"/>
              </w:rPr>
            </w:pPr>
          </w:p>
        </w:tc>
      </w:tr>
      <w:tr w:rsidR="0008104C" w:rsidRPr="002C47E8" w14:paraId="3137BD17" w14:textId="77777777">
        <w:tc>
          <w:tcPr>
            <w:tcW w:w="38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F50AB" w14:textId="77777777" w:rsidR="0008104C" w:rsidRPr="00331233" w:rsidRDefault="0008104C">
            <w:pPr>
              <w:pStyle w:val="Standard"/>
              <w:rPr>
                <w:sz w:val="20"/>
                <w:szCs w:val="20"/>
                <w:lang w:val="en-GB"/>
              </w:rPr>
            </w:pPr>
          </w:p>
        </w:tc>
        <w:tc>
          <w:tcPr>
            <w:tcW w:w="20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86755B" w14:textId="77777777" w:rsidR="0008104C" w:rsidRPr="00331233" w:rsidRDefault="0008104C">
            <w:pPr>
              <w:pStyle w:val="Standard"/>
              <w:rPr>
                <w:sz w:val="20"/>
                <w:szCs w:val="20"/>
                <w:lang w:val="en-GB"/>
              </w:rPr>
            </w:pPr>
          </w:p>
        </w:tc>
        <w:tc>
          <w:tcPr>
            <w:tcW w:w="32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50F79C" w14:textId="77777777" w:rsidR="0008104C" w:rsidRPr="00331233" w:rsidRDefault="0008104C">
            <w:pPr>
              <w:pStyle w:val="Standard"/>
              <w:rPr>
                <w:sz w:val="20"/>
                <w:szCs w:val="20"/>
                <w:lang w:val="en-GB"/>
              </w:rPr>
            </w:pPr>
          </w:p>
        </w:tc>
      </w:tr>
    </w:tbl>
    <w:p w14:paraId="425DF5A5" w14:textId="77777777" w:rsidR="0008104C" w:rsidRPr="00331233" w:rsidRDefault="0008104C">
      <w:pPr>
        <w:pStyle w:val="Standard"/>
        <w:rPr>
          <w:lang w:val="en-GB"/>
        </w:rPr>
      </w:pPr>
    </w:p>
    <w:sectPr w:rsidR="0008104C" w:rsidRPr="00331233">
      <w:pgSz w:w="12240" w:h="15840"/>
      <w:pgMar w:top="719" w:right="1800" w:bottom="5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EBB46" w14:textId="77777777" w:rsidR="004523D1" w:rsidRDefault="004523D1">
      <w:r>
        <w:separator/>
      </w:r>
    </w:p>
  </w:endnote>
  <w:endnote w:type="continuationSeparator" w:id="0">
    <w:p w14:paraId="41923EAF" w14:textId="77777777" w:rsidR="004523D1" w:rsidRDefault="0045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DB0CF" w14:textId="77777777" w:rsidR="004523D1" w:rsidRDefault="004523D1">
      <w:r>
        <w:rPr>
          <w:color w:val="000000"/>
        </w:rPr>
        <w:separator/>
      </w:r>
    </w:p>
  </w:footnote>
  <w:footnote w:type="continuationSeparator" w:id="0">
    <w:p w14:paraId="4439D73E" w14:textId="77777777" w:rsidR="004523D1" w:rsidRDefault="00452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203E6"/>
    <w:multiLevelType w:val="multilevel"/>
    <w:tmpl w:val="6A7EC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0024B9"/>
    <w:multiLevelType w:val="multilevel"/>
    <w:tmpl w:val="ED989AA8"/>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31B0636D"/>
    <w:multiLevelType w:val="multilevel"/>
    <w:tmpl w:val="27C40B9C"/>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3CC51762"/>
    <w:multiLevelType w:val="multilevel"/>
    <w:tmpl w:val="A01E2B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693C95"/>
    <w:multiLevelType w:val="multilevel"/>
    <w:tmpl w:val="AD5EA36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4BE95CD1"/>
    <w:multiLevelType w:val="multilevel"/>
    <w:tmpl w:val="2272E3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996337"/>
    <w:multiLevelType w:val="multilevel"/>
    <w:tmpl w:val="0BF8A6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53996ACB"/>
    <w:multiLevelType w:val="hybridMultilevel"/>
    <w:tmpl w:val="7EACE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31330"/>
    <w:multiLevelType w:val="hybridMultilevel"/>
    <w:tmpl w:val="B3F43C7C"/>
    <w:lvl w:ilvl="0" w:tplc="040C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15:restartNumberingAfterBreak="0">
    <w:nsid w:val="578B3A8B"/>
    <w:multiLevelType w:val="multilevel"/>
    <w:tmpl w:val="56CAF6E6"/>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725629B8"/>
    <w:multiLevelType w:val="hybridMultilevel"/>
    <w:tmpl w:val="B3F43C7C"/>
    <w:lvl w:ilvl="0" w:tplc="040C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1" w15:restartNumberingAfterBreak="0">
    <w:nsid w:val="780A636E"/>
    <w:multiLevelType w:val="multilevel"/>
    <w:tmpl w:val="61AEAAD2"/>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79753DF0"/>
    <w:multiLevelType w:val="multilevel"/>
    <w:tmpl w:val="DF36CC02"/>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15:restartNumberingAfterBreak="0">
    <w:nsid w:val="7D6F4D27"/>
    <w:multiLevelType w:val="multilevel"/>
    <w:tmpl w:val="1128A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7255EC"/>
    <w:multiLevelType w:val="multilevel"/>
    <w:tmpl w:val="8B90B210"/>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2"/>
  </w:num>
  <w:num w:numId="4">
    <w:abstractNumId w:val="6"/>
  </w:num>
  <w:num w:numId="5">
    <w:abstractNumId w:val="1"/>
  </w:num>
  <w:num w:numId="6">
    <w:abstractNumId w:val="4"/>
  </w:num>
  <w:num w:numId="7">
    <w:abstractNumId w:val="12"/>
  </w:num>
  <w:num w:numId="8">
    <w:abstractNumId w:val="4"/>
    <w:lvlOverride w:ilvl="0">
      <w:startOverride w:val="1"/>
    </w:lvlOverride>
  </w:num>
  <w:num w:numId="9">
    <w:abstractNumId w:val="10"/>
  </w:num>
  <w:num w:numId="10">
    <w:abstractNumId w:val="8"/>
  </w:num>
  <w:num w:numId="11">
    <w:abstractNumId w:val="7"/>
  </w:num>
  <w:num w:numId="12">
    <w:abstractNumId w:val="14"/>
  </w:num>
  <w:num w:numId="13">
    <w:abstractNumId w:val="13"/>
  </w:num>
  <w:num w:numId="14">
    <w:abstractNumId w:val="3"/>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04C"/>
    <w:rsid w:val="00030E27"/>
    <w:rsid w:val="0008104C"/>
    <w:rsid w:val="002067F4"/>
    <w:rsid w:val="002C47E8"/>
    <w:rsid w:val="00331233"/>
    <w:rsid w:val="0039322E"/>
    <w:rsid w:val="004523D1"/>
    <w:rsid w:val="0062611A"/>
    <w:rsid w:val="00643C9C"/>
    <w:rsid w:val="007409D9"/>
    <w:rsid w:val="00900EBB"/>
    <w:rsid w:val="009415BF"/>
    <w:rsid w:val="00B66858"/>
    <w:rsid w:val="00C2138C"/>
    <w:rsid w:val="00D12059"/>
    <w:rsid w:val="00D12A2C"/>
    <w:rsid w:val="00D36F51"/>
    <w:rsid w:val="00D97858"/>
    <w:rsid w:val="00DA6B45"/>
    <w:rsid w:val="00E01BD4"/>
    <w:rsid w:val="00E030F5"/>
    <w:rsid w:val="00E435A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417B"/>
  <w15:docId w15:val="{CFBFADA3-C19B-435A-B372-630C7D4B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sz w:val="24"/>
      <w:szCs w:val="24"/>
      <w:lang w:val="en-US" w:eastAsia="ja-JP"/>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ableContents">
    <w:name w:val="Table Contents"/>
    <w:basedOn w:val="Standard"/>
    <w:pPr>
      <w:suppressLineNumbers/>
    </w:pPr>
  </w:style>
  <w:style w:type="character" w:customStyle="1" w:styleId="Internetlink">
    <w:name w:val="Internet link"/>
    <w:rPr>
      <w:color w:val="0000FF"/>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25">
    <w:name w:val="WWNum25"/>
    <w:basedOn w:val="NoList"/>
    <w:pPr>
      <w:numPr>
        <w:numId w:val="7"/>
      </w:numPr>
    </w:pPr>
  </w:style>
  <w:style w:type="character" w:styleId="Hyperlink">
    <w:name w:val="Hyperlink"/>
    <w:basedOn w:val="DefaultParagraphFont"/>
    <w:uiPriority w:val="99"/>
    <w:unhideWhenUsed/>
    <w:rsid w:val="009415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FACT SHEET Working Group One:</vt:lpstr>
    </vt:vector>
  </TitlesOfParts>
  <Company>Microsoft</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Working Group One:</dc:title>
  <dc:creator>b_aliaga</dc:creator>
  <cp:lastModifiedBy>Aliaga, Bernardo</cp:lastModifiedBy>
  <cp:revision>3</cp:revision>
  <dcterms:created xsi:type="dcterms:W3CDTF">2021-08-25T15:09:00Z</dcterms:created>
  <dcterms:modified xsi:type="dcterms:W3CDTF">2021-08-25T15:13:00Z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UNESCO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