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4E337" w14:textId="77777777" w:rsidR="003E36CA" w:rsidRDefault="003E36CA" w:rsidP="003E36CA">
      <w:pPr>
        <w:jc w:val="center"/>
        <w:rPr>
          <w:b/>
          <w:sz w:val="22"/>
          <w:szCs w:val="22"/>
          <w:lang w:val="en-GB"/>
        </w:rPr>
      </w:pPr>
      <w:r w:rsidRPr="003E36CA">
        <w:rPr>
          <w:b/>
          <w:sz w:val="22"/>
          <w:szCs w:val="22"/>
          <w:lang w:val="en-GB"/>
        </w:rPr>
        <w:t xml:space="preserve">FACT SHEET </w:t>
      </w:r>
      <w:r>
        <w:rPr>
          <w:b/>
          <w:sz w:val="22"/>
          <w:szCs w:val="22"/>
          <w:lang w:val="en-GB"/>
        </w:rPr>
        <w:t xml:space="preserve">Working Group </w:t>
      </w:r>
      <w:r w:rsidR="0013027D">
        <w:rPr>
          <w:b/>
          <w:sz w:val="22"/>
          <w:szCs w:val="22"/>
          <w:lang w:val="en-GB"/>
        </w:rPr>
        <w:t>5</w:t>
      </w:r>
      <w:r>
        <w:rPr>
          <w:b/>
          <w:sz w:val="22"/>
          <w:szCs w:val="22"/>
          <w:lang w:val="en-GB"/>
        </w:rPr>
        <w:t>:</w:t>
      </w:r>
    </w:p>
    <w:p w14:paraId="3EBD8288" w14:textId="77777777" w:rsidR="003E36CA" w:rsidRDefault="003E36CA" w:rsidP="003E36CA">
      <w:pPr>
        <w:jc w:val="center"/>
        <w:rPr>
          <w:b/>
          <w:sz w:val="22"/>
          <w:szCs w:val="22"/>
          <w:lang w:val="en-GB"/>
        </w:rPr>
      </w:pPr>
    </w:p>
    <w:p w14:paraId="0745752D" w14:textId="77777777" w:rsidR="00683ADE" w:rsidRPr="00683ADE" w:rsidRDefault="00683ADE" w:rsidP="00683ADE">
      <w:pPr>
        <w:jc w:val="center"/>
        <w:rPr>
          <w:b/>
          <w:sz w:val="22"/>
          <w:szCs w:val="22"/>
          <w:lang w:val="en-GB"/>
        </w:rPr>
      </w:pPr>
      <w:r w:rsidRPr="00683ADE">
        <w:rPr>
          <w:b/>
          <w:sz w:val="22"/>
          <w:szCs w:val="22"/>
          <w:lang w:val="en-GB"/>
        </w:rPr>
        <w:t xml:space="preserve">Regional Working Group on Tsunami Warning and Mitigation </w:t>
      </w:r>
    </w:p>
    <w:p w14:paraId="0EACE3B1" w14:textId="77777777" w:rsidR="003E36CA" w:rsidRPr="00683ADE" w:rsidRDefault="00683ADE" w:rsidP="00683ADE">
      <w:pPr>
        <w:jc w:val="center"/>
        <w:rPr>
          <w:b/>
          <w:sz w:val="22"/>
          <w:szCs w:val="22"/>
          <w:lang w:val="en-GB"/>
        </w:rPr>
      </w:pPr>
      <w:r w:rsidRPr="00683ADE">
        <w:rPr>
          <w:b/>
          <w:sz w:val="22"/>
          <w:szCs w:val="22"/>
          <w:lang w:val="en-GB"/>
        </w:rPr>
        <w:t>in the South</w:t>
      </w:r>
      <w:r>
        <w:rPr>
          <w:b/>
          <w:sz w:val="22"/>
          <w:szCs w:val="22"/>
          <w:lang w:val="en-GB"/>
        </w:rPr>
        <w:t xml:space="preserve"> Eas</w:t>
      </w:r>
      <w:r w:rsidRPr="00683ADE">
        <w:rPr>
          <w:b/>
          <w:sz w:val="22"/>
          <w:szCs w:val="22"/>
          <w:lang w:val="en-GB"/>
        </w:rPr>
        <w:t>t Pacific Region</w:t>
      </w:r>
    </w:p>
    <w:p w14:paraId="19A7B473" w14:textId="77777777" w:rsidR="003E36CA" w:rsidRPr="003E36CA" w:rsidRDefault="003E36CA">
      <w:pPr>
        <w:rPr>
          <w:lang w:val="en-GB"/>
        </w:rPr>
      </w:pPr>
    </w:p>
    <w:p w14:paraId="51C26DA1" w14:textId="729B99E2" w:rsidR="003E36CA" w:rsidRPr="007C3970" w:rsidRDefault="003E36CA" w:rsidP="00290D98">
      <w:pPr>
        <w:jc w:val="center"/>
      </w:pPr>
      <w:r w:rsidRPr="007C3970">
        <w:rPr>
          <w:b/>
        </w:rPr>
        <w:t>Chair</w:t>
      </w:r>
      <w:r w:rsidRPr="007C3970">
        <w:t>:</w:t>
      </w:r>
      <w:r w:rsidR="003504C8" w:rsidRPr="007C3970">
        <w:t xml:space="preserve"> </w:t>
      </w:r>
      <w:r w:rsidR="002B5A58" w:rsidRPr="002B5A58">
        <w:t xml:space="preserve">Chair </w:t>
      </w:r>
      <w:r w:rsidR="00B035DE">
        <w:t xml:space="preserve">Lt </w:t>
      </w:r>
      <w:r w:rsidR="00131DDB">
        <w:t xml:space="preserve">Matias </w:t>
      </w:r>
      <w:proofErr w:type="gramStart"/>
      <w:r w:rsidR="00131DDB">
        <w:t>Sifon</w:t>
      </w:r>
      <w:r w:rsidR="00470F8D" w:rsidRPr="00470F8D">
        <w:t>(</w:t>
      </w:r>
      <w:proofErr w:type="gramEnd"/>
      <w:r w:rsidR="00B035DE">
        <w:t>Chile</w:t>
      </w:r>
      <w:r w:rsidR="00470F8D" w:rsidRPr="00470F8D">
        <w:t>)</w:t>
      </w:r>
      <w:r w:rsidR="002B5A58">
        <w:t xml:space="preserve"> (</w:t>
      </w:r>
      <w:r w:rsidR="00B035DE">
        <w:t>2022-2023</w:t>
      </w:r>
      <w:r w:rsidR="002B5A58" w:rsidRPr="002B5A58">
        <w:t xml:space="preserve">) and </w:t>
      </w:r>
      <w:r w:rsidR="002B5A58" w:rsidRPr="002B5A58">
        <w:rPr>
          <w:b/>
        </w:rPr>
        <w:t>Vice-Chair</w:t>
      </w:r>
      <w:r w:rsidR="002B5A58" w:rsidRPr="002B5A58">
        <w:t xml:space="preserve"> </w:t>
      </w:r>
      <w:r w:rsidR="00B035DE" w:rsidRPr="00B035DE">
        <w:t>TN</w:t>
      </w:r>
      <w:r w:rsidR="00B035DE">
        <w:t>NV</w:t>
      </w:r>
      <w:r w:rsidR="00B035DE" w:rsidRPr="00B035DE">
        <w:t xml:space="preserve">-SU Michael </w:t>
      </w:r>
      <w:proofErr w:type="spellStart"/>
      <w:r w:rsidR="00B035DE" w:rsidRPr="00B035DE">
        <w:t>Linthon</w:t>
      </w:r>
      <w:proofErr w:type="spellEnd"/>
      <w:r w:rsidR="00470F8D" w:rsidRPr="00470F8D">
        <w:t xml:space="preserve"> (</w:t>
      </w:r>
      <w:r w:rsidR="00B035DE">
        <w:t>Ecuador</w:t>
      </w:r>
      <w:r w:rsidR="00470F8D" w:rsidRPr="00470F8D">
        <w:t>)</w:t>
      </w:r>
      <w:r w:rsidR="009C164D">
        <w:t xml:space="preserve"> (20</w:t>
      </w:r>
      <w:r w:rsidR="00B035DE">
        <w:t>22</w:t>
      </w:r>
      <w:r w:rsidR="009C164D">
        <w:t>-202</w:t>
      </w:r>
      <w:r w:rsidR="00B035DE">
        <w:t>3</w:t>
      </w:r>
      <w:r w:rsidR="002B5A58" w:rsidRPr="002B5A58">
        <w:t>)</w:t>
      </w:r>
    </w:p>
    <w:p w14:paraId="2AF488C4" w14:textId="77777777" w:rsidR="003E36CA" w:rsidRPr="007C3970" w:rsidRDefault="003E36CA"/>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E36CA" w:rsidRPr="001B2B06" w14:paraId="04EDD911" w14:textId="77777777" w:rsidTr="001B2B06">
        <w:tc>
          <w:tcPr>
            <w:tcW w:w="9288" w:type="dxa"/>
          </w:tcPr>
          <w:p w14:paraId="022F816D" w14:textId="77777777" w:rsidR="00683ADE" w:rsidRPr="001B2B06" w:rsidRDefault="003210EB" w:rsidP="00683ADE">
            <w:pPr>
              <w:rPr>
                <w:b/>
                <w:sz w:val="18"/>
                <w:szCs w:val="18"/>
                <w:lang w:val="en-GB"/>
              </w:rPr>
            </w:pPr>
            <w:r w:rsidRPr="001B2B06">
              <w:rPr>
                <w:b/>
                <w:sz w:val="18"/>
                <w:szCs w:val="18"/>
                <w:lang w:val="en-GB"/>
              </w:rPr>
              <w:t xml:space="preserve">Working Group </w:t>
            </w:r>
            <w:r w:rsidR="0013027D">
              <w:rPr>
                <w:b/>
                <w:sz w:val="18"/>
                <w:szCs w:val="18"/>
                <w:lang w:val="en-GB"/>
              </w:rPr>
              <w:t>5</w:t>
            </w:r>
            <w:r w:rsidRPr="001B2B06">
              <w:rPr>
                <w:b/>
                <w:sz w:val="18"/>
                <w:szCs w:val="18"/>
                <w:lang w:val="en-GB"/>
              </w:rPr>
              <w:t xml:space="preserve">: </w:t>
            </w:r>
            <w:r w:rsidR="00683ADE" w:rsidRPr="001B2B06">
              <w:rPr>
                <w:b/>
                <w:sz w:val="18"/>
                <w:szCs w:val="18"/>
                <w:lang w:val="en-GB"/>
              </w:rPr>
              <w:t>Regional Working Group on Tsunami Warning and Mitigation in the South East Pacific Region</w:t>
            </w:r>
          </w:p>
          <w:p w14:paraId="7384EB3E" w14:textId="77777777" w:rsidR="00683ADE" w:rsidRPr="001B2B06" w:rsidRDefault="00683ADE" w:rsidP="00683ADE">
            <w:pPr>
              <w:rPr>
                <w:b/>
                <w:sz w:val="18"/>
                <w:szCs w:val="18"/>
                <w:lang w:val="en-GB"/>
              </w:rPr>
            </w:pPr>
          </w:p>
          <w:p w14:paraId="4D418FA7" w14:textId="77777777" w:rsidR="003E36CA" w:rsidRDefault="003210EB" w:rsidP="00683ADE">
            <w:pPr>
              <w:rPr>
                <w:sz w:val="18"/>
                <w:szCs w:val="18"/>
                <w:lang w:val="en-GB"/>
              </w:rPr>
            </w:pPr>
            <w:r w:rsidRPr="001B2B06">
              <w:rPr>
                <w:sz w:val="18"/>
                <w:szCs w:val="18"/>
                <w:u w:val="single"/>
                <w:lang w:val="en-GB"/>
              </w:rPr>
              <w:t>Terms of Reference</w:t>
            </w:r>
            <w:r w:rsidR="003E36CA" w:rsidRPr="001B2B06">
              <w:rPr>
                <w:sz w:val="18"/>
                <w:szCs w:val="18"/>
                <w:lang w:val="en-GB"/>
              </w:rPr>
              <w:t>:</w:t>
            </w:r>
          </w:p>
          <w:p w14:paraId="6730DA40" w14:textId="77777777" w:rsidR="003E36CA" w:rsidRPr="00D1174B" w:rsidRDefault="003E36CA" w:rsidP="0013027D">
            <w:pPr>
              <w:jc w:val="both"/>
              <w:rPr>
                <w:sz w:val="16"/>
                <w:szCs w:val="18"/>
                <w:lang w:val="en-GB"/>
              </w:rPr>
            </w:pPr>
          </w:p>
          <w:p w14:paraId="5831A842" w14:textId="77777777" w:rsidR="00D1174B" w:rsidRPr="00D1174B" w:rsidRDefault="00D1174B" w:rsidP="00D1174B">
            <w:pPr>
              <w:pStyle w:val="ListParagraph"/>
              <w:numPr>
                <w:ilvl w:val="0"/>
                <w:numId w:val="8"/>
              </w:numPr>
              <w:spacing w:after="240"/>
              <w:contextualSpacing w:val="0"/>
              <w:jc w:val="both"/>
              <w:rPr>
                <w:sz w:val="20"/>
                <w:szCs w:val="22"/>
              </w:rPr>
            </w:pPr>
            <w:r w:rsidRPr="00D1174B">
              <w:rPr>
                <w:sz w:val="20"/>
                <w:szCs w:val="22"/>
              </w:rPr>
              <w:t xml:space="preserve">To enhance regional capabilities in the South East Pacific Region for the Detection, Assessment, Warning and Dissemination of tsunami events, based on lessons learned and global trends, with the purpose of generating improvement opportunities for the National Tsunami Warning Centers (NTWC) following the Sendai framework priorities as a reference. </w:t>
            </w:r>
          </w:p>
          <w:p w14:paraId="0410D21C" w14:textId="77777777" w:rsidR="00D1174B" w:rsidRPr="00D1174B" w:rsidRDefault="00D1174B" w:rsidP="00D1174B">
            <w:pPr>
              <w:pStyle w:val="ListParagraph"/>
              <w:numPr>
                <w:ilvl w:val="0"/>
                <w:numId w:val="8"/>
              </w:numPr>
              <w:spacing w:after="240"/>
              <w:contextualSpacing w:val="0"/>
              <w:jc w:val="both"/>
              <w:rPr>
                <w:sz w:val="20"/>
                <w:szCs w:val="22"/>
              </w:rPr>
            </w:pPr>
            <w:r w:rsidRPr="00D1174B">
              <w:rPr>
                <w:sz w:val="20"/>
                <w:szCs w:val="22"/>
              </w:rPr>
              <w:t xml:space="preserve">To facilitate cooperation in the establishment and upgrading of seismic and sea level stations and networks and communication systems in the region, and their interoperability in accordance with ICG/PTWS requirements, through the active participation of appropriate national delegates from Member States, in the Working Group 2: Tsunami Detection, Warning and Dissemination. </w:t>
            </w:r>
          </w:p>
          <w:p w14:paraId="14591F64" w14:textId="77777777" w:rsidR="00D1174B" w:rsidRPr="00D1174B" w:rsidRDefault="00D1174B" w:rsidP="00D1174B">
            <w:pPr>
              <w:pStyle w:val="ListParagraph"/>
              <w:numPr>
                <w:ilvl w:val="0"/>
                <w:numId w:val="8"/>
              </w:numPr>
              <w:spacing w:after="240"/>
              <w:contextualSpacing w:val="0"/>
              <w:jc w:val="both"/>
              <w:rPr>
                <w:sz w:val="20"/>
                <w:szCs w:val="22"/>
              </w:rPr>
            </w:pPr>
            <w:r w:rsidRPr="00D1174B">
              <w:rPr>
                <w:sz w:val="20"/>
                <w:szCs w:val="22"/>
              </w:rPr>
              <w:t xml:space="preserve">To improve the communication channels between the countries, according to the regional communications protocol established under Permanent Commission for the South Pacific (CPPS), through periodical tests using redundant systems. </w:t>
            </w:r>
          </w:p>
          <w:p w14:paraId="3A16010A" w14:textId="77777777" w:rsidR="00D1174B" w:rsidRPr="00D1174B" w:rsidRDefault="00D1174B" w:rsidP="00D1174B">
            <w:pPr>
              <w:pStyle w:val="ListParagraph"/>
              <w:numPr>
                <w:ilvl w:val="0"/>
                <w:numId w:val="8"/>
              </w:numPr>
              <w:spacing w:after="240"/>
              <w:contextualSpacing w:val="0"/>
              <w:jc w:val="both"/>
              <w:rPr>
                <w:sz w:val="20"/>
                <w:szCs w:val="22"/>
              </w:rPr>
            </w:pPr>
            <w:r w:rsidRPr="00D1174B">
              <w:rPr>
                <w:sz w:val="20"/>
                <w:szCs w:val="22"/>
              </w:rPr>
              <w:t xml:space="preserve">To </w:t>
            </w:r>
            <w:proofErr w:type="spellStart"/>
            <w:r w:rsidRPr="00D1174B">
              <w:rPr>
                <w:sz w:val="20"/>
                <w:szCs w:val="22"/>
              </w:rPr>
              <w:t>analyse</w:t>
            </w:r>
            <w:proofErr w:type="spellEnd"/>
            <w:r w:rsidRPr="00D1174B">
              <w:rPr>
                <w:sz w:val="20"/>
                <w:szCs w:val="22"/>
              </w:rPr>
              <w:t xml:space="preserve"> the convenience of piloting Tsunami Ready program in the region. </w:t>
            </w:r>
          </w:p>
          <w:p w14:paraId="7932C1EF" w14:textId="77777777" w:rsidR="00D1174B" w:rsidRPr="00D1174B" w:rsidRDefault="00D1174B" w:rsidP="00D1174B">
            <w:pPr>
              <w:pStyle w:val="ListParagraph"/>
              <w:numPr>
                <w:ilvl w:val="0"/>
                <w:numId w:val="8"/>
              </w:numPr>
              <w:spacing w:after="240"/>
              <w:contextualSpacing w:val="0"/>
              <w:jc w:val="both"/>
              <w:rPr>
                <w:sz w:val="20"/>
                <w:szCs w:val="22"/>
              </w:rPr>
            </w:pPr>
            <w:r w:rsidRPr="00D1174B">
              <w:rPr>
                <w:sz w:val="20"/>
                <w:szCs w:val="22"/>
              </w:rPr>
              <w:t xml:space="preserve">To promote regional activities and join projects considering in-region capacity building and enhancing disaster preparedness for response as main efforts, according the priorities number 1 and 4 of the Sendai framework. </w:t>
            </w:r>
          </w:p>
          <w:p w14:paraId="2B46DDD8" w14:textId="77777777" w:rsidR="00D1174B" w:rsidRPr="00D1174B" w:rsidRDefault="00D1174B" w:rsidP="00D1174B">
            <w:pPr>
              <w:pStyle w:val="ListParagraph"/>
              <w:numPr>
                <w:ilvl w:val="0"/>
                <w:numId w:val="8"/>
              </w:numPr>
              <w:spacing w:after="240"/>
              <w:contextualSpacing w:val="0"/>
              <w:jc w:val="both"/>
              <w:rPr>
                <w:sz w:val="20"/>
                <w:szCs w:val="22"/>
              </w:rPr>
            </w:pPr>
            <w:r w:rsidRPr="00D1174B">
              <w:rPr>
                <w:sz w:val="20"/>
                <w:szCs w:val="22"/>
              </w:rPr>
              <w:t xml:space="preserve">To facilitate capacity building and the sharing of sea level information among others, including the free and open exchange of data. </w:t>
            </w:r>
          </w:p>
          <w:p w14:paraId="58B97039" w14:textId="77777777" w:rsidR="00D1174B" w:rsidRPr="00D1174B" w:rsidRDefault="00D1174B" w:rsidP="00D1174B">
            <w:pPr>
              <w:pStyle w:val="ListParagraph"/>
              <w:numPr>
                <w:ilvl w:val="0"/>
                <w:numId w:val="8"/>
              </w:numPr>
              <w:spacing w:after="240"/>
              <w:contextualSpacing w:val="0"/>
              <w:jc w:val="both"/>
              <w:rPr>
                <w:sz w:val="20"/>
                <w:szCs w:val="22"/>
              </w:rPr>
            </w:pPr>
            <w:r w:rsidRPr="00D1174B">
              <w:rPr>
                <w:sz w:val="20"/>
                <w:szCs w:val="22"/>
              </w:rPr>
              <w:t xml:space="preserve">To improve the educational programs with regional criteria based on social, cultural and economic reality, through the active participation of appropriate national delegates from Member States, in the Working Group 3: Disaster Risk Management and Preparedness. </w:t>
            </w:r>
          </w:p>
          <w:p w14:paraId="5D1322DB" w14:textId="77777777" w:rsidR="00D1174B" w:rsidRPr="00D1174B" w:rsidRDefault="00D1174B" w:rsidP="00D1174B">
            <w:pPr>
              <w:pStyle w:val="ListParagraph"/>
              <w:numPr>
                <w:ilvl w:val="0"/>
                <w:numId w:val="8"/>
              </w:numPr>
              <w:spacing w:after="240"/>
              <w:contextualSpacing w:val="0"/>
              <w:jc w:val="both"/>
              <w:rPr>
                <w:sz w:val="20"/>
                <w:szCs w:val="22"/>
              </w:rPr>
            </w:pPr>
            <w:r w:rsidRPr="00D1174B">
              <w:rPr>
                <w:sz w:val="20"/>
                <w:szCs w:val="22"/>
              </w:rPr>
              <w:t xml:space="preserve">To develop synergies with universities and academic </w:t>
            </w:r>
            <w:proofErr w:type="spellStart"/>
            <w:r w:rsidRPr="00D1174B">
              <w:rPr>
                <w:sz w:val="20"/>
                <w:szCs w:val="22"/>
              </w:rPr>
              <w:t>centres</w:t>
            </w:r>
            <w:proofErr w:type="spellEnd"/>
            <w:r w:rsidRPr="00D1174B">
              <w:rPr>
                <w:sz w:val="20"/>
                <w:szCs w:val="22"/>
              </w:rPr>
              <w:t xml:space="preserve"> to promote and to facilitate the regional tsunami research in order to cope with regional needs. </w:t>
            </w:r>
          </w:p>
          <w:p w14:paraId="422D17D5" w14:textId="77777777" w:rsidR="00D1174B" w:rsidRPr="00D1174B" w:rsidRDefault="00D1174B" w:rsidP="00D1174B">
            <w:pPr>
              <w:widowControl w:val="0"/>
              <w:autoSpaceDE w:val="0"/>
              <w:autoSpaceDN w:val="0"/>
              <w:adjustRightInd w:val="0"/>
              <w:rPr>
                <w:rFonts w:eastAsiaTheme="minorEastAsia"/>
                <w:sz w:val="22"/>
                <w:szCs w:val="22"/>
                <w:lang w:eastAsia="zh-TW"/>
              </w:rPr>
            </w:pPr>
            <w:r w:rsidRPr="00D1174B">
              <w:rPr>
                <w:rFonts w:eastAsiaTheme="minorEastAsia"/>
                <w:color w:val="000000"/>
                <w:sz w:val="22"/>
                <w:szCs w:val="22"/>
              </w:rPr>
              <w:t>The Group will be composed of representatives nominated by the Member States of Chile, Colombia, Ecuador and Peru, with a Chair and a Vice-Chair from each country rotating every two years, following an alphabetical order. In this context, the Vice-Chair will assume regional presidency for the coming period.</w:t>
            </w:r>
          </w:p>
          <w:p w14:paraId="56F80BE9" w14:textId="77777777" w:rsidR="0013027D" w:rsidRPr="00FB2A51" w:rsidRDefault="0013027D" w:rsidP="0013027D">
            <w:pPr>
              <w:jc w:val="both"/>
              <w:rPr>
                <w:rFonts w:eastAsia="PMingLiU" w:cs="Arial"/>
                <w:szCs w:val="22"/>
              </w:rPr>
            </w:pPr>
          </w:p>
        </w:tc>
      </w:tr>
      <w:tr w:rsidR="003E36CA" w:rsidRPr="00D568F1" w14:paraId="2C67046F" w14:textId="77777777" w:rsidTr="001B2B06">
        <w:tc>
          <w:tcPr>
            <w:tcW w:w="9288" w:type="dxa"/>
          </w:tcPr>
          <w:p w14:paraId="33AD1879" w14:textId="77777777" w:rsidR="00D568F1" w:rsidRDefault="00D568F1" w:rsidP="003E36CA">
            <w:pPr>
              <w:rPr>
                <w:sz w:val="20"/>
                <w:szCs w:val="20"/>
              </w:rPr>
            </w:pPr>
          </w:p>
          <w:p w14:paraId="1290B5BF" w14:textId="77777777" w:rsidR="003E36CA" w:rsidRPr="00D568F1" w:rsidRDefault="00D568F1" w:rsidP="003E36CA">
            <w:pPr>
              <w:rPr>
                <w:sz w:val="20"/>
                <w:szCs w:val="20"/>
                <w:u w:val="single"/>
              </w:rPr>
            </w:pPr>
            <w:r w:rsidRPr="00D568F1">
              <w:rPr>
                <w:sz w:val="20"/>
                <w:szCs w:val="20"/>
                <w:u w:val="single"/>
              </w:rPr>
              <w:t>Members:</w:t>
            </w:r>
          </w:p>
          <w:p w14:paraId="5499276B" w14:textId="77777777" w:rsidR="00D568F1" w:rsidRPr="000A58EA" w:rsidRDefault="000A58EA" w:rsidP="00D568F1">
            <w:pPr>
              <w:pStyle w:val="ListParagraph"/>
              <w:numPr>
                <w:ilvl w:val="0"/>
                <w:numId w:val="7"/>
              </w:numPr>
              <w:rPr>
                <w:sz w:val="20"/>
                <w:szCs w:val="20"/>
                <w:lang w:val="pt-BR"/>
              </w:rPr>
            </w:pPr>
            <w:r w:rsidRPr="000A58EA">
              <w:rPr>
                <w:sz w:val="20"/>
                <w:szCs w:val="20"/>
                <w:lang w:val="pt-BR"/>
              </w:rPr>
              <w:t>Tte 1ero ceci Rodriguez Cruz</w:t>
            </w:r>
            <w:r w:rsidR="00D568F1" w:rsidRPr="000A58EA">
              <w:rPr>
                <w:sz w:val="20"/>
                <w:szCs w:val="20"/>
                <w:lang w:val="pt-BR"/>
              </w:rPr>
              <w:t>, DHN, Peru (Chair)</w:t>
            </w:r>
          </w:p>
          <w:p w14:paraId="128A1535" w14:textId="77777777" w:rsidR="00D568F1" w:rsidRPr="00D568F1" w:rsidRDefault="00D568F1" w:rsidP="00D568F1">
            <w:pPr>
              <w:pStyle w:val="ListParagraph"/>
              <w:numPr>
                <w:ilvl w:val="0"/>
                <w:numId w:val="7"/>
              </w:numPr>
              <w:rPr>
                <w:sz w:val="20"/>
                <w:szCs w:val="20"/>
              </w:rPr>
            </w:pPr>
            <w:proofErr w:type="spellStart"/>
            <w:r w:rsidRPr="00D568F1">
              <w:rPr>
                <w:sz w:val="20"/>
                <w:szCs w:val="20"/>
              </w:rPr>
              <w:t>Ms</w:t>
            </w:r>
            <w:proofErr w:type="spellEnd"/>
            <w:r w:rsidRPr="00D568F1">
              <w:rPr>
                <w:sz w:val="20"/>
                <w:szCs w:val="20"/>
              </w:rPr>
              <w:t xml:space="preserve"> Mary Rengifo, Colombia (Vice-Chair)</w:t>
            </w:r>
          </w:p>
          <w:p w14:paraId="565C43DB" w14:textId="77777777" w:rsidR="003210EB" w:rsidRPr="00D568F1" w:rsidRDefault="003210EB" w:rsidP="00D568F1">
            <w:pPr>
              <w:pStyle w:val="ListParagraph"/>
              <w:numPr>
                <w:ilvl w:val="0"/>
                <w:numId w:val="7"/>
              </w:numPr>
              <w:rPr>
                <w:sz w:val="20"/>
                <w:szCs w:val="20"/>
              </w:rPr>
            </w:pPr>
            <w:r w:rsidRPr="00D568F1">
              <w:rPr>
                <w:sz w:val="20"/>
                <w:szCs w:val="20"/>
              </w:rPr>
              <w:t>The Group will be composed of representatives from Colombia, Ecuador, Peru and Chile</w:t>
            </w:r>
          </w:p>
          <w:p w14:paraId="2CA40BD7" w14:textId="77777777" w:rsidR="00683ADE" w:rsidRPr="0013027D" w:rsidRDefault="003210EB" w:rsidP="0013027D">
            <w:pPr>
              <w:rPr>
                <w:sz w:val="20"/>
                <w:szCs w:val="20"/>
                <w:lang w:val="es-ES"/>
              </w:rPr>
            </w:pPr>
            <w:r w:rsidRPr="00802F14">
              <w:rPr>
                <w:sz w:val="20"/>
                <w:szCs w:val="20"/>
                <w:lang w:val="es-ES"/>
              </w:rPr>
              <w:t>Chair: Chile (2008)</w:t>
            </w:r>
            <w:r w:rsidR="00937BBC" w:rsidRPr="00802F14">
              <w:rPr>
                <w:sz w:val="20"/>
                <w:szCs w:val="20"/>
                <w:lang w:val="es-ES"/>
              </w:rPr>
              <w:t>,</w:t>
            </w:r>
            <w:r w:rsidRPr="00802F14">
              <w:rPr>
                <w:sz w:val="20"/>
                <w:szCs w:val="20"/>
                <w:lang w:val="es-ES"/>
              </w:rPr>
              <w:t xml:space="preserve"> </w:t>
            </w:r>
            <w:proofErr w:type="spellStart"/>
            <w:r w:rsidRPr="00802F14">
              <w:rPr>
                <w:sz w:val="20"/>
                <w:szCs w:val="20"/>
                <w:lang w:val="es-ES"/>
              </w:rPr>
              <w:t>Peru</w:t>
            </w:r>
            <w:proofErr w:type="spellEnd"/>
            <w:r w:rsidRPr="00802F14">
              <w:rPr>
                <w:sz w:val="20"/>
                <w:szCs w:val="20"/>
                <w:lang w:val="es-ES"/>
              </w:rPr>
              <w:t xml:space="preserve"> (2009-2010)</w:t>
            </w:r>
            <w:r w:rsidR="00937BBC" w:rsidRPr="00802F14">
              <w:rPr>
                <w:sz w:val="20"/>
                <w:szCs w:val="20"/>
                <w:lang w:val="es-ES"/>
              </w:rPr>
              <w:t>, Ecuador (2011-2012), Chile</w:t>
            </w:r>
            <w:r w:rsidR="00802F14">
              <w:rPr>
                <w:sz w:val="20"/>
                <w:szCs w:val="20"/>
                <w:lang w:val="es-ES"/>
              </w:rPr>
              <w:t xml:space="preserve"> </w:t>
            </w:r>
            <w:r w:rsidR="00937BBC" w:rsidRPr="00802F14">
              <w:rPr>
                <w:sz w:val="20"/>
                <w:szCs w:val="20"/>
                <w:lang w:val="es-ES"/>
              </w:rPr>
              <w:t>(2013-201</w:t>
            </w:r>
            <w:r w:rsidR="00802F14">
              <w:rPr>
                <w:sz w:val="20"/>
                <w:szCs w:val="20"/>
                <w:lang w:val="es-ES"/>
              </w:rPr>
              <w:t>5</w:t>
            </w:r>
            <w:r w:rsidR="00937BBC" w:rsidRPr="00802F14">
              <w:rPr>
                <w:sz w:val="20"/>
                <w:szCs w:val="20"/>
                <w:lang w:val="es-ES"/>
              </w:rPr>
              <w:t>)</w:t>
            </w:r>
            <w:r w:rsidR="00802F14" w:rsidRPr="00802F14">
              <w:rPr>
                <w:sz w:val="20"/>
                <w:szCs w:val="20"/>
                <w:lang w:val="es-ES"/>
              </w:rPr>
              <w:t>, Ecuador (2015-2017)</w:t>
            </w:r>
            <w:r w:rsidR="0013027D">
              <w:rPr>
                <w:sz w:val="20"/>
                <w:szCs w:val="20"/>
                <w:lang w:val="es-ES"/>
              </w:rPr>
              <w:t xml:space="preserve">, </w:t>
            </w:r>
            <w:proofErr w:type="spellStart"/>
            <w:r w:rsidR="0013027D">
              <w:rPr>
                <w:sz w:val="20"/>
                <w:szCs w:val="20"/>
                <w:lang w:val="es-ES"/>
              </w:rPr>
              <w:t>Peru</w:t>
            </w:r>
            <w:proofErr w:type="spellEnd"/>
            <w:r w:rsidR="0013027D">
              <w:rPr>
                <w:sz w:val="20"/>
                <w:szCs w:val="20"/>
                <w:lang w:val="es-ES"/>
              </w:rPr>
              <w:t xml:space="preserve"> (2017-2019)</w:t>
            </w:r>
          </w:p>
        </w:tc>
      </w:tr>
      <w:tr w:rsidR="003E36CA" w:rsidRPr="001B2B06" w14:paraId="1415D655" w14:textId="77777777" w:rsidTr="001B2B06">
        <w:tc>
          <w:tcPr>
            <w:tcW w:w="9288" w:type="dxa"/>
          </w:tcPr>
          <w:p w14:paraId="0721DB30" w14:textId="77777777" w:rsidR="003E36CA" w:rsidRPr="000A58EA" w:rsidRDefault="003E36CA" w:rsidP="003E36CA">
            <w:pPr>
              <w:rPr>
                <w:sz w:val="18"/>
                <w:szCs w:val="18"/>
                <w:u w:val="single"/>
                <w:lang w:val="en-GB"/>
              </w:rPr>
            </w:pPr>
          </w:p>
          <w:p w14:paraId="38E27124" w14:textId="77777777" w:rsidR="003E36CA" w:rsidRPr="001B2B06" w:rsidRDefault="003E36CA" w:rsidP="003E36CA">
            <w:pPr>
              <w:rPr>
                <w:sz w:val="18"/>
                <w:szCs w:val="18"/>
                <w:lang w:val="en-GB"/>
              </w:rPr>
            </w:pPr>
            <w:r w:rsidRPr="001B2B06">
              <w:rPr>
                <w:sz w:val="18"/>
                <w:szCs w:val="18"/>
                <w:u w:val="single"/>
                <w:lang w:val="en-GB"/>
              </w:rPr>
              <w:t xml:space="preserve">The following applies for </w:t>
            </w:r>
            <w:r w:rsidR="004A36F7" w:rsidRPr="001B2B06">
              <w:rPr>
                <w:sz w:val="18"/>
                <w:szCs w:val="18"/>
                <w:u w:val="single"/>
                <w:lang w:val="en-GB"/>
              </w:rPr>
              <w:t>all</w:t>
            </w:r>
            <w:r w:rsidRPr="001B2B06">
              <w:rPr>
                <w:sz w:val="18"/>
                <w:szCs w:val="18"/>
                <w:u w:val="single"/>
                <w:lang w:val="en-GB"/>
              </w:rPr>
              <w:t xml:space="preserve"> working groups</w:t>
            </w:r>
            <w:r w:rsidRPr="001B2B06">
              <w:rPr>
                <w:sz w:val="18"/>
                <w:szCs w:val="18"/>
                <w:lang w:val="en-GB"/>
              </w:rPr>
              <w:t>:</w:t>
            </w:r>
          </w:p>
          <w:p w14:paraId="621B4E77" w14:textId="77777777" w:rsidR="003E36CA" w:rsidRPr="001B2B06" w:rsidRDefault="003E36CA" w:rsidP="003E36CA">
            <w:pPr>
              <w:rPr>
                <w:sz w:val="18"/>
                <w:szCs w:val="18"/>
                <w:lang w:val="en-GB"/>
              </w:rPr>
            </w:pPr>
            <w:r w:rsidRPr="001B2B06">
              <w:rPr>
                <w:sz w:val="18"/>
                <w:szCs w:val="18"/>
                <w:lang w:val="en-GB"/>
              </w:rPr>
              <w:t>Languages:  English, Spanish and French</w:t>
            </w:r>
          </w:p>
          <w:p w14:paraId="4C9E03A5" w14:textId="77777777" w:rsidR="003E36CA" w:rsidRPr="001B2B06" w:rsidRDefault="003E36CA" w:rsidP="003E36CA">
            <w:pPr>
              <w:rPr>
                <w:sz w:val="18"/>
                <w:szCs w:val="18"/>
                <w:lang w:val="en-GB"/>
              </w:rPr>
            </w:pPr>
            <w:r w:rsidRPr="001B2B06">
              <w:rPr>
                <w:sz w:val="18"/>
                <w:szCs w:val="18"/>
                <w:lang w:val="en-GB"/>
              </w:rPr>
              <w:t xml:space="preserve">Meetings:  Meet </w:t>
            </w:r>
            <w:proofErr w:type="spellStart"/>
            <w:r w:rsidRPr="001B2B06">
              <w:rPr>
                <w:sz w:val="18"/>
                <w:szCs w:val="18"/>
                <w:lang w:val="en-GB"/>
              </w:rPr>
              <w:t>intersessionally</w:t>
            </w:r>
            <w:proofErr w:type="spellEnd"/>
            <w:r w:rsidRPr="001B2B06">
              <w:rPr>
                <w:sz w:val="18"/>
                <w:szCs w:val="18"/>
                <w:lang w:val="en-GB"/>
              </w:rPr>
              <w:t>.</w:t>
            </w:r>
          </w:p>
          <w:p w14:paraId="64FEB7AB" w14:textId="77777777" w:rsidR="003E36CA" w:rsidRPr="001B2B06" w:rsidRDefault="003E36CA" w:rsidP="003E36CA">
            <w:pPr>
              <w:rPr>
                <w:sz w:val="18"/>
                <w:szCs w:val="18"/>
                <w:lang w:val="en-GB"/>
              </w:rPr>
            </w:pPr>
            <w:r w:rsidRPr="001B2B06">
              <w:rPr>
                <w:sz w:val="18"/>
                <w:szCs w:val="18"/>
                <w:lang w:val="en-GB"/>
              </w:rPr>
              <w:t xml:space="preserve">Coordinator and Elections:  Follow the rules of procedures applying to IOC Subsidiary Bodies.  Chair and at least one vice chair who will be elected </w:t>
            </w:r>
            <w:r w:rsidR="004A36F7" w:rsidRPr="001B2B06">
              <w:rPr>
                <w:sz w:val="18"/>
                <w:szCs w:val="18"/>
                <w:lang w:val="en-GB"/>
              </w:rPr>
              <w:t>either by the ICG/PTWS or</w:t>
            </w:r>
            <w:r w:rsidRPr="001B2B06">
              <w:rPr>
                <w:sz w:val="18"/>
                <w:szCs w:val="18"/>
                <w:lang w:val="en-GB"/>
              </w:rPr>
              <w:t xml:space="preserve"> the members of the working group for two years with possible </w:t>
            </w:r>
            <w:proofErr w:type="spellStart"/>
            <w:r w:rsidRPr="001B2B06">
              <w:rPr>
                <w:sz w:val="18"/>
                <w:szCs w:val="18"/>
                <w:lang w:val="en-GB"/>
              </w:rPr>
              <w:t>reelection</w:t>
            </w:r>
            <w:proofErr w:type="spellEnd"/>
            <w:r w:rsidRPr="001B2B06">
              <w:rPr>
                <w:sz w:val="18"/>
                <w:szCs w:val="18"/>
                <w:lang w:val="en-GB"/>
              </w:rPr>
              <w:t xml:space="preserve"> of one term in the same position.</w:t>
            </w:r>
          </w:p>
          <w:p w14:paraId="1AD8F616" w14:textId="77777777" w:rsidR="003E36CA" w:rsidRPr="001B2B06" w:rsidRDefault="003E36CA" w:rsidP="003E36CA">
            <w:pPr>
              <w:rPr>
                <w:sz w:val="18"/>
                <w:szCs w:val="18"/>
                <w:lang w:val="en-GB"/>
              </w:rPr>
            </w:pPr>
            <w:r w:rsidRPr="001B2B06">
              <w:rPr>
                <w:sz w:val="18"/>
                <w:szCs w:val="18"/>
                <w:lang w:val="en-GB"/>
              </w:rPr>
              <w:t>Members and appointment:  Nominated by member states in accordance with the rules of procedures applying to IOC Subsidiary bodies.  Technical experts can be invited at the discretion of the Chair.</w:t>
            </w:r>
          </w:p>
          <w:p w14:paraId="1065711A" w14:textId="77777777" w:rsidR="003E36CA" w:rsidRPr="001B2B06" w:rsidRDefault="003E36CA" w:rsidP="003E36CA">
            <w:pPr>
              <w:rPr>
                <w:sz w:val="18"/>
                <w:szCs w:val="18"/>
                <w:lang w:val="en-GB"/>
              </w:rPr>
            </w:pPr>
            <w:r w:rsidRPr="001B2B06">
              <w:rPr>
                <w:sz w:val="18"/>
                <w:szCs w:val="18"/>
                <w:lang w:val="en-GB"/>
              </w:rPr>
              <w:lastRenderedPageBreak/>
              <w:t>Calendar of Intersessional work should be determined by the working group at the working group meeting and included in the report.</w:t>
            </w:r>
          </w:p>
          <w:p w14:paraId="1EB0B462" w14:textId="77777777" w:rsidR="003E36CA" w:rsidRPr="001B2B06" w:rsidRDefault="003E36CA" w:rsidP="003E36CA">
            <w:pPr>
              <w:rPr>
                <w:sz w:val="18"/>
                <w:szCs w:val="18"/>
                <w:lang w:val="en-GB"/>
              </w:rPr>
            </w:pPr>
            <w:r w:rsidRPr="001B2B06">
              <w:rPr>
                <w:sz w:val="18"/>
                <w:szCs w:val="18"/>
                <w:lang w:val="en-GB"/>
              </w:rPr>
              <w:t>Duration of the WG:  Two years.</w:t>
            </w:r>
          </w:p>
          <w:p w14:paraId="7C04E771" w14:textId="77777777" w:rsidR="003E36CA" w:rsidRPr="001B2B06" w:rsidRDefault="003E36CA" w:rsidP="003E36CA">
            <w:pPr>
              <w:rPr>
                <w:sz w:val="18"/>
                <w:szCs w:val="18"/>
                <w:lang w:val="en-GB"/>
              </w:rPr>
            </w:pPr>
            <w:r w:rsidRPr="001B2B06">
              <w:rPr>
                <w:sz w:val="18"/>
                <w:szCs w:val="18"/>
                <w:lang w:val="en-GB"/>
              </w:rPr>
              <w:t xml:space="preserve">Reports:  A final report has to be submitted two months before the parent body meeting and for each working group meeting within the two following months.  </w:t>
            </w:r>
          </w:p>
          <w:p w14:paraId="632FE411" w14:textId="77777777" w:rsidR="003E36CA" w:rsidRPr="001B2B06" w:rsidRDefault="003E36CA" w:rsidP="003E36CA">
            <w:pPr>
              <w:rPr>
                <w:sz w:val="18"/>
                <w:szCs w:val="18"/>
                <w:lang w:val="en-GB"/>
              </w:rPr>
            </w:pPr>
            <w:r w:rsidRPr="001B2B06">
              <w:rPr>
                <w:sz w:val="18"/>
                <w:szCs w:val="18"/>
                <w:lang w:val="en-GB"/>
              </w:rPr>
              <w:t xml:space="preserve">Financial resources:  At national expense. </w:t>
            </w:r>
          </w:p>
          <w:p w14:paraId="3F4D507E" w14:textId="77777777" w:rsidR="003E36CA" w:rsidRPr="001B2B06" w:rsidRDefault="003E36CA" w:rsidP="003E36CA">
            <w:pPr>
              <w:rPr>
                <w:b/>
                <w:sz w:val="18"/>
                <w:szCs w:val="18"/>
                <w:lang w:val="en-GB"/>
              </w:rPr>
            </w:pPr>
            <w:r w:rsidRPr="001B2B06">
              <w:rPr>
                <w:sz w:val="18"/>
                <w:szCs w:val="18"/>
                <w:lang w:val="en-GB"/>
              </w:rPr>
              <w:t>Amendments:  As warranted by the working groups.</w:t>
            </w:r>
          </w:p>
        </w:tc>
      </w:tr>
      <w:tr w:rsidR="00C42D32" w:rsidRPr="001B2B06" w14:paraId="46BC7A82" w14:textId="77777777" w:rsidTr="001B2B06">
        <w:tc>
          <w:tcPr>
            <w:tcW w:w="9288" w:type="dxa"/>
          </w:tcPr>
          <w:p w14:paraId="24CC2537" w14:textId="77777777" w:rsidR="00C42D32" w:rsidRPr="00351890" w:rsidRDefault="00C42D32" w:rsidP="003E36CA">
            <w:pPr>
              <w:rPr>
                <w:sz w:val="18"/>
                <w:szCs w:val="18"/>
                <w:u w:val="single"/>
                <w:lang w:val="en-GB"/>
              </w:rPr>
            </w:pPr>
          </w:p>
        </w:tc>
      </w:tr>
    </w:tbl>
    <w:p w14:paraId="47B4AAA9" w14:textId="77777777" w:rsidR="005C1B63" w:rsidRPr="00351890" w:rsidRDefault="005C1B63" w:rsidP="00B36626">
      <w:pPr>
        <w:rPr>
          <w:lang w:val="en-GB"/>
        </w:rPr>
      </w:pPr>
    </w:p>
    <w:p w14:paraId="790402A3" w14:textId="77777777" w:rsidR="005C1B63" w:rsidRPr="00652D90" w:rsidRDefault="005C1B63" w:rsidP="00652D90">
      <w:pPr>
        <w:jc w:val="center"/>
        <w:rPr>
          <w:b/>
          <w:szCs w:val="22"/>
          <w:u w:val="single"/>
        </w:rPr>
      </w:pPr>
      <w:r w:rsidRPr="005C1B63">
        <w:br w:type="page"/>
      </w:r>
      <w:r w:rsidRPr="008E6845">
        <w:rPr>
          <w:b/>
          <w:u w:val="single"/>
        </w:rPr>
        <w:lastRenderedPageBreak/>
        <w:t xml:space="preserve">Contact Details </w:t>
      </w:r>
      <w:r w:rsidR="00C7683E" w:rsidRPr="00C7683E">
        <w:rPr>
          <w:b/>
          <w:u w:val="single"/>
        </w:rPr>
        <w:t xml:space="preserve">Working Group </w:t>
      </w:r>
      <w:r w:rsidR="00565723">
        <w:rPr>
          <w:b/>
          <w:u w:val="single"/>
        </w:rPr>
        <w:t>Five</w:t>
      </w:r>
      <w:r w:rsidR="00C7683E" w:rsidRPr="00C7683E">
        <w:rPr>
          <w:b/>
          <w:u w:val="single"/>
        </w:rPr>
        <w:t xml:space="preserve">: </w:t>
      </w:r>
      <w:r w:rsidR="00652D90" w:rsidRPr="00652D90">
        <w:rPr>
          <w:b/>
          <w:u w:val="single"/>
        </w:rPr>
        <w:t>Regional Working Group on Tsunami Warning and Mitigation in the South East Pacific Region</w:t>
      </w:r>
    </w:p>
    <w:p w14:paraId="29E620FA" w14:textId="77777777" w:rsidR="005C1B63" w:rsidRDefault="005C1B63" w:rsidP="005C1B63"/>
    <w:tbl>
      <w:tblPr>
        <w:tblW w:w="9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160"/>
        <w:gridCol w:w="3023"/>
      </w:tblGrid>
      <w:tr w:rsidR="005C1B63" w:rsidRPr="001B2B06" w14:paraId="633A8085" w14:textId="77777777" w:rsidTr="001B2B06">
        <w:tc>
          <w:tcPr>
            <w:tcW w:w="4068" w:type="dxa"/>
          </w:tcPr>
          <w:p w14:paraId="7C8BD0BD" w14:textId="77777777" w:rsidR="005C1B63" w:rsidRPr="001B2B06" w:rsidRDefault="005C1B63" w:rsidP="001B2B06">
            <w:pPr>
              <w:jc w:val="center"/>
              <w:rPr>
                <w:b/>
                <w:sz w:val="20"/>
                <w:szCs w:val="20"/>
              </w:rPr>
            </w:pPr>
            <w:r w:rsidRPr="001B2B06">
              <w:rPr>
                <w:b/>
                <w:sz w:val="20"/>
                <w:szCs w:val="20"/>
              </w:rPr>
              <w:t>Name and Contact Details</w:t>
            </w:r>
          </w:p>
        </w:tc>
        <w:tc>
          <w:tcPr>
            <w:tcW w:w="2160" w:type="dxa"/>
          </w:tcPr>
          <w:p w14:paraId="1AD3CC29" w14:textId="77777777" w:rsidR="005C1B63" w:rsidRPr="001B2B06" w:rsidRDefault="005C1B63" w:rsidP="001B2B06">
            <w:pPr>
              <w:jc w:val="center"/>
              <w:rPr>
                <w:b/>
                <w:sz w:val="20"/>
                <w:szCs w:val="20"/>
              </w:rPr>
            </w:pPr>
            <w:r w:rsidRPr="001B2B06">
              <w:rPr>
                <w:b/>
                <w:sz w:val="20"/>
                <w:szCs w:val="20"/>
              </w:rPr>
              <w:t>Institution, Country</w:t>
            </w:r>
          </w:p>
        </w:tc>
        <w:tc>
          <w:tcPr>
            <w:tcW w:w="3023" w:type="dxa"/>
          </w:tcPr>
          <w:p w14:paraId="4A4C1124" w14:textId="77777777" w:rsidR="005C1B63" w:rsidRPr="001B2B06" w:rsidRDefault="005C1B63" w:rsidP="001B2B06">
            <w:pPr>
              <w:jc w:val="center"/>
              <w:rPr>
                <w:b/>
                <w:sz w:val="20"/>
                <w:szCs w:val="20"/>
              </w:rPr>
            </w:pPr>
            <w:r w:rsidRPr="001B2B06">
              <w:rPr>
                <w:b/>
                <w:sz w:val="20"/>
                <w:szCs w:val="20"/>
              </w:rPr>
              <w:t>Email</w:t>
            </w:r>
          </w:p>
        </w:tc>
      </w:tr>
      <w:tr w:rsidR="005C1B63" w:rsidRPr="00131DDB" w14:paraId="7ACDDF60" w14:textId="77777777" w:rsidTr="001B2B06">
        <w:tc>
          <w:tcPr>
            <w:tcW w:w="4068" w:type="dxa"/>
          </w:tcPr>
          <w:p w14:paraId="5661647A" w14:textId="77777777" w:rsidR="00937BBC" w:rsidRPr="001B2B06" w:rsidRDefault="00937BBC" w:rsidP="00C7683E">
            <w:pPr>
              <w:rPr>
                <w:sz w:val="20"/>
                <w:szCs w:val="20"/>
                <w:lang w:val="es-CL"/>
              </w:rPr>
            </w:pPr>
          </w:p>
          <w:p w14:paraId="71588751" w14:textId="77777777" w:rsidR="00C7683E" w:rsidRPr="001B2B06" w:rsidRDefault="00C7683E" w:rsidP="00C7683E">
            <w:pPr>
              <w:rPr>
                <w:sz w:val="20"/>
                <w:szCs w:val="20"/>
                <w:lang w:val="es-CL"/>
              </w:rPr>
            </w:pPr>
            <w:r w:rsidRPr="001B2B06">
              <w:rPr>
                <w:sz w:val="20"/>
                <w:szCs w:val="20"/>
                <w:lang w:val="es-CL"/>
              </w:rPr>
              <w:t>Dirección de Hidrografía y Navegación</w:t>
            </w:r>
          </w:p>
          <w:p w14:paraId="6C4C16F3" w14:textId="77777777" w:rsidR="00C7683E" w:rsidRPr="001B2B06" w:rsidRDefault="00C7683E" w:rsidP="00C7683E">
            <w:pPr>
              <w:rPr>
                <w:sz w:val="20"/>
                <w:szCs w:val="20"/>
                <w:lang w:val="es-CL"/>
              </w:rPr>
            </w:pPr>
            <w:r w:rsidRPr="001B2B06">
              <w:rPr>
                <w:sz w:val="20"/>
                <w:szCs w:val="20"/>
                <w:lang w:val="es-CL"/>
              </w:rPr>
              <w:t>Departamento de Oceanografía</w:t>
            </w:r>
          </w:p>
          <w:p w14:paraId="3E19511A" w14:textId="77777777" w:rsidR="00C7683E" w:rsidRPr="001B2B06" w:rsidRDefault="00C7683E" w:rsidP="00C7683E">
            <w:pPr>
              <w:rPr>
                <w:sz w:val="20"/>
                <w:szCs w:val="20"/>
                <w:lang w:val="es-CL"/>
              </w:rPr>
            </w:pPr>
            <w:r w:rsidRPr="001B2B06">
              <w:rPr>
                <w:sz w:val="20"/>
                <w:szCs w:val="20"/>
                <w:lang w:val="es-CL"/>
              </w:rPr>
              <w:t>División de Modelamiento Numérico</w:t>
            </w:r>
          </w:p>
          <w:p w14:paraId="6C4930C7" w14:textId="77777777" w:rsidR="00C7683E" w:rsidRPr="001B2B06" w:rsidRDefault="00C7683E" w:rsidP="00C7683E">
            <w:pPr>
              <w:rPr>
                <w:sz w:val="20"/>
                <w:szCs w:val="20"/>
                <w:lang w:val="es-CL"/>
              </w:rPr>
            </w:pPr>
            <w:r w:rsidRPr="001B2B06">
              <w:rPr>
                <w:sz w:val="20"/>
                <w:szCs w:val="20"/>
                <w:lang w:val="es-CL"/>
              </w:rPr>
              <w:t>Av. Gamarra 500 - Chucuito - Callao - Perú</w:t>
            </w:r>
          </w:p>
          <w:p w14:paraId="4EE1366E" w14:textId="77777777" w:rsidR="00C7683E" w:rsidRPr="001B2B06" w:rsidRDefault="00C7683E" w:rsidP="00C7683E">
            <w:pPr>
              <w:rPr>
                <w:sz w:val="20"/>
                <w:szCs w:val="20"/>
                <w:lang w:val="es-CL"/>
              </w:rPr>
            </w:pPr>
            <w:proofErr w:type="spellStart"/>
            <w:r w:rsidRPr="001B2B06">
              <w:rPr>
                <w:sz w:val="20"/>
                <w:szCs w:val="20"/>
                <w:lang w:val="es-CL"/>
              </w:rPr>
              <w:t>Teféfono</w:t>
            </w:r>
            <w:proofErr w:type="spellEnd"/>
            <w:r w:rsidRPr="001B2B06">
              <w:rPr>
                <w:sz w:val="20"/>
                <w:szCs w:val="20"/>
                <w:lang w:val="es-CL"/>
              </w:rPr>
              <w:t>: 0051 1 6136767 anexo 6466</w:t>
            </w:r>
          </w:p>
          <w:p w14:paraId="30F208C8" w14:textId="77777777" w:rsidR="004A36F7" w:rsidRPr="001B2B06" w:rsidRDefault="00C7683E" w:rsidP="00C7683E">
            <w:pPr>
              <w:rPr>
                <w:sz w:val="20"/>
                <w:szCs w:val="20"/>
                <w:lang w:val="es-CL"/>
              </w:rPr>
            </w:pPr>
            <w:r w:rsidRPr="001B2B06">
              <w:rPr>
                <w:sz w:val="20"/>
                <w:szCs w:val="20"/>
                <w:lang w:val="es-CL"/>
              </w:rPr>
              <w:t>Fax: 0051 1 6136759</w:t>
            </w:r>
          </w:p>
        </w:tc>
        <w:tc>
          <w:tcPr>
            <w:tcW w:w="2160" w:type="dxa"/>
          </w:tcPr>
          <w:p w14:paraId="5047ACEF" w14:textId="77777777" w:rsidR="005C1B63" w:rsidRPr="001B2B06" w:rsidRDefault="00C7683E" w:rsidP="005C1B63">
            <w:pPr>
              <w:rPr>
                <w:sz w:val="20"/>
                <w:szCs w:val="20"/>
                <w:lang w:val="es-CL"/>
              </w:rPr>
            </w:pPr>
            <w:r w:rsidRPr="001B2B06">
              <w:rPr>
                <w:sz w:val="20"/>
                <w:szCs w:val="20"/>
              </w:rPr>
              <w:t xml:space="preserve">DHN, </w:t>
            </w:r>
            <w:smartTag w:uri="urn:schemas-microsoft-com:office:smarttags" w:element="place">
              <w:smartTag w:uri="urn:schemas-microsoft-com:office:smarttags" w:element="country-region">
                <w:r w:rsidRPr="001B2B06">
                  <w:rPr>
                    <w:sz w:val="20"/>
                    <w:szCs w:val="20"/>
                  </w:rPr>
                  <w:t>Peru</w:t>
                </w:r>
              </w:smartTag>
            </w:smartTag>
          </w:p>
        </w:tc>
        <w:tc>
          <w:tcPr>
            <w:tcW w:w="3023" w:type="dxa"/>
          </w:tcPr>
          <w:p w14:paraId="68C22337" w14:textId="77777777" w:rsidR="005C1B63" w:rsidRPr="001B2B06" w:rsidRDefault="00000000" w:rsidP="000A58EA">
            <w:pPr>
              <w:rPr>
                <w:sz w:val="20"/>
                <w:szCs w:val="20"/>
                <w:lang w:val="es-CL"/>
              </w:rPr>
            </w:pPr>
            <w:hyperlink r:id="rId7" w:history="1">
              <w:r w:rsidR="000A58EA" w:rsidRPr="000A58EA">
                <w:rPr>
                  <w:rStyle w:val="Hyperlink"/>
                  <w:sz w:val="20"/>
                  <w:szCs w:val="20"/>
                  <w:lang w:val="es-CL"/>
                </w:rPr>
                <w:t>Crodriguez@dhn.mil.pe</w:t>
              </w:r>
            </w:hyperlink>
            <w:r w:rsidR="000A58EA" w:rsidRPr="000A58EA">
              <w:rPr>
                <w:sz w:val="20"/>
                <w:szCs w:val="20"/>
                <w:lang w:val="es-CL"/>
              </w:rPr>
              <w:t xml:space="preserve">  </w:t>
            </w:r>
            <w:hyperlink r:id="rId8" w:history="1">
              <w:r w:rsidR="000A58EA" w:rsidRPr="000A58EA">
                <w:rPr>
                  <w:rStyle w:val="Hyperlink"/>
                  <w:sz w:val="20"/>
                  <w:szCs w:val="20"/>
                  <w:lang w:val="es-CL"/>
                </w:rPr>
                <w:t>ceci.rodriguez.cruz@gmail.com</w:t>
              </w:r>
            </w:hyperlink>
            <w:r w:rsidR="000A58EA" w:rsidRPr="000A58EA">
              <w:rPr>
                <w:sz w:val="20"/>
                <w:szCs w:val="20"/>
                <w:lang w:val="es-CL"/>
              </w:rPr>
              <w:t xml:space="preserve"> </w:t>
            </w:r>
            <w:r w:rsidR="00B9738B">
              <w:rPr>
                <w:sz w:val="20"/>
                <w:szCs w:val="20"/>
                <w:lang w:val="es-CL"/>
              </w:rPr>
              <w:t xml:space="preserve"> </w:t>
            </w:r>
          </w:p>
        </w:tc>
      </w:tr>
      <w:tr w:rsidR="005C1B63" w:rsidRPr="001B2B06" w14:paraId="4D4C04E8" w14:textId="77777777" w:rsidTr="001B2B06">
        <w:tc>
          <w:tcPr>
            <w:tcW w:w="4068" w:type="dxa"/>
          </w:tcPr>
          <w:p w14:paraId="46FF6361" w14:textId="77777777" w:rsidR="00937BBC" w:rsidRPr="001B2B06" w:rsidRDefault="00937BBC" w:rsidP="008471B1">
            <w:pPr>
              <w:rPr>
                <w:sz w:val="20"/>
                <w:szCs w:val="20"/>
                <w:lang w:val="es-CL"/>
              </w:rPr>
            </w:pPr>
          </w:p>
          <w:p w14:paraId="4E9463AB" w14:textId="77777777" w:rsidR="008471B1" w:rsidRPr="001B2B06" w:rsidRDefault="008471B1" w:rsidP="008471B1">
            <w:pPr>
              <w:rPr>
                <w:sz w:val="20"/>
                <w:szCs w:val="20"/>
                <w:lang w:val="es-CL"/>
              </w:rPr>
            </w:pPr>
            <w:r w:rsidRPr="001B2B06">
              <w:rPr>
                <w:sz w:val="20"/>
                <w:szCs w:val="20"/>
                <w:lang w:val="es-CL"/>
              </w:rPr>
              <w:t xml:space="preserve">Head </w:t>
            </w:r>
            <w:proofErr w:type="spellStart"/>
            <w:r w:rsidRPr="001B2B06">
              <w:rPr>
                <w:sz w:val="20"/>
                <w:szCs w:val="20"/>
                <w:lang w:val="es-CL"/>
              </w:rPr>
              <w:t>Oceanography</w:t>
            </w:r>
            <w:proofErr w:type="spellEnd"/>
            <w:r w:rsidRPr="001B2B06">
              <w:rPr>
                <w:sz w:val="20"/>
                <w:szCs w:val="20"/>
                <w:lang w:val="es-CL"/>
              </w:rPr>
              <w:t xml:space="preserve"> </w:t>
            </w:r>
            <w:proofErr w:type="spellStart"/>
            <w:r w:rsidRPr="001B2B06">
              <w:rPr>
                <w:sz w:val="20"/>
                <w:szCs w:val="20"/>
                <w:lang w:val="es-CL"/>
              </w:rPr>
              <w:t>Department</w:t>
            </w:r>
            <w:proofErr w:type="spellEnd"/>
            <w:r w:rsidRPr="001B2B06">
              <w:rPr>
                <w:sz w:val="20"/>
                <w:szCs w:val="20"/>
                <w:lang w:val="es-CL"/>
              </w:rPr>
              <w:t xml:space="preserve"> </w:t>
            </w:r>
          </w:p>
          <w:p w14:paraId="2DC07263" w14:textId="77777777" w:rsidR="008471B1" w:rsidRPr="001B2B06" w:rsidRDefault="008471B1" w:rsidP="008471B1">
            <w:pPr>
              <w:rPr>
                <w:sz w:val="20"/>
                <w:szCs w:val="20"/>
                <w:lang w:val="es-CL"/>
              </w:rPr>
            </w:pPr>
            <w:r w:rsidRPr="001B2B06">
              <w:rPr>
                <w:sz w:val="20"/>
                <w:szCs w:val="20"/>
                <w:lang w:val="es-CL"/>
              </w:rPr>
              <w:t xml:space="preserve">Servicio Hidrográfico y </w:t>
            </w:r>
            <w:proofErr w:type="spellStart"/>
            <w:r w:rsidRPr="001B2B06">
              <w:rPr>
                <w:sz w:val="20"/>
                <w:szCs w:val="20"/>
                <w:lang w:val="es-CL"/>
              </w:rPr>
              <w:t>Oeanográfico</w:t>
            </w:r>
            <w:proofErr w:type="spellEnd"/>
            <w:r w:rsidRPr="001B2B06">
              <w:rPr>
                <w:sz w:val="20"/>
                <w:szCs w:val="20"/>
                <w:lang w:val="es-CL"/>
              </w:rPr>
              <w:t xml:space="preserve"> de la Armada (SHOA) de Chile</w:t>
            </w:r>
          </w:p>
          <w:p w14:paraId="4AF0FC95" w14:textId="77777777" w:rsidR="008471B1" w:rsidRPr="00351890" w:rsidRDefault="008471B1" w:rsidP="008471B1">
            <w:pPr>
              <w:rPr>
                <w:sz w:val="20"/>
                <w:szCs w:val="20"/>
                <w:lang w:val="es-ES"/>
              </w:rPr>
            </w:pPr>
            <w:r w:rsidRPr="00351890">
              <w:rPr>
                <w:sz w:val="20"/>
                <w:szCs w:val="20"/>
                <w:lang w:val="es-ES"/>
              </w:rPr>
              <w:t>Errazuriz 232 Playa Ancha</w:t>
            </w:r>
          </w:p>
          <w:p w14:paraId="1A16B7F3" w14:textId="77777777" w:rsidR="008471B1" w:rsidRPr="00351890" w:rsidRDefault="008471B1" w:rsidP="008471B1">
            <w:pPr>
              <w:rPr>
                <w:sz w:val="20"/>
                <w:szCs w:val="20"/>
                <w:lang w:val="es-ES"/>
              </w:rPr>
            </w:pPr>
            <w:r w:rsidRPr="00351890">
              <w:rPr>
                <w:sz w:val="20"/>
                <w:szCs w:val="20"/>
                <w:lang w:val="es-ES"/>
              </w:rPr>
              <w:t>Valparaíso, CHILE</w:t>
            </w:r>
          </w:p>
          <w:p w14:paraId="749B9441" w14:textId="77777777" w:rsidR="008471B1" w:rsidRPr="00351890" w:rsidRDefault="008471B1" w:rsidP="008471B1">
            <w:pPr>
              <w:rPr>
                <w:sz w:val="20"/>
                <w:szCs w:val="20"/>
                <w:lang w:val="es-ES"/>
              </w:rPr>
            </w:pPr>
            <w:r w:rsidRPr="00351890">
              <w:rPr>
                <w:sz w:val="20"/>
                <w:szCs w:val="20"/>
                <w:lang w:val="es-ES"/>
              </w:rPr>
              <w:t>Tel: &lt;56&gt; 322266570/71</w:t>
            </w:r>
          </w:p>
          <w:p w14:paraId="0F937D8C" w14:textId="77777777" w:rsidR="005C1B63" w:rsidRPr="001B2B06" w:rsidRDefault="008471B1" w:rsidP="008471B1">
            <w:pPr>
              <w:rPr>
                <w:sz w:val="20"/>
                <w:szCs w:val="20"/>
                <w:lang w:val="fr-FR"/>
              </w:rPr>
            </w:pPr>
            <w:r w:rsidRPr="001B2B06">
              <w:rPr>
                <w:sz w:val="20"/>
                <w:szCs w:val="20"/>
                <w:lang w:val="fr-FR"/>
              </w:rPr>
              <w:t>Fax: &lt;56&gt; 323226542</w:t>
            </w:r>
          </w:p>
        </w:tc>
        <w:tc>
          <w:tcPr>
            <w:tcW w:w="2160" w:type="dxa"/>
          </w:tcPr>
          <w:p w14:paraId="2844281F" w14:textId="77777777" w:rsidR="005C1B63" w:rsidRPr="001B2B06" w:rsidRDefault="00974BB7" w:rsidP="005C1B63">
            <w:pPr>
              <w:rPr>
                <w:sz w:val="20"/>
                <w:szCs w:val="20"/>
                <w:lang w:val="fr-FR"/>
              </w:rPr>
            </w:pPr>
            <w:r w:rsidRPr="001B2B06">
              <w:rPr>
                <w:sz w:val="20"/>
                <w:szCs w:val="20"/>
                <w:lang w:val="fr-FR"/>
              </w:rPr>
              <w:t>SHOA, Chile</w:t>
            </w:r>
          </w:p>
        </w:tc>
        <w:tc>
          <w:tcPr>
            <w:tcW w:w="3023" w:type="dxa"/>
          </w:tcPr>
          <w:p w14:paraId="59C3F2F2" w14:textId="28A17928" w:rsidR="005C1B63" w:rsidRPr="001B2B06" w:rsidRDefault="00131DDB" w:rsidP="005C1B63">
            <w:pPr>
              <w:rPr>
                <w:sz w:val="20"/>
                <w:szCs w:val="20"/>
                <w:lang w:val="fr-FR"/>
              </w:rPr>
            </w:pPr>
            <w:hyperlink r:id="rId9" w:history="1">
              <w:r w:rsidRPr="00D62CE2">
                <w:rPr>
                  <w:rStyle w:val="Hyperlink"/>
                  <w:sz w:val="20"/>
                  <w:szCs w:val="20"/>
                  <w:lang w:val="fr-FR"/>
                </w:rPr>
                <w:t>msifon@shoa.cl</w:t>
              </w:r>
            </w:hyperlink>
            <w:r>
              <w:rPr>
                <w:sz w:val="20"/>
                <w:szCs w:val="20"/>
                <w:lang w:val="fr-FR"/>
              </w:rPr>
              <w:t xml:space="preserve"> </w:t>
            </w:r>
          </w:p>
        </w:tc>
      </w:tr>
      <w:tr w:rsidR="005C1B63" w:rsidRPr="001B2B06" w14:paraId="58581C00" w14:textId="77777777" w:rsidTr="001B2B06">
        <w:tc>
          <w:tcPr>
            <w:tcW w:w="4068" w:type="dxa"/>
          </w:tcPr>
          <w:p w14:paraId="78650DB2" w14:textId="77777777" w:rsidR="00DC6163" w:rsidRPr="00351890" w:rsidRDefault="00DC6163" w:rsidP="00DC6163">
            <w:pPr>
              <w:rPr>
                <w:sz w:val="20"/>
                <w:szCs w:val="20"/>
                <w:lang w:val="en-GB"/>
              </w:rPr>
            </w:pPr>
          </w:p>
          <w:p w14:paraId="57CB6890" w14:textId="77777777" w:rsidR="00DC6163" w:rsidRPr="001B2B06" w:rsidRDefault="00DC6163" w:rsidP="00DC6163">
            <w:pPr>
              <w:rPr>
                <w:sz w:val="20"/>
                <w:szCs w:val="20"/>
              </w:rPr>
            </w:pPr>
            <w:r w:rsidRPr="001B2B06">
              <w:rPr>
                <w:sz w:val="20"/>
                <w:szCs w:val="20"/>
              </w:rPr>
              <w:t>Oceanographic Institute of the Ecuadorian Navy, INOCAR</w:t>
            </w:r>
          </w:p>
          <w:p w14:paraId="317742BE" w14:textId="77777777" w:rsidR="00DC6163" w:rsidRPr="00351890" w:rsidRDefault="00DC6163" w:rsidP="00DC6163">
            <w:pPr>
              <w:rPr>
                <w:sz w:val="20"/>
                <w:szCs w:val="20"/>
                <w:lang w:val="es-ES"/>
              </w:rPr>
            </w:pPr>
            <w:r w:rsidRPr="00351890">
              <w:rPr>
                <w:sz w:val="20"/>
                <w:szCs w:val="20"/>
                <w:lang w:val="es-ES"/>
              </w:rPr>
              <w:t>Av. 25 de Julio – Base Naval Sur</w:t>
            </w:r>
          </w:p>
          <w:p w14:paraId="4748321D" w14:textId="77777777" w:rsidR="00DC6163" w:rsidRPr="001B2B06" w:rsidRDefault="00DC6163" w:rsidP="00DC6163">
            <w:pPr>
              <w:rPr>
                <w:sz w:val="20"/>
                <w:szCs w:val="20"/>
                <w:lang w:val="fr-FR"/>
              </w:rPr>
            </w:pPr>
            <w:r w:rsidRPr="001B2B06">
              <w:rPr>
                <w:sz w:val="20"/>
                <w:szCs w:val="20"/>
                <w:lang w:val="fr-FR"/>
              </w:rPr>
              <w:t>Guayaquil</w:t>
            </w:r>
          </w:p>
          <w:p w14:paraId="37B75A21" w14:textId="77777777" w:rsidR="00DC6163" w:rsidRPr="001B2B06" w:rsidRDefault="00DC6163" w:rsidP="00DC6163">
            <w:pPr>
              <w:rPr>
                <w:sz w:val="20"/>
                <w:szCs w:val="20"/>
                <w:lang w:val="fr-FR"/>
              </w:rPr>
            </w:pPr>
            <w:r w:rsidRPr="001B2B06">
              <w:rPr>
                <w:sz w:val="20"/>
                <w:szCs w:val="20"/>
                <w:lang w:val="fr-FR"/>
              </w:rPr>
              <w:t>Tel.: (593 4) 2 481300</w:t>
            </w:r>
          </w:p>
          <w:p w14:paraId="1009646E" w14:textId="77777777" w:rsidR="005C1B63" w:rsidRPr="001B2B06" w:rsidRDefault="00DC6163" w:rsidP="00DC6163">
            <w:pPr>
              <w:rPr>
                <w:sz w:val="20"/>
                <w:szCs w:val="20"/>
                <w:lang w:val="fr-FR"/>
              </w:rPr>
            </w:pPr>
            <w:r w:rsidRPr="001B2B06">
              <w:rPr>
                <w:sz w:val="20"/>
                <w:szCs w:val="20"/>
                <w:lang w:val="fr-FR"/>
              </w:rPr>
              <w:t>Fax: (593 4)2485165</w:t>
            </w:r>
          </w:p>
        </w:tc>
        <w:tc>
          <w:tcPr>
            <w:tcW w:w="2160" w:type="dxa"/>
          </w:tcPr>
          <w:p w14:paraId="535E8B87" w14:textId="77777777" w:rsidR="005C1B63" w:rsidRPr="001B2B06" w:rsidRDefault="00DC6163" w:rsidP="005C1B63">
            <w:pPr>
              <w:rPr>
                <w:sz w:val="20"/>
                <w:szCs w:val="20"/>
                <w:lang w:val="fr-FR"/>
              </w:rPr>
            </w:pPr>
            <w:r w:rsidRPr="001B2B06">
              <w:rPr>
                <w:sz w:val="20"/>
                <w:szCs w:val="20"/>
                <w:lang w:val="fr-FR"/>
              </w:rPr>
              <w:t xml:space="preserve">INOCAR, </w:t>
            </w:r>
            <w:proofErr w:type="spellStart"/>
            <w:r w:rsidRPr="001B2B06">
              <w:rPr>
                <w:sz w:val="20"/>
                <w:szCs w:val="20"/>
                <w:lang w:val="fr-FR"/>
              </w:rPr>
              <w:t>Ecuador</w:t>
            </w:r>
            <w:proofErr w:type="spellEnd"/>
          </w:p>
        </w:tc>
        <w:tc>
          <w:tcPr>
            <w:tcW w:w="3023" w:type="dxa"/>
          </w:tcPr>
          <w:p w14:paraId="6D1BA364" w14:textId="77777777" w:rsidR="005C1B63" w:rsidRPr="001B2B06" w:rsidRDefault="005C1B63" w:rsidP="005C1B63">
            <w:pPr>
              <w:rPr>
                <w:sz w:val="20"/>
                <w:szCs w:val="20"/>
                <w:lang w:val="fr-FR"/>
              </w:rPr>
            </w:pPr>
          </w:p>
        </w:tc>
      </w:tr>
      <w:tr w:rsidR="005C1B63" w:rsidRPr="00131DDB" w14:paraId="46EE05DD" w14:textId="77777777" w:rsidTr="001B2B06">
        <w:tc>
          <w:tcPr>
            <w:tcW w:w="4068" w:type="dxa"/>
          </w:tcPr>
          <w:p w14:paraId="473722C3" w14:textId="77777777" w:rsidR="00DB323D" w:rsidRPr="001B2B06" w:rsidRDefault="00DB323D" w:rsidP="00DB323D">
            <w:pPr>
              <w:rPr>
                <w:sz w:val="20"/>
                <w:szCs w:val="20"/>
                <w:lang w:val="es-CL"/>
              </w:rPr>
            </w:pPr>
            <w:r w:rsidRPr="001B2B06">
              <w:rPr>
                <w:sz w:val="20"/>
                <w:szCs w:val="20"/>
                <w:lang w:val="es-CL"/>
              </w:rPr>
              <w:t>Secretario Ejecutivo Comisión Colombiana del Océano Carrera 54 # 26 - 50 / Cuarto Piso Bogotá D.C.</w:t>
            </w:r>
          </w:p>
          <w:p w14:paraId="293D68DC" w14:textId="77777777" w:rsidR="00DB323D" w:rsidRPr="001B2B06" w:rsidRDefault="00DB323D" w:rsidP="00DB323D">
            <w:pPr>
              <w:rPr>
                <w:sz w:val="20"/>
                <w:szCs w:val="20"/>
                <w:lang w:val="fr-FR"/>
              </w:rPr>
            </w:pPr>
            <w:r w:rsidRPr="001B2B06">
              <w:rPr>
                <w:sz w:val="20"/>
                <w:szCs w:val="20"/>
                <w:lang w:val="es-CL"/>
              </w:rPr>
              <w:t> </w:t>
            </w:r>
            <w:r w:rsidRPr="001B2B06">
              <w:rPr>
                <w:sz w:val="20"/>
                <w:szCs w:val="20"/>
                <w:lang w:val="fr-FR"/>
              </w:rPr>
              <w:t>Tel (57) (1) 3158520</w:t>
            </w:r>
          </w:p>
          <w:p w14:paraId="33EC877B" w14:textId="77777777" w:rsidR="005C1B63" w:rsidRPr="001B2B06" w:rsidRDefault="00DB323D" w:rsidP="00DB323D">
            <w:pPr>
              <w:rPr>
                <w:sz w:val="20"/>
                <w:szCs w:val="20"/>
                <w:lang w:val="fr-FR"/>
              </w:rPr>
            </w:pPr>
            <w:r w:rsidRPr="001B2B06">
              <w:rPr>
                <w:sz w:val="20"/>
                <w:szCs w:val="20"/>
                <w:lang w:val="fr-FR"/>
              </w:rPr>
              <w:t>Fax (57) (1) 3158217</w:t>
            </w:r>
          </w:p>
        </w:tc>
        <w:tc>
          <w:tcPr>
            <w:tcW w:w="2160" w:type="dxa"/>
          </w:tcPr>
          <w:p w14:paraId="14163F12" w14:textId="77777777" w:rsidR="005C1B63" w:rsidRPr="001B2B06" w:rsidRDefault="00DB323D" w:rsidP="005C1B63">
            <w:pPr>
              <w:rPr>
                <w:sz w:val="20"/>
                <w:szCs w:val="20"/>
                <w:lang w:val="fr-FR"/>
              </w:rPr>
            </w:pPr>
            <w:r w:rsidRPr="001B2B06">
              <w:rPr>
                <w:sz w:val="20"/>
                <w:szCs w:val="20"/>
                <w:lang w:val="fr-FR"/>
              </w:rPr>
              <w:t>CCO, Colombia</w:t>
            </w:r>
          </w:p>
        </w:tc>
        <w:tc>
          <w:tcPr>
            <w:tcW w:w="3023" w:type="dxa"/>
          </w:tcPr>
          <w:p w14:paraId="347E50A9" w14:textId="77777777" w:rsidR="005C1B63" w:rsidRDefault="00000000" w:rsidP="005C1B63">
            <w:pPr>
              <w:rPr>
                <w:sz w:val="20"/>
                <w:szCs w:val="20"/>
                <w:lang w:val="fr-FR"/>
              </w:rPr>
            </w:pPr>
            <w:hyperlink r:id="rId10" w:history="1">
              <w:r w:rsidR="00B9738B" w:rsidRPr="00987883">
                <w:rPr>
                  <w:rStyle w:val="Hyperlink"/>
                  <w:sz w:val="20"/>
                  <w:szCs w:val="20"/>
                  <w:lang w:val="fr-FR"/>
                </w:rPr>
                <w:t>oceano@cco.gov.co</w:t>
              </w:r>
            </w:hyperlink>
          </w:p>
          <w:p w14:paraId="6CE922EE" w14:textId="77777777" w:rsidR="00B9738B" w:rsidRPr="001B2B06" w:rsidRDefault="00000000" w:rsidP="005C1B63">
            <w:pPr>
              <w:rPr>
                <w:sz w:val="20"/>
                <w:szCs w:val="20"/>
                <w:lang w:val="fr-FR"/>
              </w:rPr>
            </w:pPr>
            <w:hyperlink r:id="rId11" w:history="1">
              <w:r w:rsidR="00B9738B" w:rsidRPr="00987883">
                <w:rPr>
                  <w:rStyle w:val="Hyperlink"/>
                  <w:sz w:val="20"/>
                  <w:szCs w:val="20"/>
                  <w:lang w:val="fr-FR"/>
                </w:rPr>
                <w:t>mrengifo@dimar.mil.co</w:t>
              </w:r>
            </w:hyperlink>
            <w:r w:rsidR="00B9738B">
              <w:rPr>
                <w:sz w:val="20"/>
                <w:szCs w:val="20"/>
                <w:lang w:val="fr-FR"/>
              </w:rPr>
              <w:t xml:space="preserve"> </w:t>
            </w:r>
          </w:p>
        </w:tc>
      </w:tr>
      <w:tr w:rsidR="005C1B63" w:rsidRPr="00131DDB" w14:paraId="142049AC" w14:textId="77777777" w:rsidTr="001B2B06">
        <w:tc>
          <w:tcPr>
            <w:tcW w:w="4068" w:type="dxa"/>
          </w:tcPr>
          <w:p w14:paraId="3463BD70" w14:textId="77777777" w:rsidR="005C1B63" w:rsidRPr="001B2B06" w:rsidRDefault="005C1B63" w:rsidP="00554EF0">
            <w:pPr>
              <w:rPr>
                <w:sz w:val="20"/>
                <w:szCs w:val="20"/>
                <w:lang w:val="fr-FR"/>
              </w:rPr>
            </w:pPr>
          </w:p>
        </w:tc>
        <w:tc>
          <w:tcPr>
            <w:tcW w:w="2160" w:type="dxa"/>
          </w:tcPr>
          <w:p w14:paraId="71673678" w14:textId="77777777" w:rsidR="005C1B63" w:rsidRPr="001B2B06" w:rsidRDefault="005C1B63" w:rsidP="00554EF0">
            <w:pPr>
              <w:rPr>
                <w:sz w:val="20"/>
                <w:szCs w:val="20"/>
                <w:lang w:val="fr-FR"/>
              </w:rPr>
            </w:pPr>
          </w:p>
        </w:tc>
        <w:tc>
          <w:tcPr>
            <w:tcW w:w="3023" w:type="dxa"/>
          </w:tcPr>
          <w:p w14:paraId="1FA1900F" w14:textId="77777777" w:rsidR="005C1B63" w:rsidRPr="001B2B06" w:rsidRDefault="005C1B63" w:rsidP="005C1B63">
            <w:pPr>
              <w:rPr>
                <w:sz w:val="20"/>
                <w:szCs w:val="20"/>
                <w:lang w:val="fr-FR"/>
              </w:rPr>
            </w:pPr>
          </w:p>
        </w:tc>
      </w:tr>
      <w:tr w:rsidR="005C1B63" w:rsidRPr="00131DDB" w14:paraId="6A440465" w14:textId="77777777" w:rsidTr="001B2B06">
        <w:tc>
          <w:tcPr>
            <w:tcW w:w="4068" w:type="dxa"/>
          </w:tcPr>
          <w:p w14:paraId="35B70422" w14:textId="77777777" w:rsidR="005C1B63" w:rsidRPr="001B2B06" w:rsidRDefault="005C1B63" w:rsidP="004C50F7">
            <w:pPr>
              <w:rPr>
                <w:sz w:val="20"/>
                <w:szCs w:val="20"/>
                <w:lang w:val="fr-FR"/>
              </w:rPr>
            </w:pPr>
          </w:p>
        </w:tc>
        <w:tc>
          <w:tcPr>
            <w:tcW w:w="2160" w:type="dxa"/>
          </w:tcPr>
          <w:p w14:paraId="49264C1E" w14:textId="77777777" w:rsidR="005C1B63" w:rsidRPr="001B2B06" w:rsidRDefault="005C1B63" w:rsidP="005C1B63">
            <w:pPr>
              <w:rPr>
                <w:sz w:val="20"/>
                <w:szCs w:val="20"/>
                <w:lang w:val="fr-FR"/>
              </w:rPr>
            </w:pPr>
          </w:p>
        </w:tc>
        <w:tc>
          <w:tcPr>
            <w:tcW w:w="3023" w:type="dxa"/>
          </w:tcPr>
          <w:p w14:paraId="5D42E47A" w14:textId="77777777" w:rsidR="005C1B63" w:rsidRPr="001B2B06" w:rsidRDefault="005C1B63" w:rsidP="005C1B63">
            <w:pPr>
              <w:rPr>
                <w:sz w:val="20"/>
                <w:szCs w:val="20"/>
                <w:lang w:val="fr-FR"/>
              </w:rPr>
            </w:pPr>
          </w:p>
        </w:tc>
      </w:tr>
      <w:tr w:rsidR="00F96C21" w:rsidRPr="00131DDB" w14:paraId="56DA9D47" w14:textId="77777777" w:rsidTr="001B2B06">
        <w:tc>
          <w:tcPr>
            <w:tcW w:w="4068" w:type="dxa"/>
          </w:tcPr>
          <w:p w14:paraId="4E697BFE" w14:textId="77777777" w:rsidR="00F96C21" w:rsidRPr="001B2B06" w:rsidRDefault="00F96C21" w:rsidP="00F96C21">
            <w:pPr>
              <w:rPr>
                <w:sz w:val="20"/>
                <w:szCs w:val="20"/>
                <w:lang w:val="fr-FR"/>
              </w:rPr>
            </w:pPr>
          </w:p>
        </w:tc>
        <w:tc>
          <w:tcPr>
            <w:tcW w:w="2160" w:type="dxa"/>
          </w:tcPr>
          <w:p w14:paraId="3FC6AF4B" w14:textId="77777777" w:rsidR="00F96C21" w:rsidRPr="001B2B06" w:rsidRDefault="00F96C21" w:rsidP="005C1B63">
            <w:pPr>
              <w:rPr>
                <w:sz w:val="20"/>
                <w:szCs w:val="20"/>
                <w:lang w:val="fr-FR"/>
              </w:rPr>
            </w:pPr>
          </w:p>
        </w:tc>
        <w:tc>
          <w:tcPr>
            <w:tcW w:w="3023" w:type="dxa"/>
          </w:tcPr>
          <w:p w14:paraId="443F98ED" w14:textId="77777777" w:rsidR="00F96C21" w:rsidRPr="001B2B06" w:rsidRDefault="00F96C21" w:rsidP="00B94398">
            <w:pPr>
              <w:rPr>
                <w:sz w:val="20"/>
                <w:szCs w:val="20"/>
                <w:lang w:val="fr-FR"/>
              </w:rPr>
            </w:pPr>
          </w:p>
        </w:tc>
      </w:tr>
      <w:tr w:rsidR="005C1B63" w:rsidRPr="00131DDB" w14:paraId="3AAEB9CC" w14:textId="77777777" w:rsidTr="001B2B06">
        <w:tc>
          <w:tcPr>
            <w:tcW w:w="4068" w:type="dxa"/>
          </w:tcPr>
          <w:p w14:paraId="1BD09D30" w14:textId="77777777" w:rsidR="005C1B63" w:rsidRPr="001B2B06" w:rsidRDefault="005C1B63" w:rsidP="005C1B63">
            <w:pPr>
              <w:rPr>
                <w:sz w:val="20"/>
                <w:szCs w:val="20"/>
                <w:lang w:val="fr-FR"/>
              </w:rPr>
            </w:pPr>
          </w:p>
        </w:tc>
        <w:tc>
          <w:tcPr>
            <w:tcW w:w="2160" w:type="dxa"/>
          </w:tcPr>
          <w:p w14:paraId="2D2AFF99" w14:textId="77777777" w:rsidR="005C1B63" w:rsidRPr="001B2B06" w:rsidRDefault="005C1B63" w:rsidP="005C1B63">
            <w:pPr>
              <w:rPr>
                <w:sz w:val="20"/>
                <w:szCs w:val="20"/>
                <w:lang w:val="fr-FR"/>
              </w:rPr>
            </w:pPr>
          </w:p>
        </w:tc>
        <w:tc>
          <w:tcPr>
            <w:tcW w:w="3023" w:type="dxa"/>
          </w:tcPr>
          <w:p w14:paraId="659C5D28" w14:textId="77777777" w:rsidR="005C1B63" w:rsidRPr="001B2B06" w:rsidRDefault="005C1B63" w:rsidP="005C1B63">
            <w:pPr>
              <w:rPr>
                <w:sz w:val="20"/>
                <w:szCs w:val="20"/>
                <w:lang w:val="fr-FR"/>
              </w:rPr>
            </w:pPr>
          </w:p>
        </w:tc>
      </w:tr>
      <w:tr w:rsidR="005C1B63" w:rsidRPr="00131DDB" w14:paraId="0005888E" w14:textId="77777777" w:rsidTr="001B2B06">
        <w:tc>
          <w:tcPr>
            <w:tcW w:w="4068" w:type="dxa"/>
          </w:tcPr>
          <w:p w14:paraId="5C1AA106" w14:textId="77777777" w:rsidR="006F4F29" w:rsidRPr="001B2B06" w:rsidRDefault="006F4F29" w:rsidP="005C1B63">
            <w:pPr>
              <w:rPr>
                <w:sz w:val="20"/>
                <w:szCs w:val="20"/>
                <w:lang w:val="fr-FR"/>
              </w:rPr>
            </w:pPr>
          </w:p>
        </w:tc>
        <w:tc>
          <w:tcPr>
            <w:tcW w:w="2160" w:type="dxa"/>
          </w:tcPr>
          <w:p w14:paraId="04A03BD3" w14:textId="77777777" w:rsidR="005C1B63" w:rsidRPr="001B2B06" w:rsidRDefault="005C1B63" w:rsidP="005C1B63">
            <w:pPr>
              <w:rPr>
                <w:sz w:val="20"/>
                <w:szCs w:val="20"/>
                <w:lang w:val="fr-FR"/>
              </w:rPr>
            </w:pPr>
          </w:p>
        </w:tc>
        <w:tc>
          <w:tcPr>
            <w:tcW w:w="3023" w:type="dxa"/>
          </w:tcPr>
          <w:p w14:paraId="1223BC90" w14:textId="77777777" w:rsidR="005C1B63" w:rsidRPr="001B2B06" w:rsidRDefault="005C1B63" w:rsidP="005C1B63">
            <w:pPr>
              <w:rPr>
                <w:sz w:val="20"/>
                <w:szCs w:val="20"/>
                <w:lang w:val="fr-FR"/>
              </w:rPr>
            </w:pPr>
          </w:p>
        </w:tc>
      </w:tr>
    </w:tbl>
    <w:p w14:paraId="6F545173" w14:textId="77777777" w:rsidR="00AC61BD" w:rsidRPr="00AE1B59" w:rsidRDefault="00AC61BD" w:rsidP="00B36626">
      <w:pPr>
        <w:rPr>
          <w:lang w:val="fr-FR"/>
        </w:rPr>
      </w:pPr>
    </w:p>
    <w:sectPr w:rsidR="00AC61BD" w:rsidRPr="00AE1B59" w:rsidSect="00B36626">
      <w:pgSz w:w="12240" w:h="15840"/>
      <w:pgMar w:top="719" w:right="1800" w:bottom="5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2F7EB" w14:textId="77777777" w:rsidR="00EC30C4" w:rsidRDefault="00EC30C4" w:rsidP="00B035DE">
      <w:r>
        <w:separator/>
      </w:r>
    </w:p>
  </w:endnote>
  <w:endnote w:type="continuationSeparator" w:id="0">
    <w:p w14:paraId="32EBD78B" w14:textId="77777777" w:rsidR="00EC30C4" w:rsidRDefault="00EC30C4" w:rsidP="00B03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E2DFC" w14:textId="77777777" w:rsidR="00EC30C4" w:rsidRDefault="00EC30C4" w:rsidP="00B035DE">
      <w:r>
        <w:separator/>
      </w:r>
    </w:p>
  </w:footnote>
  <w:footnote w:type="continuationSeparator" w:id="0">
    <w:p w14:paraId="2238D61F" w14:textId="77777777" w:rsidR="00EC30C4" w:rsidRDefault="00EC30C4" w:rsidP="00B03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653D3"/>
    <w:multiLevelType w:val="hybridMultilevel"/>
    <w:tmpl w:val="B3F43C7C"/>
    <w:lvl w:ilvl="0" w:tplc="040C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 w15:restartNumberingAfterBreak="0">
    <w:nsid w:val="259E5B7C"/>
    <w:multiLevelType w:val="hybridMultilevel"/>
    <w:tmpl w:val="BD6C62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E320A5"/>
    <w:multiLevelType w:val="hybridMultilevel"/>
    <w:tmpl w:val="322E7166"/>
    <w:lvl w:ilvl="0" w:tplc="A1FE0C7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CB23B21"/>
    <w:multiLevelType w:val="hybridMultilevel"/>
    <w:tmpl w:val="B3F43C7C"/>
    <w:lvl w:ilvl="0" w:tplc="040C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4" w15:restartNumberingAfterBreak="0">
    <w:nsid w:val="45B60EDA"/>
    <w:multiLevelType w:val="hybridMultilevel"/>
    <w:tmpl w:val="911C5190"/>
    <w:lvl w:ilvl="0" w:tplc="A1FE0C7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043EFE"/>
    <w:multiLevelType w:val="hybridMultilevel"/>
    <w:tmpl w:val="8F2296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4423B5"/>
    <w:multiLevelType w:val="multilevel"/>
    <w:tmpl w:val="8B90B21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A6010B2"/>
    <w:multiLevelType w:val="hybridMultilevel"/>
    <w:tmpl w:val="7D0499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3010874">
    <w:abstractNumId w:val="1"/>
  </w:num>
  <w:num w:numId="2" w16cid:durableId="498735676">
    <w:abstractNumId w:val="5"/>
  </w:num>
  <w:num w:numId="3" w16cid:durableId="1204099978">
    <w:abstractNumId w:val="4"/>
  </w:num>
  <w:num w:numId="4" w16cid:durableId="3748501">
    <w:abstractNumId w:val="2"/>
  </w:num>
  <w:num w:numId="5" w16cid:durableId="1828324771">
    <w:abstractNumId w:val="0"/>
  </w:num>
  <w:num w:numId="6" w16cid:durableId="687608413">
    <w:abstractNumId w:val="3"/>
  </w:num>
  <w:num w:numId="7" w16cid:durableId="268781185">
    <w:abstractNumId w:val="7"/>
  </w:num>
  <w:num w:numId="8" w16cid:durableId="9810769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6CA"/>
    <w:rsid w:val="00032A28"/>
    <w:rsid w:val="00035968"/>
    <w:rsid w:val="00085A84"/>
    <w:rsid w:val="000A58EA"/>
    <w:rsid w:val="000B7290"/>
    <w:rsid w:val="000C3488"/>
    <w:rsid w:val="000D126B"/>
    <w:rsid w:val="000E1891"/>
    <w:rsid w:val="000E69A5"/>
    <w:rsid w:val="00102432"/>
    <w:rsid w:val="001046D1"/>
    <w:rsid w:val="0013027D"/>
    <w:rsid w:val="00131DDB"/>
    <w:rsid w:val="00154AEE"/>
    <w:rsid w:val="00166D57"/>
    <w:rsid w:val="00175534"/>
    <w:rsid w:val="00180569"/>
    <w:rsid w:val="00194D93"/>
    <w:rsid w:val="001B2B06"/>
    <w:rsid w:val="001B452F"/>
    <w:rsid w:val="001E64F4"/>
    <w:rsid w:val="001F4D1B"/>
    <w:rsid w:val="00224EFD"/>
    <w:rsid w:val="0023293B"/>
    <w:rsid w:val="002508B8"/>
    <w:rsid w:val="002637F5"/>
    <w:rsid w:val="00290D98"/>
    <w:rsid w:val="002B5A58"/>
    <w:rsid w:val="002C38DA"/>
    <w:rsid w:val="002F5741"/>
    <w:rsid w:val="003210EB"/>
    <w:rsid w:val="003317D5"/>
    <w:rsid w:val="00337EB7"/>
    <w:rsid w:val="003504C8"/>
    <w:rsid w:val="00351890"/>
    <w:rsid w:val="003578F2"/>
    <w:rsid w:val="00375D83"/>
    <w:rsid w:val="00385569"/>
    <w:rsid w:val="00396DD0"/>
    <w:rsid w:val="00397E9E"/>
    <w:rsid w:val="003B303A"/>
    <w:rsid w:val="003D190C"/>
    <w:rsid w:val="003E36CA"/>
    <w:rsid w:val="004167A8"/>
    <w:rsid w:val="004264FE"/>
    <w:rsid w:val="00444B5F"/>
    <w:rsid w:val="0045014B"/>
    <w:rsid w:val="004515E7"/>
    <w:rsid w:val="004543CC"/>
    <w:rsid w:val="00465488"/>
    <w:rsid w:val="00470F8D"/>
    <w:rsid w:val="004A36F7"/>
    <w:rsid w:val="004C50F7"/>
    <w:rsid w:val="004F34B2"/>
    <w:rsid w:val="00507A76"/>
    <w:rsid w:val="005524DB"/>
    <w:rsid w:val="00554EF0"/>
    <w:rsid w:val="00565723"/>
    <w:rsid w:val="0056759C"/>
    <w:rsid w:val="00594643"/>
    <w:rsid w:val="005B2C17"/>
    <w:rsid w:val="005C103D"/>
    <w:rsid w:val="005C1B63"/>
    <w:rsid w:val="005E4EEA"/>
    <w:rsid w:val="005F38FE"/>
    <w:rsid w:val="005F6EA5"/>
    <w:rsid w:val="00616E5F"/>
    <w:rsid w:val="00652D90"/>
    <w:rsid w:val="006670C3"/>
    <w:rsid w:val="00683ADE"/>
    <w:rsid w:val="00691A5E"/>
    <w:rsid w:val="006B07B2"/>
    <w:rsid w:val="006D71C6"/>
    <w:rsid w:val="006E3EFE"/>
    <w:rsid w:val="006F4F29"/>
    <w:rsid w:val="007014D8"/>
    <w:rsid w:val="00742F1E"/>
    <w:rsid w:val="00747512"/>
    <w:rsid w:val="007A4AAF"/>
    <w:rsid w:val="007C3970"/>
    <w:rsid w:val="007D66A5"/>
    <w:rsid w:val="007D6B12"/>
    <w:rsid w:val="00800E5A"/>
    <w:rsid w:val="00802F14"/>
    <w:rsid w:val="008471B1"/>
    <w:rsid w:val="00870110"/>
    <w:rsid w:val="00873055"/>
    <w:rsid w:val="008C3824"/>
    <w:rsid w:val="009027BB"/>
    <w:rsid w:val="0092122A"/>
    <w:rsid w:val="00937BBC"/>
    <w:rsid w:val="00965770"/>
    <w:rsid w:val="00974BB7"/>
    <w:rsid w:val="009C164D"/>
    <w:rsid w:val="009F5E9E"/>
    <w:rsid w:val="00A30C7E"/>
    <w:rsid w:val="00A3289E"/>
    <w:rsid w:val="00A43D9A"/>
    <w:rsid w:val="00A82CF9"/>
    <w:rsid w:val="00A974D7"/>
    <w:rsid w:val="00AC5860"/>
    <w:rsid w:val="00AC61BD"/>
    <w:rsid w:val="00AD5E52"/>
    <w:rsid w:val="00AE1B59"/>
    <w:rsid w:val="00B035DE"/>
    <w:rsid w:val="00B17499"/>
    <w:rsid w:val="00B21B75"/>
    <w:rsid w:val="00B36626"/>
    <w:rsid w:val="00B54629"/>
    <w:rsid w:val="00B65A81"/>
    <w:rsid w:val="00B8469D"/>
    <w:rsid w:val="00B94398"/>
    <w:rsid w:val="00B9738B"/>
    <w:rsid w:val="00BE76D4"/>
    <w:rsid w:val="00BF7B7D"/>
    <w:rsid w:val="00C27482"/>
    <w:rsid w:val="00C42D32"/>
    <w:rsid w:val="00C7683E"/>
    <w:rsid w:val="00C77C4D"/>
    <w:rsid w:val="00C84973"/>
    <w:rsid w:val="00CA4231"/>
    <w:rsid w:val="00D1174B"/>
    <w:rsid w:val="00D1399C"/>
    <w:rsid w:val="00D47ADB"/>
    <w:rsid w:val="00D568F1"/>
    <w:rsid w:val="00D82D15"/>
    <w:rsid w:val="00DA1083"/>
    <w:rsid w:val="00DB323D"/>
    <w:rsid w:val="00DC6163"/>
    <w:rsid w:val="00E05E26"/>
    <w:rsid w:val="00E378F8"/>
    <w:rsid w:val="00E506F3"/>
    <w:rsid w:val="00E54829"/>
    <w:rsid w:val="00EB2108"/>
    <w:rsid w:val="00EB40B7"/>
    <w:rsid w:val="00EC30C4"/>
    <w:rsid w:val="00ED5710"/>
    <w:rsid w:val="00EE168D"/>
    <w:rsid w:val="00EF6227"/>
    <w:rsid w:val="00F02551"/>
    <w:rsid w:val="00F23D55"/>
    <w:rsid w:val="00F31BD0"/>
    <w:rsid w:val="00F6454C"/>
    <w:rsid w:val="00F64B88"/>
    <w:rsid w:val="00F65946"/>
    <w:rsid w:val="00F968E0"/>
    <w:rsid w:val="00F96C21"/>
    <w:rsid w:val="00FB2A5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F68B30D"/>
  <w15:docId w15:val="{66CCCA53-9EEC-4E15-88B6-CCA6B3123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36CA"/>
    <w:rPr>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E3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68F1"/>
    <w:pPr>
      <w:ind w:left="720"/>
      <w:contextualSpacing/>
    </w:pPr>
  </w:style>
  <w:style w:type="character" w:styleId="Hyperlink">
    <w:name w:val="Hyperlink"/>
    <w:basedOn w:val="DefaultParagraphFont"/>
    <w:unhideWhenUsed/>
    <w:rsid w:val="00B9738B"/>
    <w:rPr>
      <w:color w:val="0000FF" w:themeColor="hyperlink"/>
      <w:u w:val="single"/>
    </w:rPr>
  </w:style>
  <w:style w:type="paragraph" w:styleId="Header">
    <w:name w:val="header"/>
    <w:basedOn w:val="Normal"/>
    <w:link w:val="HeaderChar"/>
    <w:unhideWhenUsed/>
    <w:rsid w:val="00B035DE"/>
    <w:pPr>
      <w:tabs>
        <w:tab w:val="center" w:pos="4536"/>
        <w:tab w:val="right" w:pos="9072"/>
      </w:tabs>
    </w:pPr>
  </w:style>
  <w:style w:type="character" w:customStyle="1" w:styleId="HeaderChar">
    <w:name w:val="Header Char"/>
    <w:basedOn w:val="DefaultParagraphFont"/>
    <w:link w:val="Header"/>
    <w:rsid w:val="00B035DE"/>
    <w:rPr>
      <w:sz w:val="24"/>
      <w:szCs w:val="24"/>
      <w:lang w:val="en-US" w:eastAsia="ja-JP"/>
    </w:rPr>
  </w:style>
  <w:style w:type="paragraph" w:styleId="Footer">
    <w:name w:val="footer"/>
    <w:basedOn w:val="Normal"/>
    <w:link w:val="FooterChar"/>
    <w:unhideWhenUsed/>
    <w:rsid w:val="00B035DE"/>
    <w:pPr>
      <w:tabs>
        <w:tab w:val="center" w:pos="4536"/>
        <w:tab w:val="right" w:pos="9072"/>
      </w:tabs>
    </w:pPr>
  </w:style>
  <w:style w:type="character" w:customStyle="1" w:styleId="FooterChar">
    <w:name w:val="Footer Char"/>
    <w:basedOn w:val="DefaultParagraphFont"/>
    <w:link w:val="Footer"/>
    <w:rsid w:val="00B035DE"/>
    <w:rPr>
      <w:sz w:val="24"/>
      <w:szCs w:val="24"/>
      <w:lang w:val="en-US" w:eastAsia="ja-JP"/>
    </w:rPr>
  </w:style>
  <w:style w:type="character" w:styleId="UnresolvedMention">
    <w:name w:val="Unresolved Mention"/>
    <w:basedOn w:val="DefaultParagraphFont"/>
    <w:uiPriority w:val="99"/>
    <w:semiHidden/>
    <w:unhideWhenUsed/>
    <w:rsid w:val="00131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ci.rodriguez.cruz@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rodriguez@dhn.mil.p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rengifo@dimar.mil.co" TargetMode="External"/><Relationship Id="rId5" Type="http://schemas.openxmlformats.org/officeDocument/2006/relationships/footnotes" Target="footnotes.xml"/><Relationship Id="rId10" Type="http://schemas.openxmlformats.org/officeDocument/2006/relationships/hyperlink" Target="mailto:oceano@cco.gov.co" TargetMode="External"/><Relationship Id="rId4" Type="http://schemas.openxmlformats.org/officeDocument/2006/relationships/webSettings" Target="webSettings.xml"/><Relationship Id="rId9" Type="http://schemas.openxmlformats.org/officeDocument/2006/relationships/hyperlink" Target="mailto:msifon@shoa.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777</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FACT SHEET Working Group One:</vt:lpstr>
    </vt:vector>
  </TitlesOfParts>
  <Company>UNESCO</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Working Group One:</dc:title>
  <dc:creator>b_aliaga</dc:creator>
  <cp:lastModifiedBy>Aliaga, Bernardo</cp:lastModifiedBy>
  <cp:revision>2</cp:revision>
  <dcterms:created xsi:type="dcterms:W3CDTF">2023-08-25T15:05:00Z</dcterms:created>
  <dcterms:modified xsi:type="dcterms:W3CDTF">2023-08-25T15:05:00Z</dcterms:modified>
</cp:coreProperties>
</file>