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6" w:type="dxa"/>
        <w:tblLayout w:type="fixed"/>
        <w:tblLook w:val="0000" w:firstRow="0" w:lastRow="0" w:firstColumn="0" w:lastColumn="0" w:noHBand="0" w:noVBand="0"/>
      </w:tblPr>
      <w:tblGrid>
        <w:gridCol w:w="5954"/>
        <w:gridCol w:w="3332"/>
      </w:tblGrid>
      <w:tr w:rsidR="00BC394C" w:rsidRPr="00120BF7" w14:paraId="6D82A7B2" w14:textId="77777777" w:rsidTr="00586242">
        <w:tc>
          <w:tcPr>
            <w:tcW w:w="5954" w:type="dxa"/>
          </w:tcPr>
          <w:p w14:paraId="0891A884" w14:textId="086CB395" w:rsidR="00BC394C" w:rsidRPr="00120BF7" w:rsidRDefault="00586242" w:rsidP="00586242">
            <w:pPr>
              <w:spacing w:after="240"/>
              <w:ind w:left="-105"/>
              <w:rPr>
                <w:rFonts w:ascii="Arial" w:hAnsi="Arial" w:cs="Arial"/>
                <w:lang w:val="es-ES_tradnl"/>
              </w:rPr>
            </w:pPr>
            <w:r w:rsidRPr="00120BF7">
              <w:rPr>
                <w:rFonts w:ascii="Arial" w:hAnsi="Arial" w:cs="Arial"/>
                <w:sz w:val="22"/>
                <w:szCs w:val="22"/>
                <w:lang w:val="es-ES_tradnl"/>
              </w:rPr>
              <w:t>Distribución limitada</w:t>
            </w:r>
          </w:p>
        </w:tc>
        <w:tc>
          <w:tcPr>
            <w:tcW w:w="3332" w:type="dxa"/>
          </w:tcPr>
          <w:p w14:paraId="56FA8779" w14:textId="250A0192" w:rsidR="00BC394C" w:rsidRPr="00120BF7" w:rsidRDefault="00BB7AF2" w:rsidP="0072719C">
            <w:pPr>
              <w:ind w:left="459"/>
              <w:rPr>
                <w:rFonts w:ascii="Arial" w:hAnsi="Arial" w:cs="Arial"/>
                <w:b/>
                <w:lang w:val="es-ES_tradnl"/>
              </w:rPr>
            </w:pPr>
            <w:r w:rsidRPr="00120BF7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A</w:t>
            </w:r>
            <w:r w:rsidR="00135422" w:rsidRPr="00120BF7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-</w:t>
            </w:r>
            <w:r w:rsidR="005002AE" w:rsidRPr="00120BF7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32</w:t>
            </w:r>
            <w:r w:rsidR="001E3923" w:rsidRPr="00120BF7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/DR.</w:t>
            </w:r>
            <w:r w:rsidR="0050224F" w:rsidRPr="00120BF7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[</w:t>
            </w:r>
            <w:r w:rsidR="00EC7D2C" w:rsidRPr="00120BF7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4.</w:t>
            </w:r>
            <w:r w:rsidR="0044015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10</w:t>
            </w:r>
            <w:r w:rsidR="0050224F" w:rsidRPr="00120BF7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]</w:t>
            </w:r>
          </w:p>
          <w:p w14:paraId="52560412" w14:textId="69F5DA21" w:rsidR="00586242" w:rsidRPr="00120BF7" w:rsidRDefault="00586242" w:rsidP="00586242">
            <w:pPr>
              <w:ind w:left="459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120BF7">
              <w:rPr>
                <w:rFonts w:ascii="Arial" w:hAnsi="Arial" w:cs="Arial"/>
                <w:sz w:val="22"/>
                <w:szCs w:val="22"/>
                <w:lang w:val="es-ES_tradnl"/>
              </w:rPr>
              <w:t>París, 2</w:t>
            </w:r>
            <w:r w:rsidR="00711B94">
              <w:rPr>
                <w:rFonts w:ascii="Arial" w:hAnsi="Arial" w:cs="Arial"/>
                <w:sz w:val="22"/>
                <w:szCs w:val="22"/>
                <w:lang w:val="es-ES_tradnl"/>
              </w:rPr>
              <w:t>6</w:t>
            </w:r>
            <w:r w:rsidRPr="00120BF7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de junio de 2023</w:t>
            </w:r>
          </w:p>
          <w:p w14:paraId="0B7A4A57" w14:textId="48E6FFB4" w:rsidR="00BC394C" w:rsidRPr="00120BF7" w:rsidRDefault="00586242" w:rsidP="00586242">
            <w:pPr>
              <w:spacing w:after="240"/>
              <w:ind w:left="459"/>
              <w:rPr>
                <w:rFonts w:ascii="Arial" w:hAnsi="Arial" w:cs="Arial"/>
                <w:lang w:val="es-ES_tradnl"/>
              </w:rPr>
            </w:pPr>
            <w:r w:rsidRPr="00120BF7">
              <w:rPr>
                <w:rFonts w:ascii="Arial" w:hAnsi="Arial" w:cs="Arial"/>
                <w:sz w:val="22"/>
                <w:szCs w:val="22"/>
                <w:lang w:val="es-ES_tradnl"/>
              </w:rPr>
              <w:t>Original: inglés</w:t>
            </w:r>
          </w:p>
        </w:tc>
      </w:tr>
    </w:tbl>
    <w:p w14:paraId="642286DD" w14:textId="4C18DB12" w:rsidR="002C28A8" w:rsidRPr="00120BF7" w:rsidRDefault="00586242" w:rsidP="00586242">
      <w:pPr>
        <w:spacing w:after="240"/>
        <w:rPr>
          <w:rFonts w:ascii="Arial" w:eastAsia="Calibri" w:hAnsi="Arial" w:cs="Arial"/>
          <w:b/>
          <w:sz w:val="22"/>
          <w:szCs w:val="22"/>
          <w:lang w:val="es-ES_tradnl"/>
        </w:rPr>
      </w:pPr>
      <w:r w:rsidRPr="00120BF7">
        <w:rPr>
          <w:rFonts w:ascii="Arial" w:eastAsia="Calibri" w:hAnsi="Arial" w:cs="Arial"/>
          <w:b/>
          <w:sz w:val="22"/>
          <w:szCs w:val="22"/>
          <w:lang w:val="es-ES_tradnl"/>
        </w:rPr>
        <w:t>PROYECTO DE RESOLUCIÓN A-32/DR.[4.</w:t>
      </w:r>
      <w:r w:rsidR="00440159">
        <w:rPr>
          <w:rFonts w:ascii="Arial" w:eastAsia="Calibri" w:hAnsi="Arial" w:cs="Arial"/>
          <w:b/>
          <w:sz w:val="22"/>
          <w:szCs w:val="22"/>
          <w:lang w:val="es-ES_tradnl"/>
        </w:rPr>
        <w:t>10</w:t>
      </w:r>
      <w:r w:rsidRPr="00120BF7">
        <w:rPr>
          <w:rFonts w:ascii="Arial" w:eastAsia="Calibri" w:hAnsi="Arial" w:cs="Arial"/>
          <w:b/>
          <w:sz w:val="22"/>
          <w:szCs w:val="22"/>
          <w:lang w:val="es-ES_tradnl"/>
        </w:rPr>
        <w:t>]</w:t>
      </w:r>
    </w:p>
    <w:p w14:paraId="1B9CA634" w14:textId="334B050E" w:rsidR="002C28A8" w:rsidRPr="00120BF7" w:rsidRDefault="00440159" w:rsidP="00440159">
      <w:pPr>
        <w:spacing w:after="240"/>
        <w:rPr>
          <w:rFonts w:ascii="Arial" w:eastAsia="Calibri" w:hAnsi="Arial" w:cs="Arial"/>
          <w:sz w:val="22"/>
          <w:szCs w:val="22"/>
          <w:lang w:val="es-ES_tradnl"/>
        </w:rPr>
      </w:pPr>
      <w:r w:rsidRPr="00440159">
        <w:rPr>
          <w:rFonts w:ascii="Arial" w:eastAsia="Calibri" w:hAnsi="Arial" w:cs="Arial"/>
          <w:i/>
          <w:iCs/>
          <w:sz w:val="22"/>
          <w:szCs w:val="22"/>
          <w:lang w:val="es-ES_tradnl"/>
        </w:rPr>
        <w:t>Presentado por Alemania</w:t>
      </w:r>
    </w:p>
    <w:p w14:paraId="63A0CB2A" w14:textId="0419B607" w:rsidR="004B1009" w:rsidRPr="00120BF7" w:rsidRDefault="00440159" w:rsidP="00440159">
      <w:pPr>
        <w:spacing w:after="240"/>
        <w:jc w:val="center"/>
        <w:rPr>
          <w:rStyle w:val="Heading2Char"/>
          <w:b w:val="0"/>
          <w:bCs w:val="0"/>
          <w:szCs w:val="22"/>
          <w:lang w:val="es-ES_tradnl"/>
        </w:rPr>
      </w:pPr>
      <w:r w:rsidRPr="00440159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MEJORA DE LAS OBSERVACIONES CLIMÁTICAS</w:t>
      </w:r>
    </w:p>
    <w:p w14:paraId="2A9F05E4" w14:textId="44A0AFC6" w:rsidR="002C28A8" w:rsidRPr="00120BF7" w:rsidRDefault="00586242" w:rsidP="00586242">
      <w:pPr>
        <w:spacing w:after="240"/>
        <w:rPr>
          <w:rFonts w:ascii="Arial" w:hAnsi="Arial" w:cs="Arial"/>
          <w:iCs/>
          <w:sz w:val="22"/>
          <w:szCs w:val="22"/>
          <w:lang w:val="es-ES_tradnl"/>
        </w:rPr>
      </w:pPr>
      <w:r w:rsidRPr="00120BF7">
        <w:rPr>
          <w:rFonts w:ascii="Arial" w:hAnsi="Arial" w:cs="Arial"/>
          <w:iCs/>
          <w:snapToGrid/>
          <w:sz w:val="22"/>
          <w:lang w:val="es-ES_tradnl"/>
        </w:rPr>
        <w:t>La Comisión Oceanográfica Intergubernamental,</w:t>
      </w:r>
    </w:p>
    <w:p w14:paraId="4805D2CE" w14:textId="26FF9F48" w:rsidR="00440159" w:rsidRPr="00440159" w:rsidRDefault="00440159" w:rsidP="00440159">
      <w:pPr>
        <w:numPr>
          <w:ilvl w:val="1"/>
          <w:numId w:val="19"/>
        </w:numPr>
        <w:tabs>
          <w:tab w:val="clear" w:pos="567"/>
        </w:tabs>
        <w:snapToGrid/>
        <w:spacing w:after="240"/>
        <w:ind w:left="567" w:hanging="586"/>
        <w:jc w:val="both"/>
        <w:rPr>
          <w:rFonts w:asciiTheme="minorBidi" w:hAnsiTheme="minorBidi" w:cstheme="minorBidi"/>
          <w:b/>
          <w:bCs/>
          <w:iCs/>
          <w:color w:val="000000"/>
          <w:sz w:val="22"/>
          <w:szCs w:val="22"/>
          <w:lang w:val="es-ES_tradnl"/>
        </w:rPr>
      </w:pPr>
      <w:r w:rsidRPr="00440159">
        <w:rPr>
          <w:rFonts w:ascii="Arial" w:eastAsia="Calibri" w:hAnsi="Arial" w:cs="Arial"/>
          <w:b/>
          <w:bCs/>
          <w:iCs/>
          <w:snapToGrid/>
          <w:sz w:val="22"/>
          <w:szCs w:val="22"/>
          <w:lang w:val="es-ES_tradnl"/>
        </w:rPr>
        <w:t>Recordando</w:t>
      </w:r>
      <w:r w:rsidRPr="00440159">
        <w:rPr>
          <w:rFonts w:ascii="Arial" w:eastAsia="Calibri" w:hAnsi="Arial" w:cs="Arial"/>
          <w:iCs/>
          <w:snapToGrid/>
          <w:sz w:val="22"/>
          <w:szCs w:val="22"/>
          <w:lang w:val="es-ES_tradnl"/>
        </w:rPr>
        <w:t>:</w:t>
      </w:r>
    </w:p>
    <w:p w14:paraId="3802FC18" w14:textId="0B0BA848" w:rsidR="00440159" w:rsidRPr="00440159" w:rsidRDefault="00440159" w:rsidP="00440159">
      <w:pPr>
        <w:pStyle w:val="ListParagraph"/>
        <w:numPr>
          <w:ilvl w:val="2"/>
          <w:numId w:val="19"/>
        </w:numPr>
        <w:tabs>
          <w:tab w:val="clear" w:pos="567"/>
        </w:tabs>
        <w:spacing w:after="120"/>
        <w:ind w:left="1134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es-ES_tradnl"/>
        </w:rPr>
      </w:pPr>
      <w:r w:rsidRPr="00440159">
        <w:rPr>
          <w:rFonts w:asciiTheme="minorBidi" w:hAnsiTheme="minorBidi" w:cstheme="minorBidi"/>
          <w:sz w:val="22"/>
          <w:szCs w:val="22"/>
          <w:lang w:val="es-ES_tradnl"/>
        </w:rPr>
        <w:t>la resolución XVI-8 de la Asamblea de la COI, por la que se decidió iniciar el establecimiento de un Sistema Mundial de Observación del Océano (GOOS) y participar en el Sistema Mundial de Observación del Clima (GCOS),</w:t>
      </w:r>
    </w:p>
    <w:p w14:paraId="658E030D" w14:textId="51829E07" w:rsidR="00440159" w:rsidRPr="00440159" w:rsidRDefault="00440159" w:rsidP="00440159">
      <w:pPr>
        <w:pStyle w:val="ListParagraph"/>
        <w:numPr>
          <w:ilvl w:val="2"/>
          <w:numId w:val="19"/>
        </w:numPr>
        <w:tabs>
          <w:tab w:val="clear" w:pos="567"/>
        </w:tabs>
        <w:spacing w:after="120"/>
        <w:ind w:left="1134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es-ES_tradnl"/>
        </w:rPr>
      </w:pPr>
      <w:r w:rsidRPr="00440159">
        <w:rPr>
          <w:rFonts w:asciiTheme="minorBidi" w:hAnsiTheme="minorBidi" w:cstheme="minorBidi"/>
          <w:sz w:val="22"/>
          <w:szCs w:val="22"/>
          <w:lang w:val="es-ES_tradnl"/>
        </w:rPr>
        <w:t xml:space="preserve">la </w:t>
      </w:r>
      <w:hyperlink r:id="rId8" w:history="1">
        <w:r w:rsidRPr="00440159">
          <w:rPr>
            <w:rStyle w:val="Hyperlink"/>
            <w:rFonts w:asciiTheme="minorBidi" w:hAnsiTheme="minorBidi" w:cstheme="minorBidi"/>
            <w:sz w:val="22"/>
            <w:szCs w:val="22"/>
            <w:lang w:val="es-ES_tradnl"/>
          </w:rPr>
          <w:t>decisión 19/CP.22</w:t>
        </w:r>
      </w:hyperlink>
      <w:r w:rsidRPr="00440159">
        <w:rPr>
          <w:rFonts w:asciiTheme="minorBidi" w:hAnsiTheme="minorBidi" w:cstheme="minorBidi"/>
          <w:sz w:val="22"/>
          <w:szCs w:val="22"/>
          <w:lang w:val="es-ES_tradnl"/>
        </w:rPr>
        <w:t xml:space="preserve"> de la Convención Marco de las Naciones Unidas sobre el Cambio Climático (CMNUCC) titulada “Puesta en práctica del Sistema Mundial de Observación del Clima”,</w:t>
      </w:r>
    </w:p>
    <w:p w14:paraId="1417FDDD" w14:textId="3A10AA89" w:rsidR="00440159" w:rsidRPr="00440159" w:rsidRDefault="00440159" w:rsidP="00440159">
      <w:pPr>
        <w:pStyle w:val="ListParagraph"/>
        <w:numPr>
          <w:ilvl w:val="2"/>
          <w:numId w:val="19"/>
        </w:numPr>
        <w:tabs>
          <w:tab w:val="clear" w:pos="567"/>
        </w:tabs>
        <w:spacing w:after="120"/>
        <w:ind w:left="1134" w:hanging="567"/>
        <w:contextualSpacing w:val="0"/>
        <w:jc w:val="both"/>
        <w:rPr>
          <w:rFonts w:asciiTheme="minorBidi" w:hAnsiTheme="minorBidi" w:cstheme="minorBidi"/>
          <w:sz w:val="22"/>
          <w:szCs w:val="22"/>
          <w:lang w:val="es-ES_tradnl"/>
        </w:rPr>
      </w:pPr>
      <w:r w:rsidRPr="00440159">
        <w:rPr>
          <w:rFonts w:asciiTheme="minorBidi" w:hAnsiTheme="minorBidi" w:cstheme="minorBidi"/>
          <w:sz w:val="22"/>
          <w:szCs w:val="22"/>
          <w:lang w:val="es-ES_tradnl"/>
        </w:rPr>
        <w:t>las conclusiones de las 52ª a 55ª reuniones del Órgano Subsidiario de Asesoramiento Científico y Tecnológico (OSACT) (</w:t>
      </w:r>
      <w:hyperlink r:id="rId9" w:history="1">
        <w:r w:rsidRPr="00440159">
          <w:rPr>
            <w:rStyle w:val="Hyperlink"/>
            <w:rFonts w:asciiTheme="minorBidi" w:hAnsiTheme="minorBidi" w:cstheme="minorBidi"/>
            <w:sz w:val="22"/>
            <w:szCs w:val="22"/>
            <w:lang w:val="es-ES_tradnl"/>
          </w:rPr>
          <w:t>UNFCCC/SBSTA/2021/3</w:t>
        </w:r>
      </w:hyperlink>
      <w:r w:rsidRPr="00440159">
        <w:rPr>
          <w:rFonts w:asciiTheme="minorBidi" w:hAnsiTheme="minorBidi" w:cstheme="minorBidi"/>
          <w:sz w:val="22"/>
          <w:szCs w:val="22"/>
          <w:lang w:val="es-ES_tradnl"/>
        </w:rPr>
        <w:t xml:space="preserve"> - puntos 63, 65 y 70), que acogió con satisfacción el </w:t>
      </w:r>
      <w:hyperlink r:id="rId10" w:anchor=".ZGOflnZByHt" w:history="1">
        <w:r w:rsidRPr="00440159">
          <w:rPr>
            <w:rStyle w:val="Hyperlink"/>
            <w:rFonts w:asciiTheme="minorBidi" w:hAnsiTheme="minorBidi" w:cstheme="minorBidi"/>
            <w:sz w:val="22"/>
            <w:szCs w:val="22"/>
            <w:lang w:val="es-ES_tradnl"/>
          </w:rPr>
          <w:t>informe sobre la situación del GCOS de 2021</w:t>
        </w:r>
      </w:hyperlink>
      <w:r w:rsidRPr="00440159">
        <w:rPr>
          <w:rFonts w:asciiTheme="minorBidi" w:hAnsiTheme="minorBidi" w:cstheme="minorBidi"/>
          <w:sz w:val="22"/>
          <w:szCs w:val="22"/>
          <w:lang w:val="es-ES_tradnl"/>
        </w:rPr>
        <w:t xml:space="preserve"> (GCOS-240), tomó nota con preocupación de la situación del sistema climático mundial y alentó a las Partes y a las organizaciones pertinentes a reforzar el apoyo a las observaciones sistemáticas permanentes del sistema climático para vigilar los cambios en la atmósfera, el océano y la criosfera y en la tierra,</w:t>
      </w:r>
    </w:p>
    <w:p w14:paraId="5646F689" w14:textId="0C85066B" w:rsidR="00586242" w:rsidRPr="00440159" w:rsidRDefault="00440159" w:rsidP="000D2C8A">
      <w:pPr>
        <w:pStyle w:val="ListParagraph"/>
        <w:numPr>
          <w:ilvl w:val="2"/>
          <w:numId w:val="19"/>
        </w:numPr>
        <w:tabs>
          <w:tab w:val="clear" w:pos="567"/>
        </w:tabs>
        <w:spacing w:after="240"/>
        <w:ind w:left="1134" w:hanging="567"/>
        <w:contextualSpacing w:val="0"/>
        <w:jc w:val="both"/>
        <w:rPr>
          <w:rFonts w:asciiTheme="minorBidi" w:hAnsiTheme="minorBidi" w:cstheme="minorBidi"/>
          <w:b/>
          <w:bCs/>
          <w:iCs/>
          <w:color w:val="000000"/>
          <w:sz w:val="22"/>
          <w:szCs w:val="22"/>
          <w:lang w:val="es-ES_tradnl"/>
        </w:rPr>
      </w:pPr>
      <w:r w:rsidRPr="00440159">
        <w:rPr>
          <w:rFonts w:asciiTheme="minorBidi" w:hAnsiTheme="minorBidi" w:cstheme="minorBidi"/>
          <w:sz w:val="22"/>
          <w:szCs w:val="22"/>
          <w:lang w:val="es-ES_tradnl"/>
        </w:rPr>
        <w:t>las conclusiones de la 57ª reunión del OSACT (</w:t>
      </w:r>
      <w:hyperlink r:id="rId11" w:history="1">
        <w:r w:rsidRPr="00440159">
          <w:rPr>
            <w:rStyle w:val="Hyperlink"/>
            <w:rFonts w:asciiTheme="minorBidi" w:hAnsiTheme="minorBidi" w:cstheme="minorBidi"/>
            <w:sz w:val="22"/>
            <w:szCs w:val="22"/>
            <w:lang w:val="es-ES_tradnl"/>
          </w:rPr>
          <w:t>UNFCCC/SBSTA/2022/L.20</w:t>
        </w:r>
      </w:hyperlink>
      <w:r w:rsidRPr="00440159">
        <w:rPr>
          <w:rFonts w:asciiTheme="minorBidi" w:hAnsiTheme="minorBidi" w:cstheme="minorBidi"/>
          <w:sz w:val="22"/>
          <w:szCs w:val="22"/>
          <w:lang w:val="es-ES_tradnl"/>
        </w:rPr>
        <w:t xml:space="preserve"> - punto 7), que acogió con satisfacción el Plan de Ejecución del GCOS para 2022 y los requisitos de las variables climáticas esenciales del GCOS para 2022, y alentó a las Partes y a las organizaciones pertinentes, según proceda, a obrar en pro de la aplicación del Plan de Ejecución del GCOS para 2022, de conformidad con el artículo 5 de la Convención,</w:t>
      </w:r>
    </w:p>
    <w:p w14:paraId="7B6CBC3C" w14:textId="43415E69" w:rsidR="00586242" w:rsidRPr="00120BF7" w:rsidRDefault="00440159" w:rsidP="00586242">
      <w:pPr>
        <w:numPr>
          <w:ilvl w:val="1"/>
          <w:numId w:val="19"/>
        </w:numPr>
        <w:tabs>
          <w:tab w:val="clear" w:pos="567"/>
        </w:tabs>
        <w:snapToGrid/>
        <w:spacing w:after="240"/>
        <w:ind w:left="567" w:hanging="586"/>
        <w:jc w:val="both"/>
        <w:rPr>
          <w:rFonts w:asciiTheme="minorBidi" w:hAnsiTheme="minorBidi" w:cstheme="minorBidi"/>
          <w:sz w:val="22"/>
          <w:szCs w:val="22"/>
          <w:lang w:val="es-ES_tradnl"/>
        </w:rPr>
      </w:pPr>
      <w:r w:rsidRPr="00860295">
        <w:rPr>
          <w:rFonts w:asciiTheme="minorBidi" w:hAnsiTheme="minorBidi" w:cstheme="minorBidi"/>
          <w:b/>
          <w:bCs/>
          <w:iCs/>
          <w:sz w:val="22"/>
          <w:szCs w:val="22"/>
          <w:lang w:val="es-ES_tradnl"/>
        </w:rPr>
        <w:t>Tomando nota</w:t>
      </w:r>
      <w:r w:rsidRPr="00860295">
        <w:rPr>
          <w:rFonts w:asciiTheme="minorBidi" w:hAnsiTheme="minorBidi" w:cstheme="minorBidi"/>
          <w:iCs/>
          <w:sz w:val="22"/>
          <w:szCs w:val="22"/>
          <w:lang w:val="es-ES_tradnl"/>
        </w:rPr>
        <w:t xml:space="preserve"> de que uno de los ámbitos principales de la Estrategia del GOOS para 2030 </w:t>
      </w:r>
      <w:r w:rsidRPr="00860295">
        <w:rPr>
          <w:rFonts w:asciiTheme="minorBidi" w:hAnsiTheme="minorBidi" w:cstheme="minorBidi"/>
          <w:color w:val="000000"/>
          <w:sz w:val="22"/>
          <w:szCs w:val="22"/>
          <w:lang w:val="es-ES_tradnl"/>
        </w:rPr>
        <w:t>(GOOS-239)</w:t>
      </w:r>
      <w:r w:rsidRPr="00860295">
        <w:rPr>
          <w:rFonts w:asciiTheme="minorBidi" w:hAnsiTheme="minorBidi" w:cstheme="minorBidi"/>
          <w:iCs/>
          <w:sz w:val="22"/>
          <w:szCs w:val="22"/>
          <w:lang w:val="es-ES_tradnl"/>
        </w:rPr>
        <w:t xml:space="preserve"> se centra en el apoyo a los servicios climáticos y la adopción de decisiones,</w:t>
      </w:r>
    </w:p>
    <w:p w14:paraId="157E3B2B" w14:textId="4199A185" w:rsidR="00586242" w:rsidRPr="00120BF7" w:rsidRDefault="00440159" w:rsidP="00586242">
      <w:pPr>
        <w:numPr>
          <w:ilvl w:val="1"/>
          <w:numId w:val="19"/>
        </w:numPr>
        <w:tabs>
          <w:tab w:val="clear" w:pos="567"/>
        </w:tabs>
        <w:snapToGrid/>
        <w:spacing w:after="240"/>
        <w:ind w:left="567" w:hanging="586"/>
        <w:jc w:val="both"/>
        <w:rPr>
          <w:rFonts w:asciiTheme="minorBidi" w:hAnsiTheme="minorBidi" w:cstheme="minorBidi"/>
          <w:sz w:val="22"/>
          <w:szCs w:val="22"/>
          <w:lang w:val="es-ES_tradnl"/>
        </w:rPr>
      </w:pPr>
      <w:r w:rsidRPr="00860295">
        <w:rPr>
          <w:rFonts w:asciiTheme="minorBidi" w:hAnsiTheme="minorBidi" w:cstheme="minorBidi"/>
          <w:b/>
          <w:bCs/>
          <w:sz w:val="22"/>
          <w:szCs w:val="22"/>
          <w:lang w:val="es-ES_tradnl"/>
        </w:rPr>
        <w:t>Habiendo examinado</w:t>
      </w:r>
      <w:r w:rsidRPr="00860295">
        <w:rPr>
          <w:rFonts w:asciiTheme="minorBidi" w:hAnsiTheme="minorBidi" w:cstheme="minorBidi"/>
          <w:sz w:val="22"/>
          <w:szCs w:val="22"/>
          <w:lang w:val="es-ES_tradnl"/>
        </w:rPr>
        <w:t xml:space="preserve"> el Plan de Ejecución del GCOS para 2022 (GCOS-244, GOOS-272) y los requisitos de las variables climáticas esenciales del GCOS para 2022 (GCOS-245),</w:t>
      </w:r>
    </w:p>
    <w:p w14:paraId="26B08D5B" w14:textId="040E8317" w:rsidR="00586242" w:rsidRPr="00120BF7" w:rsidRDefault="00440159" w:rsidP="00586242">
      <w:pPr>
        <w:numPr>
          <w:ilvl w:val="1"/>
          <w:numId w:val="19"/>
        </w:numPr>
        <w:tabs>
          <w:tab w:val="clear" w:pos="567"/>
        </w:tabs>
        <w:snapToGrid/>
        <w:spacing w:after="240"/>
        <w:ind w:left="567" w:hanging="586"/>
        <w:jc w:val="both"/>
        <w:rPr>
          <w:rFonts w:asciiTheme="minorBidi" w:hAnsiTheme="minorBidi" w:cstheme="minorBidi"/>
          <w:sz w:val="22"/>
          <w:szCs w:val="22"/>
          <w:lang w:val="es-ES_tradnl"/>
        </w:rPr>
      </w:pPr>
      <w:r w:rsidRPr="00860295">
        <w:rPr>
          <w:rFonts w:asciiTheme="minorBidi" w:hAnsiTheme="minorBidi" w:cstheme="minorBidi"/>
          <w:b/>
          <w:bCs/>
          <w:sz w:val="22"/>
          <w:szCs w:val="22"/>
          <w:lang w:val="es-ES_tradnl"/>
        </w:rPr>
        <w:t>Habiendo examinado también</w:t>
      </w:r>
      <w:r w:rsidRPr="00860295">
        <w:rPr>
          <w:rFonts w:asciiTheme="minorBidi" w:hAnsiTheme="minorBidi" w:cstheme="minorBidi"/>
          <w:sz w:val="22"/>
          <w:szCs w:val="22"/>
          <w:lang w:val="es-ES_tradnl"/>
        </w:rPr>
        <w:t xml:space="preserve"> el suplemento aportado por la COI al Plan de Ejecución del GCOS para 2022 (IOC/A-32/4.10.Doc(1)),</w:t>
      </w:r>
    </w:p>
    <w:p w14:paraId="34B1CE7F" w14:textId="0DB8C19E" w:rsidR="00D6700C" w:rsidRPr="00120BF7" w:rsidRDefault="00440159" w:rsidP="00586242">
      <w:pPr>
        <w:numPr>
          <w:ilvl w:val="1"/>
          <w:numId w:val="19"/>
        </w:numPr>
        <w:tabs>
          <w:tab w:val="clear" w:pos="567"/>
        </w:tabs>
        <w:snapToGrid/>
        <w:spacing w:after="240"/>
        <w:ind w:left="567" w:hanging="586"/>
        <w:jc w:val="both"/>
        <w:rPr>
          <w:rFonts w:ascii="Arial" w:hAnsi="Arial" w:cs="Arial"/>
          <w:sz w:val="22"/>
          <w:szCs w:val="22"/>
          <w:lang w:val="es-ES_tradnl"/>
        </w:rPr>
      </w:pPr>
      <w:r w:rsidRPr="00860295">
        <w:rPr>
          <w:rFonts w:asciiTheme="minorBidi" w:hAnsiTheme="minorBidi" w:cstheme="minorBidi"/>
          <w:b/>
          <w:bCs/>
          <w:sz w:val="22"/>
          <w:szCs w:val="22"/>
          <w:lang w:val="es-ES_tradnl"/>
        </w:rPr>
        <w:t>Habiendo examinado además</w:t>
      </w:r>
      <w:r w:rsidRPr="00860295">
        <w:rPr>
          <w:rFonts w:asciiTheme="minorBidi" w:hAnsiTheme="minorBidi" w:cstheme="minorBidi"/>
          <w:sz w:val="22"/>
          <w:szCs w:val="22"/>
          <w:lang w:val="es-ES_tradnl"/>
        </w:rPr>
        <w:t xml:space="preserve"> la resolución paralela 4.2(9)/1 (Cg-19) de la OMM, “Mejora de las observaciones climáticas”,</w:t>
      </w:r>
    </w:p>
    <w:p w14:paraId="4DA458FE" w14:textId="63843FCB" w:rsidR="00586242" w:rsidRPr="00440159" w:rsidRDefault="00440159" w:rsidP="00440159">
      <w:pPr>
        <w:numPr>
          <w:ilvl w:val="1"/>
          <w:numId w:val="19"/>
        </w:numPr>
        <w:tabs>
          <w:tab w:val="clear" w:pos="567"/>
        </w:tabs>
        <w:snapToGrid/>
        <w:spacing w:after="240"/>
        <w:ind w:left="567" w:hanging="586"/>
        <w:jc w:val="both"/>
        <w:rPr>
          <w:rFonts w:ascii="Arial" w:hAnsi="Arial" w:cs="Arial"/>
          <w:sz w:val="22"/>
          <w:szCs w:val="22"/>
          <w:lang w:val="es-ES_tradnl"/>
        </w:rPr>
      </w:pPr>
      <w:r w:rsidRPr="00860295">
        <w:rPr>
          <w:rFonts w:asciiTheme="minorBidi" w:hAnsiTheme="minorBidi" w:cstheme="minorBidi"/>
          <w:b/>
          <w:bCs/>
          <w:sz w:val="22"/>
          <w:szCs w:val="22"/>
          <w:lang w:val="es-ES_tradnl"/>
        </w:rPr>
        <w:t>Hace suyas</w:t>
      </w:r>
      <w:r w:rsidRPr="00860295">
        <w:rPr>
          <w:rFonts w:asciiTheme="minorBidi" w:hAnsiTheme="minorBidi" w:cstheme="minorBidi"/>
          <w:sz w:val="22"/>
          <w:szCs w:val="22"/>
          <w:lang w:val="es-ES_tradnl"/>
        </w:rPr>
        <w:t xml:space="preserve"> las conclusiones del Plan de Ejecución del GCOS para 2022 (GCOS-244, GOOS-272) y los requisitos de las variables climáticas esenciales del GCOS para 2022 (GCOS-245);</w:t>
      </w:r>
    </w:p>
    <w:p w14:paraId="5A13368B" w14:textId="47870C6E" w:rsidR="00586242" w:rsidRPr="00120BF7" w:rsidRDefault="00440159" w:rsidP="00B36FD8">
      <w:pPr>
        <w:keepNext/>
        <w:numPr>
          <w:ilvl w:val="1"/>
          <w:numId w:val="19"/>
        </w:numPr>
        <w:tabs>
          <w:tab w:val="clear" w:pos="567"/>
        </w:tabs>
        <w:snapToGrid/>
        <w:spacing w:after="240"/>
        <w:ind w:left="567" w:hanging="586"/>
        <w:jc w:val="both"/>
        <w:rPr>
          <w:rFonts w:asciiTheme="minorBidi" w:hAnsiTheme="minorBidi" w:cstheme="minorBidi"/>
          <w:sz w:val="22"/>
          <w:szCs w:val="22"/>
          <w:lang w:val="es-ES_tradnl"/>
        </w:rPr>
      </w:pPr>
      <w:r w:rsidRPr="00860295">
        <w:rPr>
          <w:rFonts w:asciiTheme="minorBidi" w:hAnsiTheme="minorBidi" w:cstheme="minorBidi"/>
          <w:b/>
          <w:bCs/>
          <w:sz w:val="22"/>
          <w:szCs w:val="22"/>
          <w:lang w:val="es-ES_tradnl"/>
        </w:rPr>
        <w:t>Alienta</w:t>
      </w:r>
      <w:r w:rsidRPr="00860295">
        <w:rPr>
          <w:rFonts w:asciiTheme="minorBidi" w:hAnsiTheme="minorBidi" w:cstheme="minorBidi"/>
          <w:sz w:val="22"/>
          <w:szCs w:val="22"/>
          <w:lang w:val="es-ES_tradnl"/>
        </w:rPr>
        <w:t xml:space="preserve"> a los Estados Miembros a que colaboren con los asociados nacionales con miras a abordar el conjunto completo de actividades relativas al océano y las variables </w:t>
      </w:r>
      <w:r w:rsidRPr="00860295">
        <w:rPr>
          <w:rFonts w:asciiTheme="minorBidi" w:hAnsiTheme="minorBidi" w:cstheme="minorBidi"/>
          <w:sz w:val="22"/>
          <w:szCs w:val="22"/>
          <w:lang w:val="es-ES_tradnl"/>
        </w:rPr>
        <w:lastRenderedPageBreak/>
        <w:t>atmosféricas pertinentes medidas sobre el océano previstas en el Plan de Ejecución del GCOS para 2022 (GCOS-244, GOOS-272);</w:t>
      </w:r>
    </w:p>
    <w:p w14:paraId="27557BC6" w14:textId="157A2CE7" w:rsidR="00440159" w:rsidRPr="00440159" w:rsidRDefault="00440159" w:rsidP="00440159">
      <w:pPr>
        <w:numPr>
          <w:ilvl w:val="1"/>
          <w:numId w:val="19"/>
        </w:numPr>
        <w:tabs>
          <w:tab w:val="clear" w:pos="567"/>
        </w:tabs>
        <w:snapToGrid/>
        <w:spacing w:after="240"/>
        <w:ind w:left="567" w:hanging="586"/>
        <w:jc w:val="both"/>
        <w:rPr>
          <w:rFonts w:asciiTheme="minorBidi" w:eastAsia="MS Mincho" w:hAnsiTheme="minorBidi" w:cstheme="minorBidi"/>
          <w:sz w:val="22"/>
          <w:szCs w:val="22"/>
          <w:u w:val="single"/>
          <w:lang w:val="es-ES_tradnl" w:eastAsia="ja-JP"/>
        </w:rPr>
      </w:pPr>
      <w:r w:rsidRPr="00860295">
        <w:rPr>
          <w:rFonts w:asciiTheme="minorBidi" w:hAnsiTheme="minorBidi" w:cstheme="minorBidi"/>
          <w:b/>
          <w:bCs/>
          <w:sz w:val="22"/>
          <w:szCs w:val="22"/>
          <w:lang w:val="es-ES_tradnl"/>
        </w:rPr>
        <w:t>Insta</w:t>
      </w:r>
      <w:r w:rsidRPr="00860295">
        <w:rPr>
          <w:rFonts w:asciiTheme="minorBidi" w:hAnsiTheme="minorBidi" w:cstheme="minorBidi"/>
          <w:sz w:val="22"/>
          <w:szCs w:val="22"/>
          <w:lang w:val="es-ES_tradnl"/>
        </w:rPr>
        <w:t xml:space="preserve"> a los Estados Miembros a que adopten medidas para abordar las actividades pertinentes que se indican en el documento IOC/A-32/4.10.Doc(1)</w:t>
      </w:r>
      <w:r>
        <w:rPr>
          <w:rFonts w:asciiTheme="minorBidi" w:hAnsiTheme="minorBidi" w:cstheme="minorBidi"/>
          <w:sz w:val="22"/>
          <w:szCs w:val="22"/>
          <w:lang w:val="es-ES_tradnl"/>
        </w:rPr>
        <w:t>;</w:t>
      </w:r>
    </w:p>
    <w:p w14:paraId="5E51A0E7" w14:textId="2D1D049B" w:rsidR="00EC7D2C" w:rsidRPr="00440159" w:rsidRDefault="00440159" w:rsidP="00120BF7">
      <w:pPr>
        <w:numPr>
          <w:ilvl w:val="1"/>
          <w:numId w:val="19"/>
        </w:numPr>
        <w:tabs>
          <w:tab w:val="clear" w:pos="567"/>
        </w:tabs>
        <w:snapToGrid/>
        <w:spacing w:after="120"/>
        <w:ind w:left="567" w:hanging="586"/>
        <w:jc w:val="both"/>
        <w:rPr>
          <w:rFonts w:eastAsia="MS Mincho" w:cs="Arial"/>
          <w:b/>
          <w:bCs/>
          <w:lang w:val="es-ES_tradnl" w:eastAsia="ja-JP"/>
        </w:rPr>
      </w:pPr>
      <w:r w:rsidRPr="00440159">
        <w:rPr>
          <w:rFonts w:asciiTheme="minorBidi" w:hAnsiTheme="minorBidi" w:cstheme="minorBidi"/>
          <w:b/>
          <w:bCs/>
          <w:sz w:val="22"/>
          <w:szCs w:val="22"/>
          <w:lang w:val="es-ES_tradnl"/>
        </w:rPr>
        <w:t>Pide</w:t>
      </w:r>
      <w:r w:rsidRPr="00440159">
        <w:rPr>
          <w:rFonts w:asciiTheme="minorBidi" w:hAnsiTheme="minorBidi" w:cstheme="minorBidi"/>
          <w:sz w:val="22"/>
          <w:szCs w:val="22"/>
          <w:lang w:val="es-ES_tradnl"/>
        </w:rPr>
        <w:t xml:space="preserve"> al Secretario Ejecutivo de la COI que facilite la coordinación y ejecución de las actividades pertinentes previstas en el suplemento aportado por la COI al Plan de Ejecución del GCOS para 2022 (IOC/A-32/4.10.Doc(1)).</w:t>
      </w:r>
    </w:p>
    <w:sectPr w:rsidR="00EC7D2C" w:rsidRPr="00440159" w:rsidSect="009C4402">
      <w:headerReference w:type="even" r:id="rId12"/>
      <w:headerReference w:type="default" r:id="rId13"/>
      <w:pgSz w:w="11906" w:h="16838"/>
      <w:pgMar w:top="630" w:right="1417" w:bottom="108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C4FB0" w14:textId="77777777" w:rsidR="00CD55B9" w:rsidRDefault="00CD55B9" w:rsidP="0073078E">
      <w:r>
        <w:separator/>
      </w:r>
    </w:p>
  </w:endnote>
  <w:endnote w:type="continuationSeparator" w:id="0">
    <w:p w14:paraId="00EC75DE" w14:textId="77777777" w:rsidR="00CD55B9" w:rsidRDefault="00CD55B9" w:rsidP="0073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B44C2" w14:textId="77777777" w:rsidR="00CD55B9" w:rsidRDefault="00CD55B9" w:rsidP="0073078E">
      <w:r>
        <w:separator/>
      </w:r>
    </w:p>
  </w:footnote>
  <w:footnote w:type="continuationSeparator" w:id="0">
    <w:p w14:paraId="2CCD1C8C" w14:textId="77777777" w:rsidR="00CD55B9" w:rsidRDefault="00CD55B9" w:rsidP="00730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7A2E6" w14:textId="0033A5CD" w:rsidR="0073078E" w:rsidRPr="00586242" w:rsidRDefault="00B36FD8" w:rsidP="00586242">
    <w:pPr>
      <w:pStyle w:val="Header"/>
      <w:spacing w:after="240"/>
      <w:rPr>
        <w:sz w:val="22"/>
        <w:szCs w:val="22"/>
        <w:lang w:val="fr-FR"/>
      </w:rPr>
    </w:pPr>
    <w:r>
      <w:rPr>
        <w:rFonts w:asciiTheme="minorBidi" w:hAnsiTheme="minorBidi" w:cstheme="minorBidi"/>
        <w:sz w:val="22"/>
        <w:szCs w:val="22"/>
        <w:lang w:val="fr-FR"/>
      </w:rPr>
      <w:t>A</w:t>
    </w:r>
    <w:r w:rsidR="00EC7D2C" w:rsidRPr="00586242">
      <w:rPr>
        <w:rFonts w:asciiTheme="minorBidi" w:hAnsiTheme="minorBidi" w:cstheme="minorBidi"/>
        <w:sz w:val="22"/>
        <w:szCs w:val="22"/>
        <w:lang w:val="fr-FR"/>
      </w:rPr>
      <w:t>-32/DR.[4.</w:t>
    </w:r>
    <w:r w:rsidR="00440159">
      <w:rPr>
        <w:rFonts w:asciiTheme="minorBidi" w:hAnsiTheme="minorBidi" w:cstheme="minorBidi"/>
        <w:sz w:val="22"/>
        <w:szCs w:val="22"/>
        <w:lang w:val="fr-FR"/>
      </w:rPr>
      <w:t>10</w:t>
    </w:r>
    <w:r w:rsidR="00EC7D2C" w:rsidRPr="00586242">
      <w:rPr>
        <w:rFonts w:asciiTheme="minorBidi" w:hAnsiTheme="minorBidi" w:cstheme="minorBidi"/>
        <w:sz w:val="22"/>
        <w:szCs w:val="22"/>
        <w:lang w:val="fr-FR"/>
      </w:rPr>
      <w:t>]</w:t>
    </w:r>
    <w:r w:rsidR="00586242" w:rsidRPr="00586242">
      <w:rPr>
        <w:rFonts w:asciiTheme="minorBidi" w:hAnsiTheme="minorBidi" w:cstheme="minorBidi"/>
        <w:sz w:val="22"/>
        <w:szCs w:val="22"/>
        <w:lang w:val="fr-FR"/>
      </w:rPr>
      <w:t xml:space="preserve"> – </w:t>
    </w:r>
    <w:r w:rsidR="0073078E" w:rsidRPr="00586242">
      <w:rPr>
        <w:rFonts w:asciiTheme="minorBidi" w:hAnsiTheme="minorBidi" w:cstheme="minorBidi"/>
        <w:sz w:val="22"/>
        <w:szCs w:val="22"/>
        <w:lang w:val="fr-FR"/>
      </w:rPr>
      <w:t>p</w:t>
    </w:r>
    <w:r w:rsidR="00586242" w:rsidRPr="00586242">
      <w:rPr>
        <w:rFonts w:asciiTheme="minorBidi" w:hAnsiTheme="minorBidi" w:cstheme="minorBidi"/>
        <w:sz w:val="22"/>
        <w:szCs w:val="22"/>
        <w:lang w:val="fr-FR"/>
      </w:rPr>
      <w:t>ág.</w:t>
    </w:r>
    <w:r w:rsidR="0073078E" w:rsidRPr="00586242">
      <w:rPr>
        <w:rFonts w:asciiTheme="minorBidi" w:hAnsiTheme="minorBidi" w:cstheme="minorBidi"/>
        <w:sz w:val="22"/>
        <w:szCs w:val="22"/>
        <w:lang w:val="fr-FR"/>
      </w:rPr>
      <w:t xml:space="preserve"> </w:t>
    </w:r>
    <w:r w:rsidR="00DC168C" w:rsidRPr="00586242">
      <w:rPr>
        <w:rFonts w:asciiTheme="minorBidi" w:hAnsiTheme="minorBidi" w:cstheme="minorBidi"/>
        <w:sz w:val="22"/>
        <w:szCs w:val="22"/>
        <w:lang w:val="fr-FR"/>
      </w:rPr>
      <w:fldChar w:fldCharType="begin"/>
    </w:r>
    <w:r w:rsidR="00DC168C" w:rsidRPr="00586242">
      <w:rPr>
        <w:rFonts w:asciiTheme="minorBidi" w:hAnsiTheme="minorBidi" w:cstheme="minorBidi"/>
        <w:sz w:val="22"/>
        <w:szCs w:val="22"/>
        <w:lang w:val="fr-FR"/>
      </w:rPr>
      <w:instrText xml:space="preserve"> PAGE   \* MERGEFORMAT </w:instrText>
    </w:r>
    <w:r w:rsidR="00DC168C" w:rsidRPr="00586242">
      <w:rPr>
        <w:rFonts w:asciiTheme="minorBidi" w:hAnsiTheme="minorBidi" w:cstheme="minorBidi"/>
        <w:sz w:val="22"/>
        <w:szCs w:val="22"/>
        <w:lang w:val="fr-FR"/>
      </w:rPr>
      <w:fldChar w:fldCharType="separate"/>
    </w:r>
    <w:r w:rsidR="004B1009" w:rsidRPr="00586242">
      <w:rPr>
        <w:rFonts w:asciiTheme="minorBidi" w:hAnsiTheme="minorBidi" w:cstheme="minorBidi"/>
        <w:noProof/>
        <w:sz w:val="22"/>
        <w:szCs w:val="22"/>
        <w:lang w:val="fr-FR"/>
      </w:rPr>
      <w:t>2</w:t>
    </w:r>
    <w:r w:rsidR="00DC168C" w:rsidRPr="00586242">
      <w:rPr>
        <w:rFonts w:asciiTheme="minorBidi" w:hAnsiTheme="minorBidi" w:cstheme="minorBidi"/>
        <w:noProof/>
        <w:sz w:val="22"/>
        <w:szCs w:val="22"/>
        <w:lang w:val="fr-F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186E7" w14:textId="089CAC28" w:rsidR="00DE18E8" w:rsidRPr="009C4402" w:rsidRDefault="00B36FD8" w:rsidP="00B36FD8">
    <w:pPr>
      <w:pStyle w:val="Header"/>
      <w:ind w:left="6804"/>
      <w:rPr>
        <w:lang w:val="fr-FR"/>
      </w:rPr>
    </w:pPr>
    <w:r>
      <w:rPr>
        <w:rFonts w:asciiTheme="minorBidi" w:hAnsiTheme="minorBidi" w:cstheme="minorBidi"/>
        <w:sz w:val="22"/>
        <w:szCs w:val="22"/>
        <w:lang w:val="fr-FR"/>
      </w:rPr>
      <w:t>A</w:t>
    </w:r>
    <w:r w:rsidRPr="00586242">
      <w:rPr>
        <w:rFonts w:asciiTheme="minorBidi" w:hAnsiTheme="minorBidi" w:cstheme="minorBidi"/>
        <w:sz w:val="22"/>
        <w:szCs w:val="22"/>
        <w:lang w:val="fr-FR"/>
      </w:rPr>
      <w:t>-32/DR.[4.</w:t>
    </w:r>
    <w:r>
      <w:rPr>
        <w:rFonts w:asciiTheme="minorBidi" w:hAnsiTheme="minorBidi" w:cstheme="minorBidi"/>
        <w:sz w:val="22"/>
        <w:szCs w:val="22"/>
        <w:lang w:val="fr-FR"/>
      </w:rPr>
      <w:t>5</w:t>
    </w:r>
    <w:r w:rsidRPr="00586242">
      <w:rPr>
        <w:rFonts w:asciiTheme="minorBidi" w:hAnsiTheme="minorBidi" w:cstheme="minorBidi"/>
        <w:sz w:val="22"/>
        <w:szCs w:val="22"/>
        <w:lang w:val="fr-FR"/>
      </w:rPr>
      <w:t xml:space="preserve">] – pág. </w:t>
    </w:r>
    <w:r w:rsidRPr="00586242">
      <w:rPr>
        <w:rFonts w:asciiTheme="minorBidi" w:hAnsiTheme="minorBidi" w:cstheme="minorBidi"/>
        <w:sz w:val="22"/>
        <w:szCs w:val="22"/>
        <w:lang w:val="fr-FR"/>
      </w:rPr>
      <w:fldChar w:fldCharType="begin"/>
    </w:r>
    <w:r w:rsidRPr="00586242">
      <w:rPr>
        <w:rFonts w:asciiTheme="minorBidi" w:hAnsiTheme="minorBidi" w:cstheme="minorBidi"/>
        <w:sz w:val="22"/>
        <w:szCs w:val="22"/>
        <w:lang w:val="fr-FR"/>
      </w:rPr>
      <w:instrText xml:space="preserve"> PAGE   \* MERGEFORMAT </w:instrText>
    </w:r>
    <w:r w:rsidRPr="00586242">
      <w:rPr>
        <w:rFonts w:asciiTheme="minorBidi" w:hAnsiTheme="minorBidi" w:cstheme="minorBidi"/>
        <w:sz w:val="22"/>
        <w:szCs w:val="22"/>
        <w:lang w:val="fr-FR"/>
      </w:rPr>
      <w:fldChar w:fldCharType="separate"/>
    </w:r>
    <w:r>
      <w:rPr>
        <w:rFonts w:asciiTheme="minorBidi" w:hAnsiTheme="minorBidi"/>
        <w:sz w:val="22"/>
        <w:szCs w:val="22"/>
      </w:rPr>
      <w:t>2</w:t>
    </w:r>
    <w:r w:rsidRPr="00586242">
      <w:rPr>
        <w:rFonts w:asciiTheme="minorBidi" w:hAnsiTheme="minorBidi" w:cstheme="minorBidi"/>
        <w:noProof/>
        <w:sz w:val="22"/>
        <w:szCs w:val="22"/>
        <w:lang w:val="fr-F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28CF"/>
    <w:multiLevelType w:val="hybridMultilevel"/>
    <w:tmpl w:val="B3A43B34"/>
    <w:lvl w:ilvl="0" w:tplc="A168C02C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/>
        <w:iCs w:val="0"/>
        <w:color w:val="000000"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239FB"/>
    <w:multiLevelType w:val="multilevel"/>
    <w:tmpl w:val="8214B8B2"/>
    <w:styleLink w:val="JCOMM-list"/>
    <w:lvl w:ilvl="0">
      <w:start w:val="1"/>
      <w:numFmt w:val="none"/>
      <w:suff w:val="nothing"/>
      <w:lvlText w:val=""/>
      <w:lvlJc w:val="center"/>
      <w:pPr>
        <w:ind w:left="0" w:firstLine="288"/>
      </w:pPr>
      <w:rPr>
        <w:rFonts w:ascii="Arial" w:hAnsi="Arial" w:hint="default"/>
        <w:b/>
        <w:i w:val="0"/>
        <w:caps/>
        <w:sz w:val="24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2"/>
      <w:lvlText w:val="%2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%3.%2"/>
      <w:lvlJc w:val="left"/>
      <w:pPr>
        <w:ind w:left="72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5.%2.%3.%4."/>
      <w:lvlJc w:val="left"/>
      <w:pPr>
        <w:ind w:left="720" w:hanging="720"/>
      </w:pPr>
      <w:rPr>
        <w:rFonts w:ascii="Arial" w:hAnsi="Arial" w:hint="default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A2F6E5D"/>
    <w:multiLevelType w:val="hybridMultilevel"/>
    <w:tmpl w:val="BC98AF14"/>
    <w:lvl w:ilvl="0" w:tplc="549A059E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948F8E">
      <w:start w:val="1"/>
      <w:numFmt w:val="lowerRoman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6605E"/>
    <w:multiLevelType w:val="hybridMultilevel"/>
    <w:tmpl w:val="65D07A4E"/>
    <w:lvl w:ilvl="0" w:tplc="D1728D3A">
      <w:start w:val="1"/>
      <w:numFmt w:val="decimal"/>
      <w:lvlText w:val="%1."/>
      <w:lvlJc w:val="left"/>
      <w:pPr>
        <w:ind w:left="153" w:hanging="360"/>
      </w:pPr>
      <w:rPr>
        <w:rFonts w:ascii="Arial" w:hAnsi="Arial" w:hint="default"/>
        <w:b w:val="0"/>
        <w:i/>
        <w:sz w:val="20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873" w:hanging="360"/>
      </w:pPr>
    </w:lvl>
    <w:lvl w:ilvl="2" w:tplc="040C001B" w:tentative="1">
      <w:start w:val="1"/>
      <w:numFmt w:val="lowerRoman"/>
      <w:lvlText w:val="%3."/>
      <w:lvlJc w:val="right"/>
      <w:pPr>
        <w:ind w:left="1593" w:hanging="180"/>
      </w:pPr>
    </w:lvl>
    <w:lvl w:ilvl="3" w:tplc="040C000F" w:tentative="1">
      <w:start w:val="1"/>
      <w:numFmt w:val="decimal"/>
      <w:lvlText w:val="%4."/>
      <w:lvlJc w:val="left"/>
      <w:pPr>
        <w:ind w:left="2313" w:hanging="360"/>
      </w:pPr>
    </w:lvl>
    <w:lvl w:ilvl="4" w:tplc="040C0019" w:tentative="1">
      <w:start w:val="1"/>
      <w:numFmt w:val="lowerLetter"/>
      <w:lvlText w:val="%5."/>
      <w:lvlJc w:val="left"/>
      <w:pPr>
        <w:ind w:left="3033" w:hanging="360"/>
      </w:pPr>
    </w:lvl>
    <w:lvl w:ilvl="5" w:tplc="040C001B" w:tentative="1">
      <w:start w:val="1"/>
      <w:numFmt w:val="lowerRoman"/>
      <w:lvlText w:val="%6."/>
      <w:lvlJc w:val="right"/>
      <w:pPr>
        <w:ind w:left="3753" w:hanging="180"/>
      </w:pPr>
    </w:lvl>
    <w:lvl w:ilvl="6" w:tplc="040C000F" w:tentative="1">
      <w:start w:val="1"/>
      <w:numFmt w:val="decimal"/>
      <w:lvlText w:val="%7."/>
      <w:lvlJc w:val="left"/>
      <w:pPr>
        <w:ind w:left="4473" w:hanging="360"/>
      </w:pPr>
    </w:lvl>
    <w:lvl w:ilvl="7" w:tplc="040C0019" w:tentative="1">
      <w:start w:val="1"/>
      <w:numFmt w:val="lowerLetter"/>
      <w:lvlText w:val="%8."/>
      <w:lvlJc w:val="left"/>
      <w:pPr>
        <w:ind w:left="5193" w:hanging="360"/>
      </w:pPr>
    </w:lvl>
    <w:lvl w:ilvl="8" w:tplc="040C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14937280"/>
    <w:multiLevelType w:val="hybridMultilevel"/>
    <w:tmpl w:val="055AD11E"/>
    <w:lvl w:ilvl="0" w:tplc="5EB233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D2787"/>
    <w:multiLevelType w:val="hybridMultilevel"/>
    <w:tmpl w:val="3CBA06A4"/>
    <w:lvl w:ilvl="0" w:tplc="BF4C443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44005"/>
    <w:multiLevelType w:val="hybridMultilevel"/>
    <w:tmpl w:val="1F1CF618"/>
    <w:lvl w:ilvl="0" w:tplc="C31EF574">
      <w:start w:val="1"/>
      <w:numFmt w:val="lowerRoman"/>
      <w:lvlText w:val="(%1)"/>
      <w:lvlJc w:val="left"/>
      <w:pPr>
        <w:ind w:left="1290" w:hanging="720"/>
      </w:pPr>
      <w:rPr>
        <w:rFonts w:cs="Times New Roman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7" w15:restartNumberingAfterBreak="0">
    <w:nsid w:val="1F4138E1"/>
    <w:multiLevelType w:val="hybridMultilevel"/>
    <w:tmpl w:val="CEAC1B78"/>
    <w:lvl w:ilvl="0" w:tplc="3C8ADC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757B7"/>
    <w:multiLevelType w:val="multilevel"/>
    <w:tmpl w:val="FB90868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9" w15:restartNumberingAfterBreak="0">
    <w:nsid w:val="2C8778E7"/>
    <w:multiLevelType w:val="hybridMultilevel"/>
    <w:tmpl w:val="936ABD88"/>
    <w:lvl w:ilvl="0" w:tplc="846A4D78">
      <w:start w:val="1"/>
      <w:numFmt w:val="decimal"/>
      <w:lvlText w:val="%1."/>
      <w:lvlJc w:val="left"/>
      <w:pPr>
        <w:ind w:left="19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E6BCE"/>
    <w:multiLevelType w:val="hybridMultilevel"/>
    <w:tmpl w:val="7862C52C"/>
    <w:lvl w:ilvl="0" w:tplc="BF4C443C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D65BF"/>
    <w:multiLevelType w:val="hybridMultilevel"/>
    <w:tmpl w:val="23BE93EA"/>
    <w:lvl w:ilvl="0" w:tplc="BF4C443C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9475A6"/>
    <w:multiLevelType w:val="hybridMultilevel"/>
    <w:tmpl w:val="F3BE6406"/>
    <w:lvl w:ilvl="0" w:tplc="6D68BCE4">
      <w:start w:val="1"/>
      <w:numFmt w:val="lowerRoman"/>
      <w:lvlText w:val="(%1)"/>
      <w:lvlJc w:val="left"/>
      <w:pPr>
        <w:ind w:left="1290" w:hanging="72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3" w15:restartNumberingAfterBreak="0">
    <w:nsid w:val="42C13349"/>
    <w:multiLevelType w:val="hybridMultilevel"/>
    <w:tmpl w:val="8B9E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450B7"/>
    <w:multiLevelType w:val="hybridMultilevel"/>
    <w:tmpl w:val="A1F85074"/>
    <w:lvl w:ilvl="0" w:tplc="9BC8D4F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B446E"/>
    <w:multiLevelType w:val="multilevel"/>
    <w:tmpl w:val="FB90868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16" w15:restartNumberingAfterBreak="0">
    <w:nsid w:val="5BBE5D6B"/>
    <w:multiLevelType w:val="hybridMultilevel"/>
    <w:tmpl w:val="4BB0183C"/>
    <w:lvl w:ilvl="0" w:tplc="1718349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  <w:iCs/>
        <w:sz w:val="22"/>
        <w:szCs w:val="24"/>
      </w:rPr>
    </w:lvl>
    <w:lvl w:ilvl="1" w:tplc="01965790">
      <w:start w:val="1"/>
      <w:numFmt w:val="decimal"/>
      <w:lvlText w:val="%2."/>
      <w:lvlJc w:val="left"/>
      <w:pPr>
        <w:ind w:left="1590" w:hanging="870"/>
      </w:pPr>
      <w:rPr>
        <w:rFonts w:asciiTheme="minorBidi" w:hAnsiTheme="minorBidi" w:cstheme="minorBidi" w:hint="default"/>
        <w:b w:val="0"/>
        <w:bCs w:val="0"/>
        <w:i/>
        <w:iCs w:val="0"/>
        <w:sz w:val="22"/>
        <w:szCs w:val="22"/>
      </w:rPr>
    </w:lvl>
    <w:lvl w:ilvl="2" w:tplc="8FFA034E">
      <w:start w:val="1"/>
      <w:numFmt w:val="lowerRoman"/>
      <w:lvlText w:val="%3)"/>
      <w:lvlJc w:val="left"/>
      <w:pPr>
        <w:ind w:left="2340" w:hanging="720"/>
      </w:pPr>
      <w:rPr>
        <w:rFonts w:hint="default"/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DB0A09"/>
    <w:multiLevelType w:val="hybridMultilevel"/>
    <w:tmpl w:val="788C2026"/>
    <w:lvl w:ilvl="0" w:tplc="BF4C443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432EB"/>
    <w:multiLevelType w:val="hybridMultilevel"/>
    <w:tmpl w:val="5F0E0364"/>
    <w:lvl w:ilvl="0" w:tplc="957430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E73B7"/>
    <w:multiLevelType w:val="hybridMultilevel"/>
    <w:tmpl w:val="E8CC7C26"/>
    <w:lvl w:ilvl="0" w:tplc="BF4C443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301CBE"/>
    <w:multiLevelType w:val="hybridMultilevel"/>
    <w:tmpl w:val="18188E14"/>
    <w:lvl w:ilvl="0" w:tplc="3BC2E8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1F34770"/>
    <w:multiLevelType w:val="hybridMultilevel"/>
    <w:tmpl w:val="D00634BC"/>
    <w:lvl w:ilvl="0" w:tplc="04090005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278AE"/>
    <w:multiLevelType w:val="hybridMultilevel"/>
    <w:tmpl w:val="2EEA2CAE"/>
    <w:lvl w:ilvl="0" w:tplc="7BFE53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D7C69"/>
    <w:multiLevelType w:val="hybridMultilevel"/>
    <w:tmpl w:val="5802DFBC"/>
    <w:lvl w:ilvl="0" w:tplc="95E27420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C76A1"/>
    <w:multiLevelType w:val="hybridMultilevel"/>
    <w:tmpl w:val="5AA4A35A"/>
    <w:lvl w:ilvl="0" w:tplc="6C544708">
      <w:start w:val="1"/>
      <w:numFmt w:val="decimal"/>
      <w:lvlText w:val="%1."/>
      <w:lvlJc w:val="left"/>
      <w:pPr>
        <w:ind w:left="-3" w:hanging="564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816489129">
    <w:abstractNumId w:val="14"/>
  </w:num>
  <w:num w:numId="2" w16cid:durableId="1031611400">
    <w:abstractNumId w:val="18"/>
  </w:num>
  <w:num w:numId="3" w16cid:durableId="963118518">
    <w:abstractNumId w:val="1"/>
  </w:num>
  <w:num w:numId="4" w16cid:durableId="909384281">
    <w:abstractNumId w:val="7"/>
  </w:num>
  <w:num w:numId="5" w16cid:durableId="3628739">
    <w:abstractNumId w:val="13"/>
  </w:num>
  <w:num w:numId="6" w16cid:durableId="6388031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3233189">
    <w:abstractNumId w:val="3"/>
  </w:num>
  <w:num w:numId="8" w16cid:durableId="1141311303">
    <w:abstractNumId w:val="24"/>
  </w:num>
  <w:num w:numId="9" w16cid:durableId="1704867493">
    <w:abstractNumId w:val="20"/>
  </w:num>
  <w:num w:numId="10" w16cid:durableId="1966227720">
    <w:abstractNumId w:val="12"/>
  </w:num>
  <w:num w:numId="11" w16cid:durableId="532884194">
    <w:abstractNumId w:val="6"/>
  </w:num>
  <w:num w:numId="12" w16cid:durableId="535315325">
    <w:abstractNumId w:val="9"/>
  </w:num>
  <w:num w:numId="13" w16cid:durableId="81293754">
    <w:abstractNumId w:val="23"/>
  </w:num>
  <w:num w:numId="14" w16cid:durableId="1196389061">
    <w:abstractNumId w:val="4"/>
  </w:num>
  <w:num w:numId="15" w16cid:durableId="363139019">
    <w:abstractNumId w:val="15"/>
  </w:num>
  <w:num w:numId="16" w16cid:durableId="1721902014">
    <w:abstractNumId w:val="0"/>
  </w:num>
  <w:num w:numId="17" w16cid:durableId="1081102024">
    <w:abstractNumId w:val="21"/>
  </w:num>
  <w:num w:numId="18" w16cid:durableId="1209754801">
    <w:abstractNumId w:val="8"/>
  </w:num>
  <w:num w:numId="19" w16cid:durableId="1770194663">
    <w:abstractNumId w:val="16"/>
  </w:num>
  <w:num w:numId="20" w16cid:durableId="73742148">
    <w:abstractNumId w:val="10"/>
  </w:num>
  <w:num w:numId="21" w16cid:durableId="270211679">
    <w:abstractNumId w:val="11"/>
  </w:num>
  <w:num w:numId="22" w16cid:durableId="249124076">
    <w:abstractNumId w:val="5"/>
  </w:num>
  <w:num w:numId="23" w16cid:durableId="731467081">
    <w:abstractNumId w:val="17"/>
  </w:num>
  <w:num w:numId="24" w16cid:durableId="447702155">
    <w:abstractNumId w:val="22"/>
  </w:num>
  <w:num w:numId="25" w16cid:durableId="698777107">
    <w:abstractNumId w:val="19"/>
  </w:num>
  <w:num w:numId="26" w16cid:durableId="1759403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2C"/>
    <w:rsid w:val="00024857"/>
    <w:rsid w:val="00033B2B"/>
    <w:rsid w:val="00033DD2"/>
    <w:rsid w:val="000449FB"/>
    <w:rsid w:val="00052B5A"/>
    <w:rsid w:val="00067B5F"/>
    <w:rsid w:val="000D0C6F"/>
    <w:rsid w:val="000D2C8A"/>
    <w:rsid w:val="000D312B"/>
    <w:rsid w:val="000D4EDB"/>
    <w:rsid w:val="001105FE"/>
    <w:rsid w:val="0011242E"/>
    <w:rsid w:val="0011490A"/>
    <w:rsid w:val="00120BF7"/>
    <w:rsid w:val="00130FBD"/>
    <w:rsid w:val="00135422"/>
    <w:rsid w:val="00183205"/>
    <w:rsid w:val="001E3923"/>
    <w:rsid w:val="001F3D2C"/>
    <w:rsid w:val="00205DCB"/>
    <w:rsid w:val="002066D1"/>
    <w:rsid w:val="00252C0F"/>
    <w:rsid w:val="00276749"/>
    <w:rsid w:val="00297B99"/>
    <w:rsid w:val="002C28A8"/>
    <w:rsid w:val="002E41A7"/>
    <w:rsid w:val="003A770C"/>
    <w:rsid w:val="003B18E8"/>
    <w:rsid w:val="003E7273"/>
    <w:rsid w:val="00413BC8"/>
    <w:rsid w:val="00431D7E"/>
    <w:rsid w:val="00440159"/>
    <w:rsid w:val="00460755"/>
    <w:rsid w:val="00494C9A"/>
    <w:rsid w:val="00495EF8"/>
    <w:rsid w:val="004A6A55"/>
    <w:rsid w:val="004B1009"/>
    <w:rsid w:val="005002AE"/>
    <w:rsid w:val="0050224F"/>
    <w:rsid w:val="005039BF"/>
    <w:rsid w:val="00582E0E"/>
    <w:rsid w:val="00586242"/>
    <w:rsid w:val="005B3C25"/>
    <w:rsid w:val="005E3B34"/>
    <w:rsid w:val="00621A35"/>
    <w:rsid w:val="00630B82"/>
    <w:rsid w:val="00696F63"/>
    <w:rsid w:val="006B2C31"/>
    <w:rsid w:val="006D4CD7"/>
    <w:rsid w:val="006E58FD"/>
    <w:rsid w:val="00711B94"/>
    <w:rsid w:val="0072719C"/>
    <w:rsid w:val="0073078E"/>
    <w:rsid w:val="00784053"/>
    <w:rsid w:val="007D3460"/>
    <w:rsid w:val="007E2A6D"/>
    <w:rsid w:val="00856C2C"/>
    <w:rsid w:val="00891A95"/>
    <w:rsid w:val="008A3665"/>
    <w:rsid w:val="008B69B4"/>
    <w:rsid w:val="00925900"/>
    <w:rsid w:val="009371D8"/>
    <w:rsid w:val="00947577"/>
    <w:rsid w:val="00971C83"/>
    <w:rsid w:val="00992954"/>
    <w:rsid w:val="009C4402"/>
    <w:rsid w:val="009F7E71"/>
    <w:rsid w:val="00AA1C41"/>
    <w:rsid w:val="00AF2865"/>
    <w:rsid w:val="00B11D93"/>
    <w:rsid w:val="00B15066"/>
    <w:rsid w:val="00B1636C"/>
    <w:rsid w:val="00B34EDA"/>
    <w:rsid w:val="00B36FD8"/>
    <w:rsid w:val="00BB175E"/>
    <w:rsid w:val="00BB7AF2"/>
    <w:rsid w:val="00BC394C"/>
    <w:rsid w:val="00BC46DF"/>
    <w:rsid w:val="00BC4EC3"/>
    <w:rsid w:val="00BE32B0"/>
    <w:rsid w:val="00C16EAA"/>
    <w:rsid w:val="00C81BBE"/>
    <w:rsid w:val="00C94407"/>
    <w:rsid w:val="00CC3161"/>
    <w:rsid w:val="00CD55B9"/>
    <w:rsid w:val="00D0146F"/>
    <w:rsid w:val="00D46D6A"/>
    <w:rsid w:val="00D6700C"/>
    <w:rsid w:val="00DC168C"/>
    <w:rsid w:val="00DD3E05"/>
    <w:rsid w:val="00DD7428"/>
    <w:rsid w:val="00DE18E8"/>
    <w:rsid w:val="00DF3D2E"/>
    <w:rsid w:val="00E060AB"/>
    <w:rsid w:val="00E43149"/>
    <w:rsid w:val="00E707AA"/>
    <w:rsid w:val="00E74967"/>
    <w:rsid w:val="00EC7D2C"/>
    <w:rsid w:val="00ED3F1C"/>
    <w:rsid w:val="00F2071E"/>
    <w:rsid w:val="00F8714C"/>
    <w:rsid w:val="00F901AC"/>
    <w:rsid w:val="00F97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7D284A"/>
  <w15:docId w15:val="{4C217618-FA36-4C96-9C89-D7765893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8A8"/>
    <w:pPr>
      <w:tabs>
        <w:tab w:val="left" w:pos="567"/>
      </w:tabs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autoRedefine/>
    <w:qFormat/>
    <w:rsid w:val="00947577"/>
    <w:pPr>
      <w:keepNext/>
      <w:widowControl w:val="0"/>
      <w:numPr>
        <w:ilvl w:val="2"/>
        <w:numId w:val="3"/>
      </w:numPr>
      <w:spacing w:before="240" w:after="60"/>
      <w:outlineLvl w:val="1"/>
    </w:pPr>
    <w:rPr>
      <w:rFonts w:ascii="Arial" w:eastAsiaTheme="majorEastAsia" w:hAnsi="Arial" w:cstheme="majorBidi"/>
      <w:b/>
      <w:bCs/>
      <w:iCs/>
      <w:caps/>
      <w:snapToGrid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2Car">
    <w:name w:val="Titre 2 Car"/>
    <w:rsid w:val="00947577"/>
    <w:rPr>
      <w:rFonts w:ascii="Arial" w:eastAsia="Times New Roman" w:hAnsi="Arial" w:cs="Arial"/>
      <w:b/>
      <w:bCs/>
      <w:iCs/>
      <w:snapToGrid w:val="0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947577"/>
    <w:rPr>
      <w:rFonts w:ascii="Arial" w:eastAsiaTheme="majorEastAsia" w:hAnsi="Arial" w:cstheme="majorBidi"/>
      <w:b/>
      <w:bCs/>
      <w:iCs/>
      <w:caps/>
      <w:snapToGrid w:val="0"/>
      <w:szCs w:val="28"/>
      <w:lang w:val="en-GB"/>
    </w:rPr>
  </w:style>
  <w:style w:type="paragraph" w:customStyle="1" w:styleId="JCOMM">
    <w:name w:val="JCOMM"/>
    <w:basedOn w:val="Normal"/>
    <w:next w:val="Normal"/>
    <w:qFormat/>
    <w:rsid w:val="00947577"/>
    <w:pPr>
      <w:widowControl w:val="0"/>
      <w:spacing w:before="360" w:after="240"/>
      <w:jc w:val="center"/>
    </w:pPr>
    <w:rPr>
      <w:rFonts w:ascii="Arial" w:eastAsia="MS Mincho" w:hAnsi="Arial"/>
      <w:b/>
      <w:caps/>
      <w:snapToGrid/>
      <w:sz w:val="16"/>
    </w:rPr>
  </w:style>
  <w:style w:type="numbering" w:customStyle="1" w:styleId="JCOMM-list">
    <w:name w:val="JCOMM-list"/>
    <w:uiPriority w:val="99"/>
    <w:rsid w:val="00947577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1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BBE"/>
    <w:rPr>
      <w:rFonts w:ascii="Tahoma" w:eastAsia="Times New Roman" w:hAnsi="Tahoma" w:cs="Tahoma"/>
      <w:snapToGrid w:val="0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3078E"/>
    <w:pPr>
      <w:tabs>
        <w:tab w:val="clear" w:pos="567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78E"/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3078E"/>
    <w:pPr>
      <w:tabs>
        <w:tab w:val="clear" w:pos="567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78E"/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character" w:styleId="FootnoteReference">
    <w:name w:val="footnote reference"/>
    <w:uiPriority w:val="99"/>
    <w:rsid w:val="004B10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B1009"/>
    <w:pPr>
      <w:tabs>
        <w:tab w:val="clear" w:pos="567"/>
        <w:tab w:val="left" w:pos="709"/>
      </w:tabs>
      <w:ind w:left="567" w:hanging="567"/>
    </w:pPr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1009"/>
    <w:rPr>
      <w:rFonts w:ascii="Times New Roman" w:eastAsia="Times New Roman" w:hAnsi="Times New Roman" w:cs="Times New Roman"/>
      <w:snapToGrid w:val="0"/>
      <w:sz w:val="20"/>
      <w:szCs w:val="20"/>
      <w:lang w:eastAsia="en-US"/>
    </w:rPr>
  </w:style>
  <w:style w:type="paragraph" w:customStyle="1" w:styleId="COI">
    <w:name w:val="COI"/>
    <w:basedOn w:val="Normal"/>
    <w:link w:val="COIChar"/>
    <w:rsid w:val="004B1009"/>
    <w:pPr>
      <w:tabs>
        <w:tab w:val="clear" w:pos="567"/>
        <w:tab w:val="left" w:pos="709"/>
      </w:tabs>
      <w:spacing w:after="240"/>
      <w:ind w:left="720" w:hanging="360"/>
      <w:jc w:val="both"/>
    </w:pPr>
    <w:rPr>
      <w:lang w:val="fr-FR"/>
    </w:rPr>
  </w:style>
  <w:style w:type="character" w:customStyle="1" w:styleId="COIChar">
    <w:name w:val="COI Char"/>
    <w:link w:val="COI"/>
    <w:rsid w:val="004B1009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paragraph" w:customStyle="1" w:styleId="Listnumbered">
    <w:name w:val="List numbered"/>
    <w:basedOn w:val="ListBullet2"/>
    <w:autoRedefine/>
    <w:rsid w:val="004B1009"/>
    <w:pPr>
      <w:tabs>
        <w:tab w:val="num" w:pos="360"/>
        <w:tab w:val="left" w:pos="709"/>
      </w:tabs>
      <w:spacing w:after="240"/>
      <w:contextualSpacing w:val="0"/>
    </w:pPr>
    <w:rPr>
      <w:rFonts w:ascii="Arial" w:hAnsi="Arial"/>
      <w:sz w:val="22"/>
      <w:lang w:val="fr-FR"/>
    </w:rPr>
  </w:style>
  <w:style w:type="paragraph" w:customStyle="1" w:styleId="Listecouleur-Accent11">
    <w:name w:val="Liste couleur - Accent 11"/>
    <w:basedOn w:val="Normal"/>
    <w:qFormat/>
    <w:rsid w:val="004B1009"/>
    <w:pPr>
      <w:ind w:left="720"/>
      <w:contextualSpacing/>
    </w:pPr>
    <w:rPr>
      <w:rFonts w:ascii="Arial" w:hAnsi="Arial"/>
      <w:snapToGrid/>
      <w:sz w:val="22"/>
    </w:rPr>
  </w:style>
  <w:style w:type="paragraph" w:styleId="ListBullet2">
    <w:name w:val="List Bullet 2"/>
    <w:basedOn w:val="Normal"/>
    <w:uiPriority w:val="99"/>
    <w:semiHidden/>
    <w:unhideWhenUsed/>
    <w:rsid w:val="004B1009"/>
    <w:pPr>
      <w:ind w:left="1290" w:hanging="720"/>
      <w:contextualSpacing/>
    </w:pPr>
  </w:style>
  <w:style w:type="paragraph" w:styleId="ListParagraph">
    <w:name w:val="List Paragraph"/>
    <w:basedOn w:val="Normal"/>
    <w:uiPriority w:val="34"/>
    <w:qFormat/>
    <w:rsid w:val="004B1009"/>
    <w:pPr>
      <w:ind w:left="720"/>
      <w:contextualSpacing/>
    </w:pPr>
  </w:style>
  <w:style w:type="paragraph" w:customStyle="1" w:styleId="non-decis">
    <w:name w:val="non-decis"/>
    <w:basedOn w:val="Normal"/>
    <w:rsid w:val="00E060AB"/>
    <w:pPr>
      <w:tabs>
        <w:tab w:val="clear" w:pos="567"/>
      </w:tabs>
      <w:snapToGrid/>
      <w:ind w:left="737" w:right="737"/>
      <w:jc w:val="both"/>
    </w:pPr>
    <w:rPr>
      <w:snapToGrid/>
      <w:sz w:val="20"/>
      <w:szCs w:val="20"/>
    </w:rPr>
  </w:style>
  <w:style w:type="character" w:styleId="Hyperlink">
    <w:name w:val="Hyperlink"/>
    <w:uiPriority w:val="99"/>
    <w:rsid w:val="00E060AB"/>
    <w:rPr>
      <w:color w:val="0000FF"/>
      <w:u w:val="single"/>
    </w:rPr>
  </w:style>
  <w:style w:type="paragraph" w:styleId="NormalWeb">
    <w:name w:val="Normal (Web)"/>
    <w:basedOn w:val="Normal"/>
    <w:uiPriority w:val="99"/>
    <w:rsid w:val="00E060AB"/>
    <w:pPr>
      <w:tabs>
        <w:tab w:val="clear" w:pos="567"/>
      </w:tabs>
      <w:snapToGrid/>
      <w:spacing w:before="100" w:beforeAutospacing="1" w:after="100" w:afterAutospacing="1"/>
    </w:pPr>
    <w:rPr>
      <w:rFonts w:eastAsia="MS Mincho"/>
      <w:snapToGrid/>
      <w:lang w:val="en-US" w:eastAsia="ja-JP"/>
    </w:rPr>
  </w:style>
  <w:style w:type="paragraph" w:styleId="Revision">
    <w:name w:val="Revision"/>
    <w:hidden/>
    <w:uiPriority w:val="99"/>
    <w:semiHidden/>
    <w:rsid w:val="00BE32B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val="en-GB" w:eastAsia="en-US"/>
    </w:rPr>
  </w:style>
  <w:style w:type="paragraph" w:customStyle="1" w:styleId="Marge">
    <w:name w:val="Marge"/>
    <w:basedOn w:val="Normal"/>
    <w:link w:val="MargeChar"/>
    <w:qFormat/>
    <w:rsid w:val="00B36FD8"/>
    <w:pPr>
      <w:tabs>
        <w:tab w:val="clear" w:pos="567"/>
      </w:tabs>
      <w:snapToGrid/>
      <w:spacing w:after="240"/>
      <w:jc w:val="both"/>
    </w:pPr>
    <w:rPr>
      <w:rFonts w:ascii="Arial" w:eastAsiaTheme="minorEastAsia" w:hAnsi="Arial" w:cstheme="minorBidi"/>
      <w:snapToGrid/>
      <w:sz w:val="22"/>
      <w:szCs w:val="22"/>
      <w:lang w:eastAsia="zh-CN"/>
    </w:rPr>
  </w:style>
  <w:style w:type="character" w:customStyle="1" w:styleId="MargeChar">
    <w:name w:val="Marge Char"/>
    <w:basedOn w:val="DefaultParagraphFont"/>
    <w:link w:val="Marge"/>
    <w:qFormat/>
    <w:rsid w:val="00B36FD8"/>
    <w:rPr>
      <w:rFonts w:ascii="Arial" w:eastAsiaTheme="minorEastAsia" w:hAnsi="Arial"/>
      <w:lang w:val="en-GB" w:eastAsia="zh-CN"/>
    </w:rPr>
  </w:style>
  <w:style w:type="paragraph" w:customStyle="1" w:styleId="b">
    <w:name w:val="(b)"/>
    <w:basedOn w:val="Normal"/>
    <w:rsid w:val="00120BF7"/>
    <w:pPr>
      <w:tabs>
        <w:tab w:val="clear" w:pos="567"/>
        <w:tab w:val="left" w:pos="1134"/>
      </w:tabs>
      <w:snapToGrid/>
      <w:spacing w:after="240" w:line="276" w:lineRule="auto"/>
      <w:ind w:left="1134" w:hanging="567"/>
      <w:jc w:val="both"/>
    </w:pPr>
    <w:rPr>
      <w:rFonts w:ascii="Arial" w:eastAsiaTheme="minorEastAsia" w:hAnsi="Arial" w:cstheme="minorBidi"/>
      <w:snapToGrid/>
      <w:sz w:val="22"/>
      <w:szCs w:val="22"/>
      <w:lang w:eastAsia="zh-CN"/>
    </w:rPr>
  </w:style>
  <w:style w:type="paragraph" w:customStyle="1" w:styleId="TIRETbul1cm">
    <w:name w:val="TIRET bul 1cm"/>
    <w:basedOn w:val="Normal"/>
    <w:rsid w:val="00120BF7"/>
    <w:pPr>
      <w:tabs>
        <w:tab w:val="clear" w:pos="567"/>
        <w:tab w:val="left" w:pos="840"/>
      </w:tabs>
      <w:adjustRightInd w:val="0"/>
      <w:snapToGrid/>
      <w:spacing w:after="240" w:line="276" w:lineRule="auto"/>
      <w:jc w:val="both"/>
    </w:pPr>
    <w:rPr>
      <w:rFonts w:ascii="Arial" w:eastAsiaTheme="minorEastAsia" w:hAnsi="Arial" w:cstheme="minorBidi"/>
      <w:snapToGrid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fccc.int/sites/default/files/resource/docs/2016/cop22/spa/10a02s.pdf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fccc.int/event/sbsta-57?item=10%20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ibrary.wmo.int/index.php?lvl=more_results&amp;autolevel1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fccc.int/sites/default/files/resource/sbsta2021_03_adv_0.pdf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_boned\AppData\Local\Microsoft\Windows\INetCache\Content.Outlook\S9V2CJZB\DR%20templates%20(002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F26BD-17DB-764B-9B80-DEE470F5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 templates (002)</Template>
  <TotalTime>1</TotalTime>
  <Pages>2</Pages>
  <Words>502</Words>
  <Characters>2867</Characters>
  <Application>Microsoft Office Word</Application>
  <DocSecurity>4</DocSecurity>
  <Lines>23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Creación de una Subcomisión de la COI para el Océano Índico Central (IOCINDIO)</vt:lpstr>
      <vt:lpstr/>
      <vt:lpstr/>
    </vt:vector>
  </TitlesOfParts>
  <Company>Hewlett-Packard Company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Mejora de las observaciones climáticas</dc:title>
  <dc:subject>DRAFT RESOLUTION A-32/DR.[4.10]</dc:subject>
  <dc:creator>Boned, Patrice</dc:creator>
  <dc:description/>
  <cp:lastModifiedBy>Boned, Patrice</cp:lastModifiedBy>
  <cp:revision>2</cp:revision>
  <cp:lastPrinted>2023-06-23T08:21:00Z</cp:lastPrinted>
  <dcterms:created xsi:type="dcterms:W3CDTF">2023-06-27T09:06:00Z</dcterms:created>
  <dcterms:modified xsi:type="dcterms:W3CDTF">2023-06-27T09:06:00Z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DCPMS">
    <vt:lpwstr>202302050</vt:lpwstr>
  </property>
  <property fmtid="{D5CDD505-2E9C-101B-9397-08002B2CF9AE}" pid="3" name="Language">
    <vt:lpwstr>S</vt:lpwstr>
  </property>
</Properties>
</file>