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3355B2" w:rsidRPr="0018332C" w14:paraId="41FEE263" w14:textId="77777777" w:rsidTr="003A19F9">
        <w:tc>
          <w:tcPr>
            <w:tcW w:w="6345" w:type="dxa"/>
          </w:tcPr>
          <w:p w14:paraId="70864C3C" w14:textId="4FF2887A" w:rsidR="003355B2" w:rsidRPr="0018332C" w:rsidRDefault="003355B2" w:rsidP="0018332C">
            <w:pPr>
              <w:spacing w:after="240"/>
              <w:ind w:left="-105"/>
              <w:rPr>
                <w:rFonts w:ascii="Arial" w:hAnsi="Arial" w:cs="Arial"/>
                <w:sz w:val="22"/>
                <w:szCs w:val="22"/>
              </w:rPr>
            </w:pPr>
            <w:r w:rsidRPr="0018332C">
              <w:rPr>
                <w:rFonts w:ascii="Arial" w:hAnsi="Arial" w:cs="Arial"/>
                <w:sz w:val="22"/>
                <w:szCs w:val="22"/>
              </w:rPr>
              <w:t>Distribution limitée</w:t>
            </w:r>
          </w:p>
          <w:p w14:paraId="6B279CEB" w14:textId="77777777" w:rsidR="003355B2" w:rsidRPr="0018332C" w:rsidRDefault="003355B2" w:rsidP="0018332C">
            <w:pPr>
              <w:spacing w:after="240"/>
              <w:ind w:left="-105"/>
              <w:rPr>
                <w:rFonts w:ascii="Arial" w:hAnsi="Arial" w:cs="Arial"/>
                <w:sz w:val="22"/>
                <w:szCs w:val="22"/>
              </w:rPr>
            </w:pPr>
          </w:p>
        </w:tc>
        <w:tc>
          <w:tcPr>
            <w:tcW w:w="2941" w:type="dxa"/>
          </w:tcPr>
          <w:p w14:paraId="69BBDEC7" w14:textId="50C25590" w:rsidR="003355B2" w:rsidRPr="0018332C" w:rsidRDefault="003355B2" w:rsidP="0018332C">
            <w:pPr>
              <w:ind w:left="459"/>
              <w:rPr>
                <w:rFonts w:ascii="Arial" w:hAnsi="Arial" w:cs="Arial"/>
                <w:b/>
                <w:sz w:val="22"/>
                <w:szCs w:val="22"/>
              </w:rPr>
            </w:pPr>
            <w:r w:rsidRPr="0018332C">
              <w:rPr>
                <w:rFonts w:ascii="Arial" w:hAnsi="Arial" w:cs="Arial"/>
                <w:b/>
                <w:sz w:val="22"/>
                <w:szCs w:val="22"/>
              </w:rPr>
              <w:t>A-32/DR.[4.1</w:t>
            </w:r>
            <w:r w:rsidR="0018332C" w:rsidRPr="0018332C">
              <w:rPr>
                <w:rFonts w:ascii="Arial" w:hAnsi="Arial" w:cs="Arial"/>
                <w:b/>
                <w:sz w:val="22"/>
                <w:szCs w:val="22"/>
              </w:rPr>
              <w:t>0</w:t>
            </w:r>
            <w:r w:rsidRPr="0018332C">
              <w:rPr>
                <w:rFonts w:ascii="Arial" w:hAnsi="Arial" w:cs="Arial"/>
                <w:b/>
                <w:sz w:val="22"/>
                <w:szCs w:val="22"/>
              </w:rPr>
              <w:t>]</w:t>
            </w:r>
          </w:p>
          <w:p w14:paraId="675E586D" w14:textId="388987AD" w:rsidR="003355B2" w:rsidRPr="0018332C" w:rsidRDefault="003355B2" w:rsidP="0018332C">
            <w:pPr>
              <w:ind w:left="459"/>
              <w:rPr>
                <w:rFonts w:ascii="Arial" w:hAnsi="Arial" w:cs="Arial"/>
                <w:sz w:val="22"/>
                <w:szCs w:val="22"/>
              </w:rPr>
            </w:pPr>
            <w:r w:rsidRPr="0018332C">
              <w:rPr>
                <w:rFonts w:ascii="Arial" w:hAnsi="Arial" w:cs="Arial"/>
                <w:sz w:val="22"/>
                <w:szCs w:val="22"/>
              </w:rPr>
              <w:t>Paris, le 2</w:t>
            </w:r>
            <w:r w:rsidR="009C5354">
              <w:rPr>
                <w:rFonts w:ascii="Arial" w:hAnsi="Arial" w:cs="Arial"/>
                <w:sz w:val="22"/>
                <w:szCs w:val="22"/>
              </w:rPr>
              <w:t>7</w:t>
            </w:r>
            <w:r w:rsidRPr="0018332C">
              <w:rPr>
                <w:rFonts w:ascii="Arial" w:hAnsi="Arial" w:cs="Arial"/>
                <w:sz w:val="22"/>
                <w:szCs w:val="22"/>
              </w:rPr>
              <w:t xml:space="preserve"> juin 2023</w:t>
            </w:r>
          </w:p>
          <w:p w14:paraId="29732929" w14:textId="5247695E" w:rsidR="003355B2" w:rsidRPr="0018332C" w:rsidRDefault="003355B2" w:rsidP="0018332C">
            <w:pPr>
              <w:spacing w:after="240"/>
              <w:ind w:left="459"/>
              <w:rPr>
                <w:rFonts w:ascii="Arial" w:hAnsi="Arial" w:cs="Arial"/>
                <w:sz w:val="22"/>
                <w:szCs w:val="22"/>
              </w:rPr>
            </w:pPr>
            <w:r w:rsidRPr="0018332C">
              <w:rPr>
                <w:rFonts w:ascii="Arial" w:hAnsi="Arial" w:cs="Arial"/>
                <w:sz w:val="22"/>
                <w:szCs w:val="22"/>
              </w:rPr>
              <w:t>Original anglais</w:t>
            </w:r>
          </w:p>
        </w:tc>
      </w:tr>
    </w:tbl>
    <w:p w14:paraId="21BBF78D" w14:textId="37402746" w:rsidR="00172F52" w:rsidRPr="0018332C" w:rsidRDefault="0049181A" w:rsidP="0018332C">
      <w:pPr>
        <w:keepNext/>
        <w:keepLines/>
        <w:tabs>
          <w:tab w:val="left" w:pos="567"/>
        </w:tabs>
        <w:snapToGrid w:val="0"/>
        <w:spacing w:before="240" w:after="240"/>
        <w:rPr>
          <w:rFonts w:ascii="Arial" w:eastAsia="Times New Roman" w:hAnsi="Arial" w:cs="Arial"/>
          <w:b/>
          <w:bCs/>
          <w:snapToGrid w:val="0"/>
          <w:color w:val="000000"/>
          <w:sz w:val="22"/>
          <w:szCs w:val="22"/>
        </w:rPr>
      </w:pPr>
      <w:r w:rsidRPr="0018332C">
        <w:rPr>
          <w:rFonts w:ascii="Arial" w:eastAsia="Times New Roman" w:hAnsi="Arial" w:cs="Arial"/>
          <w:b/>
          <w:bCs/>
          <w:snapToGrid w:val="0"/>
          <w:sz w:val="22"/>
          <w:szCs w:val="22"/>
        </w:rPr>
        <w:t>PROJET DE RÉSOLUTION A-32/[4.1</w:t>
      </w:r>
      <w:r w:rsidR="0018332C" w:rsidRPr="0018332C">
        <w:rPr>
          <w:rFonts w:ascii="Arial" w:eastAsia="Times New Roman" w:hAnsi="Arial" w:cs="Arial"/>
          <w:b/>
          <w:bCs/>
          <w:snapToGrid w:val="0"/>
          <w:sz w:val="22"/>
          <w:szCs w:val="22"/>
        </w:rPr>
        <w:t>0</w:t>
      </w:r>
      <w:r w:rsidRPr="0018332C">
        <w:rPr>
          <w:rFonts w:ascii="Arial" w:eastAsia="Times New Roman" w:hAnsi="Arial" w:cs="Arial"/>
          <w:b/>
          <w:bCs/>
          <w:snapToGrid w:val="0"/>
          <w:sz w:val="22"/>
          <w:szCs w:val="22"/>
        </w:rPr>
        <w:t>]</w:t>
      </w:r>
    </w:p>
    <w:p w14:paraId="43149EAF" w14:textId="262B0955" w:rsidR="00172F52" w:rsidRPr="0018332C" w:rsidRDefault="00172F52" w:rsidP="0018332C">
      <w:pPr>
        <w:tabs>
          <w:tab w:val="left" w:pos="567"/>
        </w:tabs>
        <w:snapToGrid w:val="0"/>
        <w:spacing w:after="240"/>
        <w:rPr>
          <w:rFonts w:ascii="Arial" w:eastAsia="Calibri" w:hAnsi="Arial" w:cs="Arial"/>
          <w:snapToGrid w:val="0"/>
          <w:sz w:val="22"/>
          <w:szCs w:val="22"/>
        </w:rPr>
      </w:pPr>
      <w:r w:rsidRPr="0018332C">
        <w:rPr>
          <w:rFonts w:ascii="Arial" w:eastAsia="Times New Roman" w:hAnsi="Arial" w:cs="Arial"/>
          <w:snapToGrid w:val="0"/>
          <w:sz w:val="22"/>
          <w:szCs w:val="22"/>
        </w:rPr>
        <w:t xml:space="preserve">Présenté par </w:t>
      </w:r>
      <w:r w:rsidR="0018332C" w:rsidRPr="0018332C">
        <w:rPr>
          <w:rFonts w:ascii="Arial" w:eastAsia="Times New Roman" w:hAnsi="Arial" w:cs="Arial"/>
          <w:snapToGrid w:val="0"/>
          <w:sz w:val="22"/>
          <w:szCs w:val="22"/>
        </w:rPr>
        <w:t>l’Allemagne</w:t>
      </w:r>
    </w:p>
    <w:p w14:paraId="09187DD6" w14:textId="3486D432" w:rsidR="00172F52" w:rsidRPr="0018332C" w:rsidRDefault="0018332C" w:rsidP="0018332C">
      <w:pPr>
        <w:tabs>
          <w:tab w:val="left" w:pos="567"/>
        </w:tabs>
        <w:snapToGrid w:val="0"/>
        <w:spacing w:after="240"/>
        <w:jc w:val="center"/>
        <w:rPr>
          <w:rFonts w:ascii="Arial" w:eastAsia="Calibri" w:hAnsi="Arial" w:cs="Arial"/>
          <w:b/>
          <w:bCs/>
          <w:snapToGrid w:val="0"/>
          <w:color w:val="000000"/>
          <w:sz w:val="22"/>
          <w:szCs w:val="22"/>
        </w:rPr>
      </w:pPr>
      <w:r w:rsidRPr="0018332C">
        <w:rPr>
          <w:rFonts w:ascii="Arial" w:eastAsia="Times New Roman" w:hAnsi="Arial" w:cs="Arial"/>
          <w:b/>
          <w:bCs/>
          <w:snapToGrid w:val="0"/>
          <w:sz w:val="22"/>
          <w:szCs w:val="22"/>
        </w:rPr>
        <w:t>AMÉLIORER L’OBSERVATION DU CLIMAT</w:t>
      </w:r>
    </w:p>
    <w:p w14:paraId="0BA0418E" w14:textId="77777777" w:rsidR="00172F52" w:rsidRPr="0018332C" w:rsidRDefault="00172F52" w:rsidP="0018332C">
      <w:pPr>
        <w:tabs>
          <w:tab w:val="num" w:pos="1400"/>
        </w:tabs>
        <w:spacing w:after="240"/>
        <w:jc w:val="both"/>
        <w:rPr>
          <w:rFonts w:ascii="Arial" w:eastAsia="Times New Roman" w:hAnsi="Arial" w:cs="Arial"/>
          <w:snapToGrid w:val="0"/>
          <w:sz w:val="22"/>
          <w:szCs w:val="22"/>
        </w:rPr>
      </w:pPr>
      <w:r w:rsidRPr="0018332C">
        <w:rPr>
          <w:rFonts w:ascii="Arial" w:eastAsia="Times New Roman" w:hAnsi="Arial" w:cs="Arial"/>
          <w:snapToGrid w:val="0"/>
          <w:sz w:val="22"/>
          <w:szCs w:val="22"/>
        </w:rPr>
        <w:t>La Commission océanographique intergouvernementale,</w:t>
      </w:r>
    </w:p>
    <w:p w14:paraId="36A820AE" w14:textId="77777777" w:rsidR="0018332C" w:rsidRPr="0018332C" w:rsidRDefault="0018332C" w:rsidP="0018332C">
      <w:pPr>
        <w:numPr>
          <w:ilvl w:val="0"/>
          <w:numId w:val="3"/>
        </w:numPr>
        <w:tabs>
          <w:tab w:val="left" w:pos="567"/>
        </w:tabs>
        <w:snapToGrid w:val="0"/>
        <w:spacing w:after="240"/>
        <w:jc w:val="both"/>
        <w:rPr>
          <w:rFonts w:ascii="Arial" w:eastAsia="Times New Roman" w:hAnsi="Arial" w:cs="Arial"/>
          <w:b/>
          <w:bCs/>
          <w:iCs/>
          <w:snapToGrid w:val="0"/>
          <w:color w:val="000000"/>
          <w:sz w:val="22"/>
          <w:szCs w:val="22"/>
        </w:rPr>
      </w:pPr>
      <w:r w:rsidRPr="0018332C">
        <w:rPr>
          <w:rFonts w:ascii="Arial" w:eastAsia="Times New Roman" w:hAnsi="Arial" w:cs="Arial"/>
          <w:b/>
          <w:bCs/>
          <w:snapToGrid w:val="0"/>
          <w:sz w:val="22"/>
          <w:szCs w:val="22"/>
        </w:rPr>
        <w:t>Rappelant :</w:t>
      </w:r>
    </w:p>
    <w:p w14:paraId="6AFA8AF3" w14:textId="77777777" w:rsidR="0018332C" w:rsidRPr="0018332C" w:rsidRDefault="0018332C" w:rsidP="0018332C">
      <w:pPr>
        <w:snapToGrid w:val="0"/>
        <w:spacing w:after="240"/>
        <w:ind w:left="1134" w:hanging="567"/>
        <w:jc w:val="both"/>
        <w:rPr>
          <w:rFonts w:ascii="Arial" w:eastAsia="MS Mincho" w:hAnsi="Arial" w:cs="Arial"/>
          <w:sz w:val="22"/>
          <w:szCs w:val="22"/>
          <w:lang w:eastAsia="ja-JP"/>
        </w:rPr>
      </w:pPr>
      <w:r w:rsidRPr="0018332C">
        <w:rPr>
          <w:rFonts w:ascii="Arial" w:eastAsia="MS Mincho" w:hAnsi="Arial" w:cs="Arial"/>
          <w:sz w:val="22"/>
          <w:szCs w:val="22"/>
          <w:lang w:eastAsia="ja-JP"/>
        </w:rPr>
        <w:t>(i)</w:t>
      </w:r>
      <w:r w:rsidRPr="0018332C">
        <w:rPr>
          <w:rFonts w:ascii="Arial" w:eastAsia="MS Mincho" w:hAnsi="Arial" w:cs="Arial"/>
          <w:sz w:val="22"/>
          <w:szCs w:val="22"/>
          <w:lang w:eastAsia="ja-JP"/>
        </w:rPr>
        <w:tab/>
        <w:t>la résolution XVI-8 de l’Assemblée de la COI, qui prévoit la mise en place d’un Système mondial d’observation de l’océan (GOOS) et la participation au Système mondial d’observation du climat (SMOC),</w:t>
      </w:r>
    </w:p>
    <w:p w14:paraId="28B18104" w14:textId="77777777" w:rsidR="0018332C" w:rsidRPr="0018332C" w:rsidRDefault="0018332C" w:rsidP="0018332C">
      <w:pPr>
        <w:snapToGrid w:val="0"/>
        <w:spacing w:after="240"/>
        <w:ind w:left="1134" w:hanging="567"/>
        <w:jc w:val="both"/>
        <w:rPr>
          <w:rFonts w:ascii="Arial" w:eastAsia="MS Mincho" w:hAnsi="Arial" w:cs="Arial"/>
          <w:spacing w:val="-2"/>
          <w:sz w:val="22"/>
          <w:szCs w:val="22"/>
          <w:lang w:eastAsia="ja-JP"/>
        </w:rPr>
      </w:pPr>
      <w:r w:rsidRPr="0018332C">
        <w:rPr>
          <w:rFonts w:ascii="Arial" w:eastAsia="MS Mincho" w:hAnsi="Arial" w:cs="Arial"/>
          <w:sz w:val="22"/>
          <w:szCs w:val="22"/>
          <w:lang w:eastAsia="ja-JP"/>
        </w:rPr>
        <w:t>(ii)</w:t>
      </w:r>
      <w:r w:rsidRPr="0018332C">
        <w:rPr>
          <w:rFonts w:ascii="Arial" w:eastAsia="MS Mincho" w:hAnsi="Arial" w:cs="Arial"/>
          <w:sz w:val="22"/>
          <w:szCs w:val="22"/>
          <w:lang w:eastAsia="ja-JP"/>
        </w:rPr>
        <w:tab/>
        <w:t xml:space="preserve">la </w:t>
      </w:r>
      <w:hyperlink r:id="rId7" w:history="1">
        <w:r w:rsidRPr="0018332C">
          <w:rPr>
            <w:rFonts w:ascii="Arial" w:eastAsia="MS Mincho" w:hAnsi="Arial" w:cs="Arial"/>
            <w:color w:val="0000FF"/>
            <w:sz w:val="22"/>
            <w:szCs w:val="22"/>
            <w:u w:val="single"/>
            <w:lang w:eastAsia="ja-JP"/>
          </w:rPr>
          <w:t>décision 19/CP.22</w:t>
        </w:r>
      </w:hyperlink>
      <w:r w:rsidRPr="0018332C">
        <w:rPr>
          <w:rFonts w:ascii="Arial" w:eastAsia="MS Mincho" w:hAnsi="Arial" w:cs="Arial"/>
          <w:sz w:val="22"/>
          <w:szCs w:val="22"/>
          <w:lang w:eastAsia="ja-JP"/>
        </w:rPr>
        <w:t xml:space="preserve"> de la Convention-cadre des Nations Unies sur les changements climatiques (CCNUCC), intitulée « Mise en œuvre du Système mondial d’observation du climat »,</w:t>
      </w:r>
    </w:p>
    <w:p w14:paraId="3CAF504B" w14:textId="5E8CEAF6" w:rsidR="0018332C" w:rsidRPr="0018332C" w:rsidRDefault="0018332C" w:rsidP="0018332C">
      <w:pPr>
        <w:snapToGrid w:val="0"/>
        <w:spacing w:after="240"/>
        <w:ind w:left="1134" w:hanging="567"/>
        <w:jc w:val="both"/>
        <w:rPr>
          <w:rFonts w:ascii="Arial" w:eastAsia="MS Mincho" w:hAnsi="Arial" w:cs="Arial"/>
          <w:sz w:val="22"/>
          <w:szCs w:val="22"/>
          <w:lang w:eastAsia="ja-JP"/>
        </w:rPr>
      </w:pPr>
      <w:r w:rsidRPr="0018332C">
        <w:rPr>
          <w:rFonts w:ascii="Arial" w:eastAsia="MS Mincho" w:hAnsi="Arial" w:cs="Arial"/>
          <w:spacing w:val="-2"/>
          <w:sz w:val="22"/>
          <w:szCs w:val="22"/>
          <w:lang w:eastAsia="ja-JP"/>
        </w:rPr>
        <w:t>(iii)</w:t>
      </w:r>
      <w:r w:rsidRPr="0018332C">
        <w:rPr>
          <w:rFonts w:ascii="Arial" w:eastAsia="MS Mincho" w:hAnsi="Arial" w:cs="Arial"/>
          <w:spacing w:val="-2"/>
          <w:sz w:val="22"/>
          <w:szCs w:val="22"/>
          <w:lang w:eastAsia="ja-JP"/>
        </w:rPr>
        <w:tab/>
        <w:t>les conclusions du rapport de l’Organe subsidiaire de conseil scientifique et technologique (SBSTA) sur ses 52</w:t>
      </w:r>
      <w:r w:rsidRPr="0018332C">
        <w:rPr>
          <w:rFonts w:ascii="Arial" w:eastAsia="MS Mincho" w:hAnsi="Arial" w:cs="Arial"/>
          <w:spacing w:val="-2"/>
          <w:sz w:val="22"/>
          <w:szCs w:val="22"/>
          <w:vertAlign w:val="superscript"/>
          <w:lang w:eastAsia="ja-JP"/>
        </w:rPr>
        <w:t>e</w:t>
      </w:r>
      <w:r w:rsidR="00EB43A3">
        <w:rPr>
          <w:rFonts w:ascii="Arial" w:eastAsia="MS Mincho" w:hAnsi="Arial" w:cs="Arial"/>
          <w:spacing w:val="-2"/>
          <w:sz w:val="22"/>
          <w:szCs w:val="22"/>
          <w:lang w:eastAsia="ja-JP"/>
        </w:rPr>
        <w:t> </w:t>
      </w:r>
      <w:r w:rsidRPr="0018332C">
        <w:rPr>
          <w:rFonts w:ascii="Arial" w:eastAsia="MS Mincho" w:hAnsi="Arial" w:cs="Arial"/>
          <w:spacing w:val="-2"/>
          <w:sz w:val="22"/>
          <w:szCs w:val="22"/>
          <w:lang w:eastAsia="ja-JP"/>
        </w:rPr>
        <w:t>à 55</w:t>
      </w:r>
      <w:r w:rsidRPr="0018332C">
        <w:rPr>
          <w:rFonts w:ascii="Arial" w:eastAsia="MS Mincho" w:hAnsi="Arial" w:cs="Arial"/>
          <w:spacing w:val="-2"/>
          <w:sz w:val="22"/>
          <w:szCs w:val="22"/>
          <w:vertAlign w:val="superscript"/>
          <w:lang w:eastAsia="ja-JP"/>
        </w:rPr>
        <w:t>e</w:t>
      </w:r>
      <w:r w:rsidR="00EB43A3">
        <w:rPr>
          <w:rFonts w:ascii="Arial" w:eastAsia="MS Mincho" w:hAnsi="Arial" w:cs="Arial"/>
          <w:spacing w:val="-2"/>
          <w:sz w:val="22"/>
          <w:szCs w:val="22"/>
          <w:lang w:eastAsia="ja-JP"/>
        </w:rPr>
        <w:t> </w:t>
      </w:r>
      <w:r w:rsidRPr="0018332C">
        <w:rPr>
          <w:rFonts w:ascii="Arial" w:eastAsia="MS Mincho" w:hAnsi="Arial" w:cs="Arial"/>
          <w:spacing w:val="-2"/>
          <w:sz w:val="22"/>
          <w:szCs w:val="22"/>
          <w:lang w:eastAsia="ja-JP"/>
        </w:rPr>
        <w:t>sessions (</w:t>
      </w:r>
      <w:hyperlink r:id="rId8" w:history="1">
        <w:r w:rsidRPr="0018332C">
          <w:rPr>
            <w:rFonts w:ascii="Arial" w:eastAsia="MS Mincho" w:hAnsi="Arial" w:cs="Arial"/>
            <w:color w:val="0000FF"/>
            <w:spacing w:val="-2"/>
            <w:sz w:val="22"/>
            <w:szCs w:val="22"/>
            <w:u w:val="single"/>
            <w:lang w:eastAsia="ja-JP"/>
          </w:rPr>
          <w:t>FCCC/SBSTA/2021/3</w:t>
        </w:r>
      </w:hyperlink>
      <w:r w:rsidRPr="0018332C">
        <w:rPr>
          <w:rFonts w:ascii="Arial" w:eastAsia="MS Mincho" w:hAnsi="Arial" w:cs="Arial"/>
          <w:spacing w:val="-2"/>
          <w:sz w:val="22"/>
          <w:szCs w:val="22"/>
          <w:lang w:eastAsia="ja-JP"/>
        </w:rPr>
        <w:t xml:space="preserve"> –</w:t>
      </w:r>
      <w:r w:rsidR="007820A0">
        <w:rPr>
          <w:rFonts w:ascii="Arial" w:eastAsia="MS Mincho" w:hAnsi="Arial" w:cs="Arial"/>
          <w:spacing w:val="-2"/>
          <w:sz w:val="22"/>
          <w:szCs w:val="22"/>
          <w:lang w:eastAsia="ja-JP"/>
        </w:rPr>
        <w:t> </w:t>
      </w:r>
      <w:r w:rsidRPr="0018332C">
        <w:rPr>
          <w:rFonts w:ascii="Arial" w:eastAsia="MS Mincho" w:hAnsi="Arial" w:cs="Arial"/>
          <w:spacing w:val="-2"/>
          <w:sz w:val="22"/>
          <w:szCs w:val="22"/>
          <w:lang w:eastAsia="ja-JP"/>
        </w:rPr>
        <w:t xml:space="preserve">paragraphes 63, 65, 70), dans lesquelles celui-ci se félicite du </w:t>
      </w:r>
      <w:hyperlink r:id="rId9" w:history="1">
        <w:r w:rsidRPr="0018332C">
          <w:rPr>
            <w:rFonts w:ascii="Arial" w:eastAsia="MS Mincho" w:hAnsi="Arial" w:cs="Arial"/>
            <w:i/>
            <w:iCs/>
            <w:color w:val="0000FF"/>
            <w:spacing w:val="-2"/>
            <w:sz w:val="22"/>
            <w:szCs w:val="22"/>
            <w:u w:val="single"/>
            <w:lang w:eastAsia="ja-JP"/>
          </w:rPr>
          <w:t>Rapport sur l’état d’avancement du SMOC en 2021</w:t>
        </w:r>
      </w:hyperlink>
      <w:r w:rsidRPr="0018332C">
        <w:rPr>
          <w:rFonts w:ascii="Arial" w:eastAsia="MS Mincho" w:hAnsi="Arial" w:cs="Arial"/>
          <w:spacing w:val="-2"/>
          <w:sz w:val="22"/>
          <w:szCs w:val="22"/>
          <w:lang w:eastAsia="ja-JP"/>
        </w:rPr>
        <w:t xml:space="preserve"> (GCOS-240), prend note avec préoccupation de l’état du système climatique mondial et encourage les Parties et les organisations compétentes à renforcer l’appui qu’elles apportent aux observations systématiques et continues du système climatique pour surveiller les changements dans l’atmosphère, l’océan et la cryosphère, ainsi que sur les terres émergées,</w:t>
      </w:r>
    </w:p>
    <w:p w14:paraId="2CA81EEB" w14:textId="77777777" w:rsidR="0018332C" w:rsidRPr="0018332C" w:rsidRDefault="0018332C" w:rsidP="0018332C">
      <w:pPr>
        <w:snapToGrid w:val="0"/>
        <w:spacing w:after="240"/>
        <w:ind w:left="1134" w:hanging="567"/>
        <w:jc w:val="both"/>
        <w:rPr>
          <w:rFonts w:ascii="Arial" w:eastAsia="MS Mincho" w:hAnsi="Arial" w:cs="Arial"/>
          <w:sz w:val="22"/>
          <w:szCs w:val="22"/>
          <w:lang w:eastAsia="ja-JP"/>
        </w:rPr>
      </w:pPr>
      <w:r w:rsidRPr="0018332C">
        <w:rPr>
          <w:rFonts w:ascii="Arial" w:eastAsia="MS Mincho" w:hAnsi="Arial" w:cs="Arial"/>
          <w:sz w:val="22"/>
          <w:szCs w:val="22"/>
          <w:lang w:eastAsia="ja-JP"/>
        </w:rPr>
        <w:t>(iv)</w:t>
      </w:r>
      <w:r w:rsidRPr="0018332C">
        <w:rPr>
          <w:rFonts w:ascii="Arial" w:eastAsia="MS Mincho" w:hAnsi="Arial" w:cs="Arial"/>
          <w:sz w:val="22"/>
          <w:szCs w:val="22"/>
          <w:lang w:eastAsia="ja-JP"/>
        </w:rPr>
        <w:tab/>
        <w:t>la conclusion du rapport du SBSTA sur sa 57</w:t>
      </w:r>
      <w:r w:rsidRPr="0018332C">
        <w:rPr>
          <w:rFonts w:ascii="Arial" w:eastAsia="MS Mincho" w:hAnsi="Arial" w:cs="Arial"/>
          <w:sz w:val="22"/>
          <w:szCs w:val="22"/>
          <w:vertAlign w:val="superscript"/>
          <w:lang w:eastAsia="ja-JP"/>
        </w:rPr>
        <w:t>e</w:t>
      </w:r>
      <w:r w:rsidRPr="0018332C">
        <w:rPr>
          <w:rFonts w:ascii="Arial" w:eastAsia="MS Mincho" w:hAnsi="Arial" w:cs="Arial"/>
          <w:sz w:val="22"/>
          <w:szCs w:val="22"/>
          <w:lang w:eastAsia="ja-JP"/>
        </w:rPr>
        <w:t> session (</w:t>
      </w:r>
      <w:hyperlink r:id="rId10" w:history="1">
        <w:r w:rsidRPr="0018332C">
          <w:rPr>
            <w:rFonts w:ascii="Arial" w:eastAsia="MS Mincho" w:hAnsi="Arial" w:cs="Arial"/>
            <w:color w:val="0000FF"/>
            <w:sz w:val="22"/>
            <w:szCs w:val="22"/>
            <w:u w:val="single"/>
            <w:lang w:eastAsia="ja-JP"/>
          </w:rPr>
          <w:t>FCCC/SBSTA/2022/L.20</w:t>
        </w:r>
      </w:hyperlink>
      <w:r w:rsidRPr="0018332C">
        <w:rPr>
          <w:rFonts w:ascii="Arial" w:eastAsia="MS Mincho" w:hAnsi="Arial" w:cs="Arial"/>
          <w:sz w:val="22"/>
          <w:szCs w:val="22"/>
          <w:lang w:eastAsia="ja-JP"/>
        </w:rPr>
        <w:t xml:space="preserve"> – paragraphe 7), dans laquelle celui-ci accueille favorablement le Plan de mise en œuvre 2022 du SMOC ainsi que les Conditions relatives aux variables climatiques essentielles du SMOC (2022) et encourage les Parties et les organisations compétentes, selon qu’il convient, à œuvrer à l’exécution du Plan de mise en œuvre 2022 du SMOC, conformément à l’article 5 de la Convention,</w:t>
      </w:r>
    </w:p>
    <w:p w14:paraId="48B6F6C3" w14:textId="3AB8BB45" w:rsidR="0018332C" w:rsidRPr="0018332C" w:rsidRDefault="0018332C" w:rsidP="0018332C">
      <w:pPr>
        <w:numPr>
          <w:ilvl w:val="0"/>
          <w:numId w:val="3"/>
        </w:numPr>
        <w:snapToGrid w:val="0"/>
        <w:spacing w:after="240"/>
        <w:ind w:left="567" w:hanging="567"/>
        <w:jc w:val="both"/>
        <w:rPr>
          <w:rFonts w:ascii="Arial" w:eastAsia="MS Mincho" w:hAnsi="Arial" w:cs="Arial"/>
          <w:sz w:val="22"/>
          <w:szCs w:val="22"/>
        </w:rPr>
      </w:pPr>
      <w:r w:rsidRPr="0018332C">
        <w:rPr>
          <w:rFonts w:ascii="Arial" w:eastAsia="Times New Roman" w:hAnsi="Arial" w:cs="Arial"/>
          <w:b/>
          <w:bCs/>
          <w:snapToGrid w:val="0"/>
          <w:sz w:val="22"/>
          <w:szCs w:val="22"/>
        </w:rPr>
        <w:t>Notant</w:t>
      </w:r>
      <w:r w:rsidRPr="0018332C">
        <w:rPr>
          <w:rFonts w:ascii="Arial" w:eastAsia="Times New Roman" w:hAnsi="Arial" w:cs="Arial"/>
          <w:snapToGrid w:val="0"/>
          <w:sz w:val="22"/>
          <w:szCs w:val="22"/>
        </w:rPr>
        <w:t xml:space="preserve"> que l’un des principaux domaines d’action de la Stratégie du GOOS (GOOS</w:t>
      </w:r>
      <w:r>
        <w:rPr>
          <w:rFonts w:ascii="Arial" w:eastAsia="Times New Roman" w:hAnsi="Arial" w:cs="Arial"/>
          <w:snapToGrid w:val="0"/>
          <w:sz w:val="22"/>
          <w:szCs w:val="22"/>
        </w:rPr>
        <w:noBreakHyphen/>
      </w:r>
      <w:r w:rsidRPr="0018332C">
        <w:rPr>
          <w:rFonts w:ascii="Arial" w:eastAsia="Times New Roman" w:hAnsi="Arial" w:cs="Arial"/>
          <w:snapToGrid w:val="0"/>
          <w:sz w:val="22"/>
          <w:szCs w:val="22"/>
        </w:rPr>
        <w:t xml:space="preserve">239) à l’horizon 2030 met l’accent sur le soutien apporté aux services climatiques et à la prise de décisions, </w:t>
      </w:r>
    </w:p>
    <w:p w14:paraId="2E256511" w14:textId="77777777" w:rsidR="0018332C" w:rsidRPr="0018332C" w:rsidRDefault="0018332C" w:rsidP="0018332C">
      <w:pPr>
        <w:numPr>
          <w:ilvl w:val="0"/>
          <w:numId w:val="3"/>
        </w:numPr>
        <w:snapToGrid w:val="0"/>
        <w:spacing w:after="240"/>
        <w:ind w:left="567" w:hanging="567"/>
        <w:jc w:val="both"/>
        <w:rPr>
          <w:rFonts w:ascii="Arial" w:eastAsia="Times New Roman" w:hAnsi="Arial" w:cs="Arial"/>
          <w:sz w:val="22"/>
          <w:szCs w:val="22"/>
        </w:rPr>
      </w:pPr>
      <w:r w:rsidRPr="0018332C">
        <w:rPr>
          <w:rFonts w:ascii="Arial" w:eastAsia="Times New Roman" w:hAnsi="Arial" w:cs="Arial"/>
          <w:b/>
          <w:bCs/>
          <w:snapToGrid w:val="0"/>
          <w:sz w:val="22"/>
          <w:szCs w:val="22"/>
        </w:rPr>
        <w:t>Ayant examiné</w:t>
      </w:r>
      <w:r w:rsidRPr="0018332C">
        <w:rPr>
          <w:rFonts w:ascii="Arial" w:eastAsia="Times New Roman" w:hAnsi="Arial" w:cs="Arial"/>
          <w:snapToGrid w:val="0"/>
          <w:sz w:val="22"/>
          <w:szCs w:val="22"/>
        </w:rPr>
        <w:t xml:space="preserve"> le Plan de mise en œuvre 2022 du SMOC (GCOS-244, GOOS-272) ainsi que les Conditions relatives aux variables climatiques essentielles du SMOC (2022) (GCOS</w:t>
      </w:r>
      <w:r w:rsidRPr="0018332C">
        <w:rPr>
          <w:rFonts w:ascii="Arial" w:eastAsia="Times New Roman" w:hAnsi="Arial" w:cs="Arial"/>
          <w:snapToGrid w:val="0"/>
          <w:sz w:val="22"/>
          <w:szCs w:val="22"/>
        </w:rPr>
        <w:noBreakHyphen/>
        <w:t>245),</w:t>
      </w:r>
    </w:p>
    <w:p w14:paraId="6BA308ED" w14:textId="77777777" w:rsidR="0018332C" w:rsidRPr="0018332C" w:rsidRDefault="0018332C" w:rsidP="0018332C">
      <w:pPr>
        <w:numPr>
          <w:ilvl w:val="0"/>
          <w:numId w:val="3"/>
        </w:numPr>
        <w:snapToGrid w:val="0"/>
        <w:spacing w:after="240"/>
        <w:ind w:left="567" w:hanging="567"/>
        <w:jc w:val="both"/>
        <w:rPr>
          <w:rFonts w:ascii="Arial" w:eastAsia="Times New Roman" w:hAnsi="Arial" w:cs="Arial"/>
          <w:color w:val="000000"/>
          <w:sz w:val="22"/>
          <w:szCs w:val="22"/>
        </w:rPr>
      </w:pPr>
      <w:r w:rsidRPr="0018332C">
        <w:rPr>
          <w:rFonts w:ascii="Arial" w:eastAsia="Times New Roman" w:hAnsi="Arial" w:cs="Arial"/>
          <w:b/>
          <w:bCs/>
          <w:snapToGrid w:val="0"/>
          <w:sz w:val="22"/>
          <w:szCs w:val="22"/>
        </w:rPr>
        <w:t>Ayant également examiné</w:t>
      </w:r>
      <w:r w:rsidRPr="0018332C">
        <w:rPr>
          <w:rFonts w:ascii="Arial" w:eastAsia="Times New Roman" w:hAnsi="Arial" w:cs="Arial"/>
          <w:snapToGrid w:val="0"/>
          <w:sz w:val="22"/>
          <w:szCs w:val="22"/>
        </w:rPr>
        <w:t xml:space="preserve"> le complément apporté par la COI au Plan de mise en œuvre 2022 du SMOC (IOC/A-32/4.10.Doc(1)), </w:t>
      </w:r>
    </w:p>
    <w:p w14:paraId="689A5E70" w14:textId="77777777" w:rsidR="0018332C" w:rsidRPr="0018332C" w:rsidRDefault="0018332C" w:rsidP="0018332C">
      <w:pPr>
        <w:numPr>
          <w:ilvl w:val="0"/>
          <w:numId w:val="3"/>
        </w:numPr>
        <w:snapToGrid w:val="0"/>
        <w:spacing w:after="240"/>
        <w:ind w:left="567" w:hanging="567"/>
        <w:jc w:val="both"/>
        <w:rPr>
          <w:rFonts w:ascii="Arial" w:eastAsia="Times New Roman" w:hAnsi="Arial" w:cs="Arial"/>
          <w:i/>
          <w:snapToGrid w:val="0"/>
          <w:sz w:val="22"/>
          <w:szCs w:val="22"/>
        </w:rPr>
      </w:pPr>
      <w:r w:rsidRPr="0018332C">
        <w:rPr>
          <w:rFonts w:ascii="Arial" w:eastAsia="Times New Roman" w:hAnsi="Arial" w:cs="Arial"/>
          <w:b/>
          <w:bCs/>
          <w:snapToGrid w:val="0"/>
          <w:sz w:val="22"/>
          <w:szCs w:val="22"/>
        </w:rPr>
        <w:t xml:space="preserve">Ayant examiné en outre </w:t>
      </w:r>
      <w:r w:rsidRPr="0018332C">
        <w:rPr>
          <w:rFonts w:ascii="Arial" w:eastAsia="Times New Roman" w:hAnsi="Arial" w:cs="Arial"/>
          <w:snapToGrid w:val="0"/>
          <w:sz w:val="22"/>
          <w:szCs w:val="22"/>
        </w:rPr>
        <w:t>la résolution connexe 4.2(9)/1 sur l’amélioration des observations du climat approuvée par le Congrès de l’OMM à sa 19</w:t>
      </w:r>
      <w:r w:rsidRPr="0018332C">
        <w:rPr>
          <w:rFonts w:ascii="Arial" w:eastAsia="Times New Roman" w:hAnsi="Arial" w:cs="Arial"/>
          <w:snapToGrid w:val="0"/>
          <w:sz w:val="22"/>
          <w:szCs w:val="22"/>
          <w:vertAlign w:val="superscript"/>
        </w:rPr>
        <w:t>e</w:t>
      </w:r>
      <w:r w:rsidRPr="0018332C">
        <w:rPr>
          <w:rFonts w:ascii="Arial" w:eastAsia="Times New Roman" w:hAnsi="Arial" w:cs="Arial"/>
          <w:snapToGrid w:val="0"/>
          <w:sz w:val="22"/>
          <w:szCs w:val="22"/>
        </w:rPr>
        <w:t xml:space="preserve"> session (CG-19), </w:t>
      </w:r>
    </w:p>
    <w:p w14:paraId="0525CFB9" w14:textId="77777777" w:rsidR="0018332C" w:rsidRPr="0018332C" w:rsidRDefault="0018332C" w:rsidP="0018332C">
      <w:pPr>
        <w:numPr>
          <w:ilvl w:val="0"/>
          <w:numId w:val="3"/>
        </w:numPr>
        <w:snapToGrid w:val="0"/>
        <w:spacing w:after="240"/>
        <w:ind w:left="567" w:hanging="567"/>
        <w:jc w:val="both"/>
        <w:rPr>
          <w:rFonts w:ascii="Arial" w:eastAsia="Times New Roman" w:hAnsi="Arial" w:cs="Arial"/>
          <w:sz w:val="22"/>
          <w:szCs w:val="22"/>
        </w:rPr>
      </w:pPr>
      <w:r w:rsidRPr="0018332C">
        <w:rPr>
          <w:rFonts w:ascii="Arial" w:eastAsia="Times New Roman" w:hAnsi="Arial" w:cs="Arial"/>
          <w:b/>
          <w:bCs/>
          <w:snapToGrid w:val="0"/>
          <w:sz w:val="22"/>
          <w:szCs w:val="22"/>
        </w:rPr>
        <w:t>Approuve</w:t>
      </w:r>
      <w:r w:rsidRPr="0018332C">
        <w:rPr>
          <w:rFonts w:ascii="Arial" w:eastAsia="Times New Roman" w:hAnsi="Arial" w:cs="Arial"/>
          <w:snapToGrid w:val="0"/>
          <w:sz w:val="22"/>
          <w:szCs w:val="22"/>
        </w:rPr>
        <w:t xml:space="preserve"> les conclusions du Plan de mise en œuvre 2022 du SMOC (GCOS-244, GOOS</w:t>
      </w:r>
      <w:r w:rsidRPr="0018332C">
        <w:rPr>
          <w:rFonts w:ascii="Arial" w:eastAsia="Times New Roman" w:hAnsi="Arial" w:cs="Arial"/>
          <w:snapToGrid w:val="0"/>
          <w:sz w:val="22"/>
          <w:szCs w:val="22"/>
        </w:rPr>
        <w:noBreakHyphen/>
        <w:t>272) et des Conditions relatives aux variables climatiques essentielles (2022) du SMOC (GCOS-245) ;</w:t>
      </w:r>
    </w:p>
    <w:p w14:paraId="169EA84D" w14:textId="77777777" w:rsidR="0018332C" w:rsidRPr="0018332C" w:rsidRDefault="0018332C" w:rsidP="0018332C">
      <w:pPr>
        <w:numPr>
          <w:ilvl w:val="0"/>
          <w:numId w:val="3"/>
        </w:numPr>
        <w:snapToGrid w:val="0"/>
        <w:spacing w:after="240"/>
        <w:ind w:left="567" w:hanging="567"/>
        <w:jc w:val="both"/>
        <w:rPr>
          <w:rFonts w:ascii="Arial" w:eastAsia="Times New Roman" w:hAnsi="Arial" w:cs="Arial"/>
          <w:sz w:val="22"/>
          <w:szCs w:val="22"/>
        </w:rPr>
      </w:pPr>
      <w:r w:rsidRPr="0018332C">
        <w:rPr>
          <w:rFonts w:ascii="Arial" w:eastAsia="Times New Roman" w:hAnsi="Arial" w:cs="Arial"/>
          <w:b/>
          <w:bCs/>
          <w:snapToGrid w:val="0"/>
          <w:sz w:val="22"/>
          <w:szCs w:val="22"/>
        </w:rPr>
        <w:lastRenderedPageBreak/>
        <w:t>Encourage</w:t>
      </w:r>
      <w:r w:rsidRPr="0018332C">
        <w:rPr>
          <w:rFonts w:ascii="Arial" w:eastAsia="Times New Roman" w:hAnsi="Arial" w:cs="Arial"/>
          <w:snapToGrid w:val="0"/>
          <w:sz w:val="22"/>
          <w:szCs w:val="22"/>
        </w:rPr>
        <w:t xml:space="preserve"> les États membres à collaborer avec les partenaires nationaux en vue de mettre en œuvre l’ensemble des actions relatives à l’océan et aux variables atmosphériques pertinentes au-dessus de l’océan, prévues dans le Plan de mise en œuvre 2022 du SMOC (GCOS-244, GOOS-272) ;</w:t>
      </w:r>
    </w:p>
    <w:p w14:paraId="5FAB5F5F" w14:textId="77777777" w:rsidR="0018332C" w:rsidRPr="0018332C" w:rsidRDefault="0018332C" w:rsidP="0018332C">
      <w:pPr>
        <w:numPr>
          <w:ilvl w:val="0"/>
          <w:numId w:val="3"/>
        </w:numPr>
        <w:snapToGrid w:val="0"/>
        <w:spacing w:after="240"/>
        <w:ind w:left="567" w:hanging="567"/>
        <w:jc w:val="both"/>
        <w:rPr>
          <w:rFonts w:ascii="Arial" w:hAnsi="Arial" w:cs="Arial"/>
          <w:sz w:val="22"/>
          <w:szCs w:val="22"/>
        </w:rPr>
      </w:pPr>
      <w:r w:rsidRPr="0018332C">
        <w:rPr>
          <w:rFonts w:ascii="Arial" w:eastAsia="Times New Roman" w:hAnsi="Arial" w:cs="Arial"/>
          <w:b/>
          <w:bCs/>
          <w:snapToGrid w:val="0"/>
          <w:sz w:val="22"/>
          <w:szCs w:val="22"/>
        </w:rPr>
        <w:t>Prie instamment</w:t>
      </w:r>
      <w:r w:rsidRPr="0018332C">
        <w:rPr>
          <w:rFonts w:ascii="Arial" w:eastAsia="Times New Roman" w:hAnsi="Arial" w:cs="Arial"/>
          <w:snapToGrid w:val="0"/>
          <w:sz w:val="22"/>
          <w:szCs w:val="22"/>
        </w:rPr>
        <w:t xml:space="preserve"> les États membres de prendre des mesures pour mettre en œuvre les actions pertinentes mises en avant dans le document IOC/A-32/4.10.Doc(1) ;</w:t>
      </w:r>
    </w:p>
    <w:p w14:paraId="33BBD08A" w14:textId="4C76B1B4" w:rsidR="0018332C" w:rsidRPr="0018332C" w:rsidRDefault="0018332C" w:rsidP="0018332C">
      <w:pPr>
        <w:numPr>
          <w:ilvl w:val="0"/>
          <w:numId w:val="3"/>
        </w:numPr>
        <w:snapToGrid w:val="0"/>
        <w:spacing w:after="240"/>
        <w:ind w:left="567" w:hanging="567"/>
        <w:jc w:val="both"/>
        <w:rPr>
          <w:rFonts w:ascii="Arial" w:eastAsia="Times New Roman" w:hAnsi="Arial" w:cs="Arial"/>
          <w:snapToGrid w:val="0"/>
          <w:sz w:val="22"/>
          <w:szCs w:val="22"/>
        </w:rPr>
      </w:pPr>
      <w:r w:rsidRPr="0018332C">
        <w:rPr>
          <w:rFonts w:ascii="Arial" w:eastAsia="Times New Roman" w:hAnsi="Arial" w:cs="Arial"/>
          <w:b/>
          <w:bCs/>
          <w:snapToGrid w:val="0"/>
          <w:sz w:val="22"/>
          <w:szCs w:val="22"/>
        </w:rPr>
        <w:t>Prie</w:t>
      </w:r>
      <w:r w:rsidRPr="0018332C">
        <w:rPr>
          <w:rFonts w:ascii="Arial" w:eastAsia="Times New Roman" w:hAnsi="Arial" w:cs="Arial"/>
          <w:snapToGrid w:val="0"/>
          <w:sz w:val="22"/>
          <w:szCs w:val="22"/>
        </w:rPr>
        <w:t xml:space="preserve"> le Secrétaire exécutif de la COI de faciliter la coordination et la mise en œuvre des mesures pertinentes prévues dans le complément apporté par la COI au Plan de mise en œuvre 2022 du SMOC (IOC/A-32/4.10.Doc(1)).</w:t>
      </w:r>
    </w:p>
    <w:sectPr w:rsidR="0018332C" w:rsidRPr="0018332C" w:rsidSect="001118A9">
      <w:headerReference w:type="even" r:id="rId11"/>
      <w:headerReference w:type="defaul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5892" w14:textId="77777777" w:rsidR="001118A9" w:rsidRDefault="001118A9" w:rsidP="001118A9">
      <w:r>
        <w:separator/>
      </w:r>
    </w:p>
  </w:endnote>
  <w:endnote w:type="continuationSeparator" w:id="0">
    <w:p w14:paraId="688D02CA" w14:textId="77777777" w:rsidR="001118A9" w:rsidRDefault="001118A9" w:rsidP="0011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DB63" w14:textId="77777777" w:rsidR="001118A9" w:rsidRDefault="001118A9" w:rsidP="001118A9">
      <w:r>
        <w:separator/>
      </w:r>
    </w:p>
  </w:footnote>
  <w:footnote w:type="continuationSeparator" w:id="0">
    <w:p w14:paraId="74ED2920" w14:textId="77777777" w:rsidR="001118A9" w:rsidRDefault="001118A9" w:rsidP="0011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863" w14:textId="5DA635CD" w:rsidR="004F673C" w:rsidRPr="004F673C" w:rsidRDefault="004F673C" w:rsidP="004F673C">
    <w:pPr>
      <w:pStyle w:val="Header"/>
      <w:rPr>
        <w:bCs/>
      </w:rPr>
    </w:pPr>
    <w:r w:rsidRPr="001118A9">
      <w:rPr>
        <w:rFonts w:ascii="Arial" w:hAnsi="Arial" w:cs="Arial"/>
        <w:bCs/>
        <w:sz w:val="22"/>
        <w:szCs w:val="22"/>
      </w:rPr>
      <w:t>A-32/DR.[4.1</w:t>
    </w:r>
    <w:r w:rsidR="0018332C">
      <w:rPr>
        <w:rFonts w:ascii="Arial" w:hAnsi="Arial" w:cs="Arial"/>
        <w:bCs/>
        <w:sz w:val="22"/>
        <w:szCs w:val="22"/>
      </w:rPr>
      <w:t>0</w:t>
    </w:r>
    <w:r w:rsidRPr="001118A9">
      <w:rPr>
        <w:rFonts w:ascii="Arial" w:hAnsi="Arial" w:cs="Arial"/>
        <w:bCs/>
        <w:sz w:val="22"/>
        <w:szCs w:val="22"/>
      </w:rPr>
      <w:t xml:space="preserve">]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Pr>
        <w:rFonts w:ascii="Arial" w:hAnsi="Arial" w:cs="Arial"/>
        <w:bCs/>
        <w:sz w:val="22"/>
        <w:szCs w:val="22"/>
      </w:rPr>
      <w:t>3</w:t>
    </w:r>
    <w:r w:rsidRPr="001118A9">
      <w:rPr>
        <w:rFonts w:ascii="Arial" w:hAnsi="Arial" w:cs="Arial"/>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820EF" w14:textId="78CCCDA1" w:rsidR="001118A9" w:rsidRPr="001118A9" w:rsidRDefault="001118A9" w:rsidP="001118A9">
    <w:pPr>
      <w:pStyle w:val="Header"/>
      <w:jc w:val="right"/>
      <w:rPr>
        <w:bCs/>
      </w:rPr>
    </w:pPr>
    <w:r w:rsidRPr="001118A9">
      <w:rPr>
        <w:rFonts w:ascii="Arial" w:hAnsi="Arial" w:cs="Arial"/>
        <w:bCs/>
        <w:sz w:val="22"/>
        <w:szCs w:val="22"/>
      </w:rPr>
      <w:t xml:space="preserve">A-32/DR.[4.12] – page </w:t>
    </w:r>
    <w:r w:rsidRPr="001118A9">
      <w:rPr>
        <w:rFonts w:ascii="Arial" w:hAnsi="Arial" w:cs="Arial"/>
        <w:bCs/>
        <w:sz w:val="22"/>
        <w:szCs w:val="22"/>
      </w:rPr>
      <w:fldChar w:fldCharType="begin"/>
    </w:r>
    <w:r w:rsidRPr="001118A9">
      <w:rPr>
        <w:rFonts w:ascii="Arial" w:hAnsi="Arial" w:cs="Arial"/>
        <w:bCs/>
        <w:sz w:val="22"/>
        <w:szCs w:val="22"/>
      </w:rPr>
      <w:instrText>PAGE   \* MERGEFORMAT</w:instrText>
    </w:r>
    <w:r w:rsidRPr="001118A9">
      <w:rPr>
        <w:rFonts w:ascii="Arial" w:hAnsi="Arial" w:cs="Arial"/>
        <w:bCs/>
        <w:sz w:val="22"/>
        <w:szCs w:val="22"/>
      </w:rPr>
      <w:fldChar w:fldCharType="separate"/>
    </w:r>
    <w:r w:rsidRPr="001118A9">
      <w:rPr>
        <w:rFonts w:ascii="Arial" w:hAnsi="Arial" w:cs="Arial"/>
        <w:bCs/>
        <w:sz w:val="22"/>
        <w:szCs w:val="22"/>
      </w:rPr>
      <w:t>1</w:t>
    </w:r>
    <w:r w:rsidRPr="001118A9">
      <w:rPr>
        <w:rFonts w:ascii="Arial" w:hAnsi="Arial" w:cs="Arial"/>
        <w:bCs/>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8CF"/>
    <w:multiLevelType w:val="hybridMultilevel"/>
    <w:tmpl w:val="D710013A"/>
    <w:lvl w:ilvl="0" w:tplc="704C8936">
      <w:start w:val="1"/>
      <w:numFmt w:val="decimal"/>
      <w:lvlText w:val="%1."/>
      <w:lvlJc w:val="left"/>
      <w:rPr>
        <w:rFonts w:ascii="Arial" w:hAnsi="Arial" w:cs="Arial" w:hint="default"/>
        <w:b w:val="0"/>
        <w:bCs w:val="0"/>
        <w:i/>
        <w:iCs w:val="0"/>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412459394">
    <w:abstractNumId w:val="1"/>
  </w:num>
  <w:num w:numId="2" w16cid:durableId="1412392039">
    <w:abstractNumId w:val="2"/>
  </w:num>
  <w:num w:numId="3" w16cid:durableId="122266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2"/>
    <w:rsid w:val="001118A9"/>
    <w:rsid w:val="00172F52"/>
    <w:rsid w:val="0018332C"/>
    <w:rsid w:val="003355B2"/>
    <w:rsid w:val="00426790"/>
    <w:rsid w:val="0049181A"/>
    <w:rsid w:val="004F673C"/>
    <w:rsid w:val="005343B3"/>
    <w:rsid w:val="007820A0"/>
    <w:rsid w:val="008D4E74"/>
    <w:rsid w:val="009C5354"/>
    <w:rsid w:val="009D08BB"/>
    <w:rsid w:val="00B32833"/>
    <w:rsid w:val="00EB43A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452A"/>
  <w15:chartTrackingRefBased/>
  <w15:docId w15:val="{BE818DF2-DDE1-C940-AF37-81A3D205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8A9"/>
  </w:style>
  <w:style w:type="paragraph" w:styleId="Header">
    <w:name w:val="header"/>
    <w:basedOn w:val="Normal"/>
    <w:link w:val="HeaderChar"/>
    <w:uiPriority w:val="99"/>
    <w:unhideWhenUsed/>
    <w:rsid w:val="001118A9"/>
    <w:pPr>
      <w:tabs>
        <w:tab w:val="center" w:pos="4513"/>
        <w:tab w:val="right" w:pos="9026"/>
      </w:tabs>
    </w:pPr>
  </w:style>
  <w:style w:type="character" w:customStyle="1" w:styleId="HeaderChar">
    <w:name w:val="Header Char"/>
    <w:basedOn w:val="DefaultParagraphFont"/>
    <w:link w:val="Header"/>
    <w:uiPriority w:val="99"/>
    <w:rsid w:val="001118A9"/>
  </w:style>
  <w:style w:type="paragraph" w:styleId="Footer">
    <w:name w:val="footer"/>
    <w:basedOn w:val="Normal"/>
    <w:link w:val="FooterChar"/>
    <w:uiPriority w:val="99"/>
    <w:unhideWhenUsed/>
    <w:rsid w:val="001118A9"/>
    <w:pPr>
      <w:tabs>
        <w:tab w:val="center" w:pos="4513"/>
        <w:tab w:val="right" w:pos="9026"/>
      </w:tabs>
    </w:pPr>
  </w:style>
  <w:style w:type="character" w:customStyle="1" w:styleId="FooterChar">
    <w:name w:val="Footer Char"/>
    <w:basedOn w:val="DefaultParagraphFont"/>
    <w:link w:val="Footer"/>
    <w:uiPriority w:val="99"/>
    <w:rsid w:val="0011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Users/e_segalen/Downloads/sbsta2021_03F%20(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fccc.int/decisions?f%5B0%5D=session%3A4054&amp;search=&amp;page=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fccc.int/event/sbsta-57?item=10%20a" TargetMode="External"/><Relationship Id="rId4" Type="http://schemas.openxmlformats.org/officeDocument/2006/relationships/webSettings" Target="webSettings.xml"/><Relationship Id="rId9" Type="http://schemas.openxmlformats.org/officeDocument/2006/relationships/hyperlink" Target="https://library.wmo.int/index.php?lvl=notice_display&amp;id=21941"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2955</Characters>
  <Application>Microsoft Office Word</Application>
  <DocSecurity>4</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A-32/[4.10]‎</dc:title>
  <dc:subject>A-32/DR.[4.10]‎</dc:subject>
  <dc:creator>Marie-Clémence Lanneau</dc:creator>
  <cp:keywords/>
  <dc:description/>
  <cp:lastModifiedBy>Boned, Patrice</cp:lastModifiedBy>
  <cp:revision>2</cp:revision>
  <dcterms:created xsi:type="dcterms:W3CDTF">2023-06-27T09:02:00Z</dcterms:created>
  <dcterms:modified xsi:type="dcterms:W3CDTF">2023-06-27T09:02:00Z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202302048</vt:lpwstr>
  </property>
  <property fmtid="{D5CDD505-2E9C-101B-9397-08002B2CF9AE}" pid="3" name="Language">
    <vt:lpwstr>F</vt:lpwstr>
  </property>
</Properties>
</file>