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45"/>
        <w:gridCol w:w="2941"/>
      </w:tblGrid>
      <w:tr w:rsidR="003355B2" w:rsidRPr="009841D0" w14:paraId="41FEE263" w14:textId="77777777" w:rsidTr="003A19F9">
        <w:tc>
          <w:tcPr>
            <w:tcW w:w="6345" w:type="dxa"/>
          </w:tcPr>
          <w:p w14:paraId="70864C3C" w14:textId="4FF2887A" w:rsidR="003355B2" w:rsidRPr="009841D0" w:rsidRDefault="003355B2" w:rsidP="009841D0">
            <w:pPr>
              <w:ind w:left="-105"/>
              <w:rPr>
                <w:rFonts w:ascii="Arial" w:hAnsi="Arial" w:cs="Arial"/>
                <w:sz w:val="22"/>
                <w:szCs w:val="22"/>
              </w:rPr>
            </w:pPr>
            <w:r w:rsidRPr="009841D0">
              <w:rPr>
                <w:rFonts w:ascii="Arial" w:hAnsi="Arial" w:cs="Arial"/>
                <w:sz w:val="22"/>
                <w:szCs w:val="22"/>
              </w:rPr>
              <w:t>Distribution limitée</w:t>
            </w:r>
          </w:p>
          <w:p w14:paraId="6B279CEB" w14:textId="77777777" w:rsidR="003355B2" w:rsidRPr="009841D0" w:rsidRDefault="003355B2" w:rsidP="009841D0">
            <w:pPr>
              <w:ind w:left="-105"/>
              <w:rPr>
                <w:rFonts w:ascii="Arial" w:hAnsi="Arial" w:cs="Arial"/>
                <w:sz w:val="22"/>
                <w:szCs w:val="22"/>
              </w:rPr>
            </w:pPr>
          </w:p>
        </w:tc>
        <w:tc>
          <w:tcPr>
            <w:tcW w:w="2941" w:type="dxa"/>
          </w:tcPr>
          <w:p w14:paraId="69BBDEC7" w14:textId="01F88808" w:rsidR="003355B2" w:rsidRPr="009841D0" w:rsidRDefault="003355B2" w:rsidP="009841D0">
            <w:pPr>
              <w:ind w:left="459"/>
              <w:rPr>
                <w:rFonts w:ascii="Arial" w:hAnsi="Arial" w:cs="Arial"/>
                <w:b/>
                <w:sz w:val="22"/>
                <w:szCs w:val="22"/>
              </w:rPr>
            </w:pPr>
            <w:r w:rsidRPr="009841D0">
              <w:rPr>
                <w:rFonts w:ascii="Arial" w:hAnsi="Arial" w:cs="Arial"/>
                <w:b/>
                <w:sz w:val="22"/>
                <w:szCs w:val="22"/>
              </w:rPr>
              <w:t>A-32/DR.[4.</w:t>
            </w:r>
            <w:r w:rsidR="009841D0" w:rsidRPr="009841D0">
              <w:rPr>
                <w:rFonts w:ascii="Arial" w:hAnsi="Arial" w:cs="Arial"/>
                <w:b/>
                <w:sz w:val="22"/>
                <w:szCs w:val="22"/>
              </w:rPr>
              <w:t>5</w:t>
            </w:r>
            <w:r w:rsidRPr="009841D0">
              <w:rPr>
                <w:rFonts w:ascii="Arial" w:hAnsi="Arial" w:cs="Arial"/>
                <w:b/>
                <w:sz w:val="22"/>
                <w:szCs w:val="22"/>
              </w:rPr>
              <w:t>]</w:t>
            </w:r>
          </w:p>
          <w:p w14:paraId="675E586D" w14:textId="02241CC5" w:rsidR="003355B2" w:rsidRPr="009841D0" w:rsidRDefault="003355B2" w:rsidP="009841D0">
            <w:pPr>
              <w:ind w:left="459"/>
              <w:rPr>
                <w:rFonts w:ascii="Arial" w:hAnsi="Arial" w:cs="Arial"/>
                <w:sz w:val="22"/>
                <w:szCs w:val="22"/>
              </w:rPr>
            </w:pPr>
            <w:r w:rsidRPr="009841D0">
              <w:rPr>
                <w:rFonts w:ascii="Arial" w:hAnsi="Arial" w:cs="Arial"/>
                <w:sz w:val="22"/>
                <w:szCs w:val="22"/>
              </w:rPr>
              <w:t>Paris, le 2</w:t>
            </w:r>
            <w:r w:rsidR="009841D0" w:rsidRPr="009841D0">
              <w:rPr>
                <w:rFonts w:ascii="Arial" w:hAnsi="Arial" w:cs="Arial"/>
                <w:sz w:val="22"/>
                <w:szCs w:val="22"/>
              </w:rPr>
              <w:t>6</w:t>
            </w:r>
            <w:r w:rsidRPr="009841D0">
              <w:rPr>
                <w:rFonts w:ascii="Arial" w:hAnsi="Arial" w:cs="Arial"/>
                <w:sz w:val="22"/>
                <w:szCs w:val="22"/>
              </w:rPr>
              <w:t xml:space="preserve"> juin 2023</w:t>
            </w:r>
          </w:p>
          <w:p w14:paraId="29732929" w14:textId="5247695E" w:rsidR="003355B2" w:rsidRPr="009841D0" w:rsidRDefault="003355B2" w:rsidP="009841D0">
            <w:pPr>
              <w:ind w:left="459"/>
              <w:rPr>
                <w:rFonts w:ascii="Arial" w:hAnsi="Arial" w:cs="Arial"/>
                <w:sz w:val="22"/>
                <w:szCs w:val="22"/>
              </w:rPr>
            </w:pPr>
            <w:r w:rsidRPr="009841D0">
              <w:rPr>
                <w:rFonts w:ascii="Arial" w:hAnsi="Arial" w:cs="Arial"/>
                <w:sz w:val="22"/>
                <w:szCs w:val="22"/>
              </w:rPr>
              <w:t>Original anglais</w:t>
            </w:r>
          </w:p>
        </w:tc>
      </w:tr>
    </w:tbl>
    <w:p w14:paraId="21BBF78D" w14:textId="277E97B4" w:rsidR="00172F52" w:rsidRPr="009841D0" w:rsidRDefault="0049181A" w:rsidP="009841D0">
      <w:pPr>
        <w:keepNext/>
        <w:keepLines/>
        <w:tabs>
          <w:tab w:val="left" w:pos="567"/>
        </w:tabs>
        <w:snapToGrid w:val="0"/>
        <w:spacing w:before="240" w:after="240"/>
        <w:rPr>
          <w:rFonts w:ascii="Arial" w:eastAsia="Times New Roman" w:hAnsi="Arial" w:cs="Arial"/>
          <w:b/>
          <w:bCs/>
          <w:snapToGrid w:val="0"/>
          <w:color w:val="000000"/>
          <w:sz w:val="22"/>
          <w:szCs w:val="22"/>
        </w:rPr>
      </w:pPr>
      <w:r w:rsidRPr="009841D0">
        <w:rPr>
          <w:rFonts w:ascii="Arial" w:eastAsia="Times New Roman" w:hAnsi="Arial" w:cs="Arial"/>
          <w:b/>
          <w:bCs/>
          <w:snapToGrid w:val="0"/>
          <w:sz w:val="22"/>
          <w:szCs w:val="22"/>
        </w:rPr>
        <w:t>PROJET DE RÉSOLUTION A-32/[4.</w:t>
      </w:r>
      <w:r w:rsidR="009841D0" w:rsidRPr="009841D0">
        <w:rPr>
          <w:rFonts w:ascii="Arial" w:eastAsia="Times New Roman" w:hAnsi="Arial" w:cs="Arial"/>
          <w:b/>
          <w:bCs/>
          <w:snapToGrid w:val="0"/>
          <w:sz w:val="22"/>
          <w:szCs w:val="22"/>
        </w:rPr>
        <w:t>5</w:t>
      </w:r>
      <w:r w:rsidRPr="009841D0">
        <w:rPr>
          <w:rFonts w:ascii="Arial" w:eastAsia="Times New Roman" w:hAnsi="Arial" w:cs="Arial"/>
          <w:b/>
          <w:bCs/>
          <w:snapToGrid w:val="0"/>
          <w:sz w:val="22"/>
          <w:szCs w:val="22"/>
        </w:rPr>
        <w:t>]</w:t>
      </w:r>
    </w:p>
    <w:p w14:paraId="43149EAF" w14:textId="009A31F1" w:rsidR="00172F52" w:rsidRPr="007A68B6" w:rsidRDefault="00172F52" w:rsidP="009841D0">
      <w:pPr>
        <w:pStyle w:val="Marge"/>
        <w:rPr>
          <w:rFonts w:eastAsia="Calibri" w:cs="Arial"/>
          <w:snapToGrid w:val="0"/>
          <w:lang w:val="fr-FR"/>
        </w:rPr>
      </w:pPr>
      <w:r w:rsidRPr="007A68B6">
        <w:rPr>
          <w:rFonts w:cs="Arial"/>
          <w:snapToGrid w:val="0"/>
          <w:lang w:val="fr-FR"/>
        </w:rPr>
        <w:t xml:space="preserve">Présenté par </w:t>
      </w:r>
      <w:r w:rsidR="009841D0" w:rsidRPr="007A68B6">
        <w:rPr>
          <w:rFonts w:cs="Arial"/>
          <w:snapToGrid w:val="0"/>
          <w:lang w:val="fr-FR"/>
        </w:rPr>
        <w:t>le Bangladesh, les Émirats arabes unis, le Kenya, le Koweït, le Pakistan et la République islamique d’Iran</w:t>
      </w:r>
    </w:p>
    <w:p w14:paraId="3922DDDC" w14:textId="59ED15EC" w:rsidR="009841D0" w:rsidRPr="009841D0" w:rsidRDefault="009841D0" w:rsidP="009841D0">
      <w:pPr>
        <w:pStyle w:val="Marge"/>
        <w:jc w:val="center"/>
        <w:rPr>
          <w:rFonts w:cs="Arial"/>
          <w:b/>
          <w:bCs/>
          <w:lang w:val="fr-FR"/>
        </w:rPr>
      </w:pPr>
      <w:r w:rsidRPr="009841D0">
        <w:rPr>
          <w:rFonts w:cs="Arial"/>
          <w:b/>
          <w:bCs/>
          <w:snapToGrid w:val="0"/>
          <w:lang w:val="fr-FR"/>
        </w:rPr>
        <w:t xml:space="preserve">CRÉATION D’UNE SOUS-COMMISSION DE LA COI </w:t>
      </w:r>
      <w:r w:rsidRPr="009841D0">
        <w:rPr>
          <w:rFonts w:cs="Arial"/>
          <w:b/>
          <w:bCs/>
          <w:snapToGrid w:val="0"/>
          <w:lang w:val="fr-FR"/>
        </w:rPr>
        <w:br/>
        <w:t>POUR L’OCÉAN INDIEN CENTRAL (IOCINDIO)</w:t>
      </w:r>
    </w:p>
    <w:p w14:paraId="0BA0418E" w14:textId="77777777" w:rsidR="00172F52" w:rsidRPr="009841D0" w:rsidRDefault="00172F52" w:rsidP="009841D0">
      <w:pPr>
        <w:tabs>
          <w:tab w:val="num" w:pos="1400"/>
        </w:tabs>
        <w:spacing w:after="240"/>
        <w:ind w:left="720" w:hanging="720"/>
        <w:jc w:val="both"/>
        <w:rPr>
          <w:rFonts w:ascii="Arial" w:eastAsia="Times New Roman" w:hAnsi="Arial" w:cs="Arial"/>
          <w:snapToGrid w:val="0"/>
          <w:sz w:val="22"/>
          <w:szCs w:val="22"/>
        </w:rPr>
      </w:pPr>
      <w:r w:rsidRPr="009841D0">
        <w:rPr>
          <w:rFonts w:ascii="Arial" w:eastAsia="Times New Roman" w:hAnsi="Arial" w:cs="Arial"/>
          <w:snapToGrid w:val="0"/>
          <w:sz w:val="22"/>
          <w:szCs w:val="22"/>
        </w:rPr>
        <w:t>La Commission océanographique intergouvernementale,</w:t>
      </w:r>
    </w:p>
    <w:p w14:paraId="3BA17DCB" w14:textId="77777777" w:rsidR="009841D0" w:rsidRPr="009841D0" w:rsidRDefault="009841D0" w:rsidP="009841D0">
      <w:pPr>
        <w:pStyle w:val="Marge"/>
        <w:ind w:left="567" w:hanging="567"/>
        <w:rPr>
          <w:rFonts w:cs="Arial"/>
          <w:snapToGrid w:val="0"/>
          <w:lang w:val="fr-FR" w:eastAsia="en-US"/>
        </w:rPr>
      </w:pPr>
      <w:r w:rsidRPr="009841D0">
        <w:rPr>
          <w:rFonts w:cs="Arial"/>
          <w:i/>
          <w:iCs/>
          <w:snapToGrid w:val="0"/>
          <w:lang w:val="fr-FR" w:eastAsia="en-US"/>
        </w:rPr>
        <w:t>1.</w:t>
      </w:r>
      <w:r w:rsidRPr="009841D0">
        <w:rPr>
          <w:rFonts w:cs="Arial"/>
          <w:b/>
          <w:bCs/>
          <w:snapToGrid w:val="0"/>
          <w:lang w:val="fr-FR" w:eastAsia="en-US"/>
        </w:rPr>
        <w:tab/>
        <w:t>Rappelant</w:t>
      </w:r>
      <w:r w:rsidRPr="009841D0">
        <w:rPr>
          <w:rFonts w:cs="Arial"/>
          <w:snapToGrid w:val="0"/>
          <w:lang w:val="fr-FR" w:eastAsia="en-US"/>
        </w:rPr>
        <w:t xml:space="preserve"> sa résolution XII-14 intitulée « Groupe chargé du Programme de la COI relatif à l’océan Indien central » ainsi que les décisions A-31/3.5.6 et EC-55/3.5.2 sur le statut du Comité régional de la COI pour l’océan Indien central,</w:t>
      </w:r>
    </w:p>
    <w:p w14:paraId="3D63B8C7" w14:textId="77777777" w:rsidR="009841D0" w:rsidRPr="009841D0" w:rsidRDefault="009841D0" w:rsidP="009841D0">
      <w:pPr>
        <w:pStyle w:val="Marge"/>
        <w:spacing w:before="120"/>
        <w:ind w:left="567" w:hanging="567"/>
        <w:rPr>
          <w:rFonts w:cs="Arial"/>
          <w:snapToGrid w:val="0"/>
          <w:lang w:val="fr-FR" w:eastAsia="en-US"/>
        </w:rPr>
      </w:pPr>
      <w:r w:rsidRPr="009841D0">
        <w:rPr>
          <w:rFonts w:cs="Arial"/>
          <w:i/>
          <w:iCs/>
          <w:snapToGrid w:val="0"/>
          <w:lang w:val="fr-FR" w:eastAsia="en-US"/>
        </w:rPr>
        <w:t>2.</w:t>
      </w:r>
      <w:r w:rsidRPr="009841D0">
        <w:rPr>
          <w:rFonts w:cs="Arial"/>
          <w:snapToGrid w:val="0"/>
          <w:lang w:val="fr-FR" w:eastAsia="en-US"/>
        </w:rPr>
        <w:tab/>
      </w:r>
      <w:r w:rsidRPr="009841D0">
        <w:rPr>
          <w:rFonts w:cs="Arial"/>
          <w:b/>
          <w:bCs/>
          <w:snapToGrid w:val="0"/>
          <w:lang w:val="fr-FR" w:eastAsia="en-US"/>
        </w:rPr>
        <w:t>Tenant compte</w:t>
      </w:r>
      <w:r w:rsidRPr="009841D0">
        <w:rPr>
          <w:rFonts w:cs="Arial"/>
          <w:snapToGrid w:val="0"/>
          <w:lang w:val="fr-FR" w:eastAsia="en-US"/>
        </w:rPr>
        <w:t xml:space="preserve"> du fait que :</w:t>
      </w:r>
    </w:p>
    <w:p w14:paraId="35B47094" w14:textId="77777777" w:rsidR="009841D0" w:rsidRPr="009841D0" w:rsidRDefault="009841D0" w:rsidP="009841D0">
      <w:pPr>
        <w:pStyle w:val="Marge"/>
        <w:spacing w:before="120"/>
        <w:ind w:left="1134" w:hanging="567"/>
        <w:rPr>
          <w:rFonts w:cs="Arial"/>
          <w:snapToGrid w:val="0"/>
          <w:lang w:val="fr-FR" w:eastAsia="en-US"/>
        </w:rPr>
      </w:pPr>
      <w:r w:rsidRPr="009841D0">
        <w:rPr>
          <w:rFonts w:cs="Arial"/>
          <w:snapToGrid w:val="0"/>
          <w:lang w:val="fr-FR" w:eastAsia="en-US"/>
        </w:rPr>
        <w:t>(i)</w:t>
      </w:r>
      <w:r w:rsidRPr="009841D0">
        <w:rPr>
          <w:rFonts w:cs="Arial"/>
          <w:snapToGrid w:val="0"/>
          <w:lang w:val="fr-FR" w:eastAsia="en-US"/>
        </w:rPr>
        <w:tab/>
        <w:t>l’océan Indien central joue un rôle important, notamment dans le climat régional et mondial, y compris dans les moussons, l’oscillation australe El Niño, les précipitations et les chutes de neige en Eurasie, la météo et les phénomènes extrêmes ;</w:t>
      </w:r>
    </w:p>
    <w:p w14:paraId="664F9FC7" w14:textId="77777777" w:rsidR="009841D0" w:rsidRPr="009841D0" w:rsidRDefault="009841D0" w:rsidP="009841D0">
      <w:pPr>
        <w:pStyle w:val="Marge"/>
        <w:spacing w:before="120"/>
        <w:ind w:left="1134" w:hanging="567"/>
        <w:rPr>
          <w:rFonts w:cs="Arial"/>
          <w:snapToGrid w:val="0"/>
          <w:lang w:val="fr-FR" w:eastAsia="en-US"/>
        </w:rPr>
      </w:pPr>
      <w:r w:rsidRPr="009841D0">
        <w:rPr>
          <w:rFonts w:cs="Arial"/>
          <w:snapToGrid w:val="0"/>
          <w:lang w:val="fr-FR" w:eastAsia="en-US"/>
        </w:rPr>
        <w:t>(ii)</w:t>
      </w:r>
      <w:r w:rsidRPr="009841D0">
        <w:rPr>
          <w:rFonts w:cs="Arial"/>
          <w:snapToGrid w:val="0"/>
          <w:lang w:val="fr-FR" w:eastAsia="en-US"/>
        </w:rPr>
        <w:tab/>
        <w:t>après plus de trois décennies d’activités, l’IOCINDIO a accumulé une expérience inestimable, en a tiré des enseignements et a établi des bonnes pratiques, qui ont alimenté les délibérations du Groupe de travail intersessions à composition non limitée sur la transformation de l’IOCINDIO en sous</w:t>
      </w:r>
      <w:r w:rsidRPr="009841D0">
        <w:rPr>
          <w:rFonts w:cs="Arial"/>
          <w:snapToGrid w:val="0"/>
          <w:lang w:val="fr-FR" w:eastAsia="en-US"/>
        </w:rPr>
        <w:noBreakHyphen/>
        <w:t>commission de la COI,</w:t>
      </w:r>
    </w:p>
    <w:p w14:paraId="17B1701C" w14:textId="77777777" w:rsidR="009841D0" w:rsidRPr="009841D0" w:rsidRDefault="009841D0" w:rsidP="009841D0">
      <w:pPr>
        <w:pStyle w:val="Marge"/>
        <w:ind w:left="567" w:hanging="567"/>
        <w:rPr>
          <w:rFonts w:cs="Arial"/>
          <w:snapToGrid w:val="0"/>
          <w:lang w:val="fr-FR" w:eastAsia="en-US"/>
        </w:rPr>
      </w:pPr>
      <w:r w:rsidRPr="009841D0">
        <w:rPr>
          <w:rFonts w:cs="Arial"/>
          <w:i/>
          <w:iCs/>
          <w:snapToGrid w:val="0"/>
          <w:lang w:val="fr-FR" w:eastAsia="en-US"/>
        </w:rPr>
        <w:t>3.</w:t>
      </w:r>
      <w:r w:rsidRPr="009841D0">
        <w:rPr>
          <w:rFonts w:cs="Arial"/>
          <w:snapToGrid w:val="0"/>
          <w:lang w:val="fr-FR" w:eastAsia="en-US"/>
        </w:rPr>
        <w:tab/>
      </w:r>
      <w:r w:rsidRPr="009841D0">
        <w:rPr>
          <w:rFonts w:cs="Arial"/>
          <w:b/>
          <w:bCs/>
          <w:snapToGrid w:val="0"/>
          <w:lang w:val="fr-FR" w:eastAsia="en-US"/>
        </w:rPr>
        <w:t xml:space="preserve">Notant avec satisfaction </w:t>
      </w:r>
      <w:r w:rsidRPr="009841D0">
        <w:rPr>
          <w:rFonts w:cs="Arial"/>
          <w:snapToGrid w:val="0"/>
          <w:lang w:val="fr-FR" w:eastAsia="en-US"/>
        </w:rPr>
        <w:t>le vif intérêt de nombreux États membres de l’IOCINDIO à œuvrer de concert à la création de la Sous-Commission, à renforcer la mise en œuvre des programmes de la COI dans la région, à atteindre les objectifs de la Décennie des Nations Unies pour les sciences océaniques au service du développement durable (2021</w:t>
      </w:r>
      <w:r w:rsidRPr="009841D0">
        <w:rPr>
          <w:rFonts w:cs="Arial"/>
          <w:snapToGrid w:val="0"/>
          <w:lang w:val="fr-FR" w:eastAsia="en-US"/>
        </w:rPr>
        <w:noBreakHyphen/>
        <w:t>2030) et à développer les capacités des États membres de l’IOCINDIO en matière de sciences océaniques et de gestion durable de l’océan,</w:t>
      </w:r>
    </w:p>
    <w:p w14:paraId="0D269B58" w14:textId="77777777" w:rsidR="009841D0" w:rsidRPr="009841D0" w:rsidRDefault="009841D0" w:rsidP="009841D0">
      <w:pPr>
        <w:pStyle w:val="Marge"/>
        <w:ind w:left="567" w:hanging="567"/>
        <w:rPr>
          <w:rFonts w:cs="Arial"/>
          <w:snapToGrid w:val="0"/>
          <w:lang w:val="fr-FR" w:eastAsia="en-US"/>
        </w:rPr>
      </w:pPr>
      <w:r w:rsidRPr="009841D0">
        <w:rPr>
          <w:rFonts w:cs="Arial"/>
          <w:i/>
          <w:iCs/>
          <w:snapToGrid w:val="0"/>
          <w:lang w:val="fr-FR" w:eastAsia="en-US"/>
        </w:rPr>
        <w:t>4.</w:t>
      </w:r>
      <w:r w:rsidRPr="009841D0">
        <w:rPr>
          <w:rFonts w:cs="Arial"/>
          <w:snapToGrid w:val="0"/>
          <w:lang w:val="fr-FR" w:eastAsia="en-US"/>
        </w:rPr>
        <w:tab/>
      </w:r>
      <w:r w:rsidRPr="009841D0">
        <w:rPr>
          <w:rFonts w:cs="Arial"/>
          <w:b/>
          <w:bCs/>
          <w:snapToGrid w:val="0"/>
          <w:lang w:val="fr-FR" w:eastAsia="en-US"/>
        </w:rPr>
        <w:t>Notant également</w:t>
      </w:r>
      <w:r w:rsidRPr="009841D0">
        <w:rPr>
          <w:rFonts w:cs="Arial"/>
          <w:snapToGrid w:val="0"/>
          <w:lang w:val="fr-FR" w:eastAsia="en-US"/>
        </w:rPr>
        <w:t xml:space="preserve"> qu’il est d’usage à la COI d’inviter chaque État membre à participer aux travaux de la Commission et de ses organes subsidiaires régionaux,</w:t>
      </w:r>
    </w:p>
    <w:p w14:paraId="1D224926" w14:textId="77777777" w:rsidR="009841D0" w:rsidRPr="009841D0" w:rsidRDefault="009841D0" w:rsidP="009841D0">
      <w:pPr>
        <w:pStyle w:val="Marge"/>
        <w:ind w:left="567" w:hanging="567"/>
        <w:rPr>
          <w:rFonts w:cs="Arial"/>
          <w:snapToGrid w:val="0"/>
          <w:lang w:val="fr-FR" w:eastAsia="en-US"/>
        </w:rPr>
      </w:pPr>
      <w:r w:rsidRPr="009841D0">
        <w:rPr>
          <w:rFonts w:cs="Arial"/>
          <w:i/>
          <w:iCs/>
          <w:snapToGrid w:val="0"/>
          <w:lang w:val="fr-FR" w:eastAsia="en-US"/>
        </w:rPr>
        <w:t>5.</w:t>
      </w:r>
      <w:r w:rsidRPr="009841D0">
        <w:rPr>
          <w:rFonts w:cs="Arial"/>
          <w:snapToGrid w:val="0"/>
          <w:lang w:val="fr-FR" w:eastAsia="en-US"/>
        </w:rPr>
        <w:tab/>
      </w:r>
      <w:r w:rsidRPr="009841D0">
        <w:rPr>
          <w:rFonts w:cs="Arial"/>
          <w:b/>
          <w:bCs/>
          <w:snapToGrid w:val="0"/>
          <w:lang w:val="fr-FR" w:eastAsia="en-US"/>
        </w:rPr>
        <w:t>Salue</w:t>
      </w:r>
      <w:r w:rsidRPr="009841D0">
        <w:rPr>
          <w:rFonts w:cs="Arial"/>
          <w:snapToGrid w:val="0"/>
          <w:lang w:val="fr-FR" w:eastAsia="en-US"/>
        </w:rPr>
        <w:t xml:space="preserve"> la qualité de la direction et </w:t>
      </w:r>
      <w:r w:rsidRPr="009841D0">
        <w:rPr>
          <w:rFonts w:cs="Arial"/>
          <w:b/>
          <w:bCs/>
          <w:snapToGrid w:val="0"/>
          <w:lang w:val="fr-FR" w:eastAsia="en-US"/>
        </w:rPr>
        <w:t>se félicite</w:t>
      </w:r>
      <w:r w:rsidRPr="009841D0">
        <w:rPr>
          <w:rFonts w:cs="Arial"/>
          <w:snapToGrid w:val="0"/>
          <w:lang w:val="fr-FR" w:eastAsia="en-US"/>
        </w:rPr>
        <w:t xml:space="preserve"> de l’investissement du Président de la COI et du Président de l’IOCINDIO, qui ont assuré la co-présidence du Groupe de travail ;</w:t>
      </w:r>
    </w:p>
    <w:p w14:paraId="475D09E6" w14:textId="77777777" w:rsidR="009841D0" w:rsidRPr="009841D0" w:rsidRDefault="009841D0" w:rsidP="009841D0">
      <w:pPr>
        <w:pStyle w:val="Marge"/>
        <w:ind w:left="567" w:hanging="567"/>
        <w:rPr>
          <w:rFonts w:cs="Arial"/>
          <w:snapToGrid w:val="0"/>
          <w:lang w:val="fr-FR" w:eastAsia="en-US"/>
        </w:rPr>
      </w:pPr>
      <w:r w:rsidRPr="009841D0">
        <w:rPr>
          <w:rFonts w:cs="Arial"/>
          <w:i/>
          <w:iCs/>
          <w:snapToGrid w:val="0"/>
          <w:lang w:val="fr-FR" w:eastAsia="en-US"/>
        </w:rPr>
        <w:t>6.</w:t>
      </w:r>
      <w:r w:rsidRPr="009841D0">
        <w:rPr>
          <w:rFonts w:cs="Arial"/>
          <w:snapToGrid w:val="0"/>
          <w:lang w:val="fr-FR" w:eastAsia="en-US"/>
        </w:rPr>
        <w:tab/>
      </w:r>
      <w:r w:rsidRPr="009841D0">
        <w:rPr>
          <w:rFonts w:cs="Arial"/>
          <w:b/>
          <w:bCs/>
          <w:snapToGrid w:val="0"/>
          <w:lang w:val="fr-FR" w:eastAsia="en-US"/>
        </w:rPr>
        <w:t>Remercie</w:t>
      </w:r>
      <w:r w:rsidRPr="009841D0">
        <w:rPr>
          <w:rFonts w:cs="Arial"/>
          <w:snapToGrid w:val="0"/>
          <w:lang w:val="fr-FR" w:eastAsia="en-US"/>
        </w:rPr>
        <w:t> :</w:t>
      </w:r>
    </w:p>
    <w:p w14:paraId="5751A740" w14:textId="77777777" w:rsidR="009841D0" w:rsidRPr="009841D0" w:rsidRDefault="009841D0" w:rsidP="009841D0">
      <w:pPr>
        <w:pStyle w:val="Marge"/>
        <w:ind w:left="1134" w:hanging="567"/>
        <w:rPr>
          <w:rFonts w:cs="Arial"/>
          <w:snapToGrid w:val="0"/>
          <w:lang w:val="fr-FR" w:eastAsia="en-US"/>
        </w:rPr>
      </w:pPr>
      <w:r w:rsidRPr="009841D0">
        <w:rPr>
          <w:rFonts w:cs="Arial"/>
          <w:snapToGrid w:val="0"/>
          <w:lang w:val="fr-FR" w:eastAsia="en-US"/>
        </w:rPr>
        <w:t>(i)</w:t>
      </w:r>
      <w:r w:rsidRPr="009841D0">
        <w:rPr>
          <w:rFonts w:cs="Arial"/>
          <w:snapToGrid w:val="0"/>
          <w:lang w:val="fr-FR" w:eastAsia="en-US"/>
        </w:rPr>
        <w:tab/>
        <w:t>les États membres qui ont participé et contribué aux délibérations du Groupe de travail ;</w:t>
      </w:r>
    </w:p>
    <w:p w14:paraId="728A3543" w14:textId="77777777" w:rsidR="009841D0" w:rsidRPr="009841D0" w:rsidRDefault="009841D0" w:rsidP="009841D0">
      <w:pPr>
        <w:pStyle w:val="Marge"/>
        <w:ind w:left="1134" w:hanging="567"/>
        <w:rPr>
          <w:rFonts w:cs="Arial"/>
          <w:snapToGrid w:val="0"/>
          <w:lang w:val="fr-FR" w:eastAsia="en-US"/>
        </w:rPr>
      </w:pPr>
      <w:r w:rsidRPr="009841D0">
        <w:rPr>
          <w:rFonts w:cs="Arial"/>
          <w:snapToGrid w:val="0"/>
          <w:lang w:val="fr-FR" w:eastAsia="en-US"/>
        </w:rPr>
        <w:t>(ii)</w:t>
      </w:r>
      <w:r w:rsidRPr="009841D0">
        <w:rPr>
          <w:rFonts w:cs="Arial"/>
          <w:snapToGrid w:val="0"/>
          <w:lang w:val="fr-FR" w:eastAsia="en-US"/>
        </w:rPr>
        <w:tab/>
        <w:t>le Vice-Président de la COI pour le Groupe électoral IV et les Présidents de la Sous-commission de la COI pour l’Afrique et les États insulaires adjacents (IOCAFRICA) et de la Sous-Commission de la COI pour le Pacifique occidental (WESTPAC) pour leurs contributions aux travaux du Groupe de travail, ainsi que le Secrétaire exécutif de la COI et le Secrétaire technique de l’IOCINDIO pour le soutien qu’ils ont apporté ;</w:t>
      </w:r>
    </w:p>
    <w:p w14:paraId="3B2A4493" w14:textId="77777777" w:rsidR="009841D0" w:rsidRPr="009841D0" w:rsidRDefault="009841D0" w:rsidP="009841D0">
      <w:pPr>
        <w:pStyle w:val="Marge"/>
        <w:keepNext/>
        <w:keepLines/>
        <w:ind w:left="567" w:hanging="567"/>
        <w:rPr>
          <w:rFonts w:eastAsia="DengXian" w:cs="Arial"/>
          <w:lang w:val="fr-FR"/>
        </w:rPr>
      </w:pPr>
      <w:r w:rsidRPr="009841D0">
        <w:rPr>
          <w:rFonts w:eastAsia="DengXian" w:cs="Arial"/>
          <w:i/>
          <w:iCs/>
          <w:lang w:val="fr-FR"/>
        </w:rPr>
        <w:lastRenderedPageBreak/>
        <w:t>7.</w:t>
      </w:r>
      <w:r w:rsidRPr="009841D0">
        <w:rPr>
          <w:rFonts w:eastAsia="DengXian" w:cs="Arial"/>
          <w:lang w:val="fr-FR"/>
        </w:rPr>
        <w:tab/>
      </w:r>
      <w:r w:rsidRPr="009841D0">
        <w:rPr>
          <w:rFonts w:eastAsia="DengXian" w:cs="Arial"/>
          <w:b/>
          <w:bCs/>
          <w:lang w:val="fr-FR"/>
        </w:rPr>
        <w:t>Décide :</w:t>
      </w:r>
    </w:p>
    <w:p w14:paraId="5F959158" w14:textId="77777777" w:rsidR="009841D0" w:rsidRPr="009841D0" w:rsidRDefault="009841D0" w:rsidP="009841D0">
      <w:pPr>
        <w:pStyle w:val="b"/>
        <w:spacing w:line="240" w:lineRule="auto"/>
        <w:rPr>
          <w:rFonts w:cs="Arial"/>
          <w:lang w:val="fr-FR"/>
        </w:rPr>
      </w:pPr>
      <w:r w:rsidRPr="009841D0">
        <w:rPr>
          <w:rFonts w:cs="Arial"/>
          <w:lang w:val="fr-FR"/>
        </w:rPr>
        <w:t>(i)</w:t>
      </w:r>
      <w:r w:rsidRPr="009841D0">
        <w:rPr>
          <w:rFonts w:cs="Arial"/>
          <w:lang w:val="fr-FR"/>
        </w:rPr>
        <w:tab/>
        <w:t>de créer la Sous-Commission de la COI pour l’océan Indien central (IOCINDIO), dont le mandat figure à l’annexe de la présente résolution ;</w:t>
      </w:r>
    </w:p>
    <w:p w14:paraId="07F5C3ED" w14:textId="77777777" w:rsidR="009841D0" w:rsidRPr="009841D0" w:rsidRDefault="009841D0" w:rsidP="009841D0">
      <w:pPr>
        <w:pStyle w:val="b"/>
        <w:spacing w:line="240" w:lineRule="auto"/>
        <w:rPr>
          <w:rFonts w:cs="Arial"/>
          <w:lang w:val="fr-FR"/>
        </w:rPr>
      </w:pPr>
      <w:r w:rsidRPr="009841D0">
        <w:rPr>
          <w:rFonts w:cs="Arial"/>
          <w:lang w:val="fr-FR"/>
        </w:rPr>
        <w:t>(ii)</w:t>
      </w:r>
      <w:r w:rsidRPr="009841D0">
        <w:rPr>
          <w:rFonts w:cs="Arial"/>
          <w:lang w:val="fr-FR"/>
        </w:rPr>
        <w:tab/>
        <w:t>que l’IOCINDIO commencera à fonctionner en tant que sous-commission de la COI dès que le Secrétaire exécutif de la COI aura reçu neuf (9) lettres d’adhésion officielles de la part des points focaux nationaux compétents des États membres de la COI ;</w:t>
      </w:r>
    </w:p>
    <w:p w14:paraId="7A69FE3C" w14:textId="77777777" w:rsidR="009841D0" w:rsidRPr="009841D0" w:rsidRDefault="009841D0" w:rsidP="009841D0">
      <w:pPr>
        <w:pStyle w:val="b"/>
        <w:spacing w:line="240" w:lineRule="auto"/>
        <w:rPr>
          <w:rFonts w:cs="Arial"/>
          <w:lang w:val="fr-FR"/>
        </w:rPr>
      </w:pPr>
      <w:r w:rsidRPr="009841D0">
        <w:rPr>
          <w:rFonts w:cs="Arial"/>
          <w:lang w:val="fr-FR"/>
        </w:rPr>
        <w:t>(iii)</w:t>
      </w:r>
      <w:r w:rsidRPr="009841D0">
        <w:rPr>
          <w:rFonts w:cs="Arial"/>
          <w:lang w:val="fr-FR"/>
        </w:rPr>
        <w:tab/>
        <w:t>que l’IOCINDIO en tant que comité régional de la COI sera dissous au début de sa première réunion en tant que sous-commission de la COI ;</w:t>
      </w:r>
    </w:p>
    <w:p w14:paraId="4F4B4B44" w14:textId="77777777" w:rsidR="009841D0" w:rsidRPr="009841D0" w:rsidRDefault="009841D0" w:rsidP="005945C4">
      <w:pPr>
        <w:pStyle w:val="Marge"/>
        <w:tabs>
          <w:tab w:val="left" w:pos="567"/>
        </w:tabs>
        <w:rPr>
          <w:rFonts w:cs="Arial"/>
          <w:lang w:val="fr-FR"/>
        </w:rPr>
      </w:pPr>
      <w:r w:rsidRPr="009841D0">
        <w:rPr>
          <w:rFonts w:cs="Arial"/>
          <w:i/>
          <w:iCs/>
          <w:lang w:val="fr-FR"/>
        </w:rPr>
        <w:t>8.</w:t>
      </w:r>
      <w:r w:rsidRPr="009841D0">
        <w:rPr>
          <w:rFonts w:cs="Arial"/>
          <w:lang w:val="fr-FR"/>
        </w:rPr>
        <w:tab/>
      </w:r>
      <w:r w:rsidRPr="009841D0">
        <w:rPr>
          <w:rFonts w:cs="Arial"/>
          <w:b/>
          <w:bCs/>
          <w:lang w:val="fr-FR"/>
        </w:rPr>
        <w:t>Prie</w:t>
      </w:r>
      <w:r w:rsidRPr="009841D0">
        <w:rPr>
          <w:rFonts w:cs="Arial"/>
          <w:lang w:val="fr-FR"/>
        </w:rPr>
        <w:t xml:space="preserve"> le Secrétaire exécutif :</w:t>
      </w:r>
    </w:p>
    <w:p w14:paraId="16935921" w14:textId="77777777" w:rsidR="009841D0" w:rsidRPr="009841D0" w:rsidRDefault="009841D0" w:rsidP="009841D0">
      <w:pPr>
        <w:pStyle w:val="b"/>
        <w:spacing w:line="240" w:lineRule="auto"/>
        <w:rPr>
          <w:rFonts w:cs="Arial"/>
          <w:lang w:val="fr-FR"/>
        </w:rPr>
      </w:pPr>
      <w:r w:rsidRPr="009841D0">
        <w:rPr>
          <w:rFonts w:cs="Arial"/>
          <w:lang w:val="fr-FR"/>
        </w:rPr>
        <w:t>(i)</w:t>
      </w:r>
      <w:r w:rsidRPr="009841D0">
        <w:rPr>
          <w:rFonts w:cs="Arial"/>
          <w:lang w:val="fr-FR"/>
        </w:rPr>
        <w:tab/>
        <w:t>de diffuser, dans les quatre (4) mois suivant l’adoption de la présente résolution, une lettre circulaire invitant les États membres à faire parvenir une lettre d’adhésion à la Sous</w:t>
      </w:r>
      <w:r w:rsidRPr="009841D0">
        <w:rPr>
          <w:rFonts w:cs="Arial"/>
          <w:lang w:val="fr-FR"/>
        </w:rPr>
        <w:noBreakHyphen/>
        <w:t>Commission de la COI pour l’océan Indien central ;</w:t>
      </w:r>
    </w:p>
    <w:p w14:paraId="2DCF1045" w14:textId="77777777" w:rsidR="009841D0" w:rsidRPr="009841D0" w:rsidRDefault="009841D0" w:rsidP="000B0714">
      <w:pPr>
        <w:pStyle w:val="b"/>
        <w:spacing w:after="480" w:line="240" w:lineRule="auto"/>
        <w:rPr>
          <w:rFonts w:cs="Arial"/>
          <w:lang w:val="fr-FR"/>
        </w:rPr>
      </w:pPr>
      <w:r w:rsidRPr="009841D0">
        <w:rPr>
          <w:rFonts w:cs="Arial"/>
          <w:lang w:val="fr-FR"/>
        </w:rPr>
        <w:t>(ii)</w:t>
      </w:r>
      <w:r w:rsidRPr="009841D0">
        <w:rPr>
          <w:rFonts w:cs="Arial"/>
          <w:lang w:val="fr-FR"/>
        </w:rPr>
        <w:tab/>
        <w:t>dès l’entrée en vigueur de la présente résolution portant création de l’IOCINDIO en tant que sous-commission de la COI, de convoquer la première session de la Sous</w:t>
      </w:r>
      <w:r w:rsidRPr="009841D0">
        <w:rPr>
          <w:rFonts w:cs="Arial"/>
          <w:lang w:val="fr-FR"/>
        </w:rPr>
        <w:noBreakHyphen/>
        <w:t>Commission au cours de laquelle les membres de son bureau seront élus.</w:t>
      </w:r>
    </w:p>
    <w:p w14:paraId="1B74C517" w14:textId="77777777" w:rsidR="009841D0" w:rsidRPr="009841D0" w:rsidRDefault="009841D0" w:rsidP="009841D0">
      <w:pPr>
        <w:keepNext/>
        <w:keepLines/>
        <w:snapToGrid w:val="0"/>
        <w:spacing w:after="240"/>
        <w:jc w:val="center"/>
        <w:rPr>
          <w:rFonts w:ascii="Arial" w:eastAsia="Times New Roman" w:hAnsi="Arial" w:cs="Arial"/>
          <w:snapToGrid w:val="0"/>
          <w:sz w:val="22"/>
          <w:szCs w:val="22"/>
        </w:rPr>
      </w:pPr>
      <w:r w:rsidRPr="009841D0">
        <w:rPr>
          <w:rFonts w:ascii="Arial" w:eastAsia="Times New Roman" w:hAnsi="Arial" w:cs="Arial"/>
          <w:snapToGrid w:val="0"/>
          <w:sz w:val="22"/>
          <w:szCs w:val="22"/>
          <w:u w:val="single"/>
        </w:rPr>
        <w:t>Annexe au projet de résolution A-32/[4.5]</w:t>
      </w:r>
    </w:p>
    <w:p w14:paraId="69B9C956" w14:textId="77777777" w:rsidR="009841D0" w:rsidRPr="009841D0" w:rsidRDefault="009841D0" w:rsidP="009841D0">
      <w:pPr>
        <w:keepNext/>
        <w:keepLines/>
        <w:tabs>
          <w:tab w:val="left" w:pos="567"/>
        </w:tabs>
        <w:autoSpaceDE w:val="0"/>
        <w:autoSpaceDN w:val="0"/>
        <w:adjustRightInd w:val="0"/>
        <w:snapToGrid w:val="0"/>
        <w:spacing w:after="240"/>
        <w:jc w:val="center"/>
        <w:rPr>
          <w:rFonts w:ascii="Arial" w:eastAsia="Times New Roman" w:hAnsi="Arial" w:cs="Arial"/>
          <w:b/>
          <w:bCs/>
          <w:snapToGrid w:val="0"/>
          <w:sz w:val="22"/>
          <w:szCs w:val="22"/>
        </w:rPr>
      </w:pPr>
      <w:r w:rsidRPr="009841D0">
        <w:rPr>
          <w:rFonts w:ascii="Arial" w:eastAsia="Times New Roman" w:hAnsi="Arial" w:cs="Arial"/>
          <w:b/>
          <w:bCs/>
          <w:snapToGrid w:val="0"/>
          <w:sz w:val="22"/>
          <w:szCs w:val="22"/>
        </w:rPr>
        <w:t>Mandat de la Sous-Commission de la COI pour l’océan Indien central (IOCINDIO)</w:t>
      </w:r>
    </w:p>
    <w:p w14:paraId="176DDB1C" w14:textId="77777777" w:rsidR="009841D0" w:rsidRPr="009841D0" w:rsidRDefault="009841D0" w:rsidP="005945C4">
      <w:pPr>
        <w:pStyle w:val="Marge"/>
        <w:keepNext/>
        <w:keepLines/>
        <w:tabs>
          <w:tab w:val="left" w:pos="567"/>
        </w:tabs>
        <w:spacing w:after="120"/>
        <w:rPr>
          <w:rFonts w:cs="Arial"/>
          <w:b/>
          <w:bCs/>
          <w:snapToGrid w:val="0"/>
          <w:lang w:val="fr-FR" w:eastAsia="en-US"/>
        </w:rPr>
      </w:pPr>
      <w:r w:rsidRPr="009841D0">
        <w:rPr>
          <w:rFonts w:cs="Arial"/>
          <w:b/>
          <w:bCs/>
          <w:snapToGrid w:val="0"/>
          <w:lang w:val="fr-FR" w:eastAsia="en-US"/>
        </w:rPr>
        <w:t>1.</w:t>
      </w:r>
      <w:r w:rsidRPr="009841D0">
        <w:rPr>
          <w:rFonts w:cs="Arial"/>
          <w:b/>
          <w:bCs/>
          <w:snapToGrid w:val="0"/>
          <w:lang w:val="fr-FR" w:eastAsia="en-US"/>
        </w:rPr>
        <w:tab/>
        <w:t>Intitulé</w:t>
      </w:r>
    </w:p>
    <w:p w14:paraId="6C7B861B" w14:textId="77777777" w:rsidR="009841D0" w:rsidRPr="009841D0" w:rsidRDefault="009841D0" w:rsidP="009841D0">
      <w:pPr>
        <w:pStyle w:val="Marge"/>
        <w:keepNext/>
        <w:keepLines/>
        <w:spacing w:after="120"/>
        <w:rPr>
          <w:rFonts w:cs="Arial"/>
          <w:bCs/>
          <w:snapToGrid w:val="0"/>
          <w:lang w:val="fr-FR" w:eastAsia="en-US"/>
        </w:rPr>
      </w:pPr>
      <w:r w:rsidRPr="009841D0">
        <w:rPr>
          <w:rFonts w:cs="Arial"/>
          <w:snapToGrid w:val="0"/>
          <w:lang w:val="fr-FR" w:eastAsia="en-US"/>
        </w:rPr>
        <w:t>Sous-Commission de la COI pour l’océan Indien central (IOCINDIO)</w:t>
      </w:r>
    </w:p>
    <w:p w14:paraId="59D497D8" w14:textId="77777777" w:rsidR="009841D0" w:rsidRPr="009841D0" w:rsidRDefault="009841D0" w:rsidP="005945C4">
      <w:pPr>
        <w:pStyle w:val="Marge"/>
        <w:tabs>
          <w:tab w:val="left" w:pos="567"/>
        </w:tabs>
        <w:spacing w:after="120"/>
        <w:rPr>
          <w:rFonts w:cs="Arial"/>
          <w:b/>
          <w:bCs/>
          <w:snapToGrid w:val="0"/>
          <w:lang w:val="fr-FR" w:eastAsia="en-US"/>
        </w:rPr>
      </w:pPr>
      <w:r w:rsidRPr="009841D0">
        <w:rPr>
          <w:rFonts w:cs="Arial"/>
          <w:b/>
          <w:bCs/>
          <w:snapToGrid w:val="0"/>
          <w:lang w:val="fr-FR" w:eastAsia="en-US"/>
        </w:rPr>
        <w:t>2.</w:t>
      </w:r>
      <w:r w:rsidRPr="009841D0">
        <w:rPr>
          <w:rFonts w:cs="Arial"/>
          <w:b/>
          <w:bCs/>
          <w:snapToGrid w:val="0"/>
          <w:lang w:val="fr-FR" w:eastAsia="en-US"/>
        </w:rPr>
        <w:tab/>
        <w:t>Mission</w:t>
      </w:r>
    </w:p>
    <w:p w14:paraId="4BD211CF" w14:textId="77777777" w:rsidR="009841D0" w:rsidRPr="009841D0" w:rsidRDefault="009841D0" w:rsidP="009841D0">
      <w:pPr>
        <w:pStyle w:val="Marge"/>
        <w:spacing w:after="120"/>
        <w:rPr>
          <w:rFonts w:cs="Arial"/>
          <w:snapToGrid w:val="0"/>
          <w:spacing w:val="-3"/>
          <w:lang w:val="fr-FR" w:eastAsia="en-US"/>
        </w:rPr>
      </w:pPr>
      <w:r w:rsidRPr="009841D0">
        <w:rPr>
          <w:rFonts w:cs="Arial"/>
          <w:snapToGrid w:val="0"/>
          <w:lang w:val="fr-FR" w:eastAsia="en-US"/>
        </w:rPr>
        <w:t>La Sous-Commission de la COI pour l’océan Indien central (IOCINDIO) est un organe subsidiaire régional intergouvernemental primordial de la Commission océanographique intergouvernementale de l’UNESCO, dont la zone d’intérêt est située dans l’océan Indien central</w:t>
      </w:r>
      <w:r w:rsidRPr="009841D0">
        <w:rPr>
          <w:rFonts w:cs="Arial"/>
          <w:iCs/>
          <w:snapToGrid w:val="0"/>
          <w:vertAlign w:val="superscript"/>
          <w:lang w:val="fr-FR" w:eastAsia="en-US"/>
        </w:rPr>
        <w:footnoteReference w:id="1"/>
      </w:r>
      <w:r w:rsidRPr="009841D0">
        <w:rPr>
          <w:rFonts w:cs="Arial"/>
          <w:snapToGrid w:val="0"/>
          <w:lang w:val="fr-FR" w:eastAsia="en-US"/>
        </w:rPr>
        <w:t xml:space="preserve"> et dont le but est de promouvoir la coopération internationale et de coordonner les programmes de recherche, les services et le développement des capacités afin d’accroître les connaissances relatives à la nature et aux ressources des océans et des zones côtières et d’appliquer ces connaissances à l’amélioration de la gestion, au développement durable, à la protection du milieu marin et aux processus de prise de décisions par ses États membres</w:t>
      </w:r>
      <w:r w:rsidRPr="009841D0">
        <w:rPr>
          <w:rFonts w:cs="Arial"/>
          <w:snapToGrid w:val="0"/>
          <w:spacing w:val="-3"/>
          <w:lang w:val="fr-FR" w:eastAsia="en-US"/>
        </w:rPr>
        <w:t>.</w:t>
      </w:r>
    </w:p>
    <w:p w14:paraId="550211F5" w14:textId="77777777" w:rsidR="009841D0" w:rsidRPr="009841D0" w:rsidRDefault="009841D0" w:rsidP="005945C4">
      <w:pPr>
        <w:pStyle w:val="Marge"/>
        <w:keepNext/>
        <w:keepLines/>
        <w:tabs>
          <w:tab w:val="left" w:pos="567"/>
        </w:tabs>
        <w:spacing w:after="120"/>
        <w:rPr>
          <w:rFonts w:cs="Arial"/>
          <w:b/>
          <w:bCs/>
          <w:snapToGrid w:val="0"/>
          <w:lang w:val="fr-FR" w:eastAsia="en-US"/>
        </w:rPr>
      </w:pPr>
      <w:r w:rsidRPr="009841D0">
        <w:rPr>
          <w:rFonts w:cs="Arial"/>
          <w:b/>
          <w:bCs/>
          <w:snapToGrid w:val="0"/>
          <w:lang w:val="fr-FR" w:eastAsia="en-US"/>
        </w:rPr>
        <w:t>3.</w:t>
      </w:r>
      <w:r w:rsidRPr="009841D0">
        <w:rPr>
          <w:rFonts w:cs="Arial"/>
          <w:b/>
          <w:bCs/>
          <w:snapToGrid w:val="0"/>
          <w:lang w:val="fr-FR" w:eastAsia="en-US"/>
        </w:rPr>
        <w:tab/>
        <w:t>Objectifs</w:t>
      </w:r>
    </w:p>
    <w:p w14:paraId="4B77C316" w14:textId="77777777" w:rsidR="009841D0" w:rsidRPr="009841D0" w:rsidRDefault="009841D0" w:rsidP="009841D0">
      <w:pPr>
        <w:pStyle w:val="Marge"/>
        <w:spacing w:after="120"/>
        <w:rPr>
          <w:rFonts w:cs="Arial"/>
          <w:snapToGrid w:val="0"/>
          <w:lang w:val="fr-FR" w:eastAsia="en-US"/>
        </w:rPr>
      </w:pPr>
      <w:bookmarkStart w:id="1" w:name="_Hlk131101299"/>
      <w:r w:rsidRPr="009841D0">
        <w:rPr>
          <w:rFonts w:cs="Arial"/>
          <w:snapToGrid w:val="0"/>
          <w:lang w:val="fr-FR" w:eastAsia="en-US"/>
        </w:rPr>
        <w:t>Les objectifs de la Sous-Commission sont les suivants :</w:t>
      </w:r>
    </w:p>
    <w:p w14:paraId="4C841016" w14:textId="77777777" w:rsidR="009841D0" w:rsidRPr="009841D0" w:rsidRDefault="009841D0" w:rsidP="009841D0">
      <w:pPr>
        <w:pStyle w:val="b"/>
        <w:tabs>
          <w:tab w:val="clear" w:pos="1134"/>
        </w:tabs>
        <w:spacing w:after="120" w:line="240" w:lineRule="auto"/>
        <w:rPr>
          <w:rFonts w:cs="Arial"/>
          <w:snapToGrid w:val="0"/>
          <w:lang w:val="fr-FR" w:eastAsia="en-US"/>
        </w:rPr>
      </w:pPr>
      <w:r w:rsidRPr="009841D0">
        <w:rPr>
          <w:rFonts w:cs="Arial"/>
          <w:snapToGrid w:val="0"/>
          <w:lang w:val="fr-FR" w:eastAsia="en-US"/>
        </w:rPr>
        <w:t>(i)</w:t>
      </w:r>
      <w:r w:rsidRPr="009841D0">
        <w:rPr>
          <w:rFonts w:cs="Arial"/>
          <w:snapToGrid w:val="0"/>
          <w:lang w:val="fr-FR" w:eastAsia="en-US"/>
        </w:rPr>
        <w:tab/>
        <w:t>promouvoir la coopération internationale et coordonner les activités approuvées par les organes directeurs de la Commission océanographique intergouvernementale de l’UNESCO ;</w:t>
      </w:r>
    </w:p>
    <w:p w14:paraId="016A07D1" w14:textId="77777777" w:rsidR="009841D0" w:rsidRPr="009841D0" w:rsidRDefault="009841D0" w:rsidP="009841D0">
      <w:pPr>
        <w:pStyle w:val="b"/>
        <w:spacing w:after="120" w:line="240" w:lineRule="auto"/>
        <w:rPr>
          <w:rFonts w:cs="Arial"/>
          <w:snapToGrid w:val="0"/>
          <w:lang w:val="fr-FR" w:eastAsia="en-US"/>
        </w:rPr>
      </w:pPr>
      <w:r w:rsidRPr="009841D0">
        <w:rPr>
          <w:rFonts w:cs="Arial"/>
          <w:snapToGrid w:val="0"/>
          <w:lang w:val="fr-FR" w:eastAsia="en-US"/>
        </w:rPr>
        <w:t>(ii)</w:t>
      </w:r>
      <w:r w:rsidRPr="009841D0">
        <w:rPr>
          <w:rFonts w:cs="Arial"/>
          <w:snapToGrid w:val="0"/>
          <w:lang w:val="fr-FR" w:eastAsia="en-US"/>
        </w:rPr>
        <w:tab/>
        <w:t>formuler des recommandations à l’intention de la Commission océanographique intergouvernementale de l’UNESCO sur des questions et des domaines qui relèvent de sa compétence ;</w:t>
      </w:r>
    </w:p>
    <w:p w14:paraId="5BBA9F03" w14:textId="77777777" w:rsidR="009841D0" w:rsidRPr="009841D0" w:rsidRDefault="009841D0" w:rsidP="009841D0">
      <w:pPr>
        <w:pStyle w:val="b"/>
        <w:spacing w:after="120" w:line="240" w:lineRule="auto"/>
        <w:rPr>
          <w:rFonts w:cs="Arial"/>
          <w:snapToGrid w:val="0"/>
          <w:lang w:val="fr-FR" w:eastAsia="en-US"/>
        </w:rPr>
      </w:pPr>
      <w:r w:rsidRPr="009841D0">
        <w:rPr>
          <w:rFonts w:cs="Arial"/>
          <w:snapToGrid w:val="0"/>
          <w:lang w:val="fr-FR" w:eastAsia="en-US"/>
        </w:rPr>
        <w:t>(iii)</w:t>
      </w:r>
      <w:r w:rsidRPr="009841D0">
        <w:rPr>
          <w:rFonts w:cs="Arial"/>
          <w:snapToGrid w:val="0"/>
          <w:lang w:val="fr-FR" w:eastAsia="en-US"/>
        </w:rPr>
        <w:tab/>
        <w:t>élaborer un plan de mise en œuvre des activités approuvées ;</w:t>
      </w:r>
    </w:p>
    <w:p w14:paraId="217317E0" w14:textId="77777777" w:rsidR="009841D0" w:rsidRPr="009841D0" w:rsidRDefault="009841D0" w:rsidP="009841D0">
      <w:pPr>
        <w:pStyle w:val="b"/>
        <w:spacing w:after="120" w:line="240" w:lineRule="auto"/>
        <w:rPr>
          <w:rFonts w:cs="Arial"/>
          <w:snapToGrid w:val="0"/>
          <w:lang w:val="fr-FR" w:eastAsia="en-US"/>
        </w:rPr>
      </w:pPr>
      <w:r w:rsidRPr="009841D0">
        <w:rPr>
          <w:rFonts w:cs="Arial"/>
          <w:snapToGrid w:val="0"/>
          <w:lang w:val="fr-FR" w:eastAsia="en-US"/>
        </w:rPr>
        <w:lastRenderedPageBreak/>
        <w:t>(iv)</w:t>
      </w:r>
      <w:r w:rsidRPr="009841D0">
        <w:rPr>
          <w:rFonts w:cs="Arial"/>
          <w:snapToGrid w:val="0"/>
          <w:lang w:val="fr-FR" w:eastAsia="en-US"/>
        </w:rPr>
        <w:tab/>
        <w:t>offrir un cadre permettant de définir les questions et les solutions régionales en s’appuyant sur la coopération internationale ;</w:t>
      </w:r>
    </w:p>
    <w:p w14:paraId="5767ACE3" w14:textId="77777777" w:rsidR="009841D0" w:rsidRPr="009841D0" w:rsidRDefault="009841D0" w:rsidP="009841D0">
      <w:pPr>
        <w:pStyle w:val="b"/>
        <w:spacing w:after="120" w:line="240" w:lineRule="auto"/>
        <w:rPr>
          <w:rFonts w:cs="Arial"/>
          <w:snapToGrid w:val="0"/>
          <w:lang w:val="fr-FR" w:eastAsia="en-US"/>
        </w:rPr>
      </w:pPr>
      <w:r w:rsidRPr="009841D0">
        <w:rPr>
          <w:rFonts w:cs="Arial"/>
          <w:snapToGrid w:val="0"/>
          <w:lang w:val="fr-FR" w:eastAsia="en-US"/>
        </w:rPr>
        <w:t>(v)</w:t>
      </w:r>
      <w:r w:rsidRPr="009841D0">
        <w:rPr>
          <w:rFonts w:cs="Arial"/>
          <w:snapToGrid w:val="0"/>
          <w:lang w:val="fr-FR" w:eastAsia="en-US"/>
        </w:rPr>
        <w:tab/>
        <w:t>coopérer avec les organisations, organismes et institutions compétents ;</w:t>
      </w:r>
    </w:p>
    <w:p w14:paraId="3F60695D" w14:textId="77777777" w:rsidR="009841D0" w:rsidRPr="009841D0" w:rsidRDefault="009841D0" w:rsidP="009841D0">
      <w:pPr>
        <w:pStyle w:val="b"/>
        <w:spacing w:after="120" w:line="240" w:lineRule="auto"/>
        <w:rPr>
          <w:rFonts w:cs="Arial"/>
          <w:snapToGrid w:val="0"/>
          <w:lang w:val="fr-FR" w:eastAsia="en-US"/>
        </w:rPr>
      </w:pPr>
      <w:r w:rsidRPr="009841D0">
        <w:rPr>
          <w:rFonts w:cs="Arial"/>
          <w:snapToGrid w:val="0"/>
          <w:lang w:val="fr-FR" w:eastAsia="en-US"/>
        </w:rPr>
        <w:t>(vi)</w:t>
      </w:r>
      <w:r w:rsidRPr="009841D0">
        <w:rPr>
          <w:rFonts w:cs="Arial"/>
          <w:snapToGrid w:val="0"/>
          <w:lang w:val="fr-FR" w:eastAsia="en-US"/>
        </w:rPr>
        <w:tab/>
        <w:t>coopérer avec d’autres organes subsidiaires et programmes de la Commission océanographique intergouvernementale de l’UNESCO sur des questions d’intérêt commun, en particulier avec les sous-commissions adjacentes, l’IOCAFRICA et la WESTPAC.</w:t>
      </w:r>
      <w:bookmarkEnd w:id="1"/>
    </w:p>
    <w:p w14:paraId="70B6FA03" w14:textId="77777777" w:rsidR="009841D0" w:rsidRPr="009841D0" w:rsidRDefault="009841D0" w:rsidP="009841D0">
      <w:pPr>
        <w:pStyle w:val="Marge"/>
        <w:tabs>
          <w:tab w:val="left" w:pos="567"/>
        </w:tabs>
        <w:spacing w:after="120"/>
        <w:rPr>
          <w:rFonts w:cs="Arial"/>
          <w:b/>
          <w:bCs/>
          <w:snapToGrid w:val="0"/>
          <w:lang w:val="fr-FR" w:eastAsia="en-US"/>
        </w:rPr>
      </w:pPr>
      <w:r w:rsidRPr="009841D0">
        <w:rPr>
          <w:rFonts w:cs="Arial"/>
          <w:b/>
          <w:bCs/>
          <w:snapToGrid w:val="0"/>
          <w:lang w:val="fr-FR" w:eastAsia="en-US"/>
        </w:rPr>
        <w:t>4.</w:t>
      </w:r>
      <w:r w:rsidRPr="009841D0">
        <w:rPr>
          <w:rFonts w:cs="Arial"/>
          <w:b/>
          <w:bCs/>
          <w:snapToGrid w:val="0"/>
          <w:lang w:val="fr-FR" w:eastAsia="en-US"/>
        </w:rPr>
        <w:tab/>
        <w:t>Structure</w:t>
      </w:r>
    </w:p>
    <w:p w14:paraId="36A22E24" w14:textId="77777777" w:rsidR="009841D0" w:rsidRPr="009841D0" w:rsidRDefault="009841D0" w:rsidP="009841D0">
      <w:pPr>
        <w:pStyle w:val="Marge"/>
        <w:spacing w:after="120"/>
        <w:rPr>
          <w:rFonts w:cs="Arial"/>
          <w:snapToGrid w:val="0"/>
          <w:lang w:val="fr-FR" w:eastAsia="en-US"/>
        </w:rPr>
      </w:pPr>
      <w:r w:rsidRPr="009841D0">
        <w:rPr>
          <w:rFonts w:cs="Arial"/>
          <w:snapToGrid w:val="0"/>
          <w:lang w:val="fr-FR" w:eastAsia="en-US"/>
        </w:rPr>
        <w:t>La Sous-Commission est composée :</w:t>
      </w:r>
    </w:p>
    <w:p w14:paraId="06D0E809" w14:textId="77777777" w:rsidR="009841D0" w:rsidRPr="009841D0" w:rsidRDefault="009841D0" w:rsidP="009841D0">
      <w:pPr>
        <w:pStyle w:val="TIRETbul1cm"/>
        <w:spacing w:after="60"/>
        <w:rPr>
          <w:rFonts w:cs="Arial"/>
          <w:snapToGrid w:val="0"/>
          <w:lang w:val="fr-FR" w:eastAsia="en-US"/>
        </w:rPr>
      </w:pPr>
      <w:r w:rsidRPr="009841D0">
        <w:rPr>
          <w:rFonts w:cs="Arial"/>
          <w:snapToGrid w:val="0"/>
          <w:lang w:val="fr-FR" w:eastAsia="en-US"/>
        </w:rPr>
        <w:t>d’États membres ;</w:t>
      </w:r>
    </w:p>
    <w:p w14:paraId="1762434A" w14:textId="77777777" w:rsidR="009841D0" w:rsidRPr="009841D0" w:rsidRDefault="009841D0" w:rsidP="009841D0">
      <w:pPr>
        <w:pStyle w:val="TIRETbul1cm"/>
        <w:spacing w:after="60"/>
        <w:rPr>
          <w:rFonts w:cs="Arial"/>
          <w:snapToGrid w:val="0"/>
          <w:lang w:val="fr-FR" w:eastAsia="en-US"/>
        </w:rPr>
      </w:pPr>
      <w:r w:rsidRPr="009841D0">
        <w:rPr>
          <w:rFonts w:cs="Arial"/>
          <w:snapToGrid w:val="0"/>
          <w:lang w:val="fr-FR" w:eastAsia="en-US"/>
        </w:rPr>
        <w:t>d’un bureau ;</w:t>
      </w:r>
    </w:p>
    <w:p w14:paraId="2FBC3331" w14:textId="77777777" w:rsidR="009841D0" w:rsidRPr="009841D0" w:rsidRDefault="009841D0" w:rsidP="009841D0">
      <w:pPr>
        <w:pStyle w:val="TIRETbul1cm"/>
        <w:spacing w:after="60"/>
        <w:rPr>
          <w:rFonts w:cs="Arial"/>
          <w:lang w:val="fr-FR"/>
        </w:rPr>
      </w:pPr>
      <w:r w:rsidRPr="009841D0">
        <w:rPr>
          <w:rFonts w:cs="Arial"/>
          <w:snapToGrid w:val="0"/>
          <w:lang w:val="fr-FR" w:eastAsia="en-US"/>
        </w:rPr>
        <w:t>d’équipes spéciales ou de groupes de travail thématiques ou sous-régionaux, selon que de besoin ;</w:t>
      </w:r>
    </w:p>
    <w:p w14:paraId="6204B950" w14:textId="77777777" w:rsidR="009841D0" w:rsidRPr="009841D0" w:rsidRDefault="009841D0" w:rsidP="009841D0">
      <w:pPr>
        <w:pStyle w:val="TIRETbul1cm"/>
        <w:spacing w:after="120"/>
        <w:rPr>
          <w:rFonts w:cs="Arial"/>
        </w:rPr>
      </w:pPr>
      <w:r w:rsidRPr="009841D0">
        <w:rPr>
          <w:rFonts w:cs="Arial"/>
          <w:snapToGrid w:val="0"/>
          <w:lang w:val="fr-FR" w:eastAsia="en-US"/>
        </w:rPr>
        <w:t>d’un secrétariat.</w:t>
      </w:r>
    </w:p>
    <w:p w14:paraId="6A461C15" w14:textId="77777777" w:rsidR="009841D0" w:rsidRPr="009841D0" w:rsidRDefault="009841D0" w:rsidP="009841D0">
      <w:pPr>
        <w:pStyle w:val="Marge"/>
        <w:tabs>
          <w:tab w:val="left" w:pos="567"/>
        </w:tabs>
        <w:spacing w:before="240" w:after="120"/>
        <w:rPr>
          <w:rFonts w:cs="Arial"/>
          <w:b/>
          <w:bCs/>
          <w:snapToGrid w:val="0"/>
          <w:lang w:val="fr-FR" w:eastAsia="en-US"/>
        </w:rPr>
      </w:pPr>
      <w:r w:rsidRPr="009841D0">
        <w:rPr>
          <w:rFonts w:cs="Arial"/>
          <w:b/>
          <w:bCs/>
          <w:snapToGrid w:val="0"/>
          <w:lang w:val="fr-FR" w:eastAsia="en-US"/>
        </w:rPr>
        <w:t>5.</w:t>
      </w:r>
      <w:r w:rsidRPr="009841D0">
        <w:rPr>
          <w:rFonts w:cs="Arial"/>
          <w:b/>
          <w:bCs/>
          <w:snapToGrid w:val="0"/>
          <w:lang w:val="fr-FR" w:eastAsia="en-US"/>
        </w:rPr>
        <w:tab/>
        <w:t>États membres</w:t>
      </w:r>
    </w:p>
    <w:p w14:paraId="1EB052A8" w14:textId="77777777" w:rsidR="009841D0" w:rsidRPr="009841D0" w:rsidRDefault="009841D0" w:rsidP="009841D0">
      <w:pPr>
        <w:pStyle w:val="Marge"/>
        <w:spacing w:after="120"/>
        <w:rPr>
          <w:rFonts w:cs="Arial"/>
          <w:snapToGrid w:val="0"/>
          <w:lang w:val="fr-FR" w:eastAsia="en-US"/>
        </w:rPr>
      </w:pPr>
      <w:r w:rsidRPr="009841D0">
        <w:rPr>
          <w:rFonts w:cs="Arial"/>
          <w:snapToGrid w:val="0"/>
          <w:lang w:val="fr-FR" w:eastAsia="en-US"/>
        </w:rPr>
        <w:t>La Sous-Commission comprend les États membres de la COI qui ont dûment informé le Secrétaire exécutif de la COI de leur adhésion. L’adhésion à l’IOCINDIO n’est pas limitée aux États membres géographiquement rattachés à l’océan Indien. Les points focaux nationaux de la COI pour les États membres de l’IOCINDIO sont les mêmes que pour la COI.</w:t>
      </w:r>
    </w:p>
    <w:p w14:paraId="6D5FC8A0" w14:textId="77777777" w:rsidR="009841D0" w:rsidRPr="009841D0" w:rsidRDefault="009841D0" w:rsidP="009841D0">
      <w:pPr>
        <w:pStyle w:val="Marge"/>
        <w:tabs>
          <w:tab w:val="left" w:pos="567"/>
        </w:tabs>
        <w:spacing w:after="120"/>
        <w:rPr>
          <w:rFonts w:cs="Arial"/>
          <w:b/>
          <w:bCs/>
          <w:snapToGrid w:val="0"/>
          <w:lang w:val="fr-FR" w:eastAsia="en-US"/>
        </w:rPr>
      </w:pPr>
      <w:r w:rsidRPr="009841D0">
        <w:rPr>
          <w:rFonts w:cs="Arial"/>
          <w:b/>
          <w:bCs/>
          <w:snapToGrid w:val="0"/>
          <w:lang w:val="fr-FR" w:eastAsia="en-US"/>
        </w:rPr>
        <w:t>6.</w:t>
      </w:r>
      <w:r w:rsidRPr="009841D0">
        <w:rPr>
          <w:rFonts w:cs="Arial"/>
          <w:b/>
          <w:bCs/>
          <w:snapToGrid w:val="0"/>
          <w:lang w:val="fr-FR" w:eastAsia="en-US"/>
        </w:rPr>
        <w:tab/>
        <w:t>Bureau</w:t>
      </w:r>
    </w:p>
    <w:p w14:paraId="0EA09AEA" w14:textId="77777777" w:rsidR="009841D0" w:rsidRPr="009841D0" w:rsidRDefault="009841D0" w:rsidP="009841D0">
      <w:pPr>
        <w:pStyle w:val="Marge"/>
        <w:spacing w:after="120"/>
        <w:rPr>
          <w:rFonts w:cs="Arial"/>
          <w:snapToGrid w:val="0"/>
          <w:lang w:val="fr-FR" w:eastAsia="en-US"/>
        </w:rPr>
      </w:pPr>
      <w:r w:rsidRPr="009841D0">
        <w:rPr>
          <w:rFonts w:cs="Arial"/>
          <w:snapToGrid w:val="0"/>
          <w:lang w:val="fr-FR" w:eastAsia="en-US"/>
        </w:rPr>
        <w:t>Le bureau de la Sous-Commission se compose d’un président et de deux vice-présidents élus par ses États membres. Ses membres exercent leurs fonctions conformément aux Directives concernant la structure et les fonctions des organes subsidiaires de la COI.</w:t>
      </w:r>
    </w:p>
    <w:p w14:paraId="4263AEFE" w14:textId="77777777" w:rsidR="009841D0" w:rsidRPr="009841D0" w:rsidRDefault="009841D0" w:rsidP="009841D0">
      <w:pPr>
        <w:pStyle w:val="Marge"/>
        <w:tabs>
          <w:tab w:val="left" w:pos="567"/>
        </w:tabs>
        <w:spacing w:after="120"/>
        <w:rPr>
          <w:rFonts w:cs="Arial"/>
          <w:b/>
          <w:bCs/>
          <w:snapToGrid w:val="0"/>
          <w:lang w:val="fr-FR" w:eastAsia="en-US"/>
        </w:rPr>
      </w:pPr>
      <w:r w:rsidRPr="009841D0">
        <w:rPr>
          <w:rFonts w:cs="Arial"/>
          <w:b/>
          <w:bCs/>
          <w:snapToGrid w:val="0"/>
          <w:lang w:val="fr-FR" w:eastAsia="en-US"/>
        </w:rPr>
        <w:t>7.</w:t>
      </w:r>
      <w:r w:rsidRPr="009841D0">
        <w:rPr>
          <w:rFonts w:cs="Arial"/>
          <w:b/>
          <w:bCs/>
          <w:snapToGrid w:val="0"/>
          <w:lang w:val="fr-FR" w:eastAsia="en-US"/>
        </w:rPr>
        <w:tab/>
        <w:t>Groupes de travail et équipes spéciales</w:t>
      </w:r>
    </w:p>
    <w:p w14:paraId="053D11A8" w14:textId="77777777" w:rsidR="009841D0" w:rsidRPr="009841D0" w:rsidRDefault="009841D0" w:rsidP="009841D0">
      <w:pPr>
        <w:pStyle w:val="Marge"/>
        <w:spacing w:after="120"/>
        <w:rPr>
          <w:rFonts w:cs="Arial"/>
          <w:snapToGrid w:val="0"/>
          <w:lang w:val="fr-FR" w:eastAsia="en-US"/>
        </w:rPr>
      </w:pPr>
      <w:r w:rsidRPr="009841D0">
        <w:rPr>
          <w:rFonts w:cs="Arial"/>
          <w:snapToGrid w:val="0"/>
          <w:lang w:val="fr-FR" w:eastAsia="en-US"/>
        </w:rPr>
        <w:t>La Sous-Commission crée ses organes de travail subsidiaires en fonction de ses besoins et conformément aux Directives concernant la structure et les fonctions des organes subsidiaires de la COI. Elle peut établir des organes de travail subsidiaires conjoints, notamment avec l’IOCAFRICA et la WESTPAC.</w:t>
      </w:r>
    </w:p>
    <w:p w14:paraId="12DB032C" w14:textId="77777777" w:rsidR="009841D0" w:rsidRPr="009841D0" w:rsidRDefault="009841D0" w:rsidP="009841D0">
      <w:pPr>
        <w:pStyle w:val="Marge"/>
        <w:tabs>
          <w:tab w:val="left" w:pos="567"/>
        </w:tabs>
        <w:spacing w:before="120" w:after="120"/>
        <w:rPr>
          <w:rFonts w:cs="Arial"/>
          <w:b/>
          <w:bCs/>
          <w:snapToGrid w:val="0"/>
          <w:lang w:val="fr-FR" w:eastAsia="en-US"/>
        </w:rPr>
      </w:pPr>
      <w:r w:rsidRPr="009841D0">
        <w:rPr>
          <w:rFonts w:cs="Arial"/>
          <w:b/>
          <w:bCs/>
          <w:snapToGrid w:val="0"/>
          <w:lang w:val="fr-FR" w:eastAsia="en-US"/>
        </w:rPr>
        <w:t>8.</w:t>
      </w:r>
      <w:r w:rsidRPr="009841D0">
        <w:rPr>
          <w:rFonts w:cs="Arial"/>
          <w:b/>
          <w:bCs/>
          <w:snapToGrid w:val="0"/>
          <w:lang w:val="fr-FR" w:eastAsia="en-US"/>
        </w:rPr>
        <w:tab/>
        <w:t>Secrétariat</w:t>
      </w:r>
    </w:p>
    <w:p w14:paraId="771557BE" w14:textId="77777777" w:rsidR="009841D0" w:rsidRPr="009841D0" w:rsidRDefault="009841D0" w:rsidP="009841D0">
      <w:pPr>
        <w:pStyle w:val="Marge"/>
        <w:spacing w:after="120"/>
        <w:rPr>
          <w:rFonts w:cs="Arial"/>
          <w:snapToGrid w:val="0"/>
          <w:lang w:val="fr-FR" w:eastAsia="en-US"/>
        </w:rPr>
      </w:pPr>
      <w:r w:rsidRPr="009841D0">
        <w:rPr>
          <w:rFonts w:cs="Arial"/>
          <w:snapToGrid w:val="0"/>
          <w:lang w:val="fr-FR" w:eastAsia="en-US"/>
        </w:rPr>
        <w:t>Le secrétariat de l’IOCINDIO fait partie du Secrétariat de la COI sous l’autorité du Secrétaire exécutif de la COI.</w:t>
      </w:r>
    </w:p>
    <w:p w14:paraId="08D40D09" w14:textId="77777777" w:rsidR="009841D0" w:rsidRPr="009841D0" w:rsidRDefault="009841D0" w:rsidP="009841D0">
      <w:pPr>
        <w:pStyle w:val="Marge"/>
        <w:tabs>
          <w:tab w:val="left" w:pos="567"/>
        </w:tabs>
        <w:spacing w:after="120"/>
        <w:rPr>
          <w:rFonts w:cs="Arial"/>
          <w:b/>
          <w:bCs/>
          <w:snapToGrid w:val="0"/>
          <w:lang w:val="fr-FR" w:eastAsia="en-US"/>
        </w:rPr>
      </w:pPr>
      <w:r w:rsidRPr="009841D0">
        <w:rPr>
          <w:rFonts w:cs="Arial"/>
          <w:b/>
          <w:bCs/>
          <w:snapToGrid w:val="0"/>
          <w:lang w:val="fr-FR" w:eastAsia="en-US"/>
        </w:rPr>
        <w:t>9.</w:t>
      </w:r>
      <w:r w:rsidRPr="009841D0">
        <w:rPr>
          <w:rFonts w:cs="Arial"/>
          <w:b/>
          <w:bCs/>
          <w:snapToGrid w:val="0"/>
          <w:lang w:val="fr-FR" w:eastAsia="en-US"/>
        </w:rPr>
        <w:tab/>
        <w:t>Réunions</w:t>
      </w:r>
    </w:p>
    <w:p w14:paraId="4A04D33B" w14:textId="77777777" w:rsidR="009841D0" w:rsidRPr="009841D0" w:rsidRDefault="009841D0" w:rsidP="009841D0">
      <w:pPr>
        <w:pStyle w:val="Marge"/>
        <w:spacing w:after="120"/>
        <w:rPr>
          <w:rFonts w:cs="Arial"/>
          <w:snapToGrid w:val="0"/>
          <w:lang w:val="fr-FR" w:eastAsia="en-US"/>
        </w:rPr>
      </w:pPr>
      <w:r w:rsidRPr="009841D0">
        <w:rPr>
          <w:rFonts w:cs="Arial"/>
          <w:snapToGrid w:val="0"/>
          <w:lang w:val="fr-FR" w:eastAsia="en-US"/>
        </w:rPr>
        <w:t>Les États membres de l’IOCINDIO se réunissent régulièrement à l’occasion de la session intergouvernementale de la Sous-Commission, au moins une fois tous les deux ans, de préférence dans la première moitié de l’année d’une session de l’Assemblée de la COI et bien avant la tenue de cette session, afin de garantir la qualité des rapports statutaires.</w:t>
      </w:r>
    </w:p>
    <w:p w14:paraId="36286AC8" w14:textId="77777777" w:rsidR="009841D0" w:rsidRPr="009841D0" w:rsidRDefault="009841D0" w:rsidP="009841D0">
      <w:pPr>
        <w:pStyle w:val="Marge"/>
        <w:tabs>
          <w:tab w:val="left" w:pos="567"/>
        </w:tabs>
        <w:spacing w:after="120"/>
        <w:rPr>
          <w:rFonts w:cs="Arial"/>
          <w:b/>
          <w:bCs/>
          <w:snapToGrid w:val="0"/>
          <w:lang w:val="fr-FR" w:eastAsia="en-US"/>
        </w:rPr>
      </w:pPr>
      <w:r w:rsidRPr="009841D0">
        <w:rPr>
          <w:rFonts w:cs="Arial"/>
          <w:b/>
          <w:bCs/>
          <w:snapToGrid w:val="0"/>
          <w:lang w:val="fr-FR" w:eastAsia="en-US"/>
        </w:rPr>
        <w:t>10.</w:t>
      </w:r>
      <w:r w:rsidRPr="009841D0">
        <w:rPr>
          <w:rFonts w:cs="Arial"/>
          <w:b/>
          <w:bCs/>
          <w:snapToGrid w:val="0"/>
          <w:lang w:val="fr-FR" w:eastAsia="en-US"/>
        </w:rPr>
        <w:tab/>
        <w:t>Budget</w:t>
      </w:r>
    </w:p>
    <w:p w14:paraId="47954728" w14:textId="77777777" w:rsidR="009841D0" w:rsidRPr="009841D0" w:rsidRDefault="009841D0" w:rsidP="009841D0">
      <w:pPr>
        <w:pStyle w:val="Marge"/>
        <w:spacing w:after="120"/>
        <w:rPr>
          <w:rFonts w:cs="Arial"/>
          <w:snapToGrid w:val="0"/>
          <w:lang w:val="fr-FR" w:eastAsia="en-US"/>
        </w:rPr>
      </w:pPr>
      <w:r w:rsidRPr="009841D0">
        <w:rPr>
          <w:rFonts w:cs="Arial"/>
          <w:snapToGrid w:val="0"/>
          <w:lang w:val="fr-FR" w:eastAsia="en-US"/>
        </w:rPr>
        <w:t>La Sous-Commission de la COI pour l’océan Indien central est financée au moyen du budget ordinaire de la COI et par des contributions extrabudgétaires. L’IOCINDIO étudie activement les possibilités de mobiliser des ressources supplémentaires pour mettre en œuvre ses programmes.</w:t>
      </w:r>
    </w:p>
    <w:p w14:paraId="44D7B4D4" w14:textId="77777777" w:rsidR="009841D0" w:rsidRPr="009841D0" w:rsidRDefault="009841D0" w:rsidP="009841D0">
      <w:pPr>
        <w:pStyle w:val="Marge"/>
        <w:tabs>
          <w:tab w:val="left" w:pos="567"/>
        </w:tabs>
        <w:spacing w:after="120"/>
        <w:rPr>
          <w:rFonts w:cs="Arial"/>
          <w:b/>
          <w:bCs/>
          <w:snapToGrid w:val="0"/>
          <w:lang w:val="fr-FR" w:eastAsia="en-US"/>
        </w:rPr>
      </w:pPr>
      <w:r w:rsidRPr="009841D0">
        <w:rPr>
          <w:rFonts w:cs="Arial"/>
          <w:b/>
          <w:bCs/>
          <w:snapToGrid w:val="0"/>
          <w:lang w:val="fr-FR" w:eastAsia="en-US"/>
        </w:rPr>
        <w:t>11.</w:t>
      </w:r>
      <w:r w:rsidRPr="009841D0">
        <w:rPr>
          <w:rFonts w:cs="Arial"/>
          <w:b/>
          <w:bCs/>
          <w:snapToGrid w:val="0"/>
          <w:lang w:val="fr-FR" w:eastAsia="en-US"/>
        </w:rPr>
        <w:tab/>
        <w:t>Mécanismes de coordination avec les sous-commissions adjacentes</w:t>
      </w:r>
    </w:p>
    <w:p w14:paraId="2241070E" w14:textId="77777777" w:rsidR="009841D0" w:rsidRPr="009841D0" w:rsidRDefault="009841D0" w:rsidP="009841D0">
      <w:pPr>
        <w:pStyle w:val="Marge"/>
        <w:spacing w:after="120"/>
        <w:rPr>
          <w:rFonts w:cs="Arial"/>
          <w:lang w:val="fr-FR"/>
        </w:rPr>
      </w:pPr>
      <w:r w:rsidRPr="009841D0">
        <w:rPr>
          <w:rFonts w:cs="Arial"/>
          <w:snapToGrid w:val="0"/>
          <w:lang w:val="fr-FR" w:eastAsia="en-US"/>
        </w:rPr>
        <w:lastRenderedPageBreak/>
        <w:t>Le principe consiste à maximiser la valeur des travaux conjoints des sous</w:t>
      </w:r>
      <w:r w:rsidRPr="009841D0">
        <w:rPr>
          <w:rFonts w:cs="Arial"/>
          <w:snapToGrid w:val="0"/>
          <w:lang w:val="fr-FR" w:eastAsia="en-US"/>
        </w:rPr>
        <w:noBreakHyphen/>
        <w:t>commissions adjacentes de la COI sur des questions d’intérêt commun, à éviter les doubles emplois et à parer à toute ingérence dans la gouvernance des organes subsidiaires de la COI, y compris les organes des commissions adjacentes. La coopération sur des questions d’intérêt commun et la participation aux activités de développement des capacités organisées par les organes subsidiaires régionaux des sous-commissions adjacentes sont encouragées. La contribution coordonnée des organes subsidiaires régionaux aux activités de programme mondiales de la COI est vivement encouragée. Des consultations régulières entre les présidents, les bureaux et les secrétariats des sous-commissions permettent la conception, la mise au point et la réalisation conjointes d’initiatives. Les fonctions normatives sont uniformes et mondiales, au niveau de la COI. La mise en œuvre régionale suit les normes mondiales et contribue à l’élaboration de bonnes pratiques communes, en tenant compte, si nécessaire, des différences et des situations régionales.</w:t>
      </w:r>
    </w:p>
    <w:p w14:paraId="33B855FD" w14:textId="77777777" w:rsidR="009841D0" w:rsidRPr="009841D0" w:rsidRDefault="009841D0" w:rsidP="009841D0">
      <w:pPr>
        <w:pStyle w:val="Marge"/>
        <w:rPr>
          <w:rFonts w:cs="Arial"/>
          <w:lang w:val="fr-FR"/>
        </w:rPr>
      </w:pPr>
    </w:p>
    <w:p w14:paraId="2F3B92A0" w14:textId="77777777" w:rsidR="009841D0" w:rsidRPr="009841D0" w:rsidRDefault="009841D0" w:rsidP="009841D0">
      <w:pPr>
        <w:pStyle w:val="b"/>
        <w:spacing w:line="240" w:lineRule="auto"/>
        <w:ind w:left="0" w:firstLine="0"/>
        <w:rPr>
          <w:rFonts w:cs="Arial"/>
          <w:lang w:val="fr-FR"/>
        </w:rPr>
      </w:pPr>
    </w:p>
    <w:sectPr w:rsidR="009841D0" w:rsidRPr="009841D0" w:rsidSect="007A68B6">
      <w:headerReference w:type="even" r:id="rId7"/>
      <w:headerReference w:type="default" r:id="rId8"/>
      <w:pgSz w:w="11900" w:h="16840"/>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5892" w14:textId="77777777" w:rsidR="001118A9" w:rsidRDefault="001118A9" w:rsidP="001118A9">
      <w:r>
        <w:separator/>
      </w:r>
    </w:p>
  </w:endnote>
  <w:endnote w:type="continuationSeparator" w:id="0">
    <w:p w14:paraId="688D02CA" w14:textId="77777777" w:rsidR="001118A9" w:rsidRDefault="001118A9" w:rsidP="0011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DB63" w14:textId="77777777" w:rsidR="001118A9" w:rsidRDefault="001118A9" w:rsidP="001118A9">
      <w:r>
        <w:separator/>
      </w:r>
    </w:p>
  </w:footnote>
  <w:footnote w:type="continuationSeparator" w:id="0">
    <w:p w14:paraId="74ED2920" w14:textId="77777777" w:rsidR="001118A9" w:rsidRDefault="001118A9" w:rsidP="001118A9">
      <w:r>
        <w:continuationSeparator/>
      </w:r>
    </w:p>
  </w:footnote>
  <w:footnote w:id="1">
    <w:p w14:paraId="41C7A3B3" w14:textId="77777777" w:rsidR="009841D0" w:rsidRPr="00136CB2" w:rsidRDefault="009841D0" w:rsidP="009841D0">
      <w:pPr>
        <w:pStyle w:val="FootnoteText"/>
        <w:spacing w:after="0" w:line="240" w:lineRule="auto"/>
        <w:rPr>
          <w:lang w:val="fr-FR"/>
        </w:rPr>
      </w:pPr>
      <w:r w:rsidRPr="00136CB2">
        <w:rPr>
          <w:rStyle w:val="FootnoteReference"/>
          <w:lang w:val="fr-FR"/>
        </w:rPr>
        <w:footnoteRef/>
      </w:r>
      <w:r>
        <w:rPr>
          <w:lang w:val="fr-FR"/>
        </w:rPr>
        <w:tab/>
      </w:r>
      <w:bookmarkStart w:id="0" w:name="_Hlk137560617"/>
      <w:r w:rsidRPr="00136CB2">
        <w:rPr>
          <w:lang w:val="fr-FR"/>
        </w:rPr>
        <w:t>L</w:t>
      </w:r>
      <w:r>
        <w:rPr>
          <w:lang w:val="fr-FR"/>
        </w:rPr>
        <w:t>’</w:t>
      </w:r>
      <w:r w:rsidRPr="00136CB2">
        <w:rPr>
          <w:lang w:val="fr-FR"/>
        </w:rPr>
        <w:t>« océan Indien central », en tant que zone d</w:t>
      </w:r>
      <w:r>
        <w:rPr>
          <w:lang w:val="fr-FR"/>
        </w:rPr>
        <w:t>’</w:t>
      </w:r>
      <w:r w:rsidRPr="00136CB2">
        <w:rPr>
          <w:lang w:val="fr-FR"/>
        </w:rPr>
        <w:t>intérêt de l</w:t>
      </w:r>
      <w:r>
        <w:rPr>
          <w:lang w:val="fr-FR"/>
        </w:rPr>
        <w:t>’</w:t>
      </w:r>
      <w:r w:rsidRPr="00136CB2">
        <w:rPr>
          <w:lang w:val="fr-FR"/>
        </w:rPr>
        <w:t>IOCINDIO, désigne la zone adjacente, à l</w:t>
      </w:r>
      <w:r>
        <w:rPr>
          <w:lang w:val="fr-FR"/>
        </w:rPr>
        <w:t>’</w:t>
      </w:r>
      <w:r w:rsidRPr="00136CB2">
        <w:rPr>
          <w:lang w:val="fr-FR"/>
        </w:rPr>
        <w:t>ouest, à celle de l</w:t>
      </w:r>
      <w:r>
        <w:rPr>
          <w:lang w:val="fr-FR"/>
        </w:rPr>
        <w:t>’</w:t>
      </w:r>
      <w:r w:rsidRPr="00136CB2">
        <w:rPr>
          <w:lang w:val="fr-FR"/>
        </w:rPr>
        <w:t>IOCAFRICA et, à l</w:t>
      </w:r>
      <w:r>
        <w:rPr>
          <w:lang w:val="fr-FR"/>
        </w:rPr>
        <w:t>’</w:t>
      </w:r>
      <w:r w:rsidRPr="00136CB2">
        <w:rPr>
          <w:lang w:val="fr-FR"/>
        </w:rPr>
        <w:t>est, à celle de la WESTPAC.</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863" w14:textId="4DB1B557" w:rsidR="004F673C" w:rsidRDefault="004F673C" w:rsidP="004F673C">
    <w:pPr>
      <w:pStyle w:val="Header"/>
      <w:rPr>
        <w:rFonts w:ascii="Arial" w:hAnsi="Arial" w:cs="Arial"/>
        <w:bCs/>
        <w:sz w:val="22"/>
        <w:szCs w:val="22"/>
      </w:rPr>
    </w:pPr>
    <w:r w:rsidRPr="001118A9">
      <w:rPr>
        <w:rFonts w:ascii="Arial" w:hAnsi="Arial" w:cs="Arial"/>
        <w:bCs/>
        <w:sz w:val="22"/>
        <w:szCs w:val="22"/>
      </w:rPr>
      <w:t>A-32/</w:t>
    </w:r>
    <w:proofErr w:type="gramStart"/>
    <w:r w:rsidRPr="001118A9">
      <w:rPr>
        <w:rFonts w:ascii="Arial" w:hAnsi="Arial" w:cs="Arial"/>
        <w:bCs/>
        <w:sz w:val="22"/>
        <w:szCs w:val="22"/>
      </w:rPr>
      <w:t>DR.[</w:t>
    </w:r>
    <w:proofErr w:type="gramEnd"/>
    <w:r w:rsidRPr="001118A9">
      <w:rPr>
        <w:rFonts w:ascii="Arial" w:hAnsi="Arial" w:cs="Arial"/>
        <w:bCs/>
        <w:sz w:val="22"/>
        <w:szCs w:val="22"/>
      </w:rPr>
      <w:t>4.</w:t>
    </w:r>
    <w:r w:rsidR="009841D0">
      <w:rPr>
        <w:rFonts w:ascii="Arial" w:hAnsi="Arial" w:cs="Arial"/>
        <w:bCs/>
        <w:sz w:val="22"/>
        <w:szCs w:val="22"/>
      </w:rPr>
      <w:t>5</w:t>
    </w:r>
    <w:r w:rsidRPr="001118A9">
      <w:rPr>
        <w:rFonts w:ascii="Arial" w:hAnsi="Arial" w:cs="Arial"/>
        <w:bCs/>
        <w:sz w:val="22"/>
        <w:szCs w:val="22"/>
      </w:rPr>
      <w:t xml:space="preserve">] – page </w:t>
    </w:r>
    <w:r w:rsidRPr="001118A9">
      <w:rPr>
        <w:rFonts w:ascii="Arial" w:hAnsi="Arial" w:cs="Arial"/>
        <w:bCs/>
        <w:sz w:val="22"/>
        <w:szCs w:val="22"/>
      </w:rPr>
      <w:fldChar w:fldCharType="begin"/>
    </w:r>
    <w:r w:rsidRPr="001118A9">
      <w:rPr>
        <w:rFonts w:ascii="Arial" w:hAnsi="Arial" w:cs="Arial"/>
        <w:bCs/>
        <w:sz w:val="22"/>
        <w:szCs w:val="22"/>
      </w:rPr>
      <w:instrText>PAGE   \* MERGEFORMAT</w:instrText>
    </w:r>
    <w:r w:rsidRPr="001118A9">
      <w:rPr>
        <w:rFonts w:ascii="Arial" w:hAnsi="Arial" w:cs="Arial"/>
        <w:bCs/>
        <w:sz w:val="22"/>
        <w:szCs w:val="22"/>
      </w:rPr>
      <w:fldChar w:fldCharType="separate"/>
    </w:r>
    <w:r>
      <w:rPr>
        <w:rFonts w:ascii="Arial" w:hAnsi="Arial" w:cs="Arial"/>
        <w:bCs/>
        <w:sz w:val="22"/>
        <w:szCs w:val="22"/>
      </w:rPr>
      <w:t>3</w:t>
    </w:r>
    <w:r w:rsidRPr="001118A9">
      <w:rPr>
        <w:rFonts w:ascii="Arial" w:hAnsi="Arial" w:cs="Arial"/>
        <w:bCs/>
        <w:sz w:val="22"/>
        <w:szCs w:val="22"/>
      </w:rPr>
      <w:fldChar w:fldCharType="end"/>
    </w:r>
  </w:p>
  <w:p w14:paraId="7A842E2D" w14:textId="77777777" w:rsidR="007A68B6" w:rsidRDefault="007A68B6" w:rsidP="004F673C">
    <w:pPr>
      <w:pStyle w:val="Header"/>
      <w:rPr>
        <w:rFonts w:ascii="Arial" w:hAnsi="Arial" w:cs="Arial"/>
        <w:bCs/>
        <w:sz w:val="22"/>
        <w:szCs w:val="22"/>
      </w:rPr>
    </w:pPr>
  </w:p>
  <w:p w14:paraId="789F1E35" w14:textId="77777777" w:rsidR="007A68B6" w:rsidRPr="004F673C" w:rsidRDefault="007A68B6" w:rsidP="004F673C">
    <w:pPr>
      <w:pStyle w:val="Header"/>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20EF" w14:textId="31E3A5F3" w:rsidR="001118A9" w:rsidRDefault="001118A9" w:rsidP="001118A9">
    <w:pPr>
      <w:pStyle w:val="Header"/>
      <w:jc w:val="right"/>
      <w:rPr>
        <w:rFonts w:ascii="Arial" w:hAnsi="Arial" w:cs="Arial"/>
        <w:bCs/>
        <w:sz w:val="22"/>
        <w:szCs w:val="22"/>
      </w:rPr>
    </w:pPr>
    <w:r w:rsidRPr="001118A9">
      <w:rPr>
        <w:rFonts w:ascii="Arial" w:hAnsi="Arial" w:cs="Arial"/>
        <w:bCs/>
        <w:sz w:val="22"/>
        <w:szCs w:val="22"/>
      </w:rPr>
      <w:t>A-32/</w:t>
    </w:r>
    <w:proofErr w:type="gramStart"/>
    <w:r w:rsidRPr="001118A9">
      <w:rPr>
        <w:rFonts w:ascii="Arial" w:hAnsi="Arial" w:cs="Arial"/>
        <w:bCs/>
        <w:sz w:val="22"/>
        <w:szCs w:val="22"/>
      </w:rPr>
      <w:t>DR.[</w:t>
    </w:r>
    <w:proofErr w:type="gramEnd"/>
    <w:r w:rsidRPr="001118A9">
      <w:rPr>
        <w:rFonts w:ascii="Arial" w:hAnsi="Arial" w:cs="Arial"/>
        <w:bCs/>
        <w:sz w:val="22"/>
        <w:szCs w:val="22"/>
      </w:rPr>
      <w:t>4.</w:t>
    </w:r>
    <w:r w:rsidR="009841D0">
      <w:rPr>
        <w:rFonts w:ascii="Arial" w:hAnsi="Arial" w:cs="Arial"/>
        <w:bCs/>
        <w:sz w:val="22"/>
        <w:szCs w:val="22"/>
      </w:rPr>
      <w:t>5</w:t>
    </w:r>
    <w:r w:rsidRPr="001118A9">
      <w:rPr>
        <w:rFonts w:ascii="Arial" w:hAnsi="Arial" w:cs="Arial"/>
        <w:bCs/>
        <w:sz w:val="22"/>
        <w:szCs w:val="22"/>
      </w:rPr>
      <w:t xml:space="preserve">] – page </w:t>
    </w:r>
    <w:r w:rsidRPr="001118A9">
      <w:rPr>
        <w:rFonts w:ascii="Arial" w:hAnsi="Arial" w:cs="Arial"/>
        <w:bCs/>
        <w:sz w:val="22"/>
        <w:szCs w:val="22"/>
      </w:rPr>
      <w:fldChar w:fldCharType="begin"/>
    </w:r>
    <w:r w:rsidRPr="001118A9">
      <w:rPr>
        <w:rFonts w:ascii="Arial" w:hAnsi="Arial" w:cs="Arial"/>
        <w:bCs/>
        <w:sz w:val="22"/>
        <w:szCs w:val="22"/>
      </w:rPr>
      <w:instrText>PAGE   \* MERGEFORMAT</w:instrText>
    </w:r>
    <w:r w:rsidRPr="001118A9">
      <w:rPr>
        <w:rFonts w:ascii="Arial" w:hAnsi="Arial" w:cs="Arial"/>
        <w:bCs/>
        <w:sz w:val="22"/>
        <w:szCs w:val="22"/>
      </w:rPr>
      <w:fldChar w:fldCharType="separate"/>
    </w:r>
    <w:r w:rsidRPr="001118A9">
      <w:rPr>
        <w:rFonts w:ascii="Arial" w:hAnsi="Arial" w:cs="Arial"/>
        <w:bCs/>
        <w:sz w:val="22"/>
        <w:szCs w:val="22"/>
      </w:rPr>
      <w:t>1</w:t>
    </w:r>
    <w:r w:rsidRPr="001118A9">
      <w:rPr>
        <w:rFonts w:ascii="Arial" w:hAnsi="Arial" w:cs="Arial"/>
        <w:bCs/>
        <w:sz w:val="22"/>
        <w:szCs w:val="22"/>
      </w:rPr>
      <w:fldChar w:fldCharType="end"/>
    </w:r>
  </w:p>
  <w:p w14:paraId="30D0FDC5" w14:textId="77777777" w:rsidR="007A68B6" w:rsidRDefault="007A68B6" w:rsidP="001118A9">
    <w:pPr>
      <w:pStyle w:val="Header"/>
      <w:jc w:val="right"/>
      <w:rPr>
        <w:rFonts w:ascii="Arial" w:hAnsi="Arial" w:cs="Arial"/>
        <w:bCs/>
        <w:sz w:val="22"/>
        <w:szCs w:val="22"/>
      </w:rPr>
    </w:pPr>
  </w:p>
  <w:p w14:paraId="21EE3852" w14:textId="77777777" w:rsidR="007A68B6" w:rsidRPr="001118A9" w:rsidRDefault="007A68B6" w:rsidP="001118A9">
    <w:pPr>
      <w:pStyle w:val="Header"/>
      <w:jc w:val="right"/>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2"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12459394">
    <w:abstractNumId w:val="0"/>
  </w:num>
  <w:num w:numId="2" w16cid:durableId="1412392039">
    <w:abstractNumId w:val="2"/>
  </w:num>
  <w:num w:numId="3" w16cid:durableId="191866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2"/>
    <w:rsid w:val="000B0714"/>
    <w:rsid w:val="001118A9"/>
    <w:rsid w:val="00172F52"/>
    <w:rsid w:val="001E599F"/>
    <w:rsid w:val="003355B2"/>
    <w:rsid w:val="00426790"/>
    <w:rsid w:val="0049181A"/>
    <w:rsid w:val="004F673C"/>
    <w:rsid w:val="005343B3"/>
    <w:rsid w:val="005945C4"/>
    <w:rsid w:val="007A68B6"/>
    <w:rsid w:val="009841D0"/>
    <w:rsid w:val="00E214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452A"/>
  <w15:chartTrackingRefBased/>
  <w15:docId w15:val="{BE818DF2-DDE1-C940-AF37-81A3D205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1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18A9"/>
  </w:style>
  <w:style w:type="paragraph" w:styleId="Header">
    <w:name w:val="header"/>
    <w:basedOn w:val="Normal"/>
    <w:link w:val="HeaderChar"/>
    <w:uiPriority w:val="99"/>
    <w:unhideWhenUsed/>
    <w:rsid w:val="001118A9"/>
    <w:pPr>
      <w:tabs>
        <w:tab w:val="center" w:pos="4513"/>
        <w:tab w:val="right" w:pos="9026"/>
      </w:tabs>
    </w:pPr>
  </w:style>
  <w:style w:type="character" w:customStyle="1" w:styleId="HeaderChar">
    <w:name w:val="Header Char"/>
    <w:basedOn w:val="DefaultParagraphFont"/>
    <w:link w:val="Header"/>
    <w:uiPriority w:val="99"/>
    <w:rsid w:val="001118A9"/>
  </w:style>
  <w:style w:type="paragraph" w:styleId="Footer">
    <w:name w:val="footer"/>
    <w:basedOn w:val="Normal"/>
    <w:link w:val="FooterChar"/>
    <w:uiPriority w:val="99"/>
    <w:unhideWhenUsed/>
    <w:rsid w:val="001118A9"/>
    <w:pPr>
      <w:tabs>
        <w:tab w:val="center" w:pos="4513"/>
        <w:tab w:val="right" w:pos="9026"/>
      </w:tabs>
    </w:pPr>
  </w:style>
  <w:style w:type="character" w:customStyle="1" w:styleId="FooterChar">
    <w:name w:val="Footer Char"/>
    <w:basedOn w:val="DefaultParagraphFont"/>
    <w:link w:val="Footer"/>
    <w:uiPriority w:val="99"/>
    <w:rsid w:val="001118A9"/>
  </w:style>
  <w:style w:type="paragraph" w:customStyle="1" w:styleId="b">
    <w:name w:val="(b)"/>
    <w:basedOn w:val="Normal"/>
    <w:rsid w:val="009841D0"/>
    <w:pPr>
      <w:tabs>
        <w:tab w:val="left" w:pos="1134"/>
      </w:tabs>
      <w:spacing w:after="240" w:line="276" w:lineRule="auto"/>
      <w:ind w:left="1134" w:hanging="567"/>
      <w:jc w:val="both"/>
    </w:pPr>
    <w:rPr>
      <w:rFonts w:ascii="Arial" w:eastAsiaTheme="minorEastAsia" w:hAnsi="Arial"/>
      <w:sz w:val="22"/>
      <w:szCs w:val="22"/>
      <w:lang w:val="en-GB" w:eastAsia="zh-CN"/>
    </w:rPr>
  </w:style>
  <w:style w:type="character" w:styleId="FootnoteReference">
    <w:name w:val="footnote reference"/>
    <w:uiPriority w:val="99"/>
    <w:rsid w:val="009841D0"/>
    <w:rPr>
      <w:vertAlign w:val="superscript"/>
    </w:rPr>
  </w:style>
  <w:style w:type="paragraph" w:customStyle="1" w:styleId="Marge">
    <w:name w:val="Marge"/>
    <w:basedOn w:val="Normal"/>
    <w:link w:val="MargeChar"/>
    <w:qFormat/>
    <w:rsid w:val="009841D0"/>
    <w:pPr>
      <w:spacing w:after="240"/>
      <w:jc w:val="both"/>
    </w:pPr>
    <w:rPr>
      <w:rFonts w:ascii="Arial" w:eastAsiaTheme="minorEastAsia" w:hAnsi="Arial"/>
      <w:sz w:val="22"/>
      <w:szCs w:val="22"/>
      <w:lang w:val="en-GB" w:eastAsia="zh-CN"/>
    </w:rPr>
  </w:style>
  <w:style w:type="paragraph" w:styleId="FootnoteText">
    <w:name w:val="footnote text"/>
    <w:basedOn w:val="Normal"/>
    <w:link w:val="FootnoteTextChar"/>
    <w:semiHidden/>
    <w:rsid w:val="009841D0"/>
    <w:pPr>
      <w:spacing w:after="200" w:line="276" w:lineRule="auto"/>
      <w:ind w:left="567" w:hanging="567"/>
      <w:jc w:val="both"/>
    </w:pPr>
    <w:rPr>
      <w:rFonts w:ascii="Arial" w:eastAsiaTheme="minorEastAsia" w:hAnsi="Arial"/>
      <w:sz w:val="20"/>
      <w:szCs w:val="20"/>
      <w:lang w:val="en-GB" w:eastAsia="zh-CN"/>
    </w:rPr>
  </w:style>
  <w:style w:type="character" w:customStyle="1" w:styleId="FootnoteTextChar">
    <w:name w:val="Footnote Text Char"/>
    <w:basedOn w:val="DefaultParagraphFont"/>
    <w:link w:val="FootnoteText"/>
    <w:semiHidden/>
    <w:rsid w:val="009841D0"/>
    <w:rPr>
      <w:rFonts w:ascii="Arial" w:eastAsiaTheme="minorEastAsia" w:hAnsi="Arial"/>
      <w:sz w:val="20"/>
      <w:szCs w:val="20"/>
      <w:lang w:val="en-GB" w:eastAsia="zh-CN"/>
    </w:rPr>
  </w:style>
  <w:style w:type="paragraph" w:customStyle="1" w:styleId="TIRETbul1cm">
    <w:name w:val="TIRET bul 1cm"/>
    <w:basedOn w:val="Normal"/>
    <w:rsid w:val="009841D0"/>
    <w:pPr>
      <w:numPr>
        <w:numId w:val="3"/>
      </w:numPr>
      <w:tabs>
        <w:tab w:val="clear" w:pos="644"/>
        <w:tab w:val="left" w:pos="840"/>
      </w:tabs>
      <w:adjustRightInd w:val="0"/>
      <w:spacing w:after="240" w:line="276" w:lineRule="auto"/>
      <w:ind w:left="840" w:hanging="273"/>
      <w:jc w:val="both"/>
    </w:pPr>
    <w:rPr>
      <w:rFonts w:ascii="Arial" w:eastAsiaTheme="minorEastAsia" w:hAnsi="Arial"/>
      <w:sz w:val="22"/>
      <w:szCs w:val="22"/>
      <w:lang w:val="en-GB" w:eastAsia="zh-CN"/>
    </w:rPr>
  </w:style>
  <w:style w:type="character" w:customStyle="1" w:styleId="MargeChar">
    <w:name w:val="Marge Char"/>
    <w:basedOn w:val="DefaultParagraphFont"/>
    <w:link w:val="Marge"/>
    <w:qFormat/>
    <w:rsid w:val="009841D0"/>
    <w:rPr>
      <w:rFonts w:ascii="Arial" w:eastAsiaTheme="minorEastAsia" w:hAnsi="Arial"/>
      <w:sz w:val="22"/>
      <w:szCs w:val="22"/>
      <w:lang w:val="en-GB" w:eastAsia="zh-CN"/>
    </w:rPr>
  </w:style>
  <w:style w:type="character" w:customStyle="1" w:styleId="Heading1Char">
    <w:name w:val="Heading 1 Char"/>
    <w:basedOn w:val="DefaultParagraphFont"/>
    <w:link w:val="Heading1"/>
    <w:uiPriority w:val="9"/>
    <w:rsid w:val="009841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A-32/[4.5]‎</dc:title>
  <dc:subject>A-32/DR.[4.5]‎</dc:subject>
  <dc:creator>Marie-Clémence Lanneau</dc:creator>
  <cp:keywords/>
  <dc:description/>
  <cp:lastModifiedBy>Boned, Patrice</cp:lastModifiedBy>
  <cp:revision>3</cp:revision>
  <dcterms:created xsi:type="dcterms:W3CDTF">2023-06-26T10:24:00Z</dcterms:created>
  <dcterms:modified xsi:type="dcterms:W3CDTF">2023-06-26T10:25:00Z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202302043</vt:lpwstr>
  </property>
  <property fmtid="{D5CDD505-2E9C-101B-9397-08002B2CF9AE}" pid="3" name="Language">
    <vt:lpwstr>F</vt:lpwstr>
  </property>
</Properties>
</file>