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6" w:type="dxa"/>
        <w:tblLayout w:type="fixed"/>
        <w:tblLook w:val="0000" w:firstRow="0" w:lastRow="0" w:firstColumn="0" w:lastColumn="0" w:noHBand="0" w:noVBand="0"/>
      </w:tblPr>
      <w:tblGrid>
        <w:gridCol w:w="5954"/>
        <w:gridCol w:w="3332"/>
      </w:tblGrid>
      <w:tr w:rsidR="00BC394C" w:rsidRPr="00AC0663" w14:paraId="6D82A7B2" w14:textId="77777777" w:rsidTr="00586242">
        <w:tc>
          <w:tcPr>
            <w:tcW w:w="5954" w:type="dxa"/>
          </w:tcPr>
          <w:p w14:paraId="0891A884" w14:textId="086CB395" w:rsidR="00BC394C" w:rsidRPr="00AC0663" w:rsidRDefault="00586242" w:rsidP="00586242">
            <w:pPr>
              <w:spacing w:after="240"/>
              <w:ind w:left="-105"/>
              <w:rPr>
                <w:rFonts w:ascii="Arial" w:hAnsi="Arial" w:cs="Arial"/>
              </w:rPr>
            </w:pPr>
            <w:r w:rsidRPr="00586242">
              <w:rPr>
                <w:rFonts w:ascii="Arial" w:hAnsi="Arial" w:cs="Arial"/>
                <w:sz w:val="22"/>
                <w:szCs w:val="22"/>
                <w:lang w:val="es-ES_tradnl"/>
              </w:rPr>
              <w:t>Distribución limitada</w:t>
            </w:r>
          </w:p>
        </w:tc>
        <w:tc>
          <w:tcPr>
            <w:tcW w:w="3332" w:type="dxa"/>
          </w:tcPr>
          <w:p w14:paraId="56FA8779" w14:textId="05CE23AF" w:rsidR="00BC394C" w:rsidRPr="00586242" w:rsidRDefault="00BB7AF2" w:rsidP="0072719C">
            <w:pPr>
              <w:ind w:left="459"/>
              <w:rPr>
                <w:rFonts w:ascii="Arial" w:hAnsi="Arial" w:cs="Arial"/>
                <w:b/>
                <w:lang w:val="es-ES"/>
              </w:rPr>
            </w:pPr>
            <w:r w:rsidRPr="00586242">
              <w:rPr>
                <w:rFonts w:ascii="Arial" w:hAnsi="Arial" w:cs="Arial"/>
                <w:b/>
                <w:sz w:val="22"/>
                <w:szCs w:val="22"/>
                <w:lang w:val="es-ES"/>
              </w:rPr>
              <w:t>A</w:t>
            </w:r>
            <w:r w:rsidR="00135422" w:rsidRPr="00586242">
              <w:rPr>
                <w:rFonts w:ascii="Arial" w:hAnsi="Arial" w:cs="Arial"/>
                <w:b/>
                <w:sz w:val="22"/>
                <w:szCs w:val="22"/>
                <w:lang w:val="es-ES"/>
              </w:rPr>
              <w:t>-</w:t>
            </w:r>
            <w:r w:rsidR="005002AE" w:rsidRPr="00586242">
              <w:rPr>
                <w:rFonts w:ascii="Arial" w:hAnsi="Arial" w:cs="Arial"/>
                <w:b/>
                <w:sz w:val="22"/>
                <w:szCs w:val="22"/>
                <w:lang w:val="es-ES"/>
              </w:rPr>
              <w:t>32</w:t>
            </w:r>
            <w:r w:rsidR="001E3923" w:rsidRPr="00586242">
              <w:rPr>
                <w:rFonts w:ascii="Arial" w:hAnsi="Arial" w:cs="Arial"/>
                <w:b/>
                <w:sz w:val="22"/>
                <w:szCs w:val="22"/>
                <w:lang w:val="es-ES"/>
              </w:rPr>
              <w:t>/DR.</w:t>
            </w:r>
            <w:r w:rsidR="0050224F" w:rsidRPr="00586242">
              <w:rPr>
                <w:rFonts w:ascii="Arial" w:hAnsi="Arial" w:cs="Arial"/>
                <w:b/>
                <w:sz w:val="22"/>
                <w:szCs w:val="22"/>
                <w:lang w:val="es-ES"/>
              </w:rPr>
              <w:t>[</w:t>
            </w:r>
            <w:r w:rsidR="00EC7D2C" w:rsidRPr="00586242">
              <w:rPr>
                <w:rFonts w:ascii="Arial" w:hAnsi="Arial" w:cs="Arial"/>
                <w:b/>
                <w:sz w:val="22"/>
                <w:szCs w:val="22"/>
                <w:lang w:val="es-ES"/>
              </w:rPr>
              <w:t>4.</w:t>
            </w:r>
            <w:r w:rsidR="004A6A55" w:rsidRPr="00586242">
              <w:rPr>
                <w:rFonts w:ascii="Arial" w:hAnsi="Arial" w:cs="Arial"/>
                <w:b/>
                <w:sz w:val="22"/>
                <w:szCs w:val="22"/>
                <w:lang w:val="es-ES"/>
              </w:rPr>
              <w:t>1</w:t>
            </w:r>
            <w:r w:rsidR="00B34EDA" w:rsidRPr="00586242">
              <w:rPr>
                <w:rFonts w:ascii="Arial" w:hAnsi="Arial" w:cs="Arial"/>
                <w:b/>
                <w:sz w:val="22"/>
                <w:szCs w:val="22"/>
                <w:lang w:val="es-ES"/>
              </w:rPr>
              <w:t>2</w:t>
            </w:r>
            <w:r w:rsidR="0050224F" w:rsidRPr="00586242">
              <w:rPr>
                <w:rFonts w:ascii="Arial" w:hAnsi="Arial" w:cs="Arial"/>
                <w:b/>
                <w:sz w:val="22"/>
                <w:szCs w:val="22"/>
                <w:lang w:val="es-ES"/>
              </w:rPr>
              <w:t>]</w:t>
            </w:r>
          </w:p>
          <w:p w14:paraId="52560412" w14:textId="77777777" w:rsidR="00586242" w:rsidRPr="00586242" w:rsidRDefault="00586242" w:rsidP="00586242">
            <w:pPr>
              <w:ind w:left="459"/>
              <w:rPr>
                <w:rFonts w:ascii="Arial" w:hAnsi="Arial" w:cs="Arial"/>
                <w:sz w:val="22"/>
                <w:szCs w:val="22"/>
                <w:lang w:val="es-ES_tradnl"/>
              </w:rPr>
            </w:pPr>
            <w:r w:rsidRPr="00586242">
              <w:rPr>
                <w:rFonts w:ascii="Arial" w:hAnsi="Arial" w:cs="Arial"/>
                <w:sz w:val="22"/>
                <w:szCs w:val="22"/>
                <w:lang w:val="es-ES_tradnl"/>
              </w:rPr>
              <w:t>París, 23 de junio de 2023</w:t>
            </w:r>
          </w:p>
          <w:p w14:paraId="0B7A4A57" w14:textId="48E6FFB4" w:rsidR="00BC394C" w:rsidRPr="00AC0663" w:rsidRDefault="00586242" w:rsidP="00586242">
            <w:pPr>
              <w:spacing w:after="240"/>
              <w:ind w:left="459"/>
              <w:rPr>
                <w:rFonts w:ascii="Arial" w:hAnsi="Arial" w:cs="Arial"/>
              </w:rPr>
            </w:pPr>
            <w:r w:rsidRPr="00586242">
              <w:rPr>
                <w:rFonts w:ascii="Arial" w:hAnsi="Arial" w:cs="Arial"/>
                <w:sz w:val="22"/>
                <w:szCs w:val="22"/>
                <w:lang w:val="es-ES_tradnl"/>
              </w:rPr>
              <w:t>Original: inglés</w:t>
            </w:r>
          </w:p>
        </w:tc>
      </w:tr>
    </w:tbl>
    <w:p w14:paraId="642286DD" w14:textId="1CC64A85" w:rsidR="002C28A8" w:rsidRPr="00586242" w:rsidRDefault="00586242" w:rsidP="00586242">
      <w:pPr>
        <w:spacing w:after="240"/>
        <w:rPr>
          <w:rFonts w:ascii="Arial" w:eastAsia="Calibri" w:hAnsi="Arial" w:cs="Arial"/>
          <w:b/>
          <w:sz w:val="22"/>
          <w:szCs w:val="22"/>
          <w:lang w:val="es-ES"/>
        </w:rPr>
      </w:pPr>
      <w:r w:rsidRPr="00586242">
        <w:rPr>
          <w:rFonts w:ascii="Arial" w:eastAsia="Calibri" w:hAnsi="Arial" w:cs="Arial"/>
          <w:b/>
          <w:sz w:val="22"/>
          <w:szCs w:val="22"/>
          <w:lang w:val="es-ES_tradnl"/>
        </w:rPr>
        <w:t>PROYECTO DE RESOLUCIÓN A-32/DR.[4.12]</w:t>
      </w:r>
    </w:p>
    <w:p w14:paraId="1B9CA634" w14:textId="20ED9378" w:rsidR="002C28A8" w:rsidRPr="00586242" w:rsidRDefault="00586242" w:rsidP="00586242">
      <w:pPr>
        <w:spacing w:after="240"/>
        <w:rPr>
          <w:rFonts w:ascii="Arial" w:eastAsia="Calibri" w:hAnsi="Arial" w:cs="Arial"/>
          <w:sz w:val="22"/>
          <w:szCs w:val="22"/>
          <w:lang w:val="es-ES"/>
        </w:rPr>
      </w:pPr>
      <w:r w:rsidRPr="00586242">
        <w:rPr>
          <w:rFonts w:ascii="Arial" w:eastAsia="Calibri" w:hAnsi="Arial" w:cs="Arial"/>
          <w:i/>
          <w:iCs/>
          <w:sz w:val="22"/>
          <w:szCs w:val="22"/>
          <w:lang w:val="es-ES_tradnl"/>
        </w:rPr>
        <w:t>Presentado por el Brasil y la India</w:t>
      </w:r>
    </w:p>
    <w:p w14:paraId="63A0CB2A" w14:textId="36F22744" w:rsidR="004B1009" w:rsidRPr="00586242" w:rsidRDefault="00586242" w:rsidP="00586242">
      <w:pPr>
        <w:spacing w:after="240"/>
        <w:jc w:val="center"/>
        <w:rPr>
          <w:rStyle w:val="Heading2Char"/>
          <w:b w:val="0"/>
          <w:bCs w:val="0"/>
          <w:szCs w:val="22"/>
          <w:lang w:val="es-ES"/>
        </w:rPr>
      </w:pPr>
      <w:r w:rsidRPr="00586242">
        <w:rPr>
          <w:rFonts w:ascii="Arial" w:hAnsi="Arial" w:cs="Arial"/>
          <w:b/>
          <w:bCs/>
          <w:color w:val="000000"/>
          <w:sz w:val="22"/>
          <w:szCs w:val="22"/>
          <w:lang w:val="es-ES_tradnl"/>
        </w:rPr>
        <w:t>EJECUCIÓN DEL DECENIO DE LAS NACIONES UNIDAS DE LAS CIENCIAS OCEÁNICAS PARA EL DESARROLLO SOSTENIBLE (2021-2030)</w:t>
      </w:r>
    </w:p>
    <w:p w14:paraId="2A9F05E4" w14:textId="44A0AFC6" w:rsidR="002C28A8" w:rsidRPr="002C28A8" w:rsidRDefault="00586242" w:rsidP="00586242">
      <w:pPr>
        <w:spacing w:after="240"/>
        <w:rPr>
          <w:rFonts w:ascii="Arial" w:hAnsi="Arial" w:cs="Arial"/>
          <w:iCs/>
          <w:sz w:val="22"/>
          <w:szCs w:val="22"/>
        </w:rPr>
      </w:pPr>
      <w:r w:rsidRPr="00586242">
        <w:rPr>
          <w:rFonts w:ascii="Arial" w:hAnsi="Arial" w:cs="Arial"/>
          <w:iCs/>
          <w:snapToGrid/>
          <w:sz w:val="22"/>
          <w:lang w:val="es-ES_tradnl"/>
        </w:rPr>
        <w:t>La Comisión Oceanográfica Intergubernamental,</w:t>
      </w:r>
    </w:p>
    <w:p w14:paraId="5646F689" w14:textId="77777777" w:rsidR="00586242" w:rsidRPr="00386B85" w:rsidRDefault="00586242" w:rsidP="00586242">
      <w:pPr>
        <w:numPr>
          <w:ilvl w:val="1"/>
          <w:numId w:val="19"/>
        </w:numPr>
        <w:tabs>
          <w:tab w:val="clear" w:pos="567"/>
        </w:tabs>
        <w:snapToGrid/>
        <w:spacing w:after="240"/>
        <w:ind w:left="567" w:hanging="586"/>
        <w:jc w:val="both"/>
        <w:rPr>
          <w:rFonts w:asciiTheme="minorBidi" w:hAnsiTheme="minorBidi" w:cstheme="minorBidi"/>
          <w:b/>
          <w:bCs/>
          <w:iCs/>
          <w:color w:val="000000"/>
          <w:sz w:val="22"/>
          <w:szCs w:val="22"/>
          <w:lang w:val="es-ES_tradnl"/>
        </w:rPr>
      </w:pPr>
      <w:r w:rsidRPr="00386B85">
        <w:rPr>
          <w:rFonts w:asciiTheme="minorBidi" w:eastAsia="Calibri" w:hAnsiTheme="minorBidi" w:cstheme="minorBidi"/>
          <w:b/>
          <w:bCs/>
          <w:kern w:val="2"/>
          <w:sz w:val="22"/>
          <w:szCs w:val="22"/>
          <w:lang w:val="es-ES_tradnl"/>
          <w14:ligatures w14:val="standardContextual"/>
        </w:rPr>
        <w:t>Recordando</w:t>
      </w:r>
      <w:r w:rsidRPr="00386B85">
        <w:rPr>
          <w:rFonts w:asciiTheme="minorBidi" w:eastAsia="Calibri" w:hAnsiTheme="minorBidi" w:cstheme="minorBidi"/>
          <w:kern w:val="2"/>
          <w:sz w:val="22"/>
          <w:szCs w:val="22"/>
          <w:lang w:val="es-ES_tradnl"/>
          <w14:ligatures w14:val="standardContextual"/>
        </w:rPr>
        <w:t xml:space="preserve"> las resoluciones EC-53/1, A-31/1 y EC-55/1 de la COI, relativas a la ejecución del Decenio de las Naciones Unidas de las Ciencias Oceánicas para el Desarrollo Sostenible (2021-2030) (“el Decenio”),</w:t>
      </w:r>
    </w:p>
    <w:p w14:paraId="7B6CBC3C" w14:textId="77777777" w:rsidR="00586242" w:rsidRPr="00386B85" w:rsidRDefault="00586242" w:rsidP="00586242">
      <w:pPr>
        <w:numPr>
          <w:ilvl w:val="1"/>
          <w:numId w:val="19"/>
        </w:numPr>
        <w:tabs>
          <w:tab w:val="clear" w:pos="567"/>
        </w:tabs>
        <w:snapToGrid/>
        <w:spacing w:after="240"/>
        <w:ind w:left="567" w:hanging="586"/>
        <w:jc w:val="both"/>
        <w:rPr>
          <w:rFonts w:asciiTheme="minorBidi" w:hAnsiTheme="minorBidi" w:cstheme="minorBidi"/>
          <w:sz w:val="22"/>
          <w:szCs w:val="22"/>
          <w:lang w:val="es-ES_tradnl"/>
        </w:rPr>
      </w:pPr>
      <w:r w:rsidRPr="00386B85">
        <w:rPr>
          <w:rFonts w:asciiTheme="minorBidi" w:eastAsia="Calibri" w:hAnsiTheme="minorBidi" w:cstheme="minorBidi"/>
          <w:b/>
          <w:bCs/>
          <w:kern w:val="2"/>
          <w:sz w:val="22"/>
          <w:szCs w:val="22"/>
          <w:lang w:val="es-ES_tradnl"/>
          <w14:ligatures w14:val="standardContextual"/>
        </w:rPr>
        <w:t>Considerando</w:t>
      </w:r>
      <w:r w:rsidRPr="00386B85">
        <w:rPr>
          <w:rFonts w:asciiTheme="minorBidi" w:eastAsia="Calibri" w:hAnsiTheme="minorBidi" w:cstheme="minorBidi"/>
          <w:kern w:val="2"/>
          <w:sz w:val="22"/>
          <w:szCs w:val="22"/>
          <w:lang w:val="es-ES_tradnl"/>
          <w14:ligatures w14:val="standardContextual"/>
        </w:rPr>
        <w:t xml:space="preserve"> el documento IOC/A-32/4.12.Doc(1) sobre el estado de ejecución del Decenio de las Naciones Unidas de las Ciencias Oceánicas para el Desarrollo Sostenible (2021-2030),</w:t>
      </w:r>
    </w:p>
    <w:p w14:paraId="157E3B2B" w14:textId="77777777" w:rsidR="00586242" w:rsidRPr="00386B85" w:rsidRDefault="00586242" w:rsidP="00586242">
      <w:pPr>
        <w:numPr>
          <w:ilvl w:val="1"/>
          <w:numId w:val="19"/>
        </w:numPr>
        <w:tabs>
          <w:tab w:val="clear" w:pos="567"/>
        </w:tabs>
        <w:snapToGrid/>
        <w:spacing w:after="240"/>
        <w:ind w:left="567" w:hanging="586"/>
        <w:jc w:val="both"/>
        <w:rPr>
          <w:rFonts w:asciiTheme="minorBidi" w:hAnsiTheme="minorBidi" w:cstheme="minorBidi"/>
          <w:sz w:val="22"/>
          <w:szCs w:val="22"/>
          <w:lang w:val="es-ES_tradnl"/>
        </w:rPr>
      </w:pPr>
      <w:r w:rsidRPr="00386B85">
        <w:rPr>
          <w:rFonts w:asciiTheme="minorBidi" w:eastAsia="Calibri" w:hAnsiTheme="minorBidi" w:cstheme="minorBidi"/>
          <w:b/>
          <w:bCs/>
          <w:kern w:val="2"/>
          <w:sz w:val="22"/>
          <w:szCs w:val="22"/>
          <w:lang w:val="es-ES_tradnl"/>
          <w14:ligatures w14:val="standardContextual"/>
        </w:rPr>
        <w:t>Toma nota</w:t>
      </w:r>
      <w:r w:rsidRPr="00386B85">
        <w:rPr>
          <w:rFonts w:asciiTheme="minorBidi" w:eastAsia="Calibri" w:hAnsiTheme="minorBidi" w:cstheme="minorBidi"/>
          <w:kern w:val="2"/>
          <w:sz w:val="22"/>
          <w:szCs w:val="22"/>
          <w:lang w:val="es-ES_tradnl"/>
          <w14:ligatures w14:val="standardContextual"/>
        </w:rPr>
        <w:t xml:space="preserve"> del establecimiento de los nuevos mecanismos de coordinación del Decenio, como oficinas de coordinación, centros de colaboración, asociados en la ejecución y comités nacionales, que se presentan en el documento IOC/INF-1424;</w:t>
      </w:r>
    </w:p>
    <w:p w14:paraId="26B08D5B" w14:textId="77777777" w:rsidR="00586242" w:rsidRPr="00386B85" w:rsidRDefault="00586242" w:rsidP="00586242">
      <w:pPr>
        <w:numPr>
          <w:ilvl w:val="1"/>
          <w:numId w:val="19"/>
        </w:numPr>
        <w:tabs>
          <w:tab w:val="clear" w:pos="567"/>
        </w:tabs>
        <w:snapToGrid/>
        <w:spacing w:after="240"/>
        <w:ind w:left="567" w:hanging="586"/>
        <w:jc w:val="both"/>
        <w:rPr>
          <w:rFonts w:asciiTheme="minorBidi" w:hAnsiTheme="minorBidi" w:cstheme="minorBidi"/>
          <w:sz w:val="22"/>
          <w:szCs w:val="22"/>
          <w:lang w:val="es-ES_tradnl"/>
        </w:rPr>
      </w:pPr>
      <w:r w:rsidRPr="00386B85">
        <w:rPr>
          <w:rFonts w:asciiTheme="minorBidi" w:eastAsia="Calibri" w:hAnsiTheme="minorBidi" w:cstheme="minorBidi"/>
          <w:b/>
          <w:bCs/>
          <w:kern w:val="2"/>
          <w:sz w:val="22"/>
          <w:szCs w:val="22"/>
          <w:lang w:val="es-ES_tradnl"/>
          <w14:ligatures w14:val="standardContextual"/>
        </w:rPr>
        <w:t>Toma nota con satisfacción</w:t>
      </w:r>
      <w:r w:rsidRPr="00386B85">
        <w:rPr>
          <w:rFonts w:asciiTheme="minorBidi" w:eastAsia="Calibri" w:hAnsiTheme="minorBidi" w:cstheme="minorBidi"/>
          <w:kern w:val="2"/>
          <w:sz w:val="22"/>
          <w:szCs w:val="22"/>
          <w:lang w:val="es-ES_tradnl"/>
          <w14:ligatures w14:val="standardContextual"/>
        </w:rPr>
        <w:t xml:space="preserve"> de la contribución de la Junta Asesora del Decenio a la ejecución y el desarrollo estratégico del Decenio, y </w:t>
      </w:r>
      <w:r w:rsidRPr="00386B85">
        <w:rPr>
          <w:rFonts w:asciiTheme="minorBidi" w:eastAsia="Calibri" w:hAnsiTheme="minorBidi" w:cstheme="minorBidi"/>
          <w:b/>
          <w:bCs/>
          <w:kern w:val="2"/>
          <w:sz w:val="22"/>
          <w:szCs w:val="22"/>
          <w:lang w:val="es-ES_tradnl"/>
          <w14:ligatures w14:val="standardContextual"/>
        </w:rPr>
        <w:t xml:space="preserve">reconoce </w:t>
      </w:r>
      <w:r w:rsidRPr="00386B85">
        <w:rPr>
          <w:rFonts w:asciiTheme="minorBidi" w:eastAsia="Calibri" w:hAnsiTheme="minorBidi" w:cstheme="minorBidi"/>
          <w:kern w:val="2"/>
          <w:sz w:val="22"/>
          <w:szCs w:val="22"/>
          <w:lang w:val="es-ES_tradnl"/>
          <w14:ligatures w14:val="standardContextual"/>
        </w:rPr>
        <w:t>el proceso de renovación de su composición para el periodo 2024-2025 de conformidad con su mandato;</w:t>
      </w:r>
    </w:p>
    <w:p w14:paraId="34B1CE7F" w14:textId="5E2BA064" w:rsidR="00D6700C" w:rsidRPr="00586242" w:rsidRDefault="00586242" w:rsidP="00586242">
      <w:pPr>
        <w:numPr>
          <w:ilvl w:val="1"/>
          <w:numId w:val="19"/>
        </w:numPr>
        <w:tabs>
          <w:tab w:val="clear" w:pos="567"/>
        </w:tabs>
        <w:snapToGrid/>
        <w:spacing w:after="240"/>
        <w:ind w:left="567" w:hanging="586"/>
        <w:jc w:val="both"/>
        <w:rPr>
          <w:rFonts w:ascii="Arial" w:hAnsi="Arial" w:cs="Arial"/>
          <w:sz w:val="22"/>
          <w:szCs w:val="22"/>
          <w:lang w:val="es-ES"/>
        </w:rPr>
      </w:pPr>
      <w:r w:rsidRPr="00386B85">
        <w:rPr>
          <w:rFonts w:asciiTheme="minorBidi" w:eastAsia="Calibri" w:hAnsiTheme="minorBidi" w:cstheme="minorBidi"/>
          <w:b/>
          <w:bCs/>
          <w:kern w:val="2"/>
          <w:sz w:val="22"/>
          <w:szCs w:val="22"/>
          <w:lang w:val="es-ES_tradnl"/>
          <w14:ligatures w14:val="standardContextual"/>
        </w:rPr>
        <w:t>Acoge con beneplácito</w:t>
      </w:r>
      <w:r w:rsidRPr="00386B85">
        <w:rPr>
          <w:rFonts w:asciiTheme="minorBidi" w:eastAsia="Calibri" w:hAnsiTheme="minorBidi" w:cstheme="minorBidi"/>
          <w:kern w:val="2"/>
          <w:sz w:val="22"/>
          <w:szCs w:val="22"/>
          <w:lang w:val="es-ES_tradnl"/>
          <w14:ligatures w14:val="standardContextual"/>
        </w:rPr>
        <w:t xml:space="preserve"> el desarrollo del proceso “Visión 2030” del Decenio del Océano, destinado a mejorar la ejecución estratégica del Decenio en el marco de sus 10 desafíos;</w:t>
      </w:r>
    </w:p>
    <w:p w14:paraId="244BB3C8" w14:textId="3B4913C6" w:rsidR="00D6700C" w:rsidRPr="00586242" w:rsidRDefault="00586242" w:rsidP="00586242">
      <w:pPr>
        <w:numPr>
          <w:ilvl w:val="1"/>
          <w:numId w:val="19"/>
        </w:numPr>
        <w:tabs>
          <w:tab w:val="clear" w:pos="567"/>
        </w:tabs>
        <w:snapToGrid/>
        <w:spacing w:after="240"/>
        <w:ind w:left="567" w:hanging="586"/>
        <w:jc w:val="both"/>
        <w:rPr>
          <w:rFonts w:ascii="Arial" w:hAnsi="Arial" w:cs="Arial"/>
          <w:sz w:val="22"/>
          <w:szCs w:val="22"/>
          <w:lang w:val="es-ES"/>
        </w:rPr>
      </w:pPr>
      <w:r w:rsidRPr="00586242">
        <w:rPr>
          <w:rFonts w:ascii="Arial" w:eastAsia="Calibri" w:hAnsi="Arial" w:cs="Arial"/>
          <w:b/>
          <w:bCs/>
          <w:snapToGrid/>
          <w:kern w:val="2"/>
          <w:sz w:val="22"/>
          <w:szCs w:val="22"/>
          <w:lang w:val="es-ES_tradnl"/>
          <w14:ligatures w14:val="standardContextual"/>
        </w:rPr>
        <w:t>Invita</w:t>
      </w:r>
      <w:r w:rsidRPr="00586242">
        <w:rPr>
          <w:rFonts w:ascii="Arial" w:eastAsia="Calibri" w:hAnsi="Arial" w:cs="Arial"/>
          <w:snapToGrid/>
          <w:kern w:val="2"/>
          <w:sz w:val="22"/>
          <w:szCs w:val="22"/>
          <w:lang w:val="es-ES_tradnl"/>
          <w14:ligatures w14:val="standardContextual"/>
        </w:rPr>
        <w:t xml:space="preserve"> a los Estados Miembros y a los asociados a que:</w:t>
      </w:r>
    </w:p>
    <w:p w14:paraId="5BBF1C0F" w14:textId="7942AB88" w:rsidR="00586242" w:rsidRPr="00586242" w:rsidRDefault="00586242" w:rsidP="00586242">
      <w:pPr>
        <w:pStyle w:val="ListParagraph"/>
        <w:numPr>
          <w:ilvl w:val="2"/>
          <w:numId w:val="19"/>
        </w:numPr>
        <w:tabs>
          <w:tab w:val="clear" w:pos="567"/>
        </w:tabs>
        <w:spacing w:after="120"/>
        <w:ind w:left="1134" w:hanging="567"/>
        <w:contextualSpacing w:val="0"/>
        <w:jc w:val="both"/>
        <w:rPr>
          <w:rFonts w:asciiTheme="minorBidi" w:eastAsia="MS Mincho" w:hAnsiTheme="minorBidi" w:cstheme="minorBidi"/>
          <w:sz w:val="22"/>
          <w:szCs w:val="22"/>
          <w:lang w:val="es-ES_tradnl" w:eastAsia="ja-JP"/>
        </w:rPr>
      </w:pPr>
      <w:r w:rsidRPr="00586242">
        <w:rPr>
          <w:rFonts w:asciiTheme="minorBidi" w:eastAsia="Calibri" w:hAnsiTheme="minorBidi" w:cstheme="minorBidi"/>
          <w:kern w:val="2"/>
          <w:sz w:val="22"/>
          <w:szCs w:val="22"/>
          <w:lang w:val="es-ES_tradnl"/>
          <w14:ligatures w14:val="standardContextual"/>
        </w:rPr>
        <w:t>aporten contribuciones financieras voluntarias para respaldar la labor de la Secretaría de la COI en la coordinación del Decenio, en particular apoyo en especie (por ejemplo, en forma de préstamos de personal) y cesiones en comisión de servicio a la Unidad de Coordinación del Decenio (DCU);</w:t>
      </w:r>
    </w:p>
    <w:p w14:paraId="4DA458FE" w14:textId="28C928E3" w:rsidR="00586242" w:rsidRPr="00386B85" w:rsidRDefault="00586242" w:rsidP="00586242">
      <w:pPr>
        <w:pStyle w:val="ListParagraph"/>
        <w:numPr>
          <w:ilvl w:val="2"/>
          <w:numId w:val="19"/>
        </w:numPr>
        <w:tabs>
          <w:tab w:val="clear" w:pos="567"/>
        </w:tabs>
        <w:spacing w:after="120"/>
        <w:ind w:left="1134" w:hanging="567"/>
        <w:contextualSpacing w:val="0"/>
        <w:jc w:val="both"/>
        <w:rPr>
          <w:rFonts w:asciiTheme="minorBidi" w:eastAsia="MS Mincho" w:hAnsiTheme="minorBidi" w:cstheme="minorBidi"/>
          <w:sz w:val="22"/>
          <w:szCs w:val="22"/>
          <w:lang w:val="es-ES_tradnl" w:eastAsia="ja-JP"/>
        </w:rPr>
      </w:pPr>
      <w:r w:rsidRPr="00386B85">
        <w:rPr>
          <w:rFonts w:asciiTheme="minorBidi" w:eastAsia="Calibri" w:hAnsiTheme="minorBidi" w:cstheme="minorBidi"/>
          <w:kern w:val="2"/>
          <w:sz w:val="22"/>
          <w:szCs w:val="22"/>
          <w:lang w:val="es-ES_tradnl"/>
          <w14:ligatures w14:val="standardContextual"/>
        </w:rPr>
        <w:t>se ofrezcan a acoger y financiar acciones del Decenio, oficinas de coordinación del Decenio y centros de colaboración del Decenio, como se describe en el plan de ejecución del Decenio;</w:t>
      </w:r>
    </w:p>
    <w:p w14:paraId="34F6F78B" w14:textId="6228826A" w:rsidR="00586242" w:rsidRPr="00386B85" w:rsidRDefault="00586242" w:rsidP="00586242">
      <w:pPr>
        <w:pStyle w:val="ListParagraph"/>
        <w:numPr>
          <w:ilvl w:val="2"/>
          <w:numId w:val="19"/>
        </w:numPr>
        <w:tabs>
          <w:tab w:val="clear" w:pos="567"/>
        </w:tabs>
        <w:spacing w:after="120"/>
        <w:ind w:left="1134" w:hanging="567"/>
        <w:contextualSpacing w:val="0"/>
        <w:jc w:val="both"/>
        <w:rPr>
          <w:rFonts w:asciiTheme="minorBidi" w:eastAsia="MS Mincho" w:hAnsiTheme="minorBidi" w:cstheme="minorBidi"/>
          <w:sz w:val="22"/>
          <w:szCs w:val="22"/>
          <w:lang w:val="es-ES_tradnl" w:eastAsia="ja-JP"/>
        </w:rPr>
      </w:pPr>
      <w:r w:rsidRPr="00386B85">
        <w:rPr>
          <w:rFonts w:asciiTheme="minorBidi" w:eastAsia="Calibri" w:hAnsiTheme="minorBidi" w:cstheme="minorBidi"/>
          <w:kern w:val="2"/>
          <w:sz w:val="22"/>
          <w:szCs w:val="22"/>
          <w:lang w:val="es-ES_tradnl"/>
          <w14:ligatures w14:val="standardContextual"/>
        </w:rPr>
        <w:t>establezcan comités nacionales del Decenio para fomentar las actividades nacionales y la cooperación internacional; y</w:t>
      </w:r>
    </w:p>
    <w:p w14:paraId="323BFB23" w14:textId="03096BBB" w:rsidR="00D6700C" w:rsidRPr="00586242" w:rsidRDefault="00586242" w:rsidP="00586242">
      <w:pPr>
        <w:pStyle w:val="ListParagraph"/>
        <w:numPr>
          <w:ilvl w:val="2"/>
          <w:numId w:val="19"/>
        </w:numPr>
        <w:tabs>
          <w:tab w:val="clear" w:pos="567"/>
        </w:tabs>
        <w:spacing w:after="240"/>
        <w:ind w:left="1134" w:hanging="567"/>
        <w:contextualSpacing w:val="0"/>
        <w:jc w:val="both"/>
        <w:rPr>
          <w:rFonts w:ascii="Arial" w:eastAsia="MS Mincho" w:hAnsi="Arial" w:cs="Arial"/>
          <w:sz w:val="22"/>
          <w:szCs w:val="22"/>
          <w:lang w:val="es-ES" w:eastAsia="ja-JP"/>
        </w:rPr>
      </w:pPr>
      <w:r w:rsidRPr="00386B85">
        <w:rPr>
          <w:rFonts w:asciiTheme="minorBidi" w:eastAsia="Calibri" w:hAnsiTheme="minorBidi" w:cstheme="minorBidi"/>
          <w:kern w:val="2"/>
          <w:sz w:val="22"/>
          <w:szCs w:val="22"/>
          <w:lang w:val="es-ES_tradnl"/>
          <w14:ligatures w14:val="standardContextual"/>
        </w:rPr>
        <w:t>acojan eventos regionales o internacionales de las partes interesadas en el Decenio;</w:t>
      </w:r>
    </w:p>
    <w:p w14:paraId="5A13368B" w14:textId="77777777" w:rsidR="00586242" w:rsidRPr="00386B85" w:rsidRDefault="00586242" w:rsidP="00586242">
      <w:pPr>
        <w:numPr>
          <w:ilvl w:val="1"/>
          <w:numId w:val="19"/>
        </w:numPr>
        <w:tabs>
          <w:tab w:val="clear" w:pos="567"/>
        </w:tabs>
        <w:snapToGrid/>
        <w:spacing w:after="240"/>
        <w:ind w:left="567" w:hanging="586"/>
        <w:jc w:val="both"/>
        <w:rPr>
          <w:rFonts w:asciiTheme="minorBidi" w:hAnsiTheme="minorBidi" w:cstheme="minorBidi"/>
          <w:sz w:val="22"/>
          <w:szCs w:val="22"/>
          <w:lang w:val="es-ES_tradnl"/>
        </w:rPr>
      </w:pPr>
      <w:r w:rsidRPr="00386B85">
        <w:rPr>
          <w:rFonts w:asciiTheme="minorBidi" w:eastAsia="Calibri" w:hAnsiTheme="minorBidi" w:cstheme="minorBidi"/>
          <w:b/>
          <w:bCs/>
          <w:kern w:val="2"/>
          <w:sz w:val="22"/>
          <w:szCs w:val="22"/>
          <w:lang w:val="es-ES_tradnl"/>
          <w14:ligatures w14:val="standardContextual"/>
        </w:rPr>
        <w:t>Invita</w:t>
      </w:r>
      <w:r w:rsidRPr="00386B85">
        <w:rPr>
          <w:rFonts w:asciiTheme="minorBidi" w:eastAsia="Calibri" w:hAnsiTheme="minorBidi" w:cstheme="minorBidi"/>
          <w:kern w:val="2"/>
          <w:sz w:val="22"/>
          <w:szCs w:val="22"/>
          <w:lang w:val="es-ES_tradnl"/>
          <w14:ligatures w14:val="standardContextual"/>
        </w:rPr>
        <w:t xml:space="preserve"> a los miembros de ONU-Océanos, los Estados Miembros de las Naciones Unidas, las organizaciones científicas y académicas internacionales, las organizaciones no gubernamentales y otras partes interesadas pertinentes a que apoyen el Decenio en colaboración con la COI y a que contribuyan a su ejecución proponiendo acciones del Decenio de conformidad con el plan de ejecución del Decenio;</w:t>
      </w:r>
    </w:p>
    <w:p w14:paraId="2E204B96" w14:textId="77777777" w:rsidR="00586242" w:rsidRPr="00386B85" w:rsidRDefault="00586242" w:rsidP="00586242">
      <w:pPr>
        <w:numPr>
          <w:ilvl w:val="1"/>
          <w:numId w:val="19"/>
        </w:numPr>
        <w:tabs>
          <w:tab w:val="clear" w:pos="567"/>
        </w:tabs>
        <w:snapToGrid/>
        <w:spacing w:after="240"/>
        <w:ind w:left="567" w:hanging="586"/>
        <w:jc w:val="both"/>
        <w:rPr>
          <w:rFonts w:asciiTheme="minorBidi" w:eastAsia="MS Mincho" w:hAnsiTheme="minorBidi" w:cstheme="minorBidi"/>
          <w:sz w:val="22"/>
          <w:szCs w:val="22"/>
          <w:lang w:val="es-ES_tradnl" w:eastAsia="ja-JP"/>
        </w:rPr>
      </w:pPr>
      <w:r w:rsidRPr="00386B85">
        <w:rPr>
          <w:rFonts w:asciiTheme="minorBidi" w:eastAsia="Calibri" w:hAnsiTheme="minorBidi" w:cstheme="minorBidi"/>
          <w:b/>
          <w:bCs/>
          <w:kern w:val="2"/>
          <w:sz w:val="22"/>
          <w:szCs w:val="22"/>
          <w:lang w:val="es-ES_tradnl"/>
          <w14:ligatures w14:val="standardContextual"/>
        </w:rPr>
        <w:t xml:space="preserve">Agradece </w:t>
      </w:r>
      <w:r w:rsidRPr="00386B85">
        <w:rPr>
          <w:rFonts w:asciiTheme="minorBidi" w:eastAsia="Calibri" w:hAnsiTheme="minorBidi" w:cstheme="minorBidi"/>
          <w:kern w:val="2"/>
          <w:sz w:val="22"/>
          <w:szCs w:val="22"/>
          <w:lang w:val="es-ES_tradnl"/>
          <w14:ligatures w14:val="standardContextual"/>
        </w:rPr>
        <w:t>a los gobiernos de Bélgica (Gobierno de Flandes), el Canadá, China, Francia, la India, el Japón, Noruega, Portugal, la República de Corea y Suecia, así como a REV</w:t>
      </w:r>
      <w:r w:rsidRPr="00386B85">
        <w:rPr>
          <w:rFonts w:asciiTheme="minorBidi" w:eastAsia="Calibri" w:hAnsiTheme="minorBidi" w:cstheme="minorBidi"/>
          <w:kern w:val="2"/>
          <w:sz w:val="22"/>
          <w:szCs w:val="22"/>
          <w:lang w:val="es-ES_tradnl"/>
          <w14:ligatures w14:val="standardContextual"/>
        </w:rPr>
        <w:noBreakHyphen/>
        <w:t>Ocean, Panerai y FUGRO, sus contribuciones financieras al Decenio;</w:t>
      </w:r>
    </w:p>
    <w:p w14:paraId="28009236" w14:textId="77777777" w:rsidR="00586242" w:rsidRPr="00386B85" w:rsidRDefault="00586242" w:rsidP="00586242">
      <w:pPr>
        <w:numPr>
          <w:ilvl w:val="1"/>
          <w:numId w:val="19"/>
        </w:numPr>
        <w:tabs>
          <w:tab w:val="clear" w:pos="567"/>
        </w:tabs>
        <w:snapToGrid/>
        <w:spacing w:after="240"/>
        <w:ind w:left="567" w:hanging="586"/>
        <w:jc w:val="both"/>
        <w:rPr>
          <w:rFonts w:asciiTheme="minorBidi" w:eastAsia="MS Mincho" w:hAnsiTheme="minorBidi" w:cstheme="minorBidi"/>
          <w:sz w:val="22"/>
          <w:szCs w:val="22"/>
          <w:lang w:val="es-ES_tradnl" w:eastAsia="ja-JP"/>
        </w:rPr>
      </w:pPr>
      <w:r w:rsidRPr="00386B85">
        <w:rPr>
          <w:rFonts w:asciiTheme="minorBidi" w:eastAsia="Calibri" w:hAnsiTheme="minorBidi" w:cstheme="minorBidi"/>
          <w:b/>
          <w:bCs/>
          <w:kern w:val="2"/>
          <w:sz w:val="22"/>
          <w:szCs w:val="22"/>
          <w:lang w:val="es-ES_tradnl"/>
          <w14:ligatures w14:val="standardContextual"/>
        </w:rPr>
        <w:lastRenderedPageBreak/>
        <w:t>Agradece asimismo</w:t>
      </w:r>
      <w:r w:rsidRPr="00386B85">
        <w:rPr>
          <w:rFonts w:asciiTheme="minorBidi" w:eastAsia="Calibri" w:hAnsiTheme="minorBidi" w:cstheme="minorBidi"/>
          <w:kern w:val="2"/>
          <w:sz w:val="22"/>
          <w:szCs w:val="22"/>
          <w:lang w:val="es-ES_tradnl"/>
          <w14:ligatures w14:val="standardContextual"/>
        </w:rPr>
        <w:t xml:space="preserve"> al Gobierno de España su ofrecimiento de acoger la segunda Conferencia Internacional del Decenio del Océano en Barcelona, del 10 al 12 de abril de 2024, y </w:t>
      </w:r>
      <w:r w:rsidRPr="00386B85">
        <w:rPr>
          <w:rFonts w:asciiTheme="minorBidi" w:eastAsia="Calibri" w:hAnsiTheme="minorBidi" w:cstheme="minorBidi"/>
          <w:b/>
          <w:bCs/>
          <w:kern w:val="2"/>
          <w:sz w:val="22"/>
          <w:szCs w:val="22"/>
          <w:lang w:val="es-ES_tradnl"/>
          <w14:ligatures w14:val="standardContextual"/>
        </w:rPr>
        <w:t xml:space="preserve">alienta </w:t>
      </w:r>
      <w:r w:rsidRPr="00386B85">
        <w:rPr>
          <w:rFonts w:asciiTheme="minorBidi" w:eastAsia="Calibri" w:hAnsiTheme="minorBidi" w:cstheme="minorBidi"/>
          <w:kern w:val="2"/>
          <w:sz w:val="22"/>
          <w:szCs w:val="22"/>
          <w:lang w:val="es-ES_tradnl"/>
          <w14:ligatures w14:val="standardContextual"/>
        </w:rPr>
        <w:t>a todos los Estados Miembros a participar activamente en ella;</w:t>
      </w:r>
    </w:p>
    <w:p w14:paraId="0C7C23FA" w14:textId="38F5D77E" w:rsidR="00D6700C" w:rsidRPr="00586242" w:rsidRDefault="00586242" w:rsidP="00586242">
      <w:pPr>
        <w:numPr>
          <w:ilvl w:val="1"/>
          <w:numId w:val="19"/>
        </w:numPr>
        <w:tabs>
          <w:tab w:val="clear" w:pos="567"/>
        </w:tabs>
        <w:snapToGrid/>
        <w:spacing w:after="240"/>
        <w:ind w:left="567" w:hanging="586"/>
        <w:jc w:val="both"/>
        <w:rPr>
          <w:rFonts w:ascii="Arial" w:eastAsia="MS Mincho" w:hAnsi="Arial" w:cs="Arial"/>
          <w:sz w:val="22"/>
          <w:szCs w:val="22"/>
          <w:lang w:val="es-ES" w:eastAsia="ja-JP"/>
        </w:rPr>
      </w:pPr>
      <w:r w:rsidRPr="00386B85">
        <w:rPr>
          <w:rFonts w:asciiTheme="minorBidi" w:eastAsia="Calibri" w:hAnsiTheme="minorBidi" w:cstheme="minorBidi"/>
          <w:b/>
          <w:bCs/>
          <w:kern w:val="2"/>
          <w:sz w:val="22"/>
          <w:szCs w:val="22"/>
          <w:lang w:val="es-ES_tradnl"/>
          <w14:ligatures w14:val="standardContextual"/>
        </w:rPr>
        <w:t xml:space="preserve">Apoya </w:t>
      </w:r>
      <w:r w:rsidRPr="00386B85">
        <w:rPr>
          <w:rFonts w:asciiTheme="minorBidi" w:eastAsia="Calibri" w:hAnsiTheme="minorBidi" w:cstheme="minorBidi"/>
          <w:kern w:val="2"/>
          <w:sz w:val="22"/>
          <w:szCs w:val="22"/>
          <w:lang w:val="es-ES_tradnl"/>
          <w14:ligatures w14:val="standardContextual"/>
        </w:rPr>
        <w:t>la inscripción de nuevas acciones del Decenio dirigidas por la COI, a saber:</w:t>
      </w:r>
    </w:p>
    <w:p w14:paraId="5E2FA005" w14:textId="77777777" w:rsidR="00586242" w:rsidRPr="00386B85" w:rsidRDefault="00586242" w:rsidP="00586242">
      <w:pPr>
        <w:pStyle w:val="ListParagraph"/>
        <w:numPr>
          <w:ilvl w:val="2"/>
          <w:numId w:val="19"/>
        </w:numPr>
        <w:tabs>
          <w:tab w:val="clear" w:pos="567"/>
        </w:tabs>
        <w:spacing w:after="120"/>
        <w:ind w:left="1134" w:hanging="567"/>
        <w:contextualSpacing w:val="0"/>
        <w:jc w:val="both"/>
        <w:rPr>
          <w:rFonts w:asciiTheme="minorBidi" w:eastAsia="MS Mincho" w:hAnsiTheme="minorBidi" w:cstheme="minorBidi"/>
          <w:sz w:val="22"/>
          <w:szCs w:val="22"/>
          <w:lang w:val="es-ES_tradnl" w:eastAsia="ja-JP"/>
        </w:rPr>
      </w:pPr>
      <w:r w:rsidRPr="00386B85">
        <w:rPr>
          <w:rFonts w:asciiTheme="minorBidi" w:eastAsia="MS Mincho" w:hAnsiTheme="minorBidi" w:cstheme="minorBidi"/>
          <w:sz w:val="22"/>
          <w:szCs w:val="22"/>
          <w:lang w:val="es-ES_tradnl" w:eastAsia="ja-JP"/>
        </w:rPr>
        <w:t>el Programa de Tsunamis del Decenio del Océano;</w:t>
      </w:r>
    </w:p>
    <w:p w14:paraId="641AC3B2" w14:textId="76B6D291" w:rsidR="00586242" w:rsidRPr="00386B85" w:rsidRDefault="00586242" w:rsidP="00586242">
      <w:pPr>
        <w:pStyle w:val="ListParagraph"/>
        <w:numPr>
          <w:ilvl w:val="2"/>
          <w:numId w:val="19"/>
        </w:numPr>
        <w:tabs>
          <w:tab w:val="clear" w:pos="567"/>
        </w:tabs>
        <w:spacing w:after="120"/>
        <w:ind w:left="1134" w:hanging="567"/>
        <w:contextualSpacing w:val="0"/>
        <w:jc w:val="both"/>
        <w:rPr>
          <w:rFonts w:asciiTheme="minorBidi" w:eastAsia="MS Mincho" w:hAnsiTheme="minorBidi" w:cstheme="minorBidi"/>
          <w:sz w:val="22"/>
          <w:szCs w:val="22"/>
          <w:lang w:val="es-ES_tradnl" w:eastAsia="ja-JP"/>
        </w:rPr>
      </w:pPr>
      <w:r w:rsidRPr="00386B85">
        <w:rPr>
          <w:rFonts w:asciiTheme="minorBidi" w:eastAsia="MS Mincho" w:hAnsiTheme="minorBidi" w:cstheme="minorBidi"/>
          <w:sz w:val="22"/>
          <w:szCs w:val="22"/>
          <w:lang w:val="es-ES_tradnl" w:eastAsia="ja-JP"/>
        </w:rPr>
        <w:t>OBIS 2030 – el centro de datos sobre la biodiversidad para las acciones del Decenio del Océano;</w:t>
      </w:r>
    </w:p>
    <w:p w14:paraId="58F08EB7" w14:textId="71D2625F" w:rsidR="00D6700C" w:rsidRPr="00586242" w:rsidRDefault="00586242" w:rsidP="00586242">
      <w:pPr>
        <w:pStyle w:val="ListParagraph"/>
        <w:numPr>
          <w:ilvl w:val="2"/>
          <w:numId w:val="19"/>
        </w:numPr>
        <w:tabs>
          <w:tab w:val="clear" w:pos="567"/>
        </w:tabs>
        <w:spacing w:after="120"/>
        <w:ind w:left="1134" w:hanging="567"/>
        <w:contextualSpacing w:val="0"/>
        <w:jc w:val="both"/>
        <w:rPr>
          <w:rFonts w:ascii="Arial" w:eastAsia="MS Mincho" w:hAnsi="Arial" w:cs="Arial"/>
          <w:sz w:val="22"/>
          <w:szCs w:val="22"/>
          <w:lang w:val="es-ES" w:eastAsia="ja-JP"/>
        </w:rPr>
      </w:pPr>
      <w:r w:rsidRPr="00386B85">
        <w:rPr>
          <w:rFonts w:asciiTheme="minorBidi" w:eastAsia="MS Mincho" w:hAnsiTheme="minorBidi" w:cstheme="minorBidi"/>
          <w:sz w:val="22"/>
          <w:szCs w:val="22"/>
          <w:lang w:val="es-ES_tradnl" w:eastAsia="ja-JP"/>
        </w:rPr>
        <w:t>el fortalecimiento de la resiliencia de las comunidades costeras en la región del Atlántico Nororiental y el Mediterráneo ante el impacto de los tsunamis y otros peligros costeros relacionados con el nivel del mar;</w:t>
      </w:r>
    </w:p>
    <w:p w14:paraId="1F9FEC35" w14:textId="74D21D5E" w:rsidR="00D6700C" w:rsidRPr="00586242" w:rsidRDefault="00586242" w:rsidP="0072719C">
      <w:pPr>
        <w:numPr>
          <w:ilvl w:val="1"/>
          <w:numId w:val="19"/>
        </w:numPr>
        <w:tabs>
          <w:tab w:val="clear" w:pos="567"/>
        </w:tabs>
        <w:spacing w:after="240"/>
        <w:ind w:left="567" w:hanging="584"/>
        <w:jc w:val="both"/>
        <w:rPr>
          <w:rFonts w:ascii="Arial" w:eastAsia="MS Mincho" w:hAnsi="Arial" w:cs="Arial"/>
          <w:sz w:val="22"/>
          <w:szCs w:val="22"/>
          <w:lang w:val="es-ES" w:eastAsia="ja-JP"/>
        </w:rPr>
      </w:pPr>
      <w:r w:rsidRPr="00586242">
        <w:rPr>
          <w:rFonts w:ascii="Arial" w:eastAsia="Calibri" w:hAnsi="Arial" w:cs="Arial"/>
          <w:b/>
          <w:bCs/>
          <w:snapToGrid/>
          <w:kern w:val="2"/>
          <w:sz w:val="22"/>
          <w:szCs w:val="22"/>
          <w:lang w:val="es-ES_tradnl"/>
          <w14:ligatures w14:val="standardContextual"/>
        </w:rPr>
        <w:t>Apoya también</w:t>
      </w:r>
      <w:r w:rsidRPr="00586242">
        <w:rPr>
          <w:rFonts w:ascii="Arial" w:eastAsia="Calibri" w:hAnsi="Arial" w:cs="Arial"/>
          <w:snapToGrid/>
          <w:kern w:val="2"/>
          <w:sz w:val="22"/>
          <w:szCs w:val="22"/>
          <w:lang w:val="es-ES_tradnl"/>
          <w14:ligatures w14:val="standardContextual"/>
        </w:rPr>
        <w:t xml:space="preserve"> la función activa de los órganos subsidiarios regionales y técnicos y de los programas de la COI para facilitar la coordinación regional y temática del Decenio y las actividades de movilización, y en particular la función de:</w:t>
      </w:r>
    </w:p>
    <w:p w14:paraId="526B0743" w14:textId="77777777" w:rsidR="00586242" w:rsidRPr="00386B85" w:rsidRDefault="00586242" w:rsidP="00586242">
      <w:pPr>
        <w:pStyle w:val="ListParagraph"/>
        <w:numPr>
          <w:ilvl w:val="2"/>
          <w:numId w:val="19"/>
        </w:numPr>
        <w:tabs>
          <w:tab w:val="clear" w:pos="567"/>
        </w:tabs>
        <w:spacing w:after="120"/>
        <w:ind w:left="1134" w:hanging="567"/>
        <w:contextualSpacing w:val="0"/>
        <w:jc w:val="both"/>
        <w:rPr>
          <w:rFonts w:asciiTheme="minorBidi" w:eastAsia="MS Mincho" w:hAnsiTheme="minorBidi" w:cstheme="minorBidi"/>
          <w:sz w:val="22"/>
          <w:szCs w:val="22"/>
          <w:lang w:val="es-ES_tradnl" w:eastAsia="ja-JP"/>
        </w:rPr>
      </w:pPr>
      <w:r w:rsidRPr="00386B85">
        <w:rPr>
          <w:rFonts w:asciiTheme="minorBidi" w:eastAsia="Calibri" w:hAnsiTheme="minorBidi" w:cstheme="minorBidi"/>
          <w:kern w:val="2"/>
          <w:sz w:val="22"/>
          <w:szCs w:val="22"/>
          <w:lang w:val="es-ES_tradnl"/>
          <w14:ligatures w14:val="standardContextual"/>
        </w:rPr>
        <w:t>la Secretaría de la Subcomisión de la COI para el Pacífico Occidental (WESTPAC) que actúa como oficina de coordinación del Decenio para la región del Pacífico Occidental;</w:t>
      </w:r>
    </w:p>
    <w:p w14:paraId="6F027BC4" w14:textId="77777777" w:rsidR="00586242" w:rsidRPr="00386B85" w:rsidRDefault="00586242" w:rsidP="00586242">
      <w:pPr>
        <w:pStyle w:val="ListParagraph"/>
        <w:numPr>
          <w:ilvl w:val="2"/>
          <w:numId w:val="19"/>
        </w:numPr>
        <w:tabs>
          <w:tab w:val="clear" w:pos="567"/>
        </w:tabs>
        <w:spacing w:after="120"/>
        <w:ind w:left="1134" w:hanging="567"/>
        <w:contextualSpacing w:val="0"/>
        <w:jc w:val="both"/>
        <w:rPr>
          <w:rFonts w:asciiTheme="minorBidi" w:eastAsia="MS Mincho" w:hAnsiTheme="minorBidi" w:cstheme="minorBidi"/>
          <w:sz w:val="22"/>
          <w:szCs w:val="22"/>
          <w:lang w:val="es-ES_tradnl" w:eastAsia="ja-JP"/>
        </w:rPr>
      </w:pPr>
      <w:r w:rsidRPr="00386B85">
        <w:rPr>
          <w:rFonts w:asciiTheme="minorBidi" w:eastAsia="Calibri" w:hAnsiTheme="minorBidi" w:cstheme="minorBidi"/>
          <w:kern w:val="2"/>
          <w:sz w:val="22"/>
          <w:szCs w:val="22"/>
          <w:lang w:val="es-ES_tradnl"/>
          <w14:ligatures w14:val="standardContextual"/>
        </w:rPr>
        <w:t>la Secretaría de la Subcomisión de la COI para el Caribe y Regiones Adyacentes (IOCARIBE) que actúa como oficina de coordinación del Decenio para la región de América Tropical y el Caribe;</w:t>
      </w:r>
    </w:p>
    <w:p w14:paraId="4D52F3A8" w14:textId="77777777" w:rsidR="00586242" w:rsidRPr="00386B85" w:rsidRDefault="00586242" w:rsidP="00586242">
      <w:pPr>
        <w:pStyle w:val="ListParagraph"/>
        <w:numPr>
          <w:ilvl w:val="2"/>
          <w:numId w:val="19"/>
        </w:numPr>
        <w:tabs>
          <w:tab w:val="clear" w:pos="567"/>
        </w:tabs>
        <w:spacing w:after="120"/>
        <w:ind w:left="1134" w:hanging="567"/>
        <w:contextualSpacing w:val="0"/>
        <w:jc w:val="both"/>
        <w:rPr>
          <w:rFonts w:asciiTheme="minorBidi" w:eastAsia="MS Mincho" w:hAnsiTheme="minorBidi" w:cstheme="minorBidi"/>
          <w:sz w:val="22"/>
          <w:szCs w:val="22"/>
          <w:lang w:val="es-ES_tradnl" w:eastAsia="ja-JP"/>
        </w:rPr>
      </w:pPr>
      <w:r w:rsidRPr="00386B85">
        <w:rPr>
          <w:rFonts w:asciiTheme="minorBidi" w:eastAsia="Calibri" w:hAnsiTheme="minorBidi" w:cstheme="minorBidi"/>
          <w:kern w:val="2"/>
          <w:sz w:val="22"/>
          <w:szCs w:val="22"/>
          <w:lang w:val="es-ES_tradnl"/>
          <w14:ligatures w14:val="standardContextual"/>
        </w:rPr>
        <w:t>la Secretaría de la Subcomisión de la COI para África y Estados Insulares Adyacentes (IOCAFRICA) que actúa como oficina de coordinación del Decenio para África;</w:t>
      </w:r>
    </w:p>
    <w:p w14:paraId="025A4BC7" w14:textId="77777777" w:rsidR="00586242" w:rsidRPr="00386B85" w:rsidRDefault="00586242" w:rsidP="00586242">
      <w:pPr>
        <w:pStyle w:val="ListParagraph"/>
        <w:numPr>
          <w:ilvl w:val="2"/>
          <w:numId w:val="19"/>
        </w:numPr>
        <w:tabs>
          <w:tab w:val="clear" w:pos="567"/>
        </w:tabs>
        <w:spacing w:after="120"/>
        <w:ind w:left="1134" w:hanging="567"/>
        <w:contextualSpacing w:val="0"/>
        <w:jc w:val="both"/>
        <w:rPr>
          <w:rFonts w:asciiTheme="minorBidi" w:hAnsiTheme="minorBidi" w:cstheme="minorBidi"/>
          <w:sz w:val="22"/>
          <w:szCs w:val="22"/>
          <w:lang w:val="es-ES_tradnl"/>
        </w:rPr>
      </w:pPr>
      <w:r w:rsidRPr="00386B85">
        <w:rPr>
          <w:rFonts w:asciiTheme="minorBidi" w:eastAsia="Calibri" w:hAnsiTheme="minorBidi" w:cstheme="minorBidi"/>
          <w:kern w:val="2"/>
          <w:sz w:val="22"/>
          <w:szCs w:val="22"/>
          <w:lang w:val="es-ES_tradnl"/>
          <w14:ligatures w14:val="standardContextual"/>
        </w:rPr>
        <w:t>la Oficina del IODE, que actúa como oficina de coordinación del Decenio para el intercambio de datos oceanográficos;</w:t>
      </w:r>
    </w:p>
    <w:p w14:paraId="10928D17" w14:textId="5D19B94E" w:rsidR="00D6700C" w:rsidRPr="00586242" w:rsidRDefault="00586242" w:rsidP="00586242">
      <w:pPr>
        <w:pStyle w:val="ListParagraph"/>
        <w:numPr>
          <w:ilvl w:val="2"/>
          <w:numId w:val="19"/>
        </w:numPr>
        <w:tabs>
          <w:tab w:val="clear" w:pos="567"/>
        </w:tabs>
        <w:spacing w:after="240"/>
        <w:ind w:left="1134" w:hanging="567"/>
        <w:contextualSpacing w:val="0"/>
        <w:jc w:val="both"/>
        <w:rPr>
          <w:rFonts w:ascii="Arial" w:hAnsi="Arial" w:cs="Arial"/>
          <w:sz w:val="22"/>
          <w:szCs w:val="22"/>
          <w:lang w:val="es-ES"/>
        </w:rPr>
      </w:pPr>
      <w:r w:rsidRPr="00386B85">
        <w:rPr>
          <w:rFonts w:asciiTheme="minorBidi" w:eastAsia="Calibri" w:hAnsiTheme="minorBidi" w:cstheme="minorBidi"/>
          <w:kern w:val="2"/>
          <w:sz w:val="22"/>
          <w:szCs w:val="22"/>
          <w:lang w:val="es-ES_tradnl"/>
          <w14:ligatures w14:val="standardContextual"/>
        </w:rPr>
        <w:t>la Oficina de Proyectos del GOOS, que actúa como oficina de coordinación del Decenio para las observaciones oceánicas;</w:t>
      </w:r>
    </w:p>
    <w:p w14:paraId="65B70563" w14:textId="77777777" w:rsidR="00586242" w:rsidRPr="00386B85" w:rsidRDefault="00586242" w:rsidP="00586242">
      <w:pPr>
        <w:numPr>
          <w:ilvl w:val="1"/>
          <w:numId w:val="19"/>
        </w:numPr>
        <w:tabs>
          <w:tab w:val="clear" w:pos="567"/>
        </w:tabs>
        <w:spacing w:after="240"/>
        <w:ind w:left="567" w:hanging="584"/>
        <w:jc w:val="both"/>
        <w:rPr>
          <w:rFonts w:asciiTheme="minorBidi" w:eastAsia="MS Mincho" w:hAnsiTheme="minorBidi" w:cstheme="minorBidi"/>
          <w:color w:val="000000"/>
          <w:sz w:val="22"/>
          <w:szCs w:val="22"/>
          <w:lang w:val="es-ES_tradnl" w:eastAsia="ja-JP"/>
        </w:rPr>
      </w:pPr>
      <w:r w:rsidRPr="00386B85">
        <w:rPr>
          <w:rFonts w:asciiTheme="minorBidi" w:eastAsia="Calibri" w:hAnsiTheme="minorBidi" w:cstheme="minorBidi"/>
          <w:b/>
          <w:bCs/>
          <w:kern w:val="2"/>
          <w:sz w:val="22"/>
          <w:szCs w:val="22"/>
          <w:lang w:val="es-ES_tradnl"/>
          <w14:ligatures w14:val="standardContextual"/>
        </w:rPr>
        <w:t xml:space="preserve">Acoge con beneplácito </w:t>
      </w:r>
      <w:r w:rsidRPr="00386B85">
        <w:rPr>
          <w:rFonts w:asciiTheme="minorBidi" w:eastAsia="Calibri" w:hAnsiTheme="minorBidi" w:cstheme="minorBidi"/>
          <w:kern w:val="2"/>
          <w:sz w:val="22"/>
          <w:szCs w:val="22"/>
          <w:lang w:val="es-ES_tradnl"/>
          <w14:ligatures w14:val="standardContextual"/>
        </w:rPr>
        <w:t>la creación del grupo de trabajo africano del Decenio del Océano, cuyo objetivo es poner en práctica la hoja de ruta del Decenio del Océano para África y sus nueve acciones prioritarias, y los planes relativos a la creación de un grupo de trabajo para la región de América Tropical y el Caribe con el respaldo de la Secretaría de IOCARIBE;</w:t>
      </w:r>
    </w:p>
    <w:p w14:paraId="3956884C" w14:textId="77777777" w:rsidR="00586242" w:rsidRPr="00386B85" w:rsidRDefault="00586242" w:rsidP="00586242">
      <w:pPr>
        <w:numPr>
          <w:ilvl w:val="1"/>
          <w:numId w:val="19"/>
        </w:numPr>
        <w:tabs>
          <w:tab w:val="clear" w:pos="567"/>
        </w:tabs>
        <w:spacing w:after="240"/>
        <w:ind w:left="567" w:hanging="584"/>
        <w:jc w:val="both"/>
        <w:rPr>
          <w:rFonts w:asciiTheme="minorBidi" w:eastAsia="MS Mincho" w:hAnsiTheme="minorBidi" w:cstheme="minorBidi"/>
          <w:color w:val="000000"/>
          <w:sz w:val="22"/>
          <w:szCs w:val="22"/>
          <w:lang w:val="es-ES_tradnl" w:eastAsia="ja-JP"/>
        </w:rPr>
      </w:pPr>
      <w:r w:rsidRPr="00386B85">
        <w:rPr>
          <w:rFonts w:asciiTheme="minorBidi" w:eastAsia="Calibri" w:hAnsiTheme="minorBidi" w:cstheme="minorBidi"/>
          <w:b/>
          <w:bCs/>
          <w:kern w:val="2"/>
          <w:sz w:val="22"/>
          <w:szCs w:val="22"/>
          <w:lang w:val="es-ES_tradnl"/>
          <w14:ligatures w14:val="standardContextual"/>
        </w:rPr>
        <w:t>Toma nota</w:t>
      </w:r>
      <w:r w:rsidRPr="00386B85">
        <w:rPr>
          <w:rFonts w:asciiTheme="minorBidi" w:eastAsia="Calibri" w:hAnsiTheme="minorBidi" w:cstheme="minorBidi"/>
          <w:kern w:val="2"/>
          <w:sz w:val="22"/>
          <w:szCs w:val="22"/>
          <w:lang w:val="es-ES_tradnl"/>
          <w14:ligatures w14:val="standardContextual"/>
        </w:rPr>
        <w:t xml:space="preserve"> de las carencias que sigue habiendo en cuanto a la elaboración de acciones del Decenio dirigidas por asociados de los pequeños Estados insulares en desarrollo y de los países menos adelantados y </w:t>
      </w:r>
      <w:r w:rsidRPr="00386B85">
        <w:rPr>
          <w:rFonts w:asciiTheme="minorBidi" w:eastAsia="Calibri" w:hAnsiTheme="minorBidi" w:cstheme="minorBidi"/>
          <w:b/>
          <w:bCs/>
          <w:kern w:val="2"/>
          <w:sz w:val="22"/>
          <w:szCs w:val="22"/>
          <w:lang w:val="es-ES_tradnl"/>
          <w14:ligatures w14:val="standardContextual"/>
        </w:rPr>
        <w:t>acoge con satisfacción</w:t>
      </w:r>
      <w:r w:rsidRPr="00386B85">
        <w:rPr>
          <w:rFonts w:asciiTheme="minorBidi" w:eastAsia="Calibri" w:hAnsiTheme="minorBidi" w:cstheme="minorBidi"/>
          <w:kern w:val="2"/>
          <w:sz w:val="22"/>
          <w:szCs w:val="22"/>
          <w:lang w:val="es-ES_tradnl"/>
          <w14:ligatures w14:val="standardContextual"/>
        </w:rPr>
        <w:t xml:space="preserve"> la creación del mecanismo de desarrollo de capacidades del Decenio del Océano respaldado por el Gobierno de Bélgica (Flandes);</w:t>
      </w:r>
    </w:p>
    <w:p w14:paraId="47B7A393" w14:textId="77777777" w:rsidR="00586242" w:rsidRPr="00386B85" w:rsidRDefault="00586242" w:rsidP="00586242">
      <w:pPr>
        <w:numPr>
          <w:ilvl w:val="1"/>
          <w:numId w:val="19"/>
        </w:numPr>
        <w:tabs>
          <w:tab w:val="clear" w:pos="567"/>
        </w:tabs>
        <w:spacing w:after="240"/>
        <w:ind w:left="567" w:hanging="584"/>
        <w:jc w:val="both"/>
        <w:rPr>
          <w:rFonts w:asciiTheme="minorBidi" w:eastAsia="MS Mincho" w:hAnsiTheme="minorBidi" w:cstheme="minorBidi"/>
          <w:b/>
          <w:bCs/>
          <w:sz w:val="22"/>
          <w:szCs w:val="22"/>
          <w:lang w:val="es-ES_tradnl" w:eastAsia="ja-JP"/>
        </w:rPr>
      </w:pPr>
      <w:r w:rsidRPr="00386B85">
        <w:rPr>
          <w:rFonts w:asciiTheme="minorBidi" w:eastAsia="Calibri" w:hAnsiTheme="minorBidi" w:cstheme="minorBidi"/>
          <w:b/>
          <w:bCs/>
          <w:kern w:val="2"/>
          <w:sz w:val="22"/>
          <w:szCs w:val="22"/>
          <w:lang w:val="es-ES_tradnl"/>
          <w14:ligatures w14:val="standardContextual"/>
        </w:rPr>
        <w:t>Toma nota</w:t>
      </w:r>
      <w:r w:rsidRPr="00386B85">
        <w:rPr>
          <w:rFonts w:asciiTheme="minorBidi" w:eastAsia="Calibri" w:hAnsiTheme="minorBidi" w:cstheme="minorBidi"/>
          <w:kern w:val="2"/>
          <w:sz w:val="22"/>
          <w:szCs w:val="22"/>
          <w:lang w:val="es-ES_tradnl"/>
          <w14:ligatures w14:val="standardContextual"/>
        </w:rPr>
        <w:t xml:space="preserve"> también de las necesidades de recursos determinadas por las oficinas de coordinación del Decenio dirigidas por la COI y los programas de la COI para ejercer las funciones de coordinación del Decenio;</w:t>
      </w:r>
    </w:p>
    <w:p w14:paraId="5E51A0E7" w14:textId="6B0B21AE" w:rsidR="00EC7D2C" w:rsidRPr="00586242" w:rsidRDefault="00586242" w:rsidP="00586242">
      <w:pPr>
        <w:numPr>
          <w:ilvl w:val="1"/>
          <w:numId w:val="19"/>
        </w:numPr>
        <w:tabs>
          <w:tab w:val="clear" w:pos="567"/>
        </w:tabs>
        <w:spacing w:after="240"/>
        <w:ind w:left="567" w:hanging="584"/>
        <w:jc w:val="both"/>
        <w:rPr>
          <w:rFonts w:ascii="Arial" w:eastAsia="MS Mincho" w:hAnsi="Arial" w:cs="Arial"/>
          <w:b/>
          <w:bCs/>
          <w:sz w:val="22"/>
          <w:szCs w:val="22"/>
          <w:lang w:val="es-ES" w:eastAsia="ja-JP"/>
        </w:rPr>
      </w:pPr>
      <w:r w:rsidRPr="00386B85">
        <w:rPr>
          <w:rFonts w:asciiTheme="minorBidi" w:eastAsia="Calibri" w:hAnsiTheme="minorBidi" w:cstheme="minorBidi"/>
          <w:b/>
          <w:bCs/>
          <w:kern w:val="2"/>
          <w:sz w:val="22"/>
          <w:szCs w:val="22"/>
          <w:lang w:val="es-ES_tradnl"/>
          <w14:ligatures w14:val="standardContextual"/>
        </w:rPr>
        <w:t xml:space="preserve">Invita </w:t>
      </w:r>
      <w:r w:rsidRPr="00386B85">
        <w:rPr>
          <w:rFonts w:asciiTheme="minorBidi" w:eastAsia="Calibri" w:hAnsiTheme="minorBidi" w:cstheme="minorBidi"/>
          <w:kern w:val="2"/>
          <w:sz w:val="22"/>
          <w:szCs w:val="22"/>
          <w:lang w:val="es-ES_tradnl"/>
          <w14:ligatures w14:val="standardContextual"/>
        </w:rPr>
        <w:t>a los Estados Miembros, los asociados y las organizaciones donantes a que apoyen las acciones del Decenio y los mecanismos de coordinación del Decenio dirigidos por la COI, en particular mediante la asignación de recursos extrapresupuestarios a los programas y regiones pertinentes de la COI, con el fin de alcanzar sus ambiciones transformadoras, orientar a sus respectivas comunidades y actuar como catalizadores de otras acciones durante el Decenio y después de él.</w:t>
      </w:r>
    </w:p>
    <w:sectPr w:rsidR="00EC7D2C" w:rsidRPr="00586242" w:rsidSect="009C4402">
      <w:headerReference w:type="even" r:id="rId8"/>
      <w:headerReference w:type="default" r:id="rId9"/>
      <w:pgSz w:w="11906" w:h="16838"/>
      <w:pgMar w:top="630" w:right="1417" w:bottom="108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5F5FB" w14:textId="77777777" w:rsidR="00EC7D2C" w:rsidRDefault="00EC7D2C" w:rsidP="0073078E">
      <w:r>
        <w:separator/>
      </w:r>
    </w:p>
  </w:endnote>
  <w:endnote w:type="continuationSeparator" w:id="0">
    <w:p w14:paraId="471EFCF8" w14:textId="77777777" w:rsidR="00EC7D2C" w:rsidRDefault="00EC7D2C" w:rsidP="0073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71C6" w14:textId="77777777" w:rsidR="00EC7D2C" w:rsidRDefault="00EC7D2C" w:rsidP="0073078E">
      <w:r>
        <w:separator/>
      </w:r>
    </w:p>
  </w:footnote>
  <w:footnote w:type="continuationSeparator" w:id="0">
    <w:p w14:paraId="64EAE5C7" w14:textId="77777777" w:rsidR="00EC7D2C" w:rsidRDefault="00EC7D2C" w:rsidP="00730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A2E6" w14:textId="7FE58188" w:rsidR="0073078E" w:rsidRPr="00586242" w:rsidRDefault="00EC7D2C" w:rsidP="00586242">
    <w:pPr>
      <w:pStyle w:val="Header"/>
      <w:spacing w:after="240"/>
      <w:rPr>
        <w:sz w:val="22"/>
        <w:szCs w:val="22"/>
        <w:lang w:val="fr-FR"/>
      </w:rPr>
    </w:pPr>
    <w:r w:rsidRPr="00586242">
      <w:rPr>
        <w:rFonts w:asciiTheme="minorBidi" w:hAnsiTheme="minorBidi" w:cstheme="minorBidi"/>
        <w:sz w:val="22"/>
        <w:szCs w:val="22"/>
        <w:lang w:val="fr-FR"/>
      </w:rPr>
      <w:t>IOC-32/</w:t>
    </w:r>
    <w:proofErr w:type="gramStart"/>
    <w:r w:rsidRPr="00586242">
      <w:rPr>
        <w:rFonts w:asciiTheme="minorBidi" w:hAnsiTheme="minorBidi" w:cstheme="minorBidi"/>
        <w:sz w:val="22"/>
        <w:szCs w:val="22"/>
        <w:lang w:val="fr-FR"/>
      </w:rPr>
      <w:t>DR.[</w:t>
    </w:r>
    <w:proofErr w:type="gramEnd"/>
    <w:r w:rsidRPr="00586242">
      <w:rPr>
        <w:rFonts w:asciiTheme="minorBidi" w:hAnsiTheme="minorBidi" w:cstheme="minorBidi"/>
        <w:sz w:val="22"/>
        <w:szCs w:val="22"/>
        <w:lang w:val="fr-FR"/>
      </w:rPr>
      <w:t>4.</w:t>
    </w:r>
    <w:r w:rsidR="00E060AB" w:rsidRPr="00586242">
      <w:rPr>
        <w:rFonts w:asciiTheme="minorBidi" w:hAnsiTheme="minorBidi" w:cstheme="minorBidi"/>
        <w:sz w:val="22"/>
        <w:szCs w:val="22"/>
        <w:lang w:val="fr-FR"/>
      </w:rPr>
      <w:t>1</w:t>
    </w:r>
    <w:r w:rsidR="009C722F">
      <w:rPr>
        <w:rFonts w:asciiTheme="minorBidi" w:hAnsiTheme="minorBidi" w:cstheme="minorBidi"/>
        <w:sz w:val="22"/>
        <w:szCs w:val="22"/>
        <w:lang w:val="fr-FR"/>
      </w:rPr>
      <w:t>2</w:t>
    </w:r>
    <w:r w:rsidRPr="00586242">
      <w:rPr>
        <w:rFonts w:asciiTheme="minorBidi" w:hAnsiTheme="minorBidi" w:cstheme="minorBidi"/>
        <w:sz w:val="22"/>
        <w:szCs w:val="22"/>
        <w:lang w:val="fr-FR"/>
      </w:rPr>
      <w:t>]</w:t>
    </w:r>
    <w:r w:rsidR="00586242" w:rsidRPr="00586242">
      <w:rPr>
        <w:rFonts w:asciiTheme="minorBidi" w:hAnsiTheme="minorBidi" w:cstheme="minorBidi"/>
        <w:sz w:val="22"/>
        <w:szCs w:val="22"/>
        <w:lang w:val="fr-FR"/>
      </w:rPr>
      <w:t xml:space="preserve"> – </w:t>
    </w:r>
    <w:proofErr w:type="spellStart"/>
    <w:r w:rsidR="0073078E" w:rsidRPr="00586242">
      <w:rPr>
        <w:rFonts w:asciiTheme="minorBidi" w:hAnsiTheme="minorBidi" w:cstheme="minorBidi"/>
        <w:sz w:val="22"/>
        <w:szCs w:val="22"/>
        <w:lang w:val="fr-FR"/>
      </w:rPr>
      <w:t>p</w:t>
    </w:r>
    <w:r w:rsidR="00586242" w:rsidRPr="00586242">
      <w:rPr>
        <w:rFonts w:asciiTheme="minorBidi" w:hAnsiTheme="minorBidi" w:cstheme="minorBidi"/>
        <w:sz w:val="22"/>
        <w:szCs w:val="22"/>
        <w:lang w:val="fr-FR"/>
      </w:rPr>
      <w:t>ág</w:t>
    </w:r>
    <w:proofErr w:type="spellEnd"/>
    <w:r w:rsidR="00586242" w:rsidRPr="00586242">
      <w:rPr>
        <w:rFonts w:asciiTheme="minorBidi" w:hAnsiTheme="minorBidi" w:cstheme="minorBidi"/>
        <w:sz w:val="22"/>
        <w:szCs w:val="22"/>
        <w:lang w:val="fr-FR"/>
      </w:rPr>
      <w:t>.</w:t>
    </w:r>
    <w:r w:rsidR="0073078E" w:rsidRPr="00586242">
      <w:rPr>
        <w:rFonts w:asciiTheme="minorBidi" w:hAnsiTheme="minorBidi" w:cstheme="minorBidi"/>
        <w:sz w:val="22"/>
        <w:szCs w:val="22"/>
        <w:lang w:val="fr-FR"/>
      </w:rPr>
      <w:t xml:space="preserve"> </w:t>
    </w:r>
    <w:r w:rsidR="00DC168C" w:rsidRPr="00586242">
      <w:rPr>
        <w:rFonts w:asciiTheme="minorBidi" w:hAnsiTheme="minorBidi" w:cstheme="minorBidi"/>
        <w:sz w:val="22"/>
        <w:szCs w:val="22"/>
        <w:lang w:val="fr-FR"/>
      </w:rPr>
      <w:fldChar w:fldCharType="begin"/>
    </w:r>
    <w:r w:rsidR="00DC168C" w:rsidRPr="00586242">
      <w:rPr>
        <w:rFonts w:asciiTheme="minorBidi" w:hAnsiTheme="minorBidi" w:cstheme="minorBidi"/>
        <w:sz w:val="22"/>
        <w:szCs w:val="22"/>
        <w:lang w:val="fr-FR"/>
      </w:rPr>
      <w:instrText xml:space="preserve"> PAGE   \* MERGEFORMAT </w:instrText>
    </w:r>
    <w:r w:rsidR="00DC168C" w:rsidRPr="00586242">
      <w:rPr>
        <w:rFonts w:asciiTheme="minorBidi" w:hAnsiTheme="minorBidi" w:cstheme="minorBidi"/>
        <w:sz w:val="22"/>
        <w:szCs w:val="22"/>
        <w:lang w:val="fr-FR"/>
      </w:rPr>
      <w:fldChar w:fldCharType="separate"/>
    </w:r>
    <w:r w:rsidR="004B1009" w:rsidRPr="00586242">
      <w:rPr>
        <w:rFonts w:asciiTheme="minorBidi" w:hAnsiTheme="minorBidi" w:cstheme="minorBidi"/>
        <w:noProof/>
        <w:sz w:val="22"/>
        <w:szCs w:val="22"/>
        <w:lang w:val="fr-FR"/>
      </w:rPr>
      <w:t>2</w:t>
    </w:r>
    <w:r w:rsidR="00DC168C" w:rsidRPr="00586242">
      <w:rPr>
        <w:rFonts w:asciiTheme="minorBidi" w:hAnsiTheme="minorBidi" w:cstheme="minorBidi"/>
        <w:noProof/>
        <w:sz w:val="22"/>
        <w:szCs w:val="22"/>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CF25" w14:textId="48E2817A" w:rsidR="00EC7D2C" w:rsidRPr="00EC7D2C" w:rsidRDefault="00EC7D2C" w:rsidP="00EC7D2C">
    <w:pPr>
      <w:pStyle w:val="Header"/>
      <w:ind w:left="7513"/>
      <w:rPr>
        <w:rFonts w:asciiTheme="minorBidi" w:hAnsiTheme="minorBidi" w:cstheme="minorBidi"/>
        <w:sz w:val="20"/>
        <w:szCs w:val="20"/>
        <w:lang w:val="fr-FR"/>
      </w:rPr>
    </w:pPr>
    <w:r w:rsidRPr="00EC7D2C">
      <w:rPr>
        <w:rFonts w:asciiTheme="minorBidi" w:hAnsiTheme="minorBidi" w:cstheme="minorBidi"/>
        <w:sz w:val="20"/>
        <w:szCs w:val="20"/>
        <w:lang w:val="fr-FR"/>
      </w:rPr>
      <w:t>IOC-32/DR.[4.5]</w:t>
    </w:r>
  </w:p>
  <w:p w14:paraId="47A2B55A" w14:textId="77777777" w:rsidR="00EC7D2C" w:rsidRPr="00EC7D2C" w:rsidRDefault="00EC7D2C" w:rsidP="00EC7D2C">
    <w:pPr>
      <w:pStyle w:val="Header"/>
      <w:ind w:left="7513"/>
      <w:rPr>
        <w:rFonts w:asciiTheme="minorBidi" w:hAnsiTheme="minorBidi" w:cstheme="minorBidi"/>
        <w:sz w:val="20"/>
        <w:szCs w:val="20"/>
        <w:lang w:val="fr-FR"/>
      </w:rPr>
    </w:pPr>
    <w:r w:rsidRPr="00EC7D2C">
      <w:rPr>
        <w:rFonts w:asciiTheme="minorBidi" w:hAnsiTheme="minorBidi" w:cstheme="minorBidi"/>
        <w:sz w:val="20"/>
        <w:szCs w:val="20"/>
        <w:lang w:val="fr-FR"/>
      </w:rPr>
      <w:t xml:space="preserve">page </w:t>
    </w:r>
    <w:r w:rsidRPr="00EC7D2C">
      <w:rPr>
        <w:rFonts w:asciiTheme="minorBidi" w:hAnsiTheme="minorBidi" w:cstheme="minorBidi"/>
        <w:sz w:val="20"/>
        <w:szCs w:val="20"/>
        <w:lang w:val="fr-FR"/>
      </w:rPr>
      <w:fldChar w:fldCharType="begin"/>
    </w:r>
    <w:r w:rsidRPr="00EC7D2C">
      <w:rPr>
        <w:rFonts w:asciiTheme="minorBidi" w:hAnsiTheme="minorBidi" w:cstheme="minorBidi"/>
        <w:sz w:val="20"/>
        <w:szCs w:val="20"/>
        <w:lang w:val="fr-FR"/>
      </w:rPr>
      <w:instrText xml:space="preserve"> PAGE   \* MERGEFORMAT </w:instrText>
    </w:r>
    <w:r w:rsidRPr="00EC7D2C">
      <w:rPr>
        <w:rFonts w:asciiTheme="minorBidi" w:hAnsiTheme="minorBidi" w:cstheme="minorBidi"/>
        <w:sz w:val="20"/>
        <w:szCs w:val="20"/>
        <w:lang w:val="fr-FR"/>
      </w:rPr>
      <w:fldChar w:fldCharType="separate"/>
    </w:r>
    <w:r>
      <w:rPr>
        <w:rFonts w:asciiTheme="minorBidi" w:hAnsiTheme="minorBidi" w:cstheme="minorBidi"/>
        <w:sz w:val="20"/>
        <w:szCs w:val="20"/>
        <w:lang w:val="fr-FR"/>
      </w:rPr>
      <w:t>2</w:t>
    </w:r>
    <w:r w:rsidRPr="00EC7D2C">
      <w:rPr>
        <w:rFonts w:asciiTheme="minorBidi" w:hAnsiTheme="minorBidi" w:cstheme="minorBidi"/>
        <w:noProof/>
        <w:sz w:val="20"/>
        <w:szCs w:val="20"/>
        <w:lang w:val="fr-FR"/>
      </w:rPr>
      <w:fldChar w:fldCharType="end"/>
    </w:r>
  </w:p>
  <w:p w14:paraId="69B186E7" w14:textId="481421B9" w:rsidR="00DE18E8" w:rsidRPr="009C4402" w:rsidRDefault="00DE18E8" w:rsidP="00EC7D2C">
    <w:pPr>
      <w:pStyle w:val="Header"/>
      <w:ind w:left="7513"/>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8CF"/>
    <w:multiLevelType w:val="hybridMultilevel"/>
    <w:tmpl w:val="B3A43B34"/>
    <w:lvl w:ilvl="0" w:tplc="A168C02C">
      <w:start w:val="1"/>
      <w:numFmt w:val="decimal"/>
      <w:lvlText w:val="%1."/>
      <w:lvlJc w:val="left"/>
      <w:rPr>
        <w:rFonts w:ascii="Arial" w:hAnsi="Arial" w:cs="Arial" w:hint="default"/>
        <w:b w:val="0"/>
        <w:bCs w:val="0"/>
        <w:i/>
        <w:iCs w:val="0"/>
        <w:color w:val="00000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5239FB"/>
    <w:multiLevelType w:val="multilevel"/>
    <w:tmpl w:val="8214B8B2"/>
    <w:styleLink w:val="JCOMM-list"/>
    <w:lvl w:ilvl="0">
      <w:start w:val="1"/>
      <w:numFmt w:val="none"/>
      <w:suff w:val="nothing"/>
      <w:lvlText w:val=""/>
      <w:lvlJc w:val="center"/>
      <w:pPr>
        <w:ind w:left="0" w:firstLine="288"/>
      </w:pPr>
      <w:rPr>
        <w:rFonts w:ascii="Arial" w:hAnsi="Arial" w:hint="default"/>
        <w:b/>
        <w:i w:val="0"/>
        <w:caps/>
        <w:sz w:val="24"/>
      </w:rPr>
    </w:lvl>
    <w:lvl w:ilvl="1">
      <w:start w:val="1"/>
      <w:numFmt w:val="decimal"/>
      <w:lvlText w:val="%2."/>
      <w:lvlJc w:val="left"/>
      <w:pPr>
        <w:ind w:left="720" w:hanging="720"/>
      </w:pPr>
      <w:rPr>
        <w:rFonts w:hint="default"/>
      </w:rPr>
    </w:lvl>
    <w:lvl w:ilvl="2">
      <w:start w:val="1"/>
      <w:numFmt w:val="decimal"/>
      <w:pStyle w:val="Heading2"/>
      <w:lvlText w:val="%2%3."/>
      <w:lvlJc w:val="left"/>
      <w:pPr>
        <w:ind w:left="720" w:hanging="720"/>
      </w:pPr>
      <w:rPr>
        <w:rFonts w:hint="default"/>
      </w:rPr>
    </w:lvl>
    <w:lvl w:ilvl="3">
      <w:start w:val="1"/>
      <w:numFmt w:val="decimal"/>
      <w:lvlText w:val="%4.%3.%2"/>
      <w:lvlJc w:val="left"/>
      <w:pPr>
        <w:ind w:left="720" w:hanging="720"/>
      </w:pPr>
      <w:rPr>
        <w:rFonts w:ascii="Arial" w:hAnsi="Arial" w:hint="default"/>
        <w:b w:val="0"/>
        <w:i w:val="0"/>
        <w:sz w:val="22"/>
      </w:rPr>
    </w:lvl>
    <w:lvl w:ilvl="4">
      <w:start w:val="1"/>
      <w:numFmt w:val="decimal"/>
      <w:lvlText w:val="%5.%2.%3.%4."/>
      <w:lvlJc w:val="left"/>
      <w:pPr>
        <w:ind w:left="720" w:hanging="720"/>
      </w:pPr>
      <w:rPr>
        <w:rFonts w:ascii="Arial" w:hAnsi="Arial"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6605E"/>
    <w:multiLevelType w:val="hybridMultilevel"/>
    <w:tmpl w:val="65D07A4E"/>
    <w:lvl w:ilvl="0" w:tplc="D1728D3A">
      <w:start w:val="1"/>
      <w:numFmt w:val="decimal"/>
      <w:lvlText w:val="%1."/>
      <w:lvlJc w:val="left"/>
      <w:pPr>
        <w:ind w:left="153" w:hanging="360"/>
      </w:pPr>
      <w:rPr>
        <w:rFonts w:ascii="Arial" w:hAnsi="Arial" w:hint="default"/>
        <w:b w:val="0"/>
        <w:i/>
        <w:sz w:val="20"/>
        <w:szCs w:val="22"/>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3" w15:restartNumberingAfterBreak="0">
    <w:nsid w:val="14937280"/>
    <w:multiLevelType w:val="hybridMultilevel"/>
    <w:tmpl w:val="055AD11E"/>
    <w:lvl w:ilvl="0" w:tplc="5EB233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44005"/>
    <w:multiLevelType w:val="hybridMultilevel"/>
    <w:tmpl w:val="1F1CF618"/>
    <w:lvl w:ilvl="0" w:tplc="C31EF574">
      <w:start w:val="1"/>
      <w:numFmt w:val="lowerRoman"/>
      <w:lvlText w:val="(%1)"/>
      <w:lvlJc w:val="left"/>
      <w:pPr>
        <w:ind w:left="1290" w:hanging="720"/>
      </w:pPr>
      <w:rPr>
        <w:rFonts w:cs="Times New Roman"/>
        <w:i w:val="0"/>
        <w:iCs/>
      </w:rPr>
    </w:lvl>
    <w:lvl w:ilvl="1" w:tplc="FFFFFFFF">
      <w:start w:val="1"/>
      <w:numFmt w:val="lowerLetter"/>
      <w:lvlText w:val="%2."/>
      <w:lvlJc w:val="left"/>
      <w:pPr>
        <w:ind w:left="1650" w:hanging="360"/>
      </w:pPr>
      <w:rPr>
        <w:rFonts w:cs="Times New Roman"/>
      </w:rPr>
    </w:lvl>
    <w:lvl w:ilvl="2" w:tplc="FFFFFFFF">
      <w:start w:val="1"/>
      <w:numFmt w:val="lowerRoman"/>
      <w:lvlText w:val="%3."/>
      <w:lvlJc w:val="right"/>
      <w:pPr>
        <w:ind w:left="2370" w:hanging="180"/>
      </w:pPr>
      <w:rPr>
        <w:rFonts w:cs="Times New Roman"/>
      </w:rPr>
    </w:lvl>
    <w:lvl w:ilvl="3" w:tplc="FFFFFFFF">
      <w:start w:val="1"/>
      <w:numFmt w:val="decimal"/>
      <w:lvlText w:val="%4."/>
      <w:lvlJc w:val="left"/>
      <w:pPr>
        <w:ind w:left="3090" w:hanging="360"/>
      </w:pPr>
      <w:rPr>
        <w:rFonts w:cs="Times New Roman"/>
      </w:rPr>
    </w:lvl>
    <w:lvl w:ilvl="4" w:tplc="FFFFFFFF">
      <w:start w:val="1"/>
      <w:numFmt w:val="lowerLetter"/>
      <w:lvlText w:val="%5."/>
      <w:lvlJc w:val="left"/>
      <w:pPr>
        <w:ind w:left="3810" w:hanging="360"/>
      </w:pPr>
      <w:rPr>
        <w:rFonts w:cs="Times New Roman"/>
      </w:rPr>
    </w:lvl>
    <w:lvl w:ilvl="5" w:tplc="FFFFFFFF">
      <w:start w:val="1"/>
      <w:numFmt w:val="lowerRoman"/>
      <w:lvlText w:val="%6."/>
      <w:lvlJc w:val="right"/>
      <w:pPr>
        <w:ind w:left="4530" w:hanging="180"/>
      </w:pPr>
      <w:rPr>
        <w:rFonts w:cs="Times New Roman"/>
      </w:rPr>
    </w:lvl>
    <w:lvl w:ilvl="6" w:tplc="FFFFFFFF">
      <w:start w:val="1"/>
      <w:numFmt w:val="decimal"/>
      <w:lvlText w:val="%7."/>
      <w:lvlJc w:val="left"/>
      <w:pPr>
        <w:ind w:left="5250" w:hanging="360"/>
      </w:pPr>
      <w:rPr>
        <w:rFonts w:cs="Times New Roman"/>
      </w:rPr>
    </w:lvl>
    <w:lvl w:ilvl="7" w:tplc="FFFFFFFF">
      <w:start w:val="1"/>
      <w:numFmt w:val="lowerLetter"/>
      <w:lvlText w:val="%8."/>
      <w:lvlJc w:val="left"/>
      <w:pPr>
        <w:ind w:left="5970" w:hanging="360"/>
      </w:pPr>
      <w:rPr>
        <w:rFonts w:cs="Times New Roman"/>
      </w:rPr>
    </w:lvl>
    <w:lvl w:ilvl="8" w:tplc="FFFFFFFF">
      <w:start w:val="1"/>
      <w:numFmt w:val="lowerRoman"/>
      <w:lvlText w:val="%9."/>
      <w:lvlJc w:val="right"/>
      <w:pPr>
        <w:ind w:left="6690" w:hanging="180"/>
      </w:pPr>
      <w:rPr>
        <w:rFonts w:cs="Times New Roman"/>
      </w:rPr>
    </w:lvl>
  </w:abstractNum>
  <w:abstractNum w:abstractNumId="5" w15:restartNumberingAfterBreak="0">
    <w:nsid w:val="1F4138E1"/>
    <w:multiLevelType w:val="hybridMultilevel"/>
    <w:tmpl w:val="CEAC1B78"/>
    <w:lvl w:ilvl="0" w:tplc="3C8ADCD2">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7757B7"/>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7" w15:restartNumberingAfterBreak="0">
    <w:nsid w:val="2C8778E7"/>
    <w:multiLevelType w:val="hybridMultilevel"/>
    <w:tmpl w:val="936ABD88"/>
    <w:lvl w:ilvl="0" w:tplc="846A4D78">
      <w:start w:val="1"/>
      <w:numFmt w:val="decimal"/>
      <w:lvlText w:val="%1."/>
      <w:lvlJc w:val="left"/>
      <w:pPr>
        <w:ind w:left="19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E6BCE"/>
    <w:multiLevelType w:val="hybridMultilevel"/>
    <w:tmpl w:val="7862C52C"/>
    <w:lvl w:ilvl="0" w:tplc="BF4C443C">
      <w:start w:val="1"/>
      <w:numFmt w:val="lowerRoman"/>
      <w:lvlText w:val="%1)"/>
      <w:lvlJc w:val="left"/>
      <w:pPr>
        <w:ind w:left="720" w:hanging="360"/>
      </w:pPr>
      <w:rPr>
        <w:rFonts w:hint="default"/>
        <w:b w:val="0"/>
        <w:i w:val="0"/>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D65BF"/>
    <w:multiLevelType w:val="hybridMultilevel"/>
    <w:tmpl w:val="23BE93EA"/>
    <w:lvl w:ilvl="0" w:tplc="BF4C443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29475A6"/>
    <w:multiLevelType w:val="hybridMultilevel"/>
    <w:tmpl w:val="F3BE6406"/>
    <w:lvl w:ilvl="0" w:tplc="6D68BCE4">
      <w:start w:val="1"/>
      <w:numFmt w:val="lowerRoman"/>
      <w:lvlText w:val="(%1)"/>
      <w:lvlJc w:val="left"/>
      <w:pPr>
        <w:ind w:left="1290" w:hanging="720"/>
      </w:pPr>
      <w:rPr>
        <w:rFonts w:cs="Times New Roman"/>
      </w:rPr>
    </w:lvl>
    <w:lvl w:ilvl="1" w:tplc="040C0019">
      <w:start w:val="1"/>
      <w:numFmt w:val="lowerLetter"/>
      <w:lvlText w:val="%2."/>
      <w:lvlJc w:val="left"/>
      <w:pPr>
        <w:ind w:left="1650" w:hanging="360"/>
      </w:pPr>
      <w:rPr>
        <w:rFonts w:cs="Times New Roman"/>
      </w:rPr>
    </w:lvl>
    <w:lvl w:ilvl="2" w:tplc="040C001B">
      <w:start w:val="1"/>
      <w:numFmt w:val="lowerRoman"/>
      <w:lvlText w:val="%3."/>
      <w:lvlJc w:val="right"/>
      <w:pPr>
        <w:ind w:left="2370" w:hanging="180"/>
      </w:pPr>
      <w:rPr>
        <w:rFonts w:cs="Times New Roman"/>
      </w:rPr>
    </w:lvl>
    <w:lvl w:ilvl="3" w:tplc="040C000F">
      <w:start w:val="1"/>
      <w:numFmt w:val="decimal"/>
      <w:lvlText w:val="%4."/>
      <w:lvlJc w:val="left"/>
      <w:pPr>
        <w:ind w:left="3090" w:hanging="360"/>
      </w:pPr>
      <w:rPr>
        <w:rFonts w:cs="Times New Roman"/>
      </w:rPr>
    </w:lvl>
    <w:lvl w:ilvl="4" w:tplc="040C0019">
      <w:start w:val="1"/>
      <w:numFmt w:val="lowerLetter"/>
      <w:lvlText w:val="%5."/>
      <w:lvlJc w:val="left"/>
      <w:pPr>
        <w:ind w:left="3810" w:hanging="360"/>
      </w:pPr>
      <w:rPr>
        <w:rFonts w:cs="Times New Roman"/>
      </w:rPr>
    </w:lvl>
    <w:lvl w:ilvl="5" w:tplc="040C001B">
      <w:start w:val="1"/>
      <w:numFmt w:val="lowerRoman"/>
      <w:lvlText w:val="%6."/>
      <w:lvlJc w:val="right"/>
      <w:pPr>
        <w:ind w:left="4530" w:hanging="180"/>
      </w:pPr>
      <w:rPr>
        <w:rFonts w:cs="Times New Roman"/>
      </w:rPr>
    </w:lvl>
    <w:lvl w:ilvl="6" w:tplc="040C000F">
      <w:start w:val="1"/>
      <w:numFmt w:val="decimal"/>
      <w:lvlText w:val="%7."/>
      <w:lvlJc w:val="left"/>
      <w:pPr>
        <w:ind w:left="5250" w:hanging="360"/>
      </w:pPr>
      <w:rPr>
        <w:rFonts w:cs="Times New Roman"/>
      </w:rPr>
    </w:lvl>
    <w:lvl w:ilvl="7" w:tplc="040C0019">
      <w:start w:val="1"/>
      <w:numFmt w:val="lowerLetter"/>
      <w:lvlText w:val="%8."/>
      <w:lvlJc w:val="left"/>
      <w:pPr>
        <w:ind w:left="5970" w:hanging="360"/>
      </w:pPr>
      <w:rPr>
        <w:rFonts w:cs="Times New Roman"/>
      </w:rPr>
    </w:lvl>
    <w:lvl w:ilvl="8" w:tplc="040C001B">
      <w:start w:val="1"/>
      <w:numFmt w:val="lowerRoman"/>
      <w:lvlText w:val="%9."/>
      <w:lvlJc w:val="right"/>
      <w:pPr>
        <w:ind w:left="6690" w:hanging="180"/>
      </w:pPr>
      <w:rPr>
        <w:rFonts w:cs="Times New Roman"/>
      </w:rPr>
    </w:lvl>
  </w:abstractNum>
  <w:abstractNum w:abstractNumId="11" w15:restartNumberingAfterBreak="0">
    <w:nsid w:val="42C13349"/>
    <w:multiLevelType w:val="hybridMultilevel"/>
    <w:tmpl w:val="8B9EB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450B7"/>
    <w:multiLevelType w:val="hybridMultilevel"/>
    <w:tmpl w:val="A1F85074"/>
    <w:lvl w:ilvl="0" w:tplc="9BC8D4F6">
      <w:start w:val="1"/>
      <w:numFmt w:val="decimal"/>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42B446E"/>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4" w15:restartNumberingAfterBreak="0">
    <w:nsid w:val="5BBE5D6B"/>
    <w:multiLevelType w:val="hybridMultilevel"/>
    <w:tmpl w:val="63FE5CBA"/>
    <w:lvl w:ilvl="0" w:tplc="17183498">
      <w:start w:val="1"/>
      <w:numFmt w:val="lowerRoman"/>
      <w:lvlText w:val="(%1)"/>
      <w:lvlJc w:val="left"/>
      <w:pPr>
        <w:ind w:left="360" w:hanging="360"/>
      </w:pPr>
      <w:rPr>
        <w:rFonts w:hint="default"/>
        <w:b w:val="0"/>
        <w:i w:val="0"/>
        <w:iCs/>
        <w:sz w:val="22"/>
        <w:szCs w:val="24"/>
      </w:rPr>
    </w:lvl>
    <w:lvl w:ilvl="1" w:tplc="654EC962">
      <w:start w:val="1"/>
      <w:numFmt w:val="decimal"/>
      <w:lvlText w:val="%2."/>
      <w:lvlJc w:val="left"/>
      <w:pPr>
        <w:ind w:left="1590" w:hanging="870"/>
      </w:pPr>
      <w:rPr>
        <w:rFonts w:hint="default"/>
        <w:b w:val="0"/>
        <w:bCs w:val="0"/>
        <w:i/>
        <w:iCs w:val="0"/>
        <w:sz w:val="22"/>
        <w:szCs w:val="22"/>
      </w:rPr>
    </w:lvl>
    <w:lvl w:ilvl="2" w:tplc="BF4C443C">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01432EB"/>
    <w:multiLevelType w:val="hybridMultilevel"/>
    <w:tmpl w:val="5F0E0364"/>
    <w:lvl w:ilvl="0" w:tplc="95743006">
      <w:start w:val="1"/>
      <w:numFmt w:val="decimal"/>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D301CBE"/>
    <w:multiLevelType w:val="hybridMultilevel"/>
    <w:tmpl w:val="18188E14"/>
    <w:lvl w:ilvl="0" w:tplc="3BC2E848">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F34770"/>
    <w:multiLevelType w:val="hybridMultilevel"/>
    <w:tmpl w:val="D00634BC"/>
    <w:lvl w:ilvl="0" w:tplc="0409000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6D7C69"/>
    <w:multiLevelType w:val="hybridMultilevel"/>
    <w:tmpl w:val="5802DFBC"/>
    <w:lvl w:ilvl="0" w:tplc="95E27420">
      <w:start w:val="1"/>
      <w:numFmt w:val="lowerRoman"/>
      <w:lvlText w:val="(%1)"/>
      <w:lvlJc w:val="left"/>
      <w:pPr>
        <w:ind w:left="1080" w:hanging="72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8C76A1"/>
    <w:multiLevelType w:val="hybridMultilevel"/>
    <w:tmpl w:val="5AA4A35A"/>
    <w:lvl w:ilvl="0" w:tplc="6C544708">
      <w:start w:val="1"/>
      <w:numFmt w:val="decimal"/>
      <w:lvlText w:val="%1."/>
      <w:lvlJc w:val="left"/>
      <w:pPr>
        <w:ind w:left="-3" w:hanging="564"/>
      </w:pPr>
      <w:rPr>
        <w:rFonts w:hint="default"/>
        <w:i/>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16cid:durableId="215094325">
    <w:abstractNumId w:val="12"/>
  </w:num>
  <w:num w:numId="2" w16cid:durableId="870609250">
    <w:abstractNumId w:val="15"/>
  </w:num>
  <w:num w:numId="3" w16cid:durableId="375278983">
    <w:abstractNumId w:val="1"/>
  </w:num>
  <w:num w:numId="4" w16cid:durableId="894196665">
    <w:abstractNumId w:val="5"/>
  </w:num>
  <w:num w:numId="5" w16cid:durableId="1402407634">
    <w:abstractNumId w:val="11"/>
  </w:num>
  <w:num w:numId="6" w16cid:durableId="12439508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5513715">
    <w:abstractNumId w:val="2"/>
  </w:num>
  <w:num w:numId="8" w16cid:durableId="1068303200">
    <w:abstractNumId w:val="19"/>
  </w:num>
  <w:num w:numId="9" w16cid:durableId="2120222256">
    <w:abstractNumId w:val="16"/>
  </w:num>
  <w:num w:numId="10" w16cid:durableId="1191601859">
    <w:abstractNumId w:val="10"/>
  </w:num>
  <w:num w:numId="11" w16cid:durableId="784423691">
    <w:abstractNumId w:val="4"/>
  </w:num>
  <w:num w:numId="12" w16cid:durableId="1298104079">
    <w:abstractNumId w:val="7"/>
  </w:num>
  <w:num w:numId="13" w16cid:durableId="763303505">
    <w:abstractNumId w:val="18"/>
  </w:num>
  <w:num w:numId="14" w16cid:durableId="1341392670">
    <w:abstractNumId w:val="3"/>
  </w:num>
  <w:num w:numId="15" w16cid:durableId="709112532">
    <w:abstractNumId w:val="13"/>
  </w:num>
  <w:num w:numId="16" w16cid:durableId="967323380">
    <w:abstractNumId w:val="0"/>
  </w:num>
  <w:num w:numId="17" w16cid:durableId="1924140512">
    <w:abstractNumId w:val="17"/>
  </w:num>
  <w:num w:numId="18" w16cid:durableId="168104084">
    <w:abstractNumId w:val="6"/>
  </w:num>
  <w:num w:numId="19" w16cid:durableId="689721158">
    <w:abstractNumId w:val="14"/>
  </w:num>
  <w:num w:numId="20" w16cid:durableId="1944802688">
    <w:abstractNumId w:val="8"/>
  </w:num>
  <w:num w:numId="21" w16cid:durableId="1377580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2C"/>
    <w:rsid w:val="00033DD2"/>
    <w:rsid w:val="00052B5A"/>
    <w:rsid w:val="00067B5F"/>
    <w:rsid w:val="000D0C6F"/>
    <w:rsid w:val="000D312B"/>
    <w:rsid w:val="000D4EDB"/>
    <w:rsid w:val="001105FE"/>
    <w:rsid w:val="0011242E"/>
    <w:rsid w:val="0011490A"/>
    <w:rsid w:val="00130FBD"/>
    <w:rsid w:val="00135422"/>
    <w:rsid w:val="00183205"/>
    <w:rsid w:val="001E3923"/>
    <w:rsid w:val="001F3D2C"/>
    <w:rsid w:val="00205DCB"/>
    <w:rsid w:val="002066D1"/>
    <w:rsid w:val="00252C0F"/>
    <w:rsid w:val="00276749"/>
    <w:rsid w:val="00297B99"/>
    <w:rsid w:val="002C28A8"/>
    <w:rsid w:val="002E41A7"/>
    <w:rsid w:val="003A770C"/>
    <w:rsid w:val="003B18E8"/>
    <w:rsid w:val="003E7273"/>
    <w:rsid w:val="00413BC8"/>
    <w:rsid w:val="00460755"/>
    <w:rsid w:val="00476D0B"/>
    <w:rsid w:val="00494C9A"/>
    <w:rsid w:val="00495EF8"/>
    <w:rsid w:val="004A6A55"/>
    <w:rsid w:val="004B1009"/>
    <w:rsid w:val="005002AE"/>
    <w:rsid w:val="0050224F"/>
    <w:rsid w:val="005039BF"/>
    <w:rsid w:val="00582E0E"/>
    <w:rsid w:val="00586242"/>
    <w:rsid w:val="005B3C25"/>
    <w:rsid w:val="005E3B34"/>
    <w:rsid w:val="00621A35"/>
    <w:rsid w:val="00630B82"/>
    <w:rsid w:val="00696F63"/>
    <w:rsid w:val="006B2C31"/>
    <w:rsid w:val="006D4CD7"/>
    <w:rsid w:val="0072719C"/>
    <w:rsid w:val="0073078E"/>
    <w:rsid w:val="007D3460"/>
    <w:rsid w:val="007E2A6D"/>
    <w:rsid w:val="00856C2C"/>
    <w:rsid w:val="00891A95"/>
    <w:rsid w:val="008A3665"/>
    <w:rsid w:val="008B69B4"/>
    <w:rsid w:val="009371D8"/>
    <w:rsid w:val="00947577"/>
    <w:rsid w:val="00971C83"/>
    <w:rsid w:val="009C4402"/>
    <w:rsid w:val="009C722F"/>
    <w:rsid w:val="009F7E71"/>
    <w:rsid w:val="00AF2865"/>
    <w:rsid w:val="00B11D93"/>
    <w:rsid w:val="00B15066"/>
    <w:rsid w:val="00B1636C"/>
    <w:rsid w:val="00B34EDA"/>
    <w:rsid w:val="00BB175E"/>
    <w:rsid w:val="00BB7AF2"/>
    <w:rsid w:val="00BC394C"/>
    <w:rsid w:val="00BC46DF"/>
    <w:rsid w:val="00BC4EC3"/>
    <w:rsid w:val="00BE32B0"/>
    <w:rsid w:val="00C16EAA"/>
    <w:rsid w:val="00C81BBE"/>
    <w:rsid w:val="00C94407"/>
    <w:rsid w:val="00CC3161"/>
    <w:rsid w:val="00D0146F"/>
    <w:rsid w:val="00D46D6A"/>
    <w:rsid w:val="00D6700C"/>
    <w:rsid w:val="00DC168C"/>
    <w:rsid w:val="00DD3E05"/>
    <w:rsid w:val="00DD7428"/>
    <w:rsid w:val="00DE18E8"/>
    <w:rsid w:val="00E060AB"/>
    <w:rsid w:val="00E43149"/>
    <w:rsid w:val="00E74967"/>
    <w:rsid w:val="00EC7D2C"/>
    <w:rsid w:val="00ED3F1C"/>
    <w:rsid w:val="00F2071E"/>
    <w:rsid w:val="00F8714C"/>
    <w:rsid w:val="00F901AC"/>
    <w:rsid w:val="00F97EE6"/>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D284A"/>
  <w15:docId w15:val="{4C217618-FA36-4C96-9C89-D7765893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8A8"/>
    <w:pPr>
      <w:tabs>
        <w:tab w:val="left" w:pos="567"/>
      </w:tabs>
      <w:snapToGrid w:val="0"/>
      <w:spacing w:after="0" w:line="240" w:lineRule="auto"/>
    </w:pPr>
    <w:rPr>
      <w:rFonts w:ascii="Times New Roman" w:eastAsia="Times New Roman" w:hAnsi="Times New Roman" w:cs="Times New Roman"/>
      <w:snapToGrid w:val="0"/>
      <w:sz w:val="24"/>
      <w:szCs w:val="24"/>
      <w:lang w:val="en-GB" w:eastAsia="en-US"/>
    </w:rPr>
  </w:style>
  <w:style w:type="paragraph" w:styleId="Heading2">
    <w:name w:val="heading 2"/>
    <w:basedOn w:val="Normal"/>
    <w:next w:val="Normal"/>
    <w:link w:val="Heading2Char"/>
    <w:autoRedefine/>
    <w:qFormat/>
    <w:rsid w:val="00947577"/>
    <w:pPr>
      <w:keepNext/>
      <w:widowControl w:val="0"/>
      <w:numPr>
        <w:ilvl w:val="2"/>
        <w:numId w:val="3"/>
      </w:numPr>
      <w:spacing w:before="240" w:after="60"/>
      <w:outlineLvl w:val="1"/>
    </w:pPr>
    <w:rPr>
      <w:rFonts w:ascii="Arial" w:eastAsiaTheme="majorEastAsia" w:hAnsi="Arial" w:cstheme="majorBidi"/>
      <w:b/>
      <w:bCs/>
      <w:iCs/>
      <w:caps/>
      <w:snapToGrid/>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2Car">
    <w:name w:val="Titre 2 Car"/>
    <w:rsid w:val="00947577"/>
    <w:rPr>
      <w:rFonts w:ascii="Arial" w:eastAsia="Times New Roman" w:hAnsi="Arial" w:cs="Arial"/>
      <w:b/>
      <w:bCs/>
      <w:iCs/>
      <w:snapToGrid w:val="0"/>
      <w:szCs w:val="28"/>
      <w:lang w:val="en-GB"/>
    </w:rPr>
  </w:style>
  <w:style w:type="character" w:customStyle="1" w:styleId="Heading2Char">
    <w:name w:val="Heading 2 Char"/>
    <w:basedOn w:val="DefaultParagraphFont"/>
    <w:link w:val="Heading2"/>
    <w:rsid w:val="00947577"/>
    <w:rPr>
      <w:rFonts w:ascii="Arial" w:eastAsiaTheme="majorEastAsia" w:hAnsi="Arial" w:cstheme="majorBidi"/>
      <w:b/>
      <w:bCs/>
      <w:iCs/>
      <w:caps/>
      <w:snapToGrid w:val="0"/>
      <w:szCs w:val="28"/>
      <w:lang w:val="en-GB"/>
    </w:rPr>
  </w:style>
  <w:style w:type="paragraph" w:customStyle="1" w:styleId="JCOMM">
    <w:name w:val="JCOMM"/>
    <w:basedOn w:val="Normal"/>
    <w:next w:val="Normal"/>
    <w:qFormat/>
    <w:rsid w:val="00947577"/>
    <w:pPr>
      <w:widowControl w:val="0"/>
      <w:spacing w:before="360" w:after="240"/>
      <w:jc w:val="center"/>
    </w:pPr>
    <w:rPr>
      <w:rFonts w:ascii="Arial" w:eastAsia="MS Mincho" w:hAnsi="Arial"/>
      <w:b/>
      <w:caps/>
      <w:snapToGrid/>
      <w:sz w:val="16"/>
    </w:rPr>
  </w:style>
  <w:style w:type="numbering" w:customStyle="1" w:styleId="JCOMM-list">
    <w:name w:val="JCOMM-list"/>
    <w:uiPriority w:val="99"/>
    <w:rsid w:val="00947577"/>
    <w:pPr>
      <w:numPr>
        <w:numId w:val="3"/>
      </w:numPr>
    </w:pPr>
  </w:style>
  <w:style w:type="paragraph" w:styleId="BalloonText">
    <w:name w:val="Balloon Text"/>
    <w:basedOn w:val="Normal"/>
    <w:link w:val="BalloonTextChar"/>
    <w:uiPriority w:val="99"/>
    <w:semiHidden/>
    <w:unhideWhenUsed/>
    <w:rsid w:val="00C81BBE"/>
    <w:rPr>
      <w:rFonts w:ascii="Tahoma" w:hAnsi="Tahoma" w:cs="Tahoma"/>
      <w:sz w:val="16"/>
      <w:szCs w:val="16"/>
    </w:rPr>
  </w:style>
  <w:style w:type="character" w:customStyle="1" w:styleId="BalloonTextChar">
    <w:name w:val="Balloon Text Char"/>
    <w:basedOn w:val="DefaultParagraphFont"/>
    <w:link w:val="BalloonText"/>
    <w:uiPriority w:val="99"/>
    <w:semiHidden/>
    <w:rsid w:val="00C81BBE"/>
    <w:rPr>
      <w:rFonts w:ascii="Tahoma" w:eastAsia="Times New Roman" w:hAnsi="Tahoma" w:cs="Tahoma"/>
      <w:snapToGrid w:val="0"/>
      <w:sz w:val="16"/>
      <w:szCs w:val="16"/>
      <w:lang w:val="en-GB" w:eastAsia="en-US"/>
    </w:rPr>
  </w:style>
  <w:style w:type="paragraph" w:styleId="Header">
    <w:name w:val="header"/>
    <w:basedOn w:val="Normal"/>
    <w:link w:val="HeaderChar"/>
    <w:uiPriority w:val="99"/>
    <w:unhideWhenUsed/>
    <w:rsid w:val="0073078E"/>
    <w:pPr>
      <w:tabs>
        <w:tab w:val="clear" w:pos="567"/>
        <w:tab w:val="center" w:pos="4680"/>
        <w:tab w:val="right" w:pos="9360"/>
      </w:tabs>
    </w:pPr>
  </w:style>
  <w:style w:type="character" w:customStyle="1" w:styleId="HeaderChar">
    <w:name w:val="Header Char"/>
    <w:basedOn w:val="DefaultParagraphFont"/>
    <w:link w:val="Header"/>
    <w:uiPriority w:val="99"/>
    <w:rsid w:val="0073078E"/>
    <w:rPr>
      <w:rFonts w:ascii="Times New Roman" w:eastAsia="Times New Roman" w:hAnsi="Times New Roman" w:cs="Times New Roman"/>
      <w:snapToGrid w:val="0"/>
      <w:sz w:val="24"/>
      <w:szCs w:val="24"/>
      <w:lang w:val="en-GB" w:eastAsia="en-US"/>
    </w:rPr>
  </w:style>
  <w:style w:type="paragraph" w:styleId="Footer">
    <w:name w:val="footer"/>
    <w:basedOn w:val="Normal"/>
    <w:link w:val="FooterChar"/>
    <w:uiPriority w:val="99"/>
    <w:unhideWhenUsed/>
    <w:rsid w:val="0073078E"/>
    <w:pPr>
      <w:tabs>
        <w:tab w:val="clear" w:pos="567"/>
        <w:tab w:val="center" w:pos="4680"/>
        <w:tab w:val="right" w:pos="9360"/>
      </w:tabs>
    </w:pPr>
  </w:style>
  <w:style w:type="character" w:customStyle="1" w:styleId="FooterChar">
    <w:name w:val="Footer Char"/>
    <w:basedOn w:val="DefaultParagraphFont"/>
    <w:link w:val="Footer"/>
    <w:uiPriority w:val="99"/>
    <w:rsid w:val="0073078E"/>
    <w:rPr>
      <w:rFonts w:ascii="Times New Roman" w:eastAsia="Times New Roman" w:hAnsi="Times New Roman" w:cs="Times New Roman"/>
      <w:snapToGrid w:val="0"/>
      <w:sz w:val="24"/>
      <w:szCs w:val="24"/>
      <w:lang w:val="en-GB" w:eastAsia="en-US"/>
    </w:rPr>
  </w:style>
  <w:style w:type="character" w:styleId="FootnoteReference">
    <w:name w:val="footnote reference"/>
    <w:uiPriority w:val="99"/>
    <w:rsid w:val="004B1009"/>
    <w:rPr>
      <w:vertAlign w:val="superscript"/>
    </w:rPr>
  </w:style>
  <w:style w:type="paragraph" w:styleId="FootnoteText">
    <w:name w:val="footnote text"/>
    <w:basedOn w:val="Normal"/>
    <w:link w:val="FootnoteTextChar"/>
    <w:uiPriority w:val="99"/>
    <w:rsid w:val="004B1009"/>
    <w:pPr>
      <w:tabs>
        <w:tab w:val="clear" w:pos="567"/>
        <w:tab w:val="left" w:pos="709"/>
      </w:tabs>
      <w:ind w:left="567" w:hanging="567"/>
    </w:pPr>
    <w:rPr>
      <w:sz w:val="20"/>
      <w:szCs w:val="20"/>
      <w:lang w:val="fr-FR"/>
    </w:rPr>
  </w:style>
  <w:style w:type="character" w:customStyle="1" w:styleId="FootnoteTextChar">
    <w:name w:val="Footnote Text Char"/>
    <w:basedOn w:val="DefaultParagraphFont"/>
    <w:link w:val="FootnoteText"/>
    <w:uiPriority w:val="99"/>
    <w:rsid w:val="004B1009"/>
    <w:rPr>
      <w:rFonts w:ascii="Times New Roman" w:eastAsia="Times New Roman" w:hAnsi="Times New Roman" w:cs="Times New Roman"/>
      <w:snapToGrid w:val="0"/>
      <w:sz w:val="20"/>
      <w:szCs w:val="20"/>
      <w:lang w:eastAsia="en-US"/>
    </w:rPr>
  </w:style>
  <w:style w:type="paragraph" w:customStyle="1" w:styleId="COI">
    <w:name w:val="COI"/>
    <w:basedOn w:val="Normal"/>
    <w:link w:val="COIChar"/>
    <w:rsid w:val="004B1009"/>
    <w:pPr>
      <w:tabs>
        <w:tab w:val="clear" w:pos="567"/>
        <w:tab w:val="left" w:pos="709"/>
      </w:tabs>
      <w:spacing w:after="240"/>
      <w:ind w:left="720" w:hanging="360"/>
      <w:jc w:val="both"/>
    </w:pPr>
    <w:rPr>
      <w:lang w:val="fr-FR"/>
    </w:rPr>
  </w:style>
  <w:style w:type="character" w:customStyle="1" w:styleId="COIChar">
    <w:name w:val="COI Char"/>
    <w:link w:val="COI"/>
    <w:rsid w:val="004B1009"/>
    <w:rPr>
      <w:rFonts w:ascii="Times New Roman" w:eastAsia="Times New Roman" w:hAnsi="Times New Roman" w:cs="Times New Roman"/>
      <w:snapToGrid w:val="0"/>
      <w:sz w:val="24"/>
      <w:szCs w:val="24"/>
      <w:lang w:eastAsia="en-US"/>
    </w:rPr>
  </w:style>
  <w:style w:type="paragraph" w:customStyle="1" w:styleId="Listnumbered">
    <w:name w:val="List numbered"/>
    <w:basedOn w:val="ListBullet2"/>
    <w:autoRedefine/>
    <w:rsid w:val="004B1009"/>
    <w:pPr>
      <w:tabs>
        <w:tab w:val="num" w:pos="360"/>
        <w:tab w:val="left" w:pos="709"/>
      </w:tabs>
      <w:spacing w:after="240"/>
      <w:contextualSpacing w:val="0"/>
    </w:pPr>
    <w:rPr>
      <w:rFonts w:ascii="Arial" w:hAnsi="Arial"/>
      <w:sz w:val="22"/>
      <w:lang w:val="fr-FR"/>
    </w:rPr>
  </w:style>
  <w:style w:type="paragraph" w:customStyle="1" w:styleId="Listecouleur-Accent11">
    <w:name w:val="Liste couleur - Accent 11"/>
    <w:basedOn w:val="Normal"/>
    <w:qFormat/>
    <w:rsid w:val="004B1009"/>
    <w:pPr>
      <w:ind w:left="720"/>
      <w:contextualSpacing/>
    </w:pPr>
    <w:rPr>
      <w:rFonts w:ascii="Arial" w:hAnsi="Arial"/>
      <w:snapToGrid/>
      <w:sz w:val="22"/>
    </w:rPr>
  </w:style>
  <w:style w:type="paragraph" w:styleId="ListBullet2">
    <w:name w:val="List Bullet 2"/>
    <w:basedOn w:val="Normal"/>
    <w:uiPriority w:val="99"/>
    <w:semiHidden/>
    <w:unhideWhenUsed/>
    <w:rsid w:val="004B1009"/>
    <w:pPr>
      <w:ind w:left="1290" w:hanging="720"/>
      <w:contextualSpacing/>
    </w:pPr>
  </w:style>
  <w:style w:type="paragraph" w:styleId="ListParagraph">
    <w:name w:val="List Paragraph"/>
    <w:basedOn w:val="Normal"/>
    <w:uiPriority w:val="34"/>
    <w:qFormat/>
    <w:rsid w:val="004B1009"/>
    <w:pPr>
      <w:ind w:left="720"/>
      <w:contextualSpacing/>
    </w:pPr>
  </w:style>
  <w:style w:type="paragraph" w:customStyle="1" w:styleId="non-decis">
    <w:name w:val="non-decis"/>
    <w:basedOn w:val="Normal"/>
    <w:rsid w:val="00E060AB"/>
    <w:pPr>
      <w:tabs>
        <w:tab w:val="clear" w:pos="567"/>
      </w:tabs>
      <w:snapToGrid/>
      <w:ind w:left="737" w:right="737"/>
      <w:jc w:val="both"/>
    </w:pPr>
    <w:rPr>
      <w:snapToGrid/>
      <w:sz w:val="20"/>
      <w:szCs w:val="20"/>
    </w:rPr>
  </w:style>
  <w:style w:type="character" w:styleId="Hyperlink">
    <w:name w:val="Hyperlink"/>
    <w:uiPriority w:val="99"/>
    <w:rsid w:val="00E060AB"/>
    <w:rPr>
      <w:color w:val="0000FF"/>
      <w:u w:val="single"/>
    </w:rPr>
  </w:style>
  <w:style w:type="paragraph" w:styleId="NormalWeb">
    <w:name w:val="Normal (Web)"/>
    <w:basedOn w:val="Normal"/>
    <w:uiPriority w:val="99"/>
    <w:rsid w:val="00E060AB"/>
    <w:pPr>
      <w:tabs>
        <w:tab w:val="clear" w:pos="567"/>
      </w:tabs>
      <w:snapToGrid/>
      <w:spacing w:before="100" w:beforeAutospacing="1" w:after="100" w:afterAutospacing="1"/>
    </w:pPr>
    <w:rPr>
      <w:rFonts w:eastAsia="MS Mincho"/>
      <w:snapToGrid/>
      <w:lang w:val="en-US" w:eastAsia="ja-JP"/>
    </w:rPr>
  </w:style>
  <w:style w:type="paragraph" w:styleId="Revision">
    <w:name w:val="Revision"/>
    <w:hidden/>
    <w:uiPriority w:val="99"/>
    <w:semiHidden/>
    <w:rsid w:val="00BE32B0"/>
    <w:pPr>
      <w:spacing w:after="0" w:line="240" w:lineRule="auto"/>
    </w:pPr>
    <w:rPr>
      <w:rFonts w:ascii="Times New Roman" w:eastAsia="Times New Roman" w:hAnsi="Times New Roman" w:cs="Times New Roman"/>
      <w:snapToGrid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_boned\AppData\Local\Microsoft\Windows\INetCache\Content.Outlook\S9V2CJZB\DR%20templates%20(00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3C2E3-4515-4DFE-A43F-3805AC7D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 templates (002)</Template>
  <TotalTime>2</TotalTime>
  <Pages>2</Pages>
  <Words>867</Words>
  <Characters>4945</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Ejecución del decenio de las Naciones Unidas de las Ciencias Oceánicas para el desarrollo sostenible (2021-2030)</dc:title>
  <dc:subject>DRAFT RESOLUTION A-32/DR.[4.12]</dc:subject>
  <dc:creator>Boned, Patrice</dc:creator>
  <dc:description/>
  <cp:lastModifiedBy>Boned, Patrice</cp:lastModifiedBy>
  <cp:revision>3</cp:revision>
  <cp:lastPrinted>2023-06-23T08:21:00Z</cp:lastPrinted>
  <dcterms:created xsi:type="dcterms:W3CDTF">2023-06-23T11:02:00Z</dcterms:created>
  <dcterms:modified xsi:type="dcterms:W3CDTF">2023-06-26T10:37:00Z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202302035</vt:lpwstr>
  </property>
  <property fmtid="{D5CDD505-2E9C-101B-9397-08002B2CF9AE}" pid="3" name="Language">
    <vt:lpwstr>S</vt:lpwstr>
  </property>
</Properties>
</file>