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000" w:firstRow="0" w:lastRow="0" w:firstColumn="0" w:lastColumn="0" w:noHBand="0" w:noVBand="0"/>
      </w:tblPr>
      <w:tblGrid>
        <w:gridCol w:w="6345"/>
        <w:gridCol w:w="2941"/>
      </w:tblGrid>
      <w:tr w:rsidR="003355B2" w:rsidRPr="00AC0663" w14:paraId="41FEE263" w14:textId="77777777" w:rsidTr="003A19F9">
        <w:tc>
          <w:tcPr>
            <w:tcW w:w="6345" w:type="dxa"/>
          </w:tcPr>
          <w:p w14:paraId="70864C3C" w14:textId="4FF2887A" w:rsidR="003355B2" w:rsidRPr="00AC0663" w:rsidRDefault="003355B2" w:rsidP="001118A9">
            <w:pPr>
              <w:ind w:left="-105"/>
              <w:rPr>
                <w:rFonts w:ascii="Arial" w:hAnsi="Arial" w:cs="Arial"/>
              </w:rPr>
            </w:pPr>
            <w:r>
              <w:rPr>
                <w:rFonts w:ascii="Arial" w:hAnsi="Arial" w:cs="Arial"/>
                <w:sz w:val="22"/>
                <w:szCs w:val="22"/>
              </w:rPr>
              <w:t>D</w:t>
            </w:r>
            <w:r w:rsidRPr="00AC0663">
              <w:rPr>
                <w:rFonts w:ascii="Arial" w:hAnsi="Arial" w:cs="Arial"/>
                <w:sz w:val="22"/>
                <w:szCs w:val="22"/>
              </w:rPr>
              <w:t>istribution</w:t>
            </w:r>
            <w:r>
              <w:rPr>
                <w:rFonts w:ascii="Arial" w:hAnsi="Arial" w:cs="Arial"/>
                <w:sz w:val="22"/>
                <w:szCs w:val="22"/>
              </w:rPr>
              <w:t xml:space="preserve"> limitée</w:t>
            </w:r>
          </w:p>
          <w:p w14:paraId="6B279CEB" w14:textId="77777777" w:rsidR="003355B2" w:rsidRPr="00AC0663" w:rsidRDefault="003355B2" w:rsidP="001118A9">
            <w:pPr>
              <w:ind w:left="-105"/>
              <w:rPr>
                <w:rFonts w:ascii="Arial" w:hAnsi="Arial" w:cs="Arial"/>
              </w:rPr>
            </w:pPr>
          </w:p>
        </w:tc>
        <w:tc>
          <w:tcPr>
            <w:tcW w:w="2941" w:type="dxa"/>
          </w:tcPr>
          <w:p w14:paraId="69BBDEC7" w14:textId="77777777" w:rsidR="003355B2" w:rsidRPr="00D6700C" w:rsidRDefault="003355B2" w:rsidP="001118A9">
            <w:pPr>
              <w:ind w:left="459"/>
              <w:rPr>
                <w:rFonts w:ascii="Arial" w:hAnsi="Arial" w:cs="Arial"/>
                <w:b/>
              </w:rPr>
            </w:pPr>
            <w:r>
              <w:rPr>
                <w:rFonts w:ascii="Arial" w:hAnsi="Arial" w:cs="Arial"/>
                <w:b/>
                <w:sz w:val="22"/>
                <w:szCs w:val="22"/>
              </w:rPr>
              <w:t>A</w:t>
            </w:r>
            <w:r w:rsidRPr="00D6700C">
              <w:rPr>
                <w:rFonts w:ascii="Arial" w:hAnsi="Arial" w:cs="Arial"/>
                <w:b/>
                <w:sz w:val="22"/>
                <w:szCs w:val="22"/>
              </w:rPr>
              <w:t>-32/DR.[4.12]</w:t>
            </w:r>
          </w:p>
          <w:p w14:paraId="675E586D" w14:textId="56F27D20" w:rsidR="003355B2" w:rsidRPr="00D6700C" w:rsidRDefault="003355B2" w:rsidP="001118A9">
            <w:pPr>
              <w:ind w:left="459"/>
              <w:rPr>
                <w:rFonts w:ascii="Arial" w:hAnsi="Arial" w:cs="Arial"/>
              </w:rPr>
            </w:pPr>
            <w:r w:rsidRPr="00D6700C">
              <w:rPr>
                <w:rFonts w:ascii="Arial" w:hAnsi="Arial" w:cs="Arial"/>
                <w:sz w:val="22"/>
                <w:szCs w:val="22"/>
              </w:rPr>
              <w:t xml:space="preserve">Paris, </w:t>
            </w:r>
            <w:r>
              <w:rPr>
                <w:rFonts w:ascii="Arial" w:hAnsi="Arial" w:cs="Arial"/>
                <w:sz w:val="22"/>
                <w:szCs w:val="22"/>
              </w:rPr>
              <w:t>le 23</w:t>
            </w:r>
            <w:r w:rsidRPr="00D6700C">
              <w:rPr>
                <w:rFonts w:ascii="Arial" w:hAnsi="Arial" w:cs="Arial"/>
                <w:sz w:val="22"/>
                <w:szCs w:val="22"/>
              </w:rPr>
              <w:t xml:space="preserve"> </w:t>
            </w:r>
            <w:r>
              <w:rPr>
                <w:rFonts w:ascii="Arial" w:hAnsi="Arial" w:cs="Arial"/>
                <w:sz w:val="22"/>
                <w:szCs w:val="22"/>
              </w:rPr>
              <w:t>juin</w:t>
            </w:r>
            <w:r w:rsidRPr="00D6700C">
              <w:rPr>
                <w:rFonts w:ascii="Arial" w:hAnsi="Arial" w:cs="Arial"/>
                <w:sz w:val="22"/>
                <w:szCs w:val="22"/>
              </w:rPr>
              <w:t xml:space="preserve"> 2023</w:t>
            </w:r>
          </w:p>
          <w:p w14:paraId="29732929" w14:textId="5247695E" w:rsidR="003355B2" w:rsidRPr="00AC0663" w:rsidRDefault="003355B2" w:rsidP="001118A9">
            <w:pPr>
              <w:ind w:left="459"/>
              <w:rPr>
                <w:rFonts w:ascii="Arial" w:hAnsi="Arial" w:cs="Arial"/>
              </w:rPr>
            </w:pPr>
            <w:r w:rsidRPr="00AC0663">
              <w:rPr>
                <w:rFonts w:ascii="Arial" w:hAnsi="Arial" w:cs="Arial"/>
                <w:sz w:val="22"/>
                <w:szCs w:val="22"/>
              </w:rPr>
              <w:t>Original</w:t>
            </w:r>
            <w:r>
              <w:rPr>
                <w:rFonts w:ascii="Arial" w:hAnsi="Arial" w:cs="Arial"/>
                <w:sz w:val="22"/>
                <w:szCs w:val="22"/>
              </w:rPr>
              <w:t xml:space="preserve"> anglais</w:t>
            </w:r>
          </w:p>
        </w:tc>
      </w:tr>
    </w:tbl>
    <w:p w14:paraId="21BBF78D" w14:textId="57E54E85" w:rsidR="00172F52" w:rsidRPr="0049181A" w:rsidRDefault="0049181A" w:rsidP="0049181A">
      <w:pPr>
        <w:keepNext/>
        <w:keepLines/>
        <w:tabs>
          <w:tab w:val="left" w:pos="567"/>
        </w:tabs>
        <w:snapToGrid w:val="0"/>
        <w:spacing w:before="240" w:after="240"/>
        <w:rPr>
          <w:rFonts w:ascii="Arial" w:eastAsia="Times New Roman" w:hAnsi="Arial" w:cs="Arial"/>
          <w:b/>
          <w:bCs/>
          <w:snapToGrid w:val="0"/>
          <w:color w:val="000000"/>
          <w:sz w:val="22"/>
          <w:szCs w:val="22"/>
        </w:rPr>
      </w:pPr>
      <w:r w:rsidRPr="0049181A">
        <w:rPr>
          <w:rFonts w:ascii="Arial" w:eastAsia="Times New Roman" w:hAnsi="Arial" w:cs="Arial"/>
          <w:b/>
          <w:bCs/>
          <w:snapToGrid w:val="0"/>
          <w:sz w:val="22"/>
          <w:szCs w:val="22"/>
        </w:rPr>
        <w:t>PROJET DE RÉSOLUTION A-32/[4.12]</w:t>
      </w:r>
    </w:p>
    <w:p w14:paraId="43149EAF" w14:textId="6C3D388B" w:rsidR="00172F52" w:rsidRPr="0049181A" w:rsidRDefault="00172F52" w:rsidP="001118A9">
      <w:pPr>
        <w:tabs>
          <w:tab w:val="left" w:pos="567"/>
        </w:tabs>
        <w:snapToGrid w:val="0"/>
        <w:spacing w:after="240"/>
        <w:rPr>
          <w:rFonts w:ascii="Arial" w:eastAsia="Calibri" w:hAnsi="Arial" w:cs="Arial"/>
          <w:snapToGrid w:val="0"/>
          <w:sz w:val="22"/>
          <w:szCs w:val="22"/>
        </w:rPr>
      </w:pPr>
      <w:r w:rsidRPr="0049181A">
        <w:rPr>
          <w:rFonts w:ascii="Arial" w:eastAsia="Times New Roman" w:hAnsi="Arial" w:cs="Arial"/>
          <w:snapToGrid w:val="0"/>
          <w:sz w:val="22"/>
          <w:szCs w:val="22"/>
        </w:rPr>
        <w:t>Présenté par l’Inde</w:t>
      </w:r>
      <w:r w:rsidR="003355B2" w:rsidRPr="0049181A">
        <w:rPr>
          <w:rFonts w:ascii="Arial" w:eastAsia="Times New Roman" w:hAnsi="Arial" w:cs="Arial"/>
          <w:snapToGrid w:val="0"/>
          <w:sz w:val="22"/>
          <w:szCs w:val="22"/>
        </w:rPr>
        <w:t xml:space="preserve"> et le Brésil</w:t>
      </w:r>
    </w:p>
    <w:p w14:paraId="09187DD6" w14:textId="5D35DE29" w:rsidR="00172F52" w:rsidRPr="00172F52" w:rsidRDefault="0049181A" w:rsidP="001118A9">
      <w:pPr>
        <w:tabs>
          <w:tab w:val="left" w:pos="567"/>
        </w:tabs>
        <w:snapToGrid w:val="0"/>
        <w:spacing w:after="240"/>
        <w:jc w:val="center"/>
        <w:rPr>
          <w:rFonts w:ascii="Arial" w:eastAsia="Calibri" w:hAnsi="Arial" w:cs="Arial"/>
          <w:b/>
          <w:bCs/>
          <w:snapToGrid w:val="0"/>
          <w:color w:val="000000"/>
          <w:sz w:val="22"/>
          <w:szCs w:val="22"/>
        </w:rPr>
      </w:pPr>
      <w:r w:rsidRPr="00172F52">
        <w:rPr>
          <w:rFonts w:ascii="Arial" w:eastAsia="Times New Roman" w:hAnsi="Arial" w:cs="Arial"/>
          <w:b/>
          <w:bCs/>
          <w:snapToGrid w:val="0"/>
          <w:sz w:val="22"/>
          <w:szCs w:val="22"/>
        </w:rPr>
        <w:t>MISE EN ŒUVRE DE LA DÉCENNIE DES NATIONS UNIES POUR LES SCIENCES OCÉANIQUES AU SERVICE DU DÉVELOPPEMENT DURABLE (2021-2030)</w:t>
      </w:r>
    </w:p>
    <w:p w14:paraId="0BA0418E" w14:textId="77777777" w:rsidR="00172F52" w:rsidRPr="00172F52" w:rsidRDefault="00172F52" w:rsidP="001118A9">
      <w:pPr>
        <w:tabs>
          <w:tab w:val="num" w:pos="1400"/>
        </w:tabs>
        <w:spacing w:after="240"/>
        <w:ind w:left="720" w:hanging="720"/>
        <w:jc w:val="both"/>
        <w:rPr>
          <w:rFonts w:ascii="Arial" w:eastAsia="Times New Roman" w:hAnsi="Arial" w:cs="Arial"/>
          <w:snapToGrid w:val="0"/>
          <w:sz w:val="22"/>
          <w:szCs w:val="22"/>
        </w:rPr>
      </w:pPr>
      <w:r w:rsidRPr="00172F52">
        <w:rPr>
          <w:rFonts w:ascii="Arial" w:eastAsia="Times New Roman" w:hAnsi="Arial" w:cs="Arial"/>
          <w:snapToGrid w:val="0"/>
          <w:sz w:val="22"/>
          <w:szCs w:val="22"/>
        </w:rPr>
        <w:t>La Commission océanographique intergouvernementale,</w:t>
      </w:r>
    </w:p>
    <w:p w14:paraId="1DFF8AA7" w14:textId="77777777" w:rsidR="00172F52" w:rsidRPr="00172F52" w:rsidRDefault="00172F52" w:rsidP="001118A9">
      <w:pPr>
        <w:spacing w:after="240"/>
        <w:ind w:left="567" w:hanging="567"/>
        <w:jc w:val="both"/>
        <w:rPr>
          <w:rFonts w:ascii="Arial" w:eastAsia="DengXian" w:hAnsi="Arial" w:cs="Arial"/>
          <w:b/>
          <w:bCs/>
          <w:iCs/>
          <w:snapToGrid w:val="0"/>
          <w:color w:val="000000"/>
          <w:sz w:val="22"/>
          <w:szCs w:val="22"/>
        </w:rPr>
      </w:pPr>
      <w:r w:rsidRPr="0049181A">
        <w:rPr>
          <w:rFonts w:ascii="Arial" w:eastAsia="DengXian" w:hAnsi="Arial" w:cs="Arial"/>
          <w:i/>
          <w:iCs/>
          <w:snapToGrid w:val="0"/>
          <w:sz w:val="22"/>
          <w:szCs w:val="22"/>
        </w:rPr>
        <w:t>1.</w:t>
      </w:r>
      <w:r w:rsidRPr="00172F52">
        <w:rPr>
          <w:rFonts w:ascii="Arial" w:eastAsia="DengXian" w:hAnsi="Arial" w:cs="Arial"/>
          <w:snapToGrid w:val="0"/>
          <w:sz w:val="22"/>
          <w:szCs w:val="22"/>
        </w:rPr>
        <w:tab/>
      </w:r>
      <w:r w:rsidRPr="00172F52">
        <w:rPr>
          <w:rFonts w:ascii="Arial" w:eastAsia="DengXian" w:hAnsi="Arial" w:cs="Arial"/>
          <w:b/>
          <w:bCs/>
          <w:snapToGrid w:val="0"/>
          <w:sz w:val="22"/>
          <w:szCs w:val="22"/>
        </w:rPr>
        <w:t>Rappelant</w:t>
      </w:r>
      <w:r w:rsidRPr="00172F52">
        <w:rPr>
          <w:rFonts w:ascii="Arial" w:eastAsia="DengXian" w:hAnsi="Arial" w:cs="Arial"/>
          <w:snapToGrid w:val="0"/>
          <w:sz w:val="22"/>
          <w:szCs w:val="22"/>
        </w:rPr>
        <w:t xml:space="preserve"> les résolutions EC-53/1, A-31/1 et EC-55/1 de la COI sur la mise en œuvre de la Décennie des Nations Unies pour les sciences océaniques au service du développement durable (2021-2030), ci-après la Décennie,</w:t>
      </w:r>
    </w:p>
    <w:p w14:paraId="6F76E6A2" w14:textId="5EDA4294" w:rsidR="00172F52" w:rsidRPr="00172F52" w:rsidRDefault="00172F52" w:rsidP="001118A9">
      <w:pPr>
        <w:spacing w:after="240"/>
        <w:ind w:left="567" w:hanging="567"/>
        <w:jc w:val="both"/>
        <w:rPr>
          <w:rFonts w:ascii="Arial" w:eastAsia="DengXian" w:hAnsi="Arial" w:cs="Arial"/>
          <w:snapToGrid w:val="0"/>
          <w:sz w:val="22"/>
          <w:szCs w:val="22"/>
        </w:rPr>
      </w:pPr>
      <w:r w:rsidRPr="0049181A">
        <w:rPr>
          <w:rFonts w:ascii="Arial" w:eastAsia="DengXian" w:hAnsi="Arial" w:cs="Arial"/>
          <w:i/>
          <w:iCs/>
          <w:snapToGrid w:val="0"/>
          <w:sz w:val="22"/>
          <w:szCs w:val="22"/>
        </w:rPr>
        <w:t>2.</w:t>
      </w:r>
      <w:r w:rsidRPr="00172F52">
        <w:rPr>
          <w:rFonts w:ascii="Arial" w:eastAsia="DengXian" w:hAnsi="Arial" w:cs="Arial"/>
          <w:snapToGrid w:val="0"/>
          <w:sz w:val="22"/>
          <w:szCs w:val="22"/>
        </w:rPr>
        <w:tab/>
      </w:r>
      <w:r w:rsidRPr="00172F52">
        <w:rPr>
          <w:rFonts w:ascii="Arial" w:eastAsia="DengXian" w:hAnsi="Arial" w:cs="Arial"/>
          <w:b/>
          <w:bCs/>
          <w:snapToGrid w:val="0"/>
          <w:sz w:val="22"/>
          <w:szCs w:val="22"/>
        </w:rPr>
        <w:t>Prenant en considération</w:t>
      </w:r>
      <w:r w:rsidRPr="00172F52">
        <w:rPr>
          <w:rFonts w:ascii="Arial" w:eastAsia="DengXian" w:hAnsi="Arial" w:cs="Arial"/>
          <w:snapToGrid w:val="0"/>
          <w:sz w:val="22"/>
          <w:szCs w:val="22"/>
        </w:rPr>
        <w:t xml:space="preserve"> le document IOC/A-32/4.12.Doc(1) sur l’état de la mise en œuvre de la Décennie des Nations Unies pour les sciences océaniques au service du développement durable (2021-2030),</w:t>
      </w:r>
    </w:p>
    <w:p w14:paraId="3F7AB702" w14:textId="26D2193C" w:rsidR="00172F52" w:rsidRPr="00172F52" w:rsidRDefault="00172F52" w:rsidP="001118A9">
      <w:pPr>
        <w:spacing w:after="240"/>
        <w:ind w:left="567" w:hanging="567"/>
        <w:jc w:val="both"/>
        <w:rPr>
          <w:rFonts w:ascii="Arial" w:eastAsia="DengXian" w:hAnsi="Arial" w:cs="Arial"/>
          <w:snapToGrid w:val="0"/>
          <w:sz w:val="22"/>
          <w:szCs w:val="22"/>
        </w:rPr>
      </w:pPr>
      <w:r w:rsidRPr="0049181A">
        <w:rPr>
          <w:rFonts w:ascii="Arial" w:eastAsia="DengXian" w:hAnsi="Arial" w:cs="Arial"/>
          <w:i/>
          <w:iCs/>
          <w:snapToGrid w:val="0"/>
          <w:sz w:val="22"/>
          <w:szCs w:val="22"/>
        </w:rPr>
        <w:t>3.</w:t>
      </w:r>
      <w:r w:rsidRPr="00172F52">
        <w:rPr>
          <w:rFonts w:ascii="Arial" w:eastAsia="DengXian" w:hAnsi="Arial" w:cs="Arial"/>
          <w:snapToGrid w:val="0"/>
          <w:sz w:val="22"/>
          <w:szCs w:val="22"/>
        </w:rPr>
        <w:tab/>
      </w:r>
      <w:r w:rsidRPr="00172F52">
        <w:rPr>
          <w:rFonts w:ascii="Arial" w:eastAsia="DengXian" w:hAnsi="Arial" w:cs="Arial"/>
          <w:b/>
          <w:bCs/>
          <w:snapToGrid w:val="0"/>
          <w:sz w:val="22"/>
          <w:szCs w:val="22"/>
        </w:rPr>
        <w:t>Prend note</w:t>
      </w:r>
      <w:r w:rsidRPr="00172F52">
        <w:rPr>
          <w:rFonts w:ascii="Arial" w:eastAsia="DengXian" w:hAnsi="Arial" w:cs="Arial"/>
          <w:snapToGrid w:val="0"/>
          <w:sz w:val="22"/>
          <w:szCs w:val="22"/>
        </w:rPr>
        <w:t xml:space="preserve"> de la mise en place des </w:t>
      </w:r>
      <w:r w:rsidR="003355B2">
        <w:rPr>
          <w:rFonts w:ascii="Arial" w:eastAsia="DengXian" w:hAnsi="Arial" w:cs="Arial"/>
          <w:snapToGrid w:val="0"/>
          <w:sz w:val="22"/>
          <w:szCs w:val="22"/>
        </w:rPr>
        <w:t xml:space="preserve">nouveaux </w:t>
      </w:r>
      <w:r w:rsidRPr="00172F52">
        <w:rPr>
          <w:rFonts w:ascii="Arial" w:eastAsia="DengXian" w:hAnsi="Arial" w:cs="Arial"/>
          <w:snapToGrid w:val="0"/>
          <w:sz w:val="22"/>
          <w:szCs w:val="22"/>
        </w:rPr>
        <w:t xml:space="preserve">mécanismes de coordination de la Décennie </w:t>
      </w:r>
      <w:r w:rsidR="003355B2">
        <w:rPr>
          <w:rFonts w:ascii="Arial" w:eastAsia="DengXian" w:hAnsi="Arial" w:cs="Arial"/>
          <w:snapToGrid w:val="0"/>
          <w:sz w:val="22"/>
          <w:szCs w:val="22"/>
        </w:rPr>
        <w:t xml:space="preserve">tels que les </w:t>
      </w:r>
      <w:r w:rsidRPr="00172F52">
        <w:rPr>
          <w:rFonts w:ascii="Arial" w:eastAsia="DengXian" w:hAnsi="Arial" w:cs="Arial"/>
          <w:snapToGrid w:val="0"/>
          <w:sz w:val="22"/>
          <w:szCs w:val="22"/>
        </w:rPr>
        <w:t xml:space="preserve">bureaux de coordination de la Décennie, </w:t>
      </w:r>
      <w:r w:rsidR="003355B2">
        <w:rPr>
          <w:rFonts w:ascii="Arial" w:eastAsia="DengXian" w:hAnsi="Arial" w:cs="Arial"/>
          <w:snapToGrid w:val="0"/>
          <w:sz w:val="22"/>
          <w:szCs w:val="22"/>
        </w:rPr>
        <w:t xml:space="preserve">les </w:t>
      </w:r>
      <w:r w:rsidRPr="00172F52">
        <w:rPr>
          <w:rFonts w:ascii="Arial" w:eastAsia="DengXian" w:hAnsi="Arial" w:cs="Arial"/>
          <w:snapToGrid w:val="0"/>
          <w:sz w:val="22"/>
          <w:szCs w:val="22"/>
        </w:rPr>
        <w:t xml:space="preserve">centres collaboratifs de la Décennie, </w:t>
      </w:r>
      <w:r w:rsidR="003355B2">
        <w:rPr>
          <w:rFonts w:ascii="Arial" w:eastAsia="DengXian" w:hAnsi="Arial" w:cs="Arial"/>
          <w:snapToGrid w:val="0"/>
          <w:sz w:val="22"/>
          <w:szCs w:val="22"/>
        </w:rPr>
        <w:t xml:space="preserve">les </w:t>
      </w:r>
      <w:r w:rsidRPr="00172F52">
        <w:rPr>
          <w:rFonts w:ascii="Arial" w:eastAsia="DengXian" w:hAnsi="Arial" w:cs="Arial"/>
          <w:snapToGrid w:val="0"/>
          <w:sz w:val="22"/>
          <w:szCs w:val="22"/>
        </w:rPr>
        <w:t xml:space="preserve">partenaires de mise en œuvre de la Décennie </w:t>
      </w:r>
      <w:r w:rsidR="003355B2">
        <w:rPr>
          <w:rFonts w:ascii="Arial" w:eastAsia="DengXian" w:hAnsi="Arial" w:cs="Arial"/>
          <w:snapToGrid w:val="0"/>
          <w:sz w:val="22"/>
          <w:szCs w:val="22"/>
        </w:rPr>
        <w:t xml:space="preserve">et les </w:t>
      </w:r>
      <w:r w:rsidRPr="00172F52">
        <w:rPr>
          <w:rFonts w:ascii="Arial" w:eastAsia="DengXian" w:hAnsi="Arial" w:cs="Arial"/>
          <w:snapToGrid w:val="0"/>
          <w:sz w:val="22"/>
          <w:szCs w:val="22"/>
        </w:rPr>
        <w:t>comités nationaux de la Décennie présentés dans le document IOC/INF-1424 ;</w:t>
      </w:r>
    </w:p>
    <w:p w14:paraId="61CB9FC4" w14:textId="651ECF1D" w:rsidR="00172F52" w:rsidRPr="00172F52" w:rsidRDefault="00172F52" w:rsidP="001118A9">
      <w:pPr>
        <w:spacing w:after="240"/>
        <w:ind w:left="567" w:hanging="567"/>
        <w:jc w:val="both"/>
        <w:rPr>
          <w:rFonts w:ascii="Arial" w:eastAsia="DengXian" w:hAnsi="Arial" w:cs="Arial"/>
          <w:snapToGrid w:val="0"/>
          <w:sz w:val="22"/>
          <w:szCs w:val="22"/>
        </w:rPr>
      </w:pPr>
      <w:r w:rsidRPr="0049181A">
        <w:rPr>
          <w:rFonts w:ascii="Arial" w:eastAsia="DengXian" w:hAnsi="Arial" w:cs="Arial"/>
          <w:i/>
          <w:iCs/>
          <w:snapToGrid w:val="0"/>
          <w:sz w:val="22"/>
          <w:szCs w:val="22"/>
        </w:rPr>
        <w:t>4.</w:t>
      </w:r>
      <w:r w:rsidRPr="00172F52">
        <w:rPr>
          <w:rFonts w:ascii="Arial" w:eastAsia="DengXian" w:hAnsi="Arial" w:cs="Arial"/>
          <w:snapToGrid w:val="0"/>
          <w:sz w:val="22"/>
          <w:szCs w:val="22"/>
        </w:rPr>
        <w:tab/>
      </w:r>
      <w:r w:rsidRPr="00172F52">
        <w:rPr>
          <w:rFonts w:ascii="Arial" w:eastAsia="DengXian" w:hAnsi="Arial" w:cs="Arial"/>
          <w:b/>
          <w:bCs/>
          <w:snapToGrid w:val="0"/>
          <w:sz w:val="22"/>
          <w:szCs w:val="22"/>
        </w:rPr>
        <w:t>Prend note également avec satisfaction</w:t>
      </w:r>
      <w:r w:rsidRPr="00172F52">
        <w:rPr>
          <w:rFonts w:ascii="Arial" w:eastAsia="DengXian" w:hAnsi="Arial" w:cs="Arial"/>
          <w:snapToGrid w:val="0"/>
          <w:sz w:val="22"/>
          <w:szCs w:val="22"/>
        </w:rPr>
        <w:t xml:space="preserve"> de la contribution du Comité consultatif de la Décennie à la mise en œuvre et au développement stratégique de la Décennie, et </w:t>
      </w:r>
      <w:r w:rsidRPr="00172F52">
        <w:rPr>
          <w:rFonts w:ascii="Arial" w:eastAsia="DengXian" w:hAnsi="Arial" w:cs="Arial"/>
          <w:b/>
          <w:bCs/>
          <w:snapToGrid w:val="0"/>
          <w:sz w:val="22"/>
          <w:szCs w:val="22"/>
        </w:rPr>
        <w:t>prend acte</w:t>
      </w:r>
      <w:r w:rsidRPr="00172F52">
        <w:rPr>
          <w:rFonts w:ascii="Arial" w:eastAsia="DengXian" w:hAnsi="Arial" w:cs="Arial"/>
          <w:snapToGrid w:val="0"/>
          <w:sz w:val="22"/>
          <w:szCs w:val="22"/>
        </w:rPr>
        <w:t xml:space="preserve"> du processus de renouvellement de sa composition pour la période 2024-2025, conformément à son</w:t>
      </w:r>
      <w:r w:rsidR="003355B2">
        <w:rPr>
          <w:rFonts w:ascii="Arial" w:eastAsia="DengXian" w:hAnsi="Arial" w:cs="Arial"/>
          <w:snapToGrid w:val="0"/>
          <w:sz w:val="22"/>
          <w:szCs w:val="22"/>
        </w:rPr>
        <w:t xml:space="preserve"> mandat</w:t>
      </w:r>
      <w:r w:rsidRPr="00172F52">
        <w:rPr>
          <w:rFonts w:ascii="Arial" w:eastAsia="DengXian" w:hAnsi="Arial" w:cs="Arial"/>
          <w:snapToGrid w:val="0"/>
          <w:sz w:val="22"/>
          <w:szCs w:val="22"/>
        </w:rPr>
        <w:t> ;</w:t>
      </w:r>
    </w:p>
    <w:p w14:paraId="5BBD0C73" w14:textId="77777777" w:rsidR="00172F52" w:rsidRPr="00172F52" w:rsidRDefault="00172F52" w:rsidP="001118A9">
      <w:pPr>
        <w:spacing w:after="240"/>
        <w:ind w:left="567" w:hanging="567"/>
        <w:jc w:val="both"/>
        <w:rPr>
          <w:rFonts w:ascii="Arial" w:eastAsia="DengXian" w:hAnsi="Arial" w:cs="Arial"/>
          <w:snapToGrid w:val="0"/>
          <w:sz w:val="22"/>
          <w:szCs w:val="22"/>
        </w:rPr>
      </w:pPr>
      <w:r w:rsidRPr="0049181A">
        <w:rPr>
          <w:rFonts w:ascii="Arial" w:eastAsia="DengXian" w:hAnsi="Arial" w:cs="Arial"/>
          <w:i/>
          <w:iCs/>
          <w:snapToGrid w:val="0"/>
          <w:sz w:val="22"/>
          <w:szCs w:val="22"/>
        </w:rPr>
        <w:t>5.</w:t>
      </w:r>
      <w:r w:rsidRPr="00172F52">
        <w:rPr>
          <w:rFonts w:ascii="Arial" w:eastAsia="DengXian" w:hAnsi="Arial" w:cs="Arial"/>
          <w:snapToGrid w:val="0"/>
          <w:sz w:val="22"/>
          <w:szCs w:val="22"/>
        </w:rPr>
        <w:tab/>
      </w:r>
      <w:r w:rsidRPr="00172F52">
        <w:rPr>
          <w:rFonts w:ascii="Arial" w:eastAsia="DengXian" w:hAnsi="Arial" w:cs="Arial"/>
          <w:b/>
          <w:bCs/>
          <w:snapToGrid w:val="0"/>
          <w:spacing w:val="-2"/>
          <w:sz w:val="22"/>
          <w:szCs w:val="22"/>
        </w:rPr>
        <w:t>Se félicite</w:t>
      </w:r>
      <w:r w:rsidRPr="00172F52">
        <w:rPr>
          <w:rFonts w:ascii="Arial" w:eastAsia="DengXian" w:hAnsi="Arial" w:cs="Arial"/>
          <w:snapToGrid w:val="0"/>
          <w:spacing w:val="-2"/>
          <w:sz w:val="22"/>
          <w:szCs w:val="22"/>
        </w:rPr>
        <w:t xml:space="preserve"> de la progression du processus « Vision 2030 » de la Décennie de l’Océan, lequel vise à améliorer la mise en œuvre stratégique de la Décennie dans le cadre de ses 10 défis ;</w:t>
      </w:r>
    </w:p>
    <w:p w14:paraId="7E938758" w14:textId="77777777" w:rsidR="00172F52" w:rsidRPr="00172F52" w:rsidRDefault="00172F52" w:rsidP="0049181A">
      <w:pPr>
        <w:tabs>
          <w:tab w:val="left" w:pos="567"/>
        </w:tabs>
        <w:spacing w:after="240"/>
        <w:jc w:val="both"/>
        <w:rPr>
          <w:rFonts w:ascii="Arial" w:eastAsia="DengXian" w:hAnsi="Arial" w:cs="Arial"/>
          <w:snapToGrid w:val="0"/>
          <w:sz w:val="22"/>
          <w:szCs w:val="22"/>
        </w:rPr>
      </w:pPr>
      <w:r w:rsidRPr="0049181A">
        <w:rPr>
          <w:rFonts w:ascii="Arial" w:eastAsia="DengXian" w:hAnsi="Arial" w:cs="Arial"/>
          <w:i/>
          <w:iCs/>
          <w:snapToGrid w:val="0"/>
          <w:sz w:val="22"/>
          <w:szCs w:val="22"/>
        </w:rPr>
        <w:t>6.</w:t>
      </w:r>
      <w:r w:rsidRPr="00172F52">
        <w:rPr>
          <w:rFonts w:ascii="Arial" w:eastAsia="DengXian" w:hAnsi="Arial" w:cs="Arial"/>
          <w:snapToGrid w:val="0"/>
          <w:sz w:val="22"/>
          <w:szCs w:val="22"/>
        </w:rPr>
        <w:tab/>
      </w:r>
      <w:r w:rsidRPr="00172F52">
        <w:rPr>
          <w:rFonts w:ascii="Arial" w:eastAsia="DengXian" w:hAnsi="Arial" w:cs="Arial"/>
          <w:b/>
          <w:bCs/>
          <w:snapToGrid w:val="0"/>
          <w:sz w:val="22"/>
          <w:szCs w:val="22"/>
        </w:rPr>
        <w:t>Invite</w:t>
      </w:r>
      <w:r w:rsidRPr="00172F52">
        <w:rPr>
          <w:rFonts w:ascii="Arial" w:eastAsia="DengXian" w:hAnsi="Arial" w:cs="Arial"/>
          <w:snapToGrid w:val="0"/>
          <w:sz w:val="22"/>
          <w:szCs w:val="22"/>
        </w:rPr>
        <w:t xml:space="preserve"> les États membres et les partenaires à :</w:t>
      </w:r>
    </w:p>
    <w:p w14:paraId="7CBC2690" w14:textId="77777777" w:rsidR="00172F52" w:rsidRPr="00172F52" w:rsidRDefault="00172F52" w:rsidP="001118A9">
      <w:pPr>
        <w:tabs>
          <w:tab w:val="left" w:pos="567"/>
        </w:tabs>
        <w:snapToGrid w:val="0"/>
        <w:spacing w:after="240"/>
        <w:ind w:left="1134" w:hanging="567"/>
        <w:jc w:val="both"/>
        <w:rPr>
          <w:rFonts w:ascii="Arial" w:eastAsia="Times New Roman" w:hAnsi="Arial" w:cs="Arial"/>
          <w:snapToGrid w:val="0"/>
          <w:sz w:val="22"/>
          <w:szCs w:val="22"/>
        </w:rPr>
      </w:pPr>
      <w:r w:rsidRPr="00172F52">
        <w:rPr>
          <w:rFonts w:ascii="Arial" w:eastAsia="Times New Roman" w:hAnsi="Arial" w:cs="Arial"/>
          <w:snapToGrid w:val="0"/>
          <w:sz w:val="22"/>
          <w:szCs w:val="22"/>
        </w:rPr>
        <w:t>(i)</w:t>
      </w:r>
      <w:r w:rsidRPr="00172F52">
        <w:rPr>
          <w:rFonts w:ascii="Arial" w:eastAsia="Times New Roman" w:hAnsi="Arial" w:cs="Arial"/>
          <w:snapToGrid w:val="0"/>
          <w:sz w:val="22"/>
          <w:szCs w:val="22"/>
        </w:rPr>
        <w:tab/>
        <w:t>apporter des contributions financières volontaires à l’appui du travail de coordination de la Décennie mené par le Secrétariat de la COI, y compris par le biais d’un soutien en nature sous la forme, par exemple, de détachements de personnel auprès de l’Unité de coordination de la Décennie ;</w:t>
      </w:r>
    </w:p>
    <w:p w14:paraId="59205C38" w14:textId="77777777" w:rsidR="00172F52" w:rsidRPr="00172F52" w:rsidRDefault="00172F52" w:rsidP="001118A9">
      <w:pPr>
        <w:tabs>
          <w:tab w:val="left" w:pos="567"/>
        </w:tabs>
        <w:snapToGrid w:val="0"/>
        <w:spacing w:after="240"/>
        <w:ind w:left="1134" w:hanging="567"/>
        <w:jc w:val="both"/>
        <w:rPr>
          <w:rFonts w:ascii="Arial" w:eastAsia="Times New Roman" w:hAnsi="Arial" w:cs="Arial"/>
          <w:snapToGrid w:val="0"/>
          <w:sz w:val="22"/>
          <w:szCs w:val="22"/>
        </w:rPr>
      </w:pPr>
      <w:r w:rsidRPr="00172F52">
        <w:rPr>
          <w:rFonts w:ascii="Arial" w:eastAsia="Times New Roman" w:hAnsi="Arial" w:cs="Arial"/>
          <w:snapToGrid w:val="0"/>
          <w:sz w:val="22"/>
          <w:szCs w:val="22"/>
        </w:rPr>
        <w:t>(ii)</w:t>
      </w:r>
      <w:r w:rsidRPr="00172F52">
        <w:rPr>
          <w:rFonts w:ascii="Arial" w:eastAsia="Times New Roman" w:hAnsi="Arial" w:cs="Arial"/>
          <w:snapToGrid w:val="0"/>
          <w:sz w:val="22"/>
          <w:szCs w:val="22"/>
        </w:rPr>
        <w:tab/>
        <w:t xml:space="preserve">proposer d’accueillir et de financer les actions de la Décennie, les bureaux de coordination de la Décennie et les centres collaboratifs de la Décennie tels que décrits dans le </w:t>
      </w:r>
      <w:r w:rsidRPr="00172F52">
        <w:rPr>
          <w:rFonts w:ascii="Arial" w:eastAsia="Times New Roman" w:hAnsi="Arial" w:cs="Arial"/>
          <w:i/>
          <w:iCs/>
          <w:snapToGrid w:val="0"/>
          <w:sz w:val="22"/>
          <w:szCs w:val="22"/>
        </w:rPr>
        <w:t>Plan de mise en œuvre ;</w:t>
      </w:r>
    </w:p>
    <w:p w14:paraId="497EBE90" w14:textId="77777777" w:rsidR="00172F52" w:rsidRPr="00172F52" w:rsidRDefault="00172F52" w:rsidP="001118A9">
      <w:pPr>
        <w:tabs>
          <w:tab w:val="left" w:pos="567"/>
        </w:tabs>
        <w:snapToGrid w:val="0"/>
        <w:spacing w:after="240"/>
        <w:ind w:left="1134" w:hanging="567"/>
        <w:jc w:val="both"/>
        <w:rPr>
          <w:rFonts w:ascii="Arial" w:eastAsia="Times New Roman" w:hAnsi="Arial" w:cs="Arial"/>
          <w:snapToGrid w:val="0"/>
          <w:sz w:val="22"/>
          <w:szCs w:val="22"/>
        </w:rPr>
      </w:pPr>
      <w:r w:rsidRPr="00172F52">
        <w:rPr>
          <w:rFonts w:ascii="Arial" w:eastAsia="Times New Roman" w:hAnsi="Arial" w:cs="Arial"/>
          <w:snapToGrid w:val="0"/>
          <w:sz w:val="22"/>
          <w:szCs w:val="22"/>
        </w:rPr>
        <w:t>(iii)</w:t>
      </w:r>
      <w:r w:rsidRPr="00172F52">
        <w:rPr>
          <w:rFonts w:ascii="Arial" w:eastAsia="Times New Roman" w:hAnsi="Arial" w:cs="Arial"/>
          <w:snapToGrid w:val="0"/>
          <w:sz w:val="22"/>
          <w:szCs w:val="22"/>
        </w:rPr>
        <w:tab/>
        <w:t>établir des comités nationaux de la Décennie permettant de stimuler les activités nationales et la coopération internationale ;</w:t>
      </w:r>
    </w:p>
    <w:p w14:paraId="1E617B92" w14:textId="77777777" w:rsidR="00172F52" w:rsidRPr="00172F52" w:rsidRDefault="00172F52" w:rsidP="001118A9">
      <w:pPr>
        <w:tabs>
          <w:tab w:val="left" w:pos="567"/>
        </w:tabs>
        <w:snapToGrid w:val="0"/>
        <w:spacing w:after="240"/>
        <w:ind w:left="1134" w:hanging="567"/>
        <w:jc w:val="both"/>
        <w:rPr>
          <w:rFonts w:ascii="Arial" w:eastAsia="MS Mincho" w:hAnsi="Arial" w:cs="Arial"/>
          <w:snapToGrid w:val="0"/>
          <w:sz w:val="22"/>
          <w:szCs w:val="22"/>
        </w:rPr>
      </w:pPr>
      <w:r w:rsidRPr="00172F52">
        <w:rPr>
          <w:rFonts w:ascii="Arial" w:eastAsia="Times New Roman" w:hAnsi="Arial" w:cs="Arial"/>
          <w:snapToGrid w:val="0"/>
          <w:sz w:val="22"/>
          <w:szCs w:val="22"/>
        </w:rPr>
        <w:t>(iv)</w:t>
      </w:r>
      <w:r w:rsidRPr="00172F52">
        <w:rPr>
          <w:rFonts w:ascii="Arial" w:eastAsia="Times New Roman" w:hAnsi="Arial" w:cs="Arial"/>
          <w:snapToGrid w:val="0"/>
          <w:sz w:val="22"/>
          <w:szCs w:val="22"/>
        </w:rPr>
        <w:tab/>
        <w:t>accueillir des manifestations régionales ou internationales des parties prenantes de la Décennie ;</w:t>
      </w:r>
    </w:p>
    <w:p w14:paraId="1CCE610A" w14:textId="77777777" w:rsidR="00172F52" w:rsidRPr="00172F52" w:rsidRDefault="00172F52" w:rsidP="001118A9">
      <w:pPr>
        <w:spacing w:after="240"/>
        <w:ind w:left="567" w:hanging="567"/>
        <w:jc w:val="both"/>
        <w:rPr>
          <w:rFonts w:ascii="Arial" w:eastAsia="DengXian" w:hAnsi="Arial" w:cs="Arial"/>
          <w:snapToGrid w:val="0"/>
          <w:sz w:val="22"/>
          <w:szCs w:val="22"/>
        </w:rPr>
      </w:pPr>
      <w:r w:rsidRPr="0049181A">
        <w:rPr>
          <w:rFonts w:ascii="Arial" w:eastAsia="DengXian" w:hAnsi="Arial" w:cs="Arial"/>
          <w:i/>
          <w:iCs/>
          <w:snapToGrid w:val="0"/>
          <w:sz w:val="22"/>
          <w:szCs w:val="22"/>
        </w:rPr>
        <w:t>7.</w:t>
      </w:r>
      <w:r w:rsidRPr="00172F52">
        <w:rPr>
          <w:rFonts w:ascii="Arial" w:eastAsia="DengXian" w:hAnsi="Arial" w:cs="Arial"/>
          <w:snapToGrid w:val="0"/>
          <w:sz w:val="22"/>
          <w:szCs w:val="22"/>
        </w:rPr>
        <w:tab/>
      </w:r>
      <w:r w:rsidRPr="00172F52">
        <w:rPr>
          <w:rFonts w:ascii="Arial" w:eastAsia="DengXian" w:hAnsi="Arial" w:cs="Arial"/>
          <w:b/>
          <w:bCs/>
          <w:snapToGrid w:val="0"/>
          <w:sz w:val="22"/>
          <w:szCs w:val="22"/>
        </w:rPr>
        <w:t xml:space="preserve">Invite </w:t>
      </w:r>
      <w:r w:rsidRPr="00172F52">
        <w:rPr>
          <w:rFonts w:ascii="Arial" w:eastAsia="DengXian" w:hAnsi="Arial" w:cs="Arial"/>
          <w:snapToGrid w:val="0"/>
          <w:sz w:val="22"/>
          <w:szCs w:val="22"/>
        </w:rPr>
        <w:t xml:space="preserve">les membres d’ONU-Océans, les États membres des Nations Unies, les organisations scientifiques et universitaires internationales, les organisations non gouvernementales et les autres parties prenantes intéressées à soutenir la Décennie en </w:t>
      </w:r>
      <w:r w:rsidRPr="00172F52">
        <w:rPr>
          <w:rFonts w:ascii="Arial" w:eastAsia="DengXian" w:hAnsi="Arial" w:cs="Arial"/>
          <w:snapToGrid w:val="0"/>
          <w:sz w:val="22"/>
          <w:szCs w:val="22"/>
        </w:rPr>
        <w:lastRenderedPageBreak/>
        <w:t>collaboration avec la COI, et à contribuer à sa mise en œuvre en proposant des actions de la Décennie, conformément au Plan de mise en œuvre ;</w:t>
      </w:r>
    </w:p>
    <w:p w14:paraId="346D7DAC" w14:textId="77777777" w:rsidR="00172F52" w:rsidRPr="00172F52" w:rsidRDefault="00172F52" w:rsidP="001118A9">
      <w:pPr>
        <w:spacing w:after="240"/>
        <w:ind w:left="567" w:hanging="567"/>
        <w:jc w:val="both"/>
        <w:rPr>
          <w:rFonts w:ascii="Arial" w:eastAsia="DengXian" w:hAnsi="Arial" w:cs="Arial"/>
          <w:snapToGrid w:val="0"/>
          <w:sz w:val="22"/>
          <w:szCs w:val="22"/>
        </w:rPr>
      </w:pPr>
      <w:r w:rsidRPr="0049181A">
        <w:rPr>
          <w:rFonts w:ascii="Arial" w:eastAsia="DengXian" w:hAnsi="Arial" w:cs="Arial"/>
          <w:i/>
          <w:iCs/>
          <w:snapToGrid w:val="0"/>
          <w:sz w:val="22"/>
          <w:szCs w:val="22"/>
        </w:rPr>
        <w:t>8.</w:t>
      </w:r>
      <w:r w:rsidRPr="0049181A">
        <w:rPr>
          <w:rFonts w:ascii="Arial" w:eastAsia="DengXian" w:hAnsi="Arial" w:cs="Arial"/>
          <w:i/>
          <w:iCs/>
          <w:snapToGrid w:val="0"/>
          <w:sz w:val="22"/>
          <w:szCs w:val="22"/>
        </w:rPr>
        <w:tab/>
      </w:r>
      <w:r w:rsidRPr="00172F52">
        <w:rPr>
          <w:rFonts w:ascii="Arial" w:eastAsia="DengXian" w:hAnsi="Arial" w:cs="Arial"/>
          <w:b/>
          <w:bCs/>
          <w:snapToGrid w:val="0"/>
          <w:sz w:val="22"/>
          <w:szCs w:val="22"/>
        </w:rPr>
        <w:t>Remercie</w:t>
      </w:r>
      <w:r w:rsidRPr="00172F52">
        <w:rPr>
          <w:rFonts w:ascii="Arial" w:eastAsia="DengXian" w:hAnsi="Arial" w:cs="Arial"/>
          <w:snapToGrid w:val="0"/>
          <w:sz w:val="22"/>
          <w:szCs w:val="22"/>
        </w:rPr>
        <w:t xml:space="preserve"> les Gouvernements du Canada, de la Chine, de la France, de l’Inde, du Japon, de la Norvège, du Portugal, de la République de Corée, de la Belgique (Gouvernement flamand) et de la Suède, ainsi que REV Ocean, Panerai et </w:t>
      </w:r>
      <w:proofErr w:type="spellStart"/>
      <w:r w:rsidRPr="00172F52">
        <w:rPr>
          <w:rFonts w:ascii="Arial" w:eastAsia="DengXian" w:hAnsi="Arial" w:cs="Arial"/>
          <w:snapToGrid w:val="0"/>
          <w:sz w:val="22"/>
          <w:szCs w:val="22"/>
        </w:rPr>
        <w:t>Fugro</w:t>
      </w:r>
      <w:proofErr w:type="spellEnd"/>
      <w:r w:rsidRPr="00172F52">
        <w:rPr>
          <w:rFonts w:ascii="Arial" w:eastAsia="DengXian" w:hAnsi="Arial" w:cs="Arial"/>
          <w:snapToGrid w:val="0"/>
          <w:sz w:val="22"/>
          <w:szCs w:val="22"/>
        </w:rPr>
        <w:t>, de leur contribution financière à la Décennie ;</w:t>
      </w:r>
    </w:p>
    <w:p w14:paraId="677AFC6F" w14:textId="77777777" w:rsidR="00172F52" w:rsidRPr="00172F52" w:rsidRDefault="00172F52" w:rsidP="001118A9">
      <w:pPr>
        <w:spacing w:after="240"/>
        <w:ind w:left="567" w:hanging="567"/>
        <w:jc w:val="both"/>
        <w:rPr>
          <w:rFonts w:ascii="Arial" w:eastAsia="MS Mincho" w:hAnsi="Arial" w:cs="Arial"/>
          <w:snapToGrid w:val="0"/>
          <w:sz w:val="22"/>
          <w:szCs w:val="22"/>
        </w:rPr>
      </w:pPr>
      <w:r w:rsidRPr="0049181A">
        <w:rPr>
          <w:rFonts w:ascii="Arial" w:eastAsia="DengXian" w:hAnsi="Arial" w:cs="Arial"/>
          <w:i/>
          <w:iCs/>
          <w:snapToGrid w:val="0"/>
          <w:sz w:val="22"/>
          <w:szCs w:val="22"/>
        </w:rPr>
        <w:t>9.</w:t>
      </w:r>
      <w:r w:rsidRPr="00172F52">
        <w:rPr>
          <w:rFonts w:ascii="Arial" w:eastAsia="DengXian" w:hAnsi="Arial" w:cs="Arial"/>
          <w:snapToGrid w:val="0"/>
          <w:sz w:val="22"/>
          <w:szCs w:val="22"/>
        </w:rPr>
        <w:tab/>
      </w:r>
      <w:r w:rsidRPr="00172F52">
        <w:rPr>
          <w:rFonts w:ascii="Arial" w:eastAsia="DengXian" w:hAnsi="Arial" w:cs="Arial"/>
          <w:b/>
          <w:bCs/>
          <w:snapToGrid w:val="0"/>
          <w:sz w:val="22"/>
          <w:szCs w:val="22"/>
        </w:rPr>
        <w:t xml:space="preserve">Remercie également </w:t>
      </w:r>
      <w:r w:rsidRPr="00172F52">
        <w:rPr>
          <w:rFonts w:ascii="Arial" w:eastAsia="DengXian" w:hAnsi="Arial" w:cs="Arial"/>
          <w:snapToGrid w:val="0"/>
          <w:sz w:val="22"/>
          <w:szCs w:val="22"/>
        </w:rPr>
        <w:t>le Gouvernement de l’Espagne d’avoir proposé d’accueillir la 2</w:t>
      </w:r>
      <w:r w:rsidRPr="00172F52">
        <w:rPr>
          <w:rFonts w:ascii="Arial" w:eastAsia="DengXian" w:hAnsi="Arial" w:cs="Arial"/>
          <w:snapToGrid w:val="0"/>
          <w:sz w:val="22"/>
          <w:szCs w:val="22"/>
          <w:vertAlign w:val="superscript"/>
        </w:rPr>
        <w:t>e</w:t>
      </w:r>
      <w:r w:rsidRPr="00172F52">
        <w:rPr>
          <w:rFonts w:ascii="Arial" w:eastAsia="DengXian" w:hAnsi="Arial" w:cs="Arial"/>
          <w:snapToGrid w:val="0"/>
          <w:sz w:val="22"/>
          <w:szCs w:val="22"/>
        </w:rPr>
        <w:t xml:space="preserve"> Conférence internationale de la Décennie de l’Océan à Barcelone du 10 au 12 avril 2024, et </w:t>
      </w:r>
      <w:r w:rsidRPr="00172F52">
        <w:rPr>
          <w:rFonts w:ascii="Arial" w:eastAsia="DengXian" w:hAnsi="Arial" w:cs="Arial"/>
          <w:b/>
          <w:bCs/>
          <w:snapToGrid w:val="0"/>
          <w:sz w:val="22"/>
          <w:szCs w:val="22"/>
        </w:rPr>
        <w:t>encourage</w:t>
      </w:r>
      <w:r w:rsidRPr="00172F52">
        <w:rPr>
          <w:rFonts w:ascii="Arial" w:eastAsia="DengXian" w:hAnsi="Arial" w:cs="Arial"/>
          <w:snapToGrid w:val="0"/>
          <w:sz w:val="22"/>
          <w:szCs w:val="22"/>
        </w:rPr>
        <w:t xml:space="preserve"> tous les États membres à y participer activement ;</w:t>
      </w:r>
    </w:p>
    <w:p w14:paraId="74331D11" w14:textId="77777777" w:rsidR="00172F52" w:rsidRPr="00172F52" w:rsidRDefault="00172F52" w:rsidP="001118A9">
      <w:pPr>
        <w:spacing w:after="240"/>
        <w:ind w:left="567" w:hanging="567"/>
        <w:jc w:val="both"/>
        <w:rPr>
          <w:rFonts w:ascii="Arial" w:eastAsia="MS Mincho" w:hAnsi="Arial" w:cs="Arial"/>
          <w:snapToGrid w:val="0"/>
          <w:sz w:val="22"/>
          <w:szCs w:val="22"/>
        </w:rPr>
      </w:pPr>
      <w:r w:rsidRPr="0049181A">
        <w:rPr>
          <w:rFonts w:ascii="Arial" w:eastAsia="DengXian" w:hAnsi="Arial" w:cs="Arial"/>
          <w:i/>
          <w:iCs/>
          <w:snapToGrid w:val="0"/>
          <w:sz w:val="22"/>
          <w:szCs w:val="22"/>
        </w:rPr>
        <w:t>10.</w:t>
      </w:r>
      <w:r w:rsidRPr="0049181A">
        <w:rPr>
          <w:rFonts w:ascii="Arial" w:eastAsia="DengXian" w:hAnsi="Arial" w:cs="Arial"/>
          <w:i/>
          <w:iCs/>
          <w:snapToGrid w:val="0"/>
          <w:sz w:val="22"/>
          <w:szCs w:val="22"/>
        </w:rPr>
        <w:tab/>
      </w:r>
      <w:r w:rsidRPr="00172F52">
        <w:rPr>
          <w:rFonts w:ascii="Arial" w:eastAsia="DengXian" w:hAnsi="Arial" w:cs="Arial"/>
          <w:b/>
          <w:bCs/>
          <w:snapToGrid w:val="0"/>
          <w:sz w:val="22"/>
          <w:szCs w:val="22"/>
        </w:rPr>
        <w:t>Soutient</w:t>
      </w:r>
      <w:r w:rsidRPr="00172F52">
        <w:rPr>
          <w:rFonts w:ascii="Arial" w:eastAsia="DengXian" w:hAnsi="Arial" w:cs="Arial"/>
          <w:snapToGrid w:val="0"/>
          <w:sz w:val="22"/>
          <w:szCs w:val="22"/>
        </w:rPr>
        <w:t xml:space="preserve"> l’enregistrement de nouvelles actions de la Décennie menées par la COI, en particulier :</w:t>
      </w:r>
    </w:p>
    <w:p w14:paraId="67EF00D8" w14:textId="77777777" w:rsidR="00172F52" w:rsidRPr="00172F52" w:rsidRDefault="00172F52" w:rsidP="001118A9">
      <w:pPr>
        <w:numPr>
          <w:ilvl w:val="0"/>
          <w:numId w:val="2"/>
        </w:numPr>
        <w:tabs>
          <w:tab w:val="left" w:pos="567"/>
        </w:tabs>
        <w:snapToGrid w:val="0"/>
        <w:spacing w:after="240"/>
        <w:ind w:left="1134" w:hanging="567"/>
        <w:jc w:val="both"/>
        <w:rPr>
          <w:rFonts w:ascii="Arial" w:eastAsia="MS Mincho" w:hAnsi="Arial" w:cs="Arial"/>
          <w:snapToGrid w:val="0"/>
          <w:sz w:val="22"/>
          <w:szCs w:val="22"/>
        </w:rPr>
      </w:pPr>
      <w:r w:rsidRPr="00172F52">
        <w:rPr>
          <w:rFonts w:ascii="Arial" w:eastAsia="Times New Roman" w:hAnsi="Arial" w:cs="Arial"/>
          <w:snapToGrid w:val="0"/>
          <w:sz w:val="22"/>
          <w:szCs w:val="22"/>
        </w:rPr>
        <w:t>le Programme relatif aux tsunamis de la Décennie de l’Océan ;</w:t>
      </w:r>
    </w:p>
    <w:p w14:paraId="57005F6B" w14:textId="69FC6DD7" w:rsidR="00172F52" w:rsidRPr="00172F52" w:rsidRDefault="00172F52" w:rsidP="001118A9">
      <w:pPr>
        <w:numPr>
          <w:ilvl w:val="0"/>
          <w:numId w:val="2"/>
        </w:numPr>
        <w:tabs>
          <w:tab w:val="left" w:pos="567"/>
        </w:tabs>
        <w:snapToGrid w:val="0"/>
        <w:spacing w:after="240"/>
        <w:ind w:left="1134" w:hanging="567"/>
        <w:jc w:val="both"/>
        <w:rPr>
          <w:rFonts w:ascii="Arial" w:eastAsia="MS Mincho" w:hAnsi="Arial" w:cs="Arial"/>
          <w:snapToGrid w:val="0"/>
          <w:sz w:val="22"/>
          <w:szCs w:val="22"/>
        </w:rPr>
      </w:pPr>
      <w:r w:rsidRPr="00172F52">
        <w:rPr>
          <w:rFonts w:ascii="Arial" w:eastAsia="Times New Roman" w:hAnsi="Arial" w:cs="Arial"/>
          <w:snapToGrid w:val="0"/>
          <w:sz w:val="22"/>
          <w:szCs w:val="22"/>
        </w:rPr>
        <w:t>OBIS 2030 – le centre de données sur la biodiversité pour les actions de la Décennie de l’Océan ;</w:t>
      </w:r>
    </w:p>
    <w:p w14:paraId="44597CDD" w14:textId="77777777" w:rsidR="00172F52" w:rsidRPr="00172F52" w:rsidRDefault="00172F52" w:rsidP="001118A9">
      <w:pPr>
        <w:numPr>
          <w:ilvl w:val="0"/>
          <w:numId w:val="2"/>
        </w:numPr>
        <w:tabs>
          <w:tab w:val="left" w:pos="567"/>
        </w:tabs>
        <w:snapToGrid w:val="0"/>
        <w:spacing w:after="240"/>
        <w:ind w:left="1134" w:hanging="567"/>
        <w:jc w:val="both"/>
        <w:rPr>
          <w:rFonts w:ascii="Arial" w:eastAsia="MS Mincho" w:hAnsi="Arial" w:cs="Arial"/>
          <w:snapToGrid w:val="0"/>
          <w:spacing w:val="-4"/>
          <w:sz w:val="22"/>
          <w:szCs w:val="22"/>
        </w:rPr>
      </w:pPr>
      <w:r w:rsidRPr="00172F52">
        <w:rPr>
          <w:rFonts w:ascii="Arial" w:eastAsia="Times New Roman" w:hAnsi="Arial" w:cs="Arial"/>
          <w:snapToGrid w:val="0"/>
          <w:spacing w:val="-4"/>
          <w:sz w:val="22"/>
          <w:szCs w:val="22"/>
        </w:rPr>
        <w:t>le renforcement de la résilience des communautés côtières de l’Atlantique du Nord</w:t>
      </w:r>
      <w:r w:rsidRPr="00172F52">
        <w:rPr>
          <w:rFonts w:ascii="Arial" w:eastAsia="Times New Roman" w:hAnsi="Arial" w:cs="Arial"/>
          <w:snapToGrid w:val="0"/>
          <w:spacing w:val="-4"/>
          <w:sz w:val="22"/>
          <w:szCs w:val="22"/>
        </w:rPr>
        <w:noBreakHyphen/>
        <w:t>Est et de la Méditerranée face aux tsunamis et autres risques côtiers liés au niveau de la mer ;</w:t>
      </w:r>
    </w:p>
    <w:p w14:paraId="381800D4" w14:textId="77777777" w:rsidR="00172F52" w:rsidRPr="00172F52" w:rsidRDefault="00172F52" w:rsidP="001118A9">
      <w:pPr>
        <w:spacing w:after="240"/>
        <w:ind w:left="567" w:hanging="567"/>
        <w:jc w:val="both"/>
        <w:rPr>
          <w:rFonts w:ascii="Arial" w:eastAsia="MS Mincho" w:hAnsi="Arial" w:cs="Arial"/>
          <w:snapToGrid w:val="0"/>
          <w:sz w:val="22"/>
          <w:szCs w:val="22"/>
        </w:rPr>
      </w:pPr>
      <w:r w:rsidRPr="0049181A">
        <w:rPr>
          <w:rFonts w:ascii="Arial" w:eastAsia="DengXian" w:hAnsi="Arial" w:cs="Arial"/>
          <w:i/>
          <w:iCs/>
          <w:snapToGrid w:val="0"/>
          <w:sz w:val="22"/>
          <w:szCs w:val="22"/>
        </w:rPr>
        <w:t>11.</w:t>
      </w:r>
      <w:r w:rsidRPr="00172F52">
        <w:rPr>
          <w:rFonts w:ascii="Arial" w:eastAsia="DengXian" w:hAnsi="Arial" w:cs="Arial"/>
          <w:snapToGrid w:val="0"/>
          <w:sz w:val="22"/>
          <w:szCs w:val="22"/>
        </w:rPr>
        <w:tab/>
      </w:r>
      <w:r w:rsidRPr="00172F52">
        <w:rPr>
          <w:rFonts w:ascii="Arial" w:eastAsia="DengXian" w:hAnsi="Arial" w:cs="Arial"/>
          <w:b/>
          <w:bCs/>
          <w:snapToGrid w:val="0"/>
          <w:sz w:val="22"/>
          <w:szCs w:val="22"/>
        </w:rPr>
        <w:t>Soutient également</w:t>
      </w:r>
      <w:r w:rsidRPr="00172F52">
        <w:rPr>
          <w:rFonts w:ascii="Arial" w:eastAsia="DengXian" w:hAnsi="Arial" w:cs="Arial"/>
          <w:snapToGrid w:val="0"/>
          <w:sz w:val="22"/>
          <w:szCs w:val="22"/>
        </w:rPr>
        <w:t xml:space="preserve"> le rôle actif joué par les organes subsidiaires régionaux et techniques et les programmes de la COI s’agissant de faciliter la coordination régionale et thématique de la Décennie et les activités de mobilisation, en particulier celles :</w:t>
      </w:r>
    </w:p>
    <w:p w14:paraId="0BE496FE" w14:textId="77777777" w:rsidR="00172F52" w:rsidRPr="00172F52" w:rsidRDefault="00172F52" w:rsidP="001118A9">
      <w:pPr>
        <w:numPr>
          <w:ilvl w:val="0"/>
          <w:numId w:val="1"/>
        </w:numPr>
        <w:tabs>
          <w:tab w:val="left" w:pos="567"/>
        </w:tabs>
        <w:adjustRightInd w:val="0"/>
        <w:snapToGrid w:val="0"/>
        <w:spacing w:after="240"/>
        <w:ind w:left="1134" w:hanging="567"/>
        <w:jc w:val="both"/>
        <w:rPr>
          <w:rFonts w:ascii="Arial" w:eastAsia="MS Mincho" w:hAnsi="Arial" w:cs="Arial"/>
          <w:snapToGrid w:val="0"/>
          <w:sz w:val="22"/>
          <w:szCs w:val="22"/>
        </w:rPr>
      </w:pPr>
      <w:r w:rsidRPr="00172F52">
        <w:rPr>
          <w:rFonts w:ascii="Arial" w:eastAsia="Times New Roman" w:hAnsi="Arial" w:cs="Arial"/>
          <w:snapToGrid w:val="0"/>
          <w:sz w:val="22"/>
          <w:szCs w:val="22"/>
        </w:rPr>
        <w:t>du Secrétariat de la Sous-Commission de la COI pour le Pacifique occidental (WESTPAC), en tant que Bureau de coordination de la Décennie pour la région du Pacifique occidental ;</w:t>
      </w:r>
    </w:p>
    <w:p w14:paraId="5B8136CF" w14:textId="77777777" w:rsidR="00172F52" w:rsidRPr="00172F52" w:rsidRDefault="00172F52" w:rsidP="001118A9">
      <w:pPr>
        <w:numPr>
          <w:ilvl w:val="0"/>
          <w:numId w:val="1"/>
        </w:numPr>
        <w:tabs>
          <w:tab w:val="left" w:pos="567"/>
        </w:tabs>
        <w:adjustRightInd w:val="0"/>
        <w:snapToGrid w:val="0"/>
        <w:spacing w:after="240"/>
        <w:ind w:left="1134" w:hanging="567"/>
        <w:jc w:val="both"/>
        <w:rPr>
          <w:rFonts w:ascii="Arial" w:eastAsia="MS Mincho" w:hAnsi="Arial" w:cs="Arial"/>
          <w:snapToGrid w:val="0"/>
          <w:sz w:val="22"/>
          <w:szCs w:val="22"/>
        </w:rPr>
      </w:pPr>
      <w:r w:rsidRPr="00172F52">
        <w:rPr>
          <w:rFonts w:ascii="Arial" w:eastAsia="Times New Roman" w:hAnsi="Arial" w:cs="Arial"/>
          <w:snapToGrid w:val="0"/>
          <w:sz w:val="22"/>
          <w:szCs w:val="22"/>
        </w:rPr>
        <w:t>du Secrétariat de la Sous-Commission de la COI pour la mer des Caraïbes et les régions adjacentes (IOCARIBE), en tant que Bureau de coordination de la Décennie pour la région de l’Amérique tropicale et des Caraïbes ;</w:t>
      </w:r>
    </w:p>
    <w:p w14:paraId="0720874F" w14:textId="77777777" w:rsidR="00172F52" w:rsidRPr="00172F52" w:rsidRDefault="00172F52" w:rsidP="001118A9">
      <w:pPr>
        <w:numPr>
          <w:ilvl w:val="0"/>
          <w:numId w:val="1"/>
        </w:numPr>
        <w:tabs>
          <w:tab w:val="left" w:pos="567"/>
        </w:tabs>
        <w:adjustRightInd w:val="0"/>
        <w:snapToGrid w:val="0"/>
        <w:spacing w:after="240"/>
        <w:ind w:left="1134" w:hanging="567"/>
        <w:jc w:val="both"/>
        <w:rPr>
          <w:rFonts w:ascii="Arial" w:eastAsia="MS Mincho" w:hAnsi="Arial" w:cs="Arial"/>
          <w:snapToGrid w:val="0"/>
          <w:sz w:val="22"/>
          <w:szCs w:val="22"/>
        </w:rPr>
      </w:pPr>
      <w:r w:rsidRPr="00172F52">
        <w:rPr>
          <w:rFonts w:ascii="Arial" w:eastAsia="Times New Roman" w:hAnsi="Arial" w:cs="Arial"/>
          <w:snapToGrid w:val="0"/>
          <w:sz w:val="22"/>
          <w:szCs w:val="22"/>
        </w:rPr>
        <w:t>du Secrétariat de la Sous-commission de la COI pour l’Afrique et les États insulaires adjacents (IOCAFRICA), en tant que Bureau de coordination de la Décennie pour l’Afrique ;</w:t>
      </w:r>
    </w:p>
    <w:p w14:paraId="05F38897" w14:textId="77777777" w:rsidR="00172F52" w:rsidRPr="00172F52" w:rsidRDefault="00172F52" w:rsidP="001118A9">
      <w:pPr>
        <w:numPr>
          <w:ilvl w:val="0"/>
          <w:numId w:val="1"/>
        </w:numPr>
        <w:tabs>
          <w:tab w:val="left" w:pos="-737"/>
          <w:tab w:val="left" w:pos="567"/>
        </w:tabs>
        <w:snapToGrid w:val="0"/>
        <w:spacing w:after="240"/>
        <w:ind w:left="1134" w:hanging="567"/>
        <w:jc w:val="both"/>
        <w:rPr>
          <w:rFonts w:ascii="Arial" w:eastAsia="Times New Roman" w:hAnsi="Arial" w:cs="Arial"/>
          <w:snapToGrid w:val="0"/>
          <w:sz w:val="22"/>
          <w:szCs w:val="22"/>
        </w:rPr>
      </w:pPr>
      <w:r w:rsidRPr="00172F52">
        <w:rPr>
          <w:rFonts w:ascii="Arial" w:eastAsia="Times New Roman" w:hAnsi="Arial" w:cs="Arial"/>
          <w:snapToGrid w:val="0"/>
          <w:sz w:val="22"/>
          <w:szCs w:val="22"/>
        </w:rPr>
        <w:t>du Bureau des projets de l’Échange international des données et de l’information océanographiques (IODE), en tant que Bureau de coordination de la Décennie pour le partage des données océaniques ;</w:t>
      </w:r>
    </w:p>
    <w:p w14:paraId="6ACBC6BE" w14:textId="77777777" w:rsidR="00172F52" w:rsidRPr="00172F52" w:rsidRDefault="00172F52" w:rsidP="001118A9">
      <w:pPr>
        <w:numPr>
          <w:ilvl w:val="0"/>
          <w:numId w:val="1"/>
        </w:numPr>
        <w:tabs>
          <w:tab w:val="left" w:pos="-737"/>
          <w:tab w:val="left" w:pos="567"/>
        </w:tabs>
        <w:snapToGrid w:val="0"/>
        <w:spacing w:after="240"/>
        <w:ind w:left="1134" w:hanging="567"/>
        <w:jc w:val="both"/>
        <w:rPr>
          <w:rFonts w:ascii="Arial" w:eastAsia="Times New Roman" w:hAnsi="Arial" w:cs="Arial"/>
          <w:snapToGrid w:val="0"/>
          <w:sz w:val="22"/>
          <w:szCs w:val="22"/>
        </w:rPr>
      </w:pPr>
      <w:r w:rsidRPr="00172F52">
        <w:rPr>
          <w:rFonts w:ascii="Arial" w:eastAsia="Times New Roman" w:hAnsi="Arial" w:cs="Arial"/>
          <w:snapToGrid w:val="0"/>
          <w:sz w:val="22"/>
          <w:szCs w:val="22"/>
        </w:rPr>
        <w:t>du Bureau des projets du Système mondial d’observation de l’océan (GOOS), en tant que Bureau de coordination de la Décennie pour l’observation de l’océan ;</w:t>
      </w:r>
    </w:p>
    <w:p w14:paraId="26946894" w14:textId="77777777" w:rsidR="00172F52" w:rsidRPr="00172F52" w:rsidRDefault="00172F52" w:rsidP="001118A9">
      <w:pPr>
        <w:spacing w:after="240"/>
        <w:ind w:left="567" w:hanging="567"/>
        <w:jc w:val="both"/>
        <w:rPr>
          <w:rFonts w:ascii="Arial" w:eastAsia="DengXian" w:hAnsi="Arial" w:cs="Arial"/>
          <w:snapToGrid w:val="0"/>
          <w:sz w:val="22"/>
          <w:szCs w:val="22"/>
        </w:rPr>
      </w:pPr>
      <w:r w:rsidRPr="0049181A">
        <w:rPr>
          <w:rFonts w:ascii="Arial" w:eastAsia="DengXian" w:hAnsi="Arial" w:cs="Arial"/>
          <w:i/>
          <w:iCs/>
          <w:snapToGrid w:val="0"/>
          <w:sz w:val="22"/>
          <w:szCs w:val="22"/>
        </w:rPr>
        <w:t>12.</w:t>
      </w:r>
      <w:r w:rsidRPr="0049181A">
        <w:rPr>
          <w:rFonts w:ascii="Arial" w:eastAsia="DengXian" w:hAnsi="Arial" w:cs="Arial"/>
          <w:i/>
          <w:iCs/>
          <w:snapToGrid w:val="0"/>
          <w:sz w:val="22"/>
          <w:szCs w:val="22"/>
        </w:rPr>
        <w:tab/>
      </w:r>
      <w:r w:rsidRPr="00172F52">
        <w:rPr>
          <w:rFonts w:ascii="Arial" w:eastAsia="DengXian" w:hAnsi="Arial" w:cs="Arial"/>
          <w:b/>
          <w:bCs/>
          <w:snapToGrid w:val="0"/>
          <w:spacing w:val="-4"/>
          <w:sz w:val="22"/>
          <w:szCs w:val="22"/>
        </w:rPr>
        <w:t>Salue</w:t>
      </w:r>
      <w:r w:rsidRPr="00172F52">
        <w:rPr>
          <w:rFonts w:ascii="Arial" w:eastAsia="DengXian" w:hAnsi="Arial" w:cs="Arial"/>
          <w:snapToGrid w:val="0"/>
          <w:spacing w:val="-4"/>
          <w:sz w:val="22"/>
          <w:szCs w:val="22"/>
        </w:rPr>
        <w:t xml:space="preserve"> la création de l’Équipe spéciale de la Décennie de l’Océan pour l’Afrique dont l’objectif est la mise en œuvre de la Feuille de route de la Décennie de l’Océan pour l’Afrique et de ses neuf actions prioritaires, ainsi que les plans relatifs à l’établissement d’une équipe spéciale pour l’Amérique tropicale et les Caraïbes avec le soutien du Secrétariat de l’IOCARIBE ;</w:t>
      </w:r>
    </w:p>
    <w:p w14:paraId="267CAB7E" w14:textId="77777777" w:rsidR="00172F52" w:rsidRPr="00172F52" w:rsidRDefault="00172F52" w:rsidP="001118A9">
      <w:pPr>
        <w:spacing w:after="240"/>
        <w:ind w:left="567" w:hanging="567"/>
        <w:jc w:val="both"/>
        <w:rPr>
          <w:rFonts w:ascii="Arial" w:eastAsia="MS Mincho" w:hAnsi="Arial" w:cs="Arial"/>
          <w:snapToGrid w:val="0"/>
          <w:color w:val="000000"/>
          <w:sz w:val="22"/>
          <w:szCs w:val="22"/>
        </w:rPr>
      </w:pPr>
      <w:r w:rsidRPr="0049181A">
        <w:rPr>
          <w:rFonts w:ascii="Arial" w:eastAsia="DengXian" w:hAnsi="Arial" w:cs="Arial"/>
          <w:i/>
          <w:iCs/>
          <w:snapToGrid w:val="0"/>
          <w:sz w:val="22"/>
          <w:szCs w:val="22"/>
        </w:rPr>
        <w:t>13.</w:t>
      </w:r>
      <w:r w:rsidRPr="0049181A">
        <w:rPr>
          <w:rFonts w:ascii="Arial" w:eastAsia="DengXian" w:hAnsi="Arial" w:cs="Arial"/>
          <w:i/>
          <w:iCs/>
          <w:snapToGrid w:val="0"/>
          <w:sz w:val="22"/>
          <w:szCs w:val="22"/>
        </w:rPr>
        <w:tab/>
      </w:r>
      <w:r w:rsidRPr="00172F52">
        <w:rPr>
          <w:rFonts w:ascii="Arial" w:eastAsia="DengXian" w:hAnsi="Arial" w:cs="Arial"/>
          <w:b/>
          <w:bCs/>
          <w:snapToGrid w:val="0"/>
          <w:sz w:val="22"/>
          <w:szCs w:val="22"/>
        </w:rPr>
        <w:t>Constate</w:t>
      </w:r>
      <w:r w:rsidRPr="00172F52">
        <w:rPr>
          <w:rFonts w:ascii="Arial" w:eastAsia="DengXian" w:hAnsi="Arial" w:cs="Arial"/>
          <w:snapToGrid w:val="0"/>
          <w:sz w:val="22"/>
          <w:szCs w:val="22"/>
        </w:rPr>
        <w:t xml:space="preserve"> les lacunes qui subsistent dans l’élaboration d’actions de la Décennie menées par des partenaires de petits États insulaires en développement et de pays les moins </w:t>
      </w:r>
      <w:r w:rsidRPr="00172F52">
        <w:rPr>
          <w:rFonts w:ascii="Arial" w:eastAsia="DengXian" w:hAnsi="Arial" w:cs="Arial"/>
          <w:snapToGrid w:val="0"/>
          <w:sz w:val="22"/>
          <w:szCs w:val="22"/>
        </w:rPr>
        <w:lastRenderedPageBreak/>
        <w:t xml:space="preserve">avancés, et </w:t>
      </w:r>
      <w:r w:rsidRPr="00172F52">
        <w:rPr>
          <w:rFonts w:ascii="Arial" w:eastAsia="DengXian" w:hAnsi="Arial" w:cs="Arial"/>
          <w:b/>
          <w:bCs/>
          <w:snapToGrid w:val="0"/>
          <w:sz w:val="22"/>
          <w:szCs w:val="22"/>
        </w:rPr>
        <w:t>salue également</w:t>
      </w:r>
      <w:r w:rsidRPr="00172F52">
        <w:rPr>
          <w:rFonts w:ascii="Arial" w:eastAsia="DengXian" w:hAnsi="Arial" w:cs="Arial"/>
          <w:snapToGrid w:val="0"/>
          <w:sz w:val="22"/>
          <w:szCs w:val="22"/>
        </w:rPr>
        <w:t xml:space="preserve"> la création du dispositif de développement des capacités de la Décennie de l’Océan soutenu par le Gouvernement de la Belgique (Flandres) ;</w:t>
      </w:r>
    </w:p>
    <w:p w14:paraId="17CBBD51" w14:textId="77777777" w:rsidR="00172F52" w:rsidRPr="00172F52" w:rsidRDefault="00172F52" w:rsidP="001118A9">
      <w:pPr>
        <w:spacing w:after="240"/>
        <w:ind w:left="567" w:hanging="567"/>
        <w:jc w:val="both"/>
        <w:rPr>
          <w:rFonts w:ascii="Arial" w:eastAsia="DengXian" w:hAnsi="Arial" w:cs="Arial"/>
          <w:snapToGrid w:val="0"/>
          <w:sz w:val="22"/>
          <w:szCs w:val="22"/>
        </w:rPr>
      </w:pPr>
      <w:r w:rsidRPr="0049181A">
        <w:rPr>
          <w:rFonts w:ascii="Arial" w:eastAsia="DengXian" w:hAnsi="Arial" w:cs="Arial"/>
          <w:i/>
          <w:iCs/>
          <w:snapToGrid w:val="0"/>
          <w:sz w:val="22"/>
          <w:szCs w:val="22"/>
        </w:rPr>
        <w:t>14.</w:t>
      </w:r>
      <w:r w:rsidRPr="00172F52">
        <w:rPr>
          <w:rFonts w:ascii="Arial" w:eastAsia="DengXian" w:hAnsi="Arial" w:cs="Arial"/>
          <w:snapToGrid w:val="0"/>
          <w:sz w:val="22"/>
          <w:szCs w:val="22"/>
        </w:rPr>
        <w:tab/>
      </w:r>
      <w:r w:rsidRPr="00172F52">
        <w:rPr>
          <w:rFonts w:ascii="Arial" w:eastAsia="DengXian" w:hAnsi="Arial" w:cs="Arial"/>
          <w:b/>
          <w:bCs/>
          <w:snapToGrid w:val="0"/>
          <w:sz w:val="22"/>
          <w:szCs w:val="22"/>
        </w:rPr>
        <w:t>Prend note en outre</w:t>
      </w:r>
      <w:r w:rsidRPr="00172F52">
        <w:rPr>
          <w:rFonts w:ascii="Arial" w:eastAsia="DengXian" w:hAnsi="Arial" w:cs="Arial"/>
          <w:snapToGrid w:val="0"/>
          <w:sz w:val="22"/>
          <w:szCs w:val="22"/>
        </w:rPr>
        <w:t xml:space="preserve"> des besoins en ressources définis par les bureaux de coordination sous la conduite de la COI et les programmes de la COI pour l’exécution des fonctions de coordination de la Décennie ;</w:t>
      </w:r>
    </w:p>
    <w:p w14:paraId="184B51FA" w14:textId="138CC2E6" w:rsidR="005343B3" w:rsidRDefault="00172F52" w:rsidP="001118A9">
      <w:pPr>
        <w:spacing w:after="240"/>
        <w:ind w:left="567" w:hanging="567"/>
        <w:jc w:val="both"/>
      </w:pPr>
      <w:r w:rsidRPr="0049181A">
        <w:rPr>
          <w:rFonts w:ascii="Arial" w:eastAsia="DengXian" w:hAnsi="Arial" w:cs="Arial"/>
          <w:i/>
          <w:iCs/>
          <w:snapToGrid w:val="0"/>
          <w:sz w:val="22"/>
          <w:szCs w:val="22"/>
        </w:rPr>
        <w:t>15.</w:t>
      </w:r>
      <w:r w:rsidRPr="00172F52">
        <w:rPr>
          <w:rFonts w:ascii="Arial" w:eastAsia="DengXian" w:hAnsi="Arial" w:cs="Arial"/>
          <w:snapToGrid w:val="0"/>
          <w:sz w:val="22"/>
          <w:szCs w:val="22"/>
        </w:rPr>
        <w:tab/>
      </w:r>
      <w:r w:rsidRPr="00172F52">
        <w:rPr>
          <w:rFonts w:ascii="Arial" w:eastAsia="DengXian" w:hAnsi="Arial" w:cs="Arial"/>
          <w:b/>
          <w:bCs/>
          <w:snapToGrid w:val="0"/>
          <w:sz w:val="22"/>
          <w:szCs w:val="22"/>
        </w:rPr>
        <w:t>Invite</w:t>
      </w:r>
      <w:r w:rsidRPr="00172F52">
        <w:rPr>
          <w:rFonts w:ascii="Arial" w:eastAsia="DengXian" w:hAnsi="Arial" w:cs="Arial"/>
          <w:snapToGrid w:val="0"/>
          <w:sz w:val="22"/>
          <w:szCs w:val="22"/>
        </w:rPr>
        <w:t xml:space="preserve"> les États membres, les partenaires et les organisations donatrices à soutenir </w:t>
      </w:r>
      <w:r w:rsidR="003355B2">
        <w:rPr>
          <w:rFonts w:ascii="Arial" w:eastAsia="DengXian" w:hAnsi="Arial" w:cs="Arial"/>
          <w:snapToGrid w:val="0"/>
          <w:sz w:val="22"/>
          <w:szCs w:val="22"/>
        </w:rPr>
        <w:t>l</w:t>
      </w:r>
      <w:r w:rsidRPr="00172F52">
        <w:rPr>
          <w:rFonts w:ascii="Arial" w:eastAsia="DengXian" w:hAnsi="Arial" w:cs="Arial"/>
          <w:snapToGrid w:val="0"/>
          <w:sz w:val="22"/>
          <w:szCs w:val="22"/>
        </w:rPr>
        <w:t xml:space="preserve">es actions </w:t>
      </w:r>
      <w:r w:rsidR="003355B2">
        <w:rPr>
          <w:rFonts w:ascii="Arial" w:eastAsia="DengXian" w:hAnsi="Arial" w:cs="Arial"/>
          <w:snapToGrid w:val="0"/>
          <w:sz w:val="22"/>
          <w:szCs w:val="22"/>
        </w:rPr>
        <w:t xml:space="preserve">de la Décennie menées par la COI </w:t>
      </w:r>
      <w:r w:rsidRPr="00172F52">
        <w:rPr>
          <w:rFonts w:ascii="Arial" w:eastAsia="DengXian" w:hAnsi="Arial" w:cs="Arial"/>
          <w:snapToGrid w:val="0"/>
          <w:sz w:val="22"/>
          <w:szCs w:val="22"/>
        </w:rPr>
        <w:t xml:space="preserve">et </w:t>
      </w:r>
      <w:r w:rsidR="003355B2">
        <w:rPr>
          <w:rFonts w:ascii="Arial" w:eastAsia="DengXian" w:hAnsi="Arial" w:cs="Arial"/>
          <w:snapToGrid w:val="0"/>
          <w:sz w:val="22"/>
          <w:szCs w:val="22"/>
        </w:rPr>
        <w:t>l</w:t>
      </w:r>
      <w:r w:rsidRPr="00172F52">
        <w:rPr>
          <w:rFonts w:ascii="Arial" w:eastAsia="DengXian" w:hAnsi="Arial" w:cs="Arial"/>
          <w:snapToGrid w:val="0"/>
          <w:sz w:val="22"/>
          <w:szCs w:val="22"/>
        </w:rPr>
        <w:t>es mécanismes de coordination de la Décennie, notamment en allouant des ressources extrabudgétaires aux programmes et régions pertinents de la COI, afin de réaliser leurs ambitions de transformation, de guider leurs communautés respectives et de servir de catalyseurs pour d’autres actions dans le cadre de la Décennie et au-delà.</w:t>
      </w:r>
    </w:p>
    <w:sectPr w:rsidR="005343B3" w:rsidSect="001118A9">
      <w:headerReference w:type="even" r:id="rId7"/>
      <w:headerReference w:type="default" r:id="rId8"/>
      <w:pgSz w:w="11900" w:h="16840"/>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B5892" w14:textId="77777777" w:rsidR="001118A9" w:rsidRDefault="001118A9" w:rsidP="001118A9">
      <w:r>
        <w:separator/>
      </w:r>
    </w:p>
  </w:endnote>
  <w:endnote w:type="continuationSeparator" w:id="0">
    <w:p w14:paraId="688D02CA" w14:textId="77777777" w:rsidR="001118A9" w:rsidRDefault="001118A9" w:rsidP="00111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02DB63" w14:textId="77777777" w:rsidR="001118A9" w:rsidRDefault="001118A9" w:rsidP="001118A9">
      <w:r>
        <w:separator/>
      </w:r>
    </w:p>
  </w:footnote>
  <w:footnote w:type="continuationSeparator" w:id="0">
    <w:p w14:paraId="74ED2920" w14:textId="77777777" w:rsidR="001118A9" w:rsidRDefault="001118A9" w:rsidP="001118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1B863" w14:textId="0DA10EF2" w:rsidR="004F673C" w:rsidRPr="004F673C" w:rsidRDefault="004F673C" w:rsidP="004F673C">
    <w:pPr>
      <w:pStyle w:val="Header"/>
      <w:rPr>
        <w:bCs/>
      </w:rPr>
    </w:pPr>
    <w:r w:rsidRPr="001118A9">
      <w:rPr>
        <w:rFonts w:ascii="Arial" w:hAnsi="Arial" w:cs="Arial"/>
        <w:bCs/>
        <w:sz w:val="22"/>
        <w:szCs w:val="22"/>
      </w:rPr>
      <w:t xml:space="preserve">A-32/DR.[4.12] – page </w:t>
    </w:r>
    <w:r w:rsidRPr="001118A9">
      <w:rPr>
        <w:rFonts w:ascii="Arial" w:hAnsi="Arial" w:cs="Arial"/>
        <w:bCs/>
        <w:sz w:val="22"/>
        <w:szCs w:val="22"/>
      </w:rPr>
      <w:fldChar w:fldCharType="begin"/>
    </w:r>
    <w:r w:rsidRPr="001118A9">
      <w:rPr>
        <w:rFonts w:ascii="Arial" w:hAnsi="Arial" w:cs="Arial"/>
        <w:bCs/>
        <w:sz w:val="22"/>
        <w:szCs w:val="22"/>
      </w:rPr>
      <w:instrText>PAGE   \* MERGEFORMAT</w:instrText>
    </w:r>
    <w:r w:rsidRPr="001118A9">
      <w:rPr>
        <w:rFonts w:ascii="Arial" w:hAnsi="Arial" w:cs="Arial"/>
        <w:bCs/>
        <w:sz w:val="22"/>
        <w:szCs w:val="22"/>
      </w:rPr>
      <w:fldChar w:fldCharType="separate"/>
    </w:r>
    <w:r>
      <w:rPr>
        <w:rFonts w:ascii="Arial" w:hAnsi="Arial" w:cs="Arial"/>
        <w:bCs/>
        <w:sz w:val="22"/>
        <w:szCs w:val="22"/>
      </w:rPr>
      <w:t>3</w:t>
    </w:r>
    <w:r w:rsidRPr="001118A9">
      <w:rPr>
        <w:rFonts w:ascii="Arial" w:hAnsi="Arial" w:cs="Arial"/>
        <w:bCs/>
        <w:sz w:val="22"/>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820EF" w14:textId="78CCCDA1" w:rsidR="001118A9" w:rsidRPr="001118A9" w:rsidRDefault="001118A9" w:rsidP="001118A9">
    <w:pPr>
      <w:pStyle w:val="Header"/>
      <w:jc w:val="right"/>
      <w:rPr>
        <w:bCs/>
      </w:rPr>
    </w:pPr>
    <w:r w:rsidRPr="001118A9">
      <w:rPr>
        <w:rFonts w:ascii="Arial" w:hAnsi="Arial" w:cs="Arial"/>
        <w:bCs/>
        <w:sz w:val="22"/>
        <w:szCs w:val="22"/>
      </w:rPr>
      <w:t xml:space="preserve">A-32/DR.[4.12] – page </w:t>
    </w:r>
    <w:r w:rsidRPr="001118A9">
      <w:rPr>
        <w:rFonts w:ascii="Arial" w:hAnsi="Arial" w:cs="Arial"/>
        <w:bCs/>
        <w:sz w:val="22"/>
        <w:szCs w:val="22"/>
      </w:rPr>
      <w:fldChar w:fldCharType="begin"/>
    </w:r>
    <w:r w:rsidRPr="001118A9">
      <w:rPr>
        <w:rFonts w:ascii="Arial" w:hAnsi="Arial" w:cs="Arial"/>
        <w:bCs/>
        <w:sz w:val="22"/>
        <w:szCs w:val="22"/>
      </w:rPr>
      <w:instrText>PAGE   \* MERGEFORMAT</w:instrText>
    </w:r>
    <w:r w:rsidRPr="001118A9">
      <w:rPr>
        <w:rFonts w:ascii="Arial" w:hAnsi="Arial" w:cs="Arial"/>
        <w:bCs/>
        <w:sz w:val="22"/>
        <w:szCs w:val="22"/>
      </w:rPr>
      <w:fldChar w:fldCharType="separate"/>
    </w:r>
    <w:r w:rsidRPr="001118A9">
      <w:rPr>
        <w:rFonts w:ascii="Arial" w:hAnsi="Arial" w:cs="Arial"/>
        <w:bCs/>
        <w:sz w:val="22"/>
        <w:szCs w:val="22"/>
      </w:rPr>
      <w:t>1</w:t>
    </w:r>
    <w:r w:rsidRPr="001118A9">
      <w:rPr>
        <w:rFonts w:ascii="Arial" w:hAnsi="Arial" w:cs="Arial"/>
        <w:bCs/>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5E6BCE"/>
    <w:multiLevelType w:val="hybridMultilevel"/>
    <w:tmpl w:val="08A60DF0"/>
    <w:lvl w:ilvl="0" w:tplc="1ED68020">
      <w:start w:val="1"/>
      <w:numFmt w:val="lowerRoman"/>
      <w:lvlText w:val="(%1)"/>
      <w:lvlJc w:val="left"/>
      <w:pPr>
        <w:ind w:left="720" w:hanging="360"/>
      </w:pPr>
      <w:rPr>
        <w:rFonts w:ascii="Arial" w:hAnsi="Arial" w:hint="default"/>
        <w:b w:val="0"/>
        <w:i w:val="0"/>
        <w:caps w:val="0"/>
        <w:strike w:val="0"/>
        <w:dstrike w:val="0"/>
        <w:vanish w:val="0"/>
        <w:sz w:val="22"/>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FD65BF"/>
    <w:multiLevelType w:val="hybridMultilevel"/>
    <w:tmpl w:val="5FACC7FE"/>
    <w:lvl w:ilvl="0" w:tplc="432A2448">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16cid:durableId="1412459394">
    <w:abstractNumId w:val="0"/>
  </w:num>
  <w:num w:numId="2" w16cid:durableId="14123920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F52"/>
    <w:rsid w:val="001118A9"/>
    <w:rsid w:val="00172F52"/>
    <w:rsid w:val="003355B2"/>
    <w:rsid w:val="00426790"/>
    <w:rsid w:val="0049181A"/>
    <w:rsid w:val="004F673C"/>
    <w:rsid w:val="005343B3"/>
    <w:rsid w:val="00B97081"/>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74452A"/>
  <w15:chartTrackingRefBased/>
  <w15:docId w15:val="{BE818DF2-DDE1-C940-AF37-81A3D2053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1118A9"/>
  </w:style>
  <w:style w:type="paragraph" w:styleId="Header">
    <w:name w:val="header"/>
    <w:basedOn w:val="Normal"/>
    <w:link w:val="HeaderChar"/>
    <w:uiPriority w:val="99"/>
    <w:unhideWhenUsed/>
    <w:rsid w:val="001118A9"/>
    <w:pPr>
      <w:tabs>
        <w:tab w:val="center" w:pos="4513"/>
        <w:tab w:val="right" w:pos="9026"/>
      </w:tabs>
    </w:pPr>
  </w:style>
  <w:style w:type="character" w:customStyle="1" w:styleId="HeaderChar">
    <w:name w:val="Header Char"/>
    <w:basedOn w:val="DefaultParagraphFont"/>
    <w:link w:val="Header"/>
    <w:uiPriority w:val="99"/>
    <w:rsid w:val="001118A9"/>
  </w:style>
  <w:style w:type="paragraph" w:styleId="Footer">
    <w:name w:val="footer"/>
    <w:basedOn w:val="Normal"/>
    <w:link w:val="FooterChar"/>
    <w:uiPriority w:val="99"/>
    <w:unhideWhenUsed/>
    <w:rsid w:val="001118A9"/>
    <w:pPr>
      <w:tabs>
        <w:tab w:val="center" w:pos="4513"/>
        <w:tab w:val="right" w:pos="9026"/>
      </w:tabs>
    </w:pPr>
  </w:style>
  <w:style w:type="character" w:customStyle="1" w:styleId="FooterChar">
    <w:name w:val="Footer Char"/>
    <w:basedOn w:val="DefaultParagraphFont"/>
    <w:link w:val="Footer"/>
    <w:uiPriority w:val="99"/>
    <w:rsid w:val="001118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934</Words>
  <Characters>5327</Characters>
  <Application>Microsoft Office Word</Application>
  <DocSecurity>4</DocSecurity>
  <Lines>44</Lines>
  <Paragraphs>12</Paragraphs>
  <ScaleCrop>false</ScaleCrop>
  <Company/>
  <LinksUpToDate>false</LinksUpToDate>
  <CharactersWithSpaces>6249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 de résolution A-32/[4.12]‎</dc:title>
  <dc:subject>A-32/DR.[4.12]‎</dc:subject>
  <dc:creator>Marie-Clémence Lanneau</dc:creator>
  <cp:keywords/>
  <dc:description/>
  <cp:lastModifiedBy>Boned, Patrice</cp:lastModifiedBy>
  <cp:revision>2</cp:revision>
  <dcterms:created xsi:type="dcterms:W3CDTF">2023-06-23T11:07:00Z</dcterms:created>
  <dcterms:modified xsi:type="dcterms:W3CDTF">2023-06-23T11:07:00Z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DCPMS">
    <vt:lpwstr>202302033</vt:lpwstr>
  </property>
  <property fmtid="{D5CDD505-2E9C-101B-9397-08002B2CF9AE}" pid="3" name="Language">
    <vt:lpwstr>F</vt:lpwstr>
  </property>
</Properties>
</file>