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tblGrid>
      <w:tr w:rsidR="00B83068" w:rsidRPr="00116C1D" w14:paraId="0EDC5012" w14:textId="77777777" w:rsidTr="00BE7722">
        <w:trPr>
          <w:jc w:val="center"/>
        </w:trPr>
        <w:tc>
          <w:tcPr>
            <w:tcW w:w="8075" w:type="dxa"/>
            <w:tcMar>
              <w:top w:w="170" w:type="dxa"/>
              <w:left w:w="170" w:type="dxa"/>
              <w:bottom w:w="170" w:type="dxa"/>
              <w:right w:w="170" w:type="dxa"/>
            </w:tcMar>
          </w:tcPr>
          <w:p w14:paraId="642F51B4" w14:textId="0E46418B" w:rsidR="00BE7722" w:rsidRPr="00116C1D" w:rsidRDefault="00B83068" w:rsidP="00BE7722">
            <w:pPr>
              <w:pStyle w:val="Marge"/>
              <w:jc w:val="center"/>
              <w:rPr>
                <w:rFonts w:cs="Arial"/>
                <w:szCs w:val="22"/>
                <w:lang w:val="es-ES"/>
              </w:rPr>
            </w:pPr>
            <w:r>
              <w:rPr>
                <w:rFonts w:cs="Arial"/>
                <w:szCs w:val="22"/>
                <w:u w:val="single"/>
                <w:lang w:val="es"/>
              </w:rPr>
              <w:t>Resumen</w:t>
            </w:r>
          </w:p>
          <w:p w14:paraId="66AC5503" w14:textId="51C9A182" w:rsidR="00467E3F" w:rsidRPr="00116C1D" w:rsidRDefault="00846B8C" w:rsidP="00F524DB">
            <w:pPr>
              <w:pStyle w:val="Marge"/>
              <w:rPr>
                <w:rFonts w:cs="Arial"/>
                <w:szCs w:val="22"/>
                <w:lang w:val="es-ES"/>
              </w:rPr>
            </w:pPr>
            <w:r>
              <w:rPr>
                <w:rFonts w:cs="Arial"/>
                <w:szCs w:val="22"/>
                <w:lang w:val="es"/>
              </w:rPr>
              <w:t>El Plan de Ejecución del Sistema Mundial de Observación del Clima (SMOC) para 2022 (</w:t>
            </w:r>
            <w:hyperlink r:id="rId8" w:history="1">
              <w:r>
                <w:rPr>
                  <w:rStyle w:val="Hyperlink"/>
                  <w:rFonts w:cs="Arial"/>
                  <w:szCs w:val="22"/>
                  <w:lang w:val="es"/>
                </w:rPr>
                <w:t>GCOS-244/GOOS-272</w:t>
              </w:r>
            </w:hyperlink>
            <w:r>
              <w:rPr>
                <w:rFonts w:cs="Arial"/>
                <w:szCs w:val="22"/>
                <w:lang w:val="es"/>
              </w:rPr>
              <w:t xml:space="preserve">) es el último de una serie de planes de ejecución del SMOC elaborados desde su creación en 1992. Proporciona un conjunto de acciones de alta prioridad que, si se llevan a cabo, mejorarán las observaciones globales del sistema climático y nuestra comprensión de cómo está cambiando. El objetivo del plan es identificar las principales acciones prácticas que se deberían emprender en los próximos 5-10 años en seis temas principales: sostenibilidad de las observaciones, colmar las lagunas de datos, calidad, disponibilidad y gestión de los datos, y participación de los países. </w:t>
            </w:r>
          </w:p>
          <w:p w14:paraId="6F82200D" w14:textId="5AE1479A" w:rsidR="00846B8C" w:rsidRPr="00116C1D" w:rsidRDefault="00BE7722" w:rsidP="00F524DB">
            <w:pPr>
              <w:pStyle w:val="Marge"/>
              <w:rPr>
                <w:lang w:val="es-ES"/>
              </w:rPr>
            </w:pPr>
            <w:r>
              <w:rPr>
                <w:lang w:val="es"/>
              </w:rPr>
              <w:t xml:space="preserve">Este documento resume las principales acciones identificadas dentro de cada uno de los seis temas principales que son relevantes para la COI (GOOS). Recoge las actividades más relevantes, con detalles sobre los problemas, los beneficios y los medios para evaluar los avances en el </w:t>
            </w:r>
            <w:r>
              <w:rPr>
                <w:color w:val="000000"/>
                <w:lang w:val="es"/>
              </w:rPr>
              <w:t>Plan de Ejecución del SMOC</w:t>
            </w:r>
            <w:r>
              <w:rPr>
                <w:lang w:val="es"/>
              </w:rPr>
              <w:t xml:space="preserve"> </w:t>
            </w:r>
            <w:r>
              <w:rPr>
                <w:color w:val="000000"/>
                <w:lang w:val="es"/>
              </w:rPr>
              <w:t>para 2022.</w:t>
            </w:r>
          </w:p>
          <w:p w14:paraId="11F67054" w14:textId="650D7039" w:rsidR="00467E3F" w:rsidRPr="00116C1D" w:rsidRDefault="00467E3F" w:rsidP="001D3BBA">
            <w:pPr>
              <w:pStyle w:val="Marge"/>
              <w:spacing w:after="120"/>
              <w:rPr>
                <w:rFonts w:cs="Arial"/>
                <w:szCs w:val="22"/>
                <w:lang w:val="es-ES"/>
              </w:rPr>
            </w:pPr>
            <w:r>
              <w:rPr>
                <w:rFonts w:cs="Arial"/>
                <w:szCs w:val="22"/>
                <w:lang w:val="es"/>
              </w:rPr>
              <w:t xml:space="preserve">No hay implicaciones financieras ni administrativas. </w:t>
            </w:r>
          </w:p>
          <w:p w14:paraId="6E5A0770" w14:textId="730EB63B" w:rsidR="00737A18" w:rsidRPr="00116C1D" w:rsidRDefault="00413F17" w:rsidP="00F524DB">
            <w:pPr>
              <w:spacing w:after="240"/>
              <w:jc w:val="both"/>
              <w:rPr>
                <w:rFonts w:cs="Arial"/>
                <w:color w:val="000000"/>
                <w:szCs w:val="22"/>
                <w:u w:val="single"/>
                <w:lang w:val="es-ES"/>
              </w:rPr>
            </w:pPr>
            <w:r>
              <w:rPr>
                <w:rFonts w:cs="Arial"/>
                <w:szCs w:val="22"/>
                <w:u w:val="single"/>
                <w:lang w:val="es"/>
              </w:rPr>
              <w:t>La decisión propuesta</w:t>
            </w:r>
            <w:r>
              <w:rPr>
                <w:rFonts w:cs="Arial"/>
                <w:szCs w:val="22"/>
                <w:lang w:val="es"/>
              </w:rPr>
              <w:t xml:space="preserve"> lleva la referencia </w:t>
            </w:r>
            <w:r>
              <w:rPr>
                <w:rFonts w:cs="Arial"/>
                <w:color w:val="000000"/>
                <w:szCs w:val="22"/>
                <w:lang w:val="es"/>
              </w:rPr>
              <w:t xml:space="preserve">Proyecto de Resolución IOC-32/[4.10] </w:t>
            </w:r>
            <w:r>
              <w:rPr>
                <w:rFonts w:cs="Arial"/>
                <w:szCs w:val="22"/>
                <w:lang w:val="es"/>
              </w:rPr>
              <w:t xml:space="preserve">en el Documento de Decisión (documento IOC-32/AP Prov.). La Resolución </w:t>
            </w:r>
            <w:r>
              <w:rPr>
                <w:rFonts w:cs="Arial"/>
                <w:color w:val="000000"/>
                <w:szCs w:val="22"/>
                <w:lang w:val="es"/>
              </w:rPr>
              <w:t>aprueba</w:t>
            </w:r>
            <w:r>
              <w:rPr>
                <w:rFonts w:cs="Arial"/>
                <w:snapToGrid/>
                <w:color w:val="000000"/>
                <w:szCs w:val="22"/>
                <w:lang w:val="es"/>
              </w:rPr>
              <w:t xml:space="preserve"> las conclusiones del Plan de Ejecución del SMOC para 2022 e insta a los Estados Miembros a adoptar medidas con respecto a las acciones pertinentes de la COI recogidas en el presente Informe Suplementario de la COI.</w:t>
            </w:r>
          </w:p>
        </w:tc>
      </w:tr>
    </w:tbl>
    <w:p w14:paraId="34F88A19" w14:textId="77777777" w:rsidR="00746B89" w:rsidRPr="00116C1D" w:rsidRDefault="00746B89" w:rsidP="00AA1D51">
      <w:pPr>
        <w:pStyle w:val="Heading3"/>
        <w:rPr>
          <w:lang w:val="es-ES"/>
        </w:rPr>
        <w:sectPr w:rsidR="00746B89" w:rsidRPr="00116C1D" w:rsidSect="003F7186">
          <w:headerReference w:type="even" r:id="rId9"/>
          <w:headerReference w:type="default" r:id="rId10"/>
          <w:headerReference w:type="first" r:id="rId11"/>
          <w:type w:val="continuous"/>
          <w:pgSz w:w="11906" w:h="16838" w:code="9"/>
          <w:pgMar w:top="1418" w:right="1134" w:bottom="1134" w:left="1134" w:header="709" w:footer="680" w:gutter="0"/>
          <w:pgNumType w:start="1"/>
          <w:cols w:space="708"/>
          <w:titlePg/>
          <w:docGrid w:linePitch="360"/>
        </w:sectPr>
      </w:pPr>
    </w:p>
    <w:p w14:paraId="6B84A3D8" w14:textId="77777777" w:rsidR="00737A18" w:rsidRDefault="009026D3" w:rsidP="00AA1D51">
      <w:pPr>
        <w:pStyle w:val="Heading3"/>
      </w:pPr>
      <w:r>
        <w:rPr>
          <w:lang w:val="es"/>
        </w:rPr>
        <w:lastRenderedPageBreak/>
        <w:t>Introducción</w:t>
      </w:r>
    </w:p>
    <w:p w14:paraId="2BDB9C54" w14:textId="7814F553" w:rsidR="00EC2C27" w:rsidRPr="00116C1D" w:rsidRDefault="00EC2C27" w:rsidP="00AA1D51">
      <w:pPr>
        <w:pStyle w:val="COI"/>
        <w:rPr>
          <w:lang w:val="es-ES"/>
        </w:rPr>
      </w:pPr>
      <w:r>
        <w:rPr>
          <w:lang w:val="es"/>
        </w:rPr>
        <w:t>El Plan de Ejecución del SMOC para 2022 (</w:t>
      </w:r>
      <w:hyperlink r:id="rId12" w:history="1">
        <w:r>
          <w:rPr>
            <w:rStyle w:val="Hyperlink"/>
            <w:lang w:val="es"/>
          </w:rPr>
          <w:t>SMOC-244</w:t>
        </w:r>
      </w:hyperlink>
      <w:r>
        <w:rPr>
          <w:lang w:val="es"/>
        </w:rPr>
        <w:t>) es el último de una serie de planes de ejecución elaborados por el SMOC desde su creación en 1992. Proporciona un conjunto de acciones de alta prioridad que, si se llevan a cabo, mejorarán las observaciones globales del sistema climático y nuestra comprensión de cómo está cambiando, clasificadas en seis grandes temas (véase Tabla 1). Los Requisitos de las ECV del SMOC para 2022 (</w:t>
      </w:r>
      <w:hyperlink r:id="rId13" w:history="1">
        <w:r>
          <w:rPr>
            <w:rStyle w:val="Hyperlink"/>
            <w:lang w:val="es"/>
          </w:rPr>
          <w:t>SMOC-245</w:t>
        </w:r>
      </w:hyperlink>
      <w:r>
        <w:rPr>
          <w:lang w:val="es"/>
        </w:rPr>
        <w:t>) prevén la revisión de todo el conjunto de Variables Climáticas Esenciales (ECV). Actualmente existen 55 ECV especificadas por el SMOC, de las cuales 19 son variables centradas en el océano. Los paneles de expertos del GOOS se encargan de ello.</w:t>
      </w:r>
    </w:p>
    <w:p w14:paraId="2B41D265" w14:textId="571474F3" w:rsidR="00EC2C27" w:rsidRPr="00116C1D" w:rsidRDefault="00AA1D51" w:rsidP="00AA1D51">
      <w:pPr>
        <w:pStyle w:val="COI"/>
        <w:rPr>
          <w:lang w:val="es-ES"/>
        </w:rPr>
      </w:pPr>
      <w:r>
        <w:rPr>
          <w:lang w:val="es"/>
        </w:rPr>
        <w:t>La Conferencia sobre el Cambio Climático de Sharm-El-Sheikh de Noviembre 2022 (COP-27) adoptó una Decisión que acogía con satisfacción el Plan de Ejecución del SMOC 2022 y los requisitos de las variables climáticas esenciales del SMOC 2022, alentando a las partes y a las organizaciones pertinentes, según proceda, a trabajar para la ejecución del Plan de Ejecución del SMOC 2022.</w:t>
      </w:r>
    </w:p>
    <w:p w14:paraId="63282CEA" w14:textId="3F2F1D21" w:rsidR="00E82853" w:rsidRPr="00116C1D" w:rsidRDefault="00EC2C27" w:rsidP="00AA1D51">
      <w:pPr>
        <w:pStyle w:val="COI"/>
        <w:rPr>
          <w:lang w:val="es-ES"/>
        </w:rPr>
      </w:pPr>
      <w:r>
        <w:rPr>
          <w:lang w:val="es"/>
        </w:rPr>
        <w:t xml:space="preserve">Este Suplemento de la COI solo enumera las acciones de cada tema que competen a los miembros de la COI y que pueden ser llevadas a cabo por el GOOS. Las tablas presentan las actividades que habría que llevar a cabo dentro de cada medida, los problemas que pretenden resolver y sus beneficios, y los medios para evaluar los avances. Las tablas presentadas en este documento son una versión resumida de las tablas más detalladas que figuran en el informe completo </w:t>
      </w:r>
      <w:hyperlink r:id="rId14" w:history="1">
        <w:r>
          <w:rPr>
            <w:rStyle w:val="Hyperlink"/>
            <w:lang w:val="es"/>
          </w:rPr>
          <w:t>SMOC-244</w:t>
        </w:r>
      </w:hyperlink>
      <w:r>
        <w:rPr>
          <w:lang w:val="es"/>
        </w:rPr>
        <w:t>. El informe completo también recoge acciones relacionadas con otras partes del sistema de observación (atmósfera, criosfera terrestre), así como acrónimos, referencias y una lista de colaboradores.</w:t>
      </w:r>
    </w:p>
    <w:tbl>
      <w:tblPr>
        <w:tblStyle w:val="GridTable5Dark-Accent1"/>
        <w:tblW w:w="5000" w:type="pct"/>
        <w:tblLook w:val="04A0" w:firstRow="1" w:lastRow="0" w:firstColumn="1" w:lastColumn="0" w:noHBand="0" w:noVBand="1"/>
      </w:tblPr>
      <w:tblGrid>
        <w:gridCol w:w="2015"/>
        <w:gridCol w:w="7613"/>
      </w:tblGrid>
      <w:tr w:rsidR="00EC2C27" w:rsidRPr="004F292B" w14:paraId="1C1C6EC5" w14:textId="77777777" w:rsidTr="00545534">
        <w:trPr>
          <w:cnfStyle w:val="100000000000" w:firstRow="1" w:lastRow="0" w:firstColumn="0" w:lastColumn="0" w:oddVBand="0" w:evenVBand="0" w:oddHBand="0" w:evenHBand="0" w:firstRowFirstColumn="0" w:firstRowLastColumn="0" w:lastRowFirstColumn="0" w:lastRowLastColumn="0"/>
          <w:cantSplit/>
          <w:trHeight w:val="557"/>
          <w:tblHeader/>
        </w:trPr>
        <w:tc>
          <w:tcPr>
            <w:cnfStyle w:val="001000000000" w:firstRow="0" w:lastRow="0" w:firstColumn="1" w:lastColumn="0" w:oddVBand="0" w:evenVBand="0" w:oddHBand="0" w:evenHBand="0" w:firstRowFirstColumn="0" w:firstRowLastColumn="0" w:lastRowFirstColumn="0" w:lastRowLastColumn="0"/>
            <w:tcW w:w="1025" w:type="pct"/>
            <w:vAlign w:val="center"/>
          </w:tcPr>
          <w:p w14:paraId="466C6DCD" w14:textId="77777777" w:rsidR="00EC2C27" w:rsidRPr="004F292B" w:rsidRDefault="00EC2C27" w:rsidP="00545534">
            <w:pPr>
              <w:jc w:val="center"/>
              <w:rPr>
                <w:rFonts w:ascii="Verdana" w:eastAsia="Times New Roman" w:hAnsi="Verdana"/>
                <w:color w:val="FFFFFF"/>
                <w:sz w:val="18"/>
                <w:szCs w:val="18"/>
              </w:rPr>
            </w:pPr>
            <w:r>
              <w:rPr>
                <w:rFonts w:ascii="Verdana" w:eastAsia="Times New Roman" w:hAnsi="Verdana"/>
                <w:color w:val="FFFFFF"/>
                <w:sz w:val="18"/>
                <w:szCs w:val="18"/>
                <w:lang w:val="es"/>
              </w:rPr>
              <w:t>Tema</w:t>
            </w:r>
          </w:p>
        </w:tc>
        <w:tc>
          <w:tcPr>
            <w:tcW w:w="3975" w:type="pct"/>
            <w:vAlign w:val="center"/>
          </w:tcPr>
          <w:p w14:paraId="48BD2AB6" w14:textId="77777777" w:rsidR="00EC2C27" w:rsidRPr="004F292B" w:rsidRDefault="00EC2C27" w:rsidP="00545534">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olor w:val="FFFFFF"/>
                <w:sz w:val="18"/>
                <w:szCs w:val="18"/>
              </w:rPr>
            </w:pPr>
            <w:r>
              <w:rPr>
                <w:rFonts w:ascii="Verdana" w:eastAsia="Times New Roman" w:hAnsi="Verdana"/>
                <w:color w:val="FFFFFF"/>
                <w:sz w:val="18"/>
                <w:szCs w:val="18"/>
                <w:lang w:val="es"/>
              </w:rPr>
              <w:t>Acciones</w:t>
            </w:r>
          </w:p>
        </w:tc>
      </w:tr>
      <w:tr w:rsidR="00EC2C27" w:rsidRPr="00116C1D" w14:paraId="7C2B200E"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tcPr>
          <w:p w14:paraId="09D24F91" w14:textId="77777777" w:rsidR="00EC2C27" w:rsidRPr="004F292B" w:rsidRDefault="00EC2C27" w:rsidP="00545534">
            <w:pPr>
              <w:rPr>
                <w:rFonts w:ascii="Verdana" w:eastAsia="Times New Roman" w:hAnsi="Verdana"/>
                <w:color w:val="FFFFFF"/>
                <w:sz w:val="18"/>
                <w:szCs w:val="18"/>
              </w:rPr>
            </w:pPr>
            <w:r>
              <w:rPr>
                <w:rFonts w:ascii="Verdana" w:eastAsia="Times New Roman" w:hAnsi="Verdana"/>
                <w:color w:val="FFFFFF"/>
                <w:sz w:val="18"/>
                <w:szCs w:val="18"/>
                <w:lang w:val="es"/>
              </w:rPr>
              <w:t>A: GARANTIZAR LA SOSTENIBILIDAD</w:t>
            </w:r>
          </w:p>
        </w:tc>
        <w:tc>
          <w:tcPr>
            <w:tcW w:w="3975" w:type="pct"/>
          </w:tcPr>
          <w:p w14:paraId="6443128A" w14:textId="77777777" w:rsidR="00EC2C27" w:rsidRPr="00116C1D"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 xml:space="preserve">A1. Garantizar los niveles necesarios de apoyo financiero a largo plazo para las redes </w:t>
            </w:r>
            <w:r>
              <w:rPr>
                <w:rFonts w:ascii="Verdana" w:eastAsia="Times New Roman" w:hAnsi="Verdana"/>
                <w:i/>
                <w:iCs/>
                <w:color w:val="000000"/>
                <w:sz w:val="18"/>
                <w:szCs w:val="18"/>
                <w:lang w:val="es"/>
              </w:rPr>
              <w:t>in situ</w:t>
            </w:r>
            <w:r>
              <w:rPr>
                <w:rFonts w:ascii="Verdana" w:eastAsia="Times New Roman" w:hAnsi="Verdana"/>
                <w:color w:val="000000"/>
                <w:sz w:val="18"/>
                <w:szCs w:val="18"/>
                <w:lang w:val="es"/>
              </w:rPr>
              <w:t>, desde las observaciones hasta la entrega de datos</w:t>
            </w:r>
          </w:p>
        </w:tc>
      </w:tr>
      <w:tr w:rsidR="00EC2C27" w:rsidRPr="00116C1D" w14:paraId="515AC353"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val="restart"/>
            <w:hideMark/>
          </w:tcPr>
          <w:p w14:paraId="1D79B6D1" w14:textId="77777777" w:rsidR="00EC2C27" w:rsidRPr="00116C1D" w:rsidRDefault="00EC2C27" w:rsidP="00545534">
            <w:pPr>
              <w:rPr>
                <w:rFonts w:ascii="Verdana" w:eastAsia="Times New Roman" w:hAnsi="Verdana"/>
                <w:color w:val="FFFFFF"/>
                <w:sz w:val="18"/>
                <w:szCs w:val="18"/>
                <w:lang w:val="es-ES"/>
              </w:rPr>
            </w:pPr>
            <w:r>
              <w:rPr>
                <w:rFonts w:ascii="Verdana" w:eastAsia="Times New Roman" w:hAnsi="Verdana"/>
                <w:color w:val="FFFFFF"/>
                <w:sz w:val="18"/>
                <w:szCs w:val="18"/>
                <w:lang w:val="es"/>
              </w:rPr>
              <w:t>B: COLMAR LAS LAGUNAS DE DATOS</w:t>
            </w:r>
          </w:p>
        </w:tc>
        <w:tc>
          <w:tcPr>
            <w:tcW w:w="3975" w:type="pct"/>
            <w:hideMark/>
          </w:tcPr>
          <w:p w14:paraId="616741F8" w14:textId="77777777" w:rsidR="00EC2C27" w:rsidRPr="00116C1D"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B2. Desarrollo y puesta en marcha de la Red Mundial Básica de Observaciones (GBON)</w:t>
            </w:r>
          </w:p>
        </w:tc>
      </w:tr>
      <w:tr w:rsidR="00EC2C27" w:rsidRPr="00116C1D" w14:paraId="7D7DE556"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22042723" w14:textId="77777777" w:rsidR="00EC2C27" w:rsidRPr="00116C1D" w:rsidRDefault="00EC2C27" w:rsidP="00545534">
            <w:pPr>
              <w:rPr>
                <w:rFonts w:ascii="Verdana" w:eastAsia="Times New Roman" w:hAnsi="Verdana"/>
                <w:color w:val="FFFFFF"/>
                <w:sz w:val="18"/>
                <w:szCs w:val="18"/>
                <w:lang w:val="es-ES"/>
              </w:rPr>
            </w:pPr>
          </w:p>
        </w:tc>
        <w:tc>
          <w:tcPr>
            <w:tcW w:w="3975" w:type="pct"/>
            <w:hideMark/>
          </w:tcPr>
          <w:p w14:paraId="145E3758" w14:textId="77777777" w:rsidR="00EC2C27" w:rsidRPr="00116C1D"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B6. Ampliar y construir un sistema mundial de observación de los océanos plenamente integrado</w:t>
            </w:r>
          </w:p>
        </w:tc>
      </w:tr>
      <w:tr w:rsidR="00EC2C27" w:rsidRPr="00116C1D" w14:paraId="7ED43638"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61D40130" w14:textId="77777777" w:rsidR="00EC2C27" w:rsidRPr="00116C1D" w:rsidRDefault="00EC2C27" w:rsidP="00545534">
            <w:pPr>
              <w:rPr>
                <w:rFonts w:ascii="Verdana" w:eastAsia="Times New Roman" w:hAnsi="Verdana"/>
                <w:color w:val="FFFFFF"/>
                <w:sz w:val="18"/>
                <w:szCs w:val="18"/>
                <w:lang w:val="es-ES"/>
              </w:rPr>
            </w:pPr>
          </w:p>
        </w:tc>
        <w:tc>
          <w:tcPr>
            <w:tcW w:w="3975" w:type="pct"/>
            <w:hideMark/>
          </w:tcPr>
          <w:p w14:paraId="1D3E6C7A" w14:textId="77777777" w:rsidR="00EC2C27" w:rsidRPr="00116C1D"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B7. Aumento de la hidrografía desde buques y las observaciones de puntos fijos con parámetros biológicos y biogeoquímicos</w:t>
            </w:r>
          </w:p>
        </w:tc>
      </w:tr>
      <w:tr w:rsidR="00EC2C27" w:rsidRPr="00116C1D" w14:paraId="63CDFE32"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2E310180" w14:textId="77777777" w:rsidR="00EC2C27" w:rsidRPr="00116C1D" w:rsidRDefault="00EC2C27" w:rsidP="00545534">
            <w:pPr>
              <w:rPr>
                <w:rFonts w:ascii="Verdana" w:eastAsia="Times New Roman" w:hAnsi="Verdana"/>
                <w:color w:val="FFFFFF"/>
                <w:sz w:val="18"/>
                <w:szCs w:val="18"/>
                <w:lang w:val="es-ES"/>
              </w:rPr>
            </w:pPr>
          </w:p>
        </w:tc>
        <w:tc>
          <w:tcPr>
            <w:tcW w:w="3975" w:type="pct"/>
            <w:hideMark/>
          </w:tcPr>
          <w:p w14:paraId="2913486B" w14:textId="77777777" w:rsidR="00EC2C27" w:rsidRPr="00116C1D"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B8. Coordinar las observaciones y el desarrollo de productos de datos sobre el CO</w:t>
            </w:r>
            <w:r>
              <w:rPr>
                <w:rFonts w:ascii="Verdana" w:eastAsia="Times New Roman" w:hAnsi="Verdana"/>
                <w:color w:val="000000"/>
                <w:sz w:val="18"/>
                <w:szCs w:val="18"/>
                <w:vertAlign w:val="subscript"/>
                <w:lang w:val="es"/>
              </w:rPr>
              <w:t>2</w:t>
            </w:r>
            <w:r>
              <w:rPr>
                <w:rFonts w:ascii="Verdana" w:eastAsia="Times New Roman" w:hAnsi="Verdana"/>
                <w:color w:val="000000"/>
                <w:sz w:val="18"/>
                <w:szCs w:val="18"/>
                <w:lang w:val="es"/>
              </w:rPr>
              <w:t xml:space="preserve"> y el N</w:t>
            </w:r>
            <w:r>
              <w:rPr>
                <w:rFonts w:ascii="Verdana" w:eastAsia="Times New Roman" w:hAnsi="Verdana"/>
                <w:color w:val="000000"/>
                <w:sz w:val="18"/>
                <w:szCs w:val="18"/>
                <w:vertAlign w:val="subscript"/>
                <w:lang w:val="es"/>
              </w:rPr>
              <w:t>2</w:t>
            </w:r>
            <w:r>
              <w:rPr>
                <w:rFonts w:ascii="Verdana" w:eastAsia="Times New Roman" w:hAnsi="Verdana"/>
                <w:color w:val="000000"/>
                <w:sz w:val="18"/>
                <w:szCs w:val="18"/>
                <w:lang w:val="es"/>
              </w:rPr>
              <w:t>O del océano</w:t>
            </w:r>
          </w:p>
        </w:tc>
      </w:tr>
      <w:tr w:rsidR="00EC2C27" w:rsidRPr="00116C1D" w14:paraId="76CB4F71"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vMerge/>
            <w:hideMark/>
          </w:tcPr>
          <w:p w14:paraId="709DAF62" w14:textId="77777777" w:rsidR="00EC2C27" w:rsidRPr="00116C1D" w:rsidRDefault="00EC2C27" w:rsidP="00545534">
            <w:pPr>
              <w:rPr>
                <w:rFonts w:ascii="Verdana" w:eastAsia="Times New Roman" w:hAnsi="Verdana"/>
                <w:color w:val="FFFFFF"/>
                <w:sz w:val="18"/>
                <w:szCs w:val="18"/>
                <w:lang w:val="es-ES"/>
              </w:rPr>
            </w:pPr>
          </w:p>
        </w:tc>
        <w:tc>
          <w:tcPr>
            <w:tcW w:w="3975" w:type="pct"/>
            <w:hideMark/>
          </w:tcPr>
          <w:p w14:paraId="6C5E4007" w14:textId="77777777" w:rsidR="00EC2C27" w:rsidRPr="00116C1D" w:rsidRDefault="00EC2C27" w:rsidP="00545534">
            <w:pPr>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B9. Mejorar las estimaciones de los flujos de calor latente y sensible y del estrés eólico</w:t>
            </w:r>
          </w:p>
        </w:tc>
      </w:tr>
      <w:tr w:rsidR="00EC2C27" w:rsidRPr="00116C1D" w14:paraId="168C8478" w14:textId="77777777" w:rsidTr="00545534">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025" w:type="pct"/>
            <w:hideMark/>
          </w:tcPr>
          <w:p w14:paraId="70B3887A" w14:textId="77777777" w:rsidR="00EC2C27" w:rsidRPr="00116C1D" w:rsidRDefault="00EC2C27" w:rsidP="00545534">
            <w:pPr>
              <w:keepNext/>
              <w:keepLines/>
              <w:spacing w:after="60"/>
              <w:rPr>
                <w:rFonts w:ascii="Verdana" w:eastAsia="Times New Roman" w:hAnsi="Verdana"/>
                <w:color w:val="FFFFFF"/>
                <w:sz w:val="18"/>
                <w:szCs w:val="18"/>
                <w:lang w:val="es-ES"/>
              </w:rPr>
            </w:pPr>
            <w:r>
              <w:rPr>
                <w:rFonts w:ascii="Verdana" w:eastAsia="Times New Roman" w:hAnsi="Verdana"/>
                <w:color w:val="FFFFFF"/>
                <w:sz w:val="18"/>
                <w:szCs w:val="18"/>
                <w:lang w:val="es"/>
              </w:rPr>
              <w:t>C: MEJORA DE LA CALIDAD, DISPONIBILIDAD Y UTILIDAD DE LOS DATOS</w:t>
            </w:r>
          </w:p>
        </w:tc>
        <w:tc>
          <w:tcPr>
            <w:tcW w:w="3975" w:type="pct"/>
          </w:tcPr>
          <w:p w14:paraId="328795D9" w14:textId="77777777" w:rsidR="00EC2C27" w:rsidRPr="00116C1D" w:rsidRDefault="00EC2C27" w:rsidP="00545534">
            <w:pPr>
              <w:keepNext/>
              <w:keepLines/>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C1. Elaborar normas, orientación y mejores prácticas de seguimiento para cada ECV</w:t>
            </w:r>
          </w:p>
        </w:tc>
      </w:tr>
      <w:tr w:rsidR="00EC2C27" w:rsidRPr="00116C1D" w14:paraId="288226F0" w14:textId="77777777" w:rsidTr="00545534">
        <w:trPr>
          <w:trHeight w:val="266"/>
        </w:trPr>
        <w:tc>
          <w:tcPr>
            <w:cnfStyle w:val="001000000000" w:firstRow="0" w:lastRow="0" w:firstColumn="1" w:lastColumn="0" w:oddVBand="0" w:evenVBand="0" w:oddHBand="0" w:evenHBand="0" w:firstRowFirstColumn="0" w:firstRowLastColumn="0" w:lastRowFirstColumn="0" w:lastRowLastColumn="0"/>
            <w:tcW w:w="1025" w:type="pct"/>
            <w:hideMark/>
          </w:tcPr>
          <w:p w14:paraId="27C2B2E2" w14:textId="77777777" w:rsidR="00EC2C27" w:rsidRPr="004F292B" w:rsidRDefault="00EC2C27" w:rsidP="00545534">
            <w:pPr>
              <w:keepNext/>
              <w:keepLines/>
              <w:spacing w:after="60"/>
              <w:rPr>
                <w:rFonts w:ascii="Verdana" w:eastAsia="Times New Roman" w:hAnsi="Verdana"/>
                <w:color w:val="FFFFFF"/>
                <w:sz w:val="18"/>
                <w:szCs w:val="18"/>
              </w:rPr>
            </w:pPr>
            <w:r>
              <w:rPr>
                <w:rFonts w:ascii="Verdana" w:eastAsia="Times New Roman" w:hAnsi="Verdana"/>
                <w:color w:val="FFFFFF"/>
                <w:sz w:val="18"/>
                <w:szCs w:val="18"/>
                <w:lang w:val="es"/>
              </w:rPr>
              <w:t>D: GESTIÓN DE DATOS</w:t>
            </w:r>
          </w:p>
        </w:tc>
        <w:tc>
          <w:tcPr>
            <w:tcW w:w="3975" w:type="pct"/>
            <w:hideMark/>
          </w:tcPr>
          <w:p w14:paraId="73553FEC" w14:textId="77777777" w:rsidR="00EC2C27" w:rsidRPr="00116C1D" w:rsidRDefault="00EC2C27" w:rsidP="00545534">
            <w:pPr>
              <w:keepNext/>
              <w:keepLines/>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D2. Garantizar la existencia de Centros Mundiales de Datos para todas las observaciones</w:t>
            </w:r>
            <w:r>
              <w:rPr>
                <w:rFonts w:ascii="Verdana" w:eastAsia="Times New Roman" w:hAnsi="Verdana"/>
                <w:i/>
                <w:iCs/>
                <w:color w:val="000000"/>
                <w:sz w:val="18"/>
                <w:szCs w:val="18"/>
                <w:lang w:val="es"/>
              </w:rPr>
              <w:t xml:space="preserve"> in situ </w:t>
            </w:r>
            <w:r>
              <w:rPr>
                <w:rFonts w:ascii="Verdana" w:eastAsia="Times New Roman" w:hAnsi="Verdana"/>
                <w:color w:val="000000"/>
                <w:sz w:val="18"/>
                <w:szCs w:val="18"/>
                <w:lang w:val="es"/>
              </w:rPr>
              <w:t>de ECV</w:t>
            </w:r>
          </w:p>
        </w:tc>
      </w:tr>
      <w:tr w:rsidR="00EC2C27" w:rsidRPr="00116C1D" w14:paraId="30D349EE" w14:textId="77777777" w:rsidTr="0054553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25" w:type="pct"/>
            <w:hideMark/>
          </w:tcPr>
          <w:p w14:paraId="241C95BD" w14:textId="77777777" w:rsidR="00EC2C27" w:rsidRPr="00116C1D" w:rsidRDefault="00EC2C27" w:rsidP="00545534">
            <w:pPr>
              <w:spacing w:after="60"/>
              <w:rPr>
                <w:rFonts w:ascii="Verdana" w:eastAsia="Times New Roman" w:hAnsi="Verdana"/>
                <w:color w:val="FFFFFF"/>
                <w:sz w:val="18"/>
                <w:szCs w:val="18"/>
                <w:lang w:val="es-ES"/>
              </w:rPr>
            </w:pPr>
            <w:r>
              <w:rPr>
                <w:rFonts w:ascii="Verdana" w:eastAsia="Times New Roman" w:hAnsi="Verdana"/>
                <w:color w:val="FFFFFF"/>
                <w:sz w:val="18"/>
                <w:szCs w:val="18"/>
                <w:lang w:val="es"/>
              </w:rPr>
              <w:t>E: PARTICIPACIÓN DE LOS PAÍSES</w:t>
            </w:r>
          </w:p>
        </w:tc>
        <w:tc>
          <w:tcPr>
            <w:tcW w:w="3975" w:type="pct"/>
          </w:tcPr>
          <w:p w14:paraId="77A93140" w14:textId="77777777" w:rsidR="00EC2C27" w:rsidRPr="00116C1D" w:rsidRDefault="00EC2C27" w:rsidP="00545534">
            <w:pPr>
              <w:cnfStyle w:val="000000100000" w:firstRow="0" w:lastRow="0" w:firstColumn="0" w:lastColumn="0" w:oddVBand="0" w:evenVBand="0" w:oddHBand="1"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E1. Fomentar la participación regional en el SMOC</w:t>
            </w:r>
          </w:p>
        </w:tc>
      </w:tr>
      <w:tr w:rsidR="00EC2C27" w:rsidRPr="00116C1D" w14:paraId="0B2453FB" w14:textId="77777777" w:rsidTr="00545534">
        <w:trPr>
          <w:trHeight w:val="20"/>
        </w:trPr>
        <w:tc>
          <w:tcPr>
            <w:cnfStyle w:val="001000000000" w:firstRow="0" w:lastRow="0" w:firstColumn="1" w:lastColumn="0" w:oddVBand="0" w:evenVBand="0" w:oddHBand="0" w:evenHBand="0" w:firstRowFirstColumn="0" w:firstRowLastColumn="0" w:lastRowFirstColumn="0" w:lastRowLastColumn="0"/>
            <w:tcW w:w="1025" w:type="pct"/>
            <w:hideMark/>
          </w:tcPr>
          <w:p w14:paraId="34C7F5AB" w14:textId="77777777" w:rsidR="00EC2C27" w:rsidRPr="004F292B" w:rsidRDefault="00EC2C27" w:rsidP="00545534">
            <w:pPr>
              <w:keepNext/>
              <w:keepLines/>
              <w:spacing w:after="60"/>
              <w:rPr>
                <w:rFonts w:ascii="Verdana" w:eastAsia="Times New Roman" w:hAnsi="Verdana"/>
                <w:color w:val="FFFFFF"/>
                <w:sz w:val="18"/>
                <w:szCs w:val="18"/>
              </w:rPr>
            </w:pPr>
            <w:r>
              <w:rPr>
                <w:rFonts w:ascii="Verdana" w:eastAsia="Times New Roman" w:hAnsi="Verdana"/>
                <w:color w:val="FFFFFF"/>
                <w:sz w:val="18"/>
                <w:szCs w:val="18"/>
                <w:lang w:val="es"/>
              </w:rPr>
              <w:t>F: OTRAS NECESIDADES EMERGENTES</w:t>
            </w:r>
          </w:p>
        </w:tc>
        <w:tc>
          <w:tcPr>
            <w:tcW w:w="3975" w:type="pct"/>
          </w:tcPr>
          <w:p w14:paraId="76288286" w14:textId="77777777" w:rsidR="00EC2C27" w:rsidRPr="00116C1D" w:rsidRDefault="00EC2C27" w:rsidP="00545534">
            <w:pPr>
              <w:keepNext/>
              <w:keepLines/>
              <w:cnfStyle w:val="000000000000" w:firstRow="0" w:lastRow="0" w:firstColumn="0" w:lastColumn="0" w:oddVBand="0" w:evenVBand="0" w:oddHBand="0" w:evenHBand="0" w:firstRowFirstColumn="0" w:firstRowLastColumn="0" w:lastRowFirstColumn="0" w:lastRowLastColumn="0"/>
              <w:rPr>
                <w:rFonts w:ascii="Verdana" w:eastAsia="Times New Roman" w:hAnsi="Verdana"/>
                <w:color w:val="000000"/>
                <w:sz w:val="18"/>
                <w:szCs w:val="18"/>
                <w:lang w:val="es-ES"/>
              </w:rPr>
            </w:pPr>
            <w:r>
              <w:rPr>
                <w:rFonts w:ascii="Verdana" w:eastAsia="Times New Roman" w:hAnsi="Verdana"/>
                <w:color w:val="000000"/>
                <w:sz w:val="18"/>
                <w:szCs w:val="18"/>
                <w:lang w:val="es"/>
              </w:rPr>
              <w:t>F3. Mejorar el seguimiento de las Zonas Económicas Exclusivas y costeras</w:t>
            </w:r>
          </w:p>
        </w:tc>
      </w:tr>
    </w:tbl>
    <w:p w14:paraId="7E41580B" w14:textId="7A1E6E0C" w:rsidR="00EC2C27" w:rsidRPr="00116C1D" w:rsidRDefault="00EC2C27" w:rsidP="00F524DB">
      <w:pPr>
        <w:spacing w:before="120" w:after="240"/>
        <w:ind w:left="426"/>
        <w:rPr>
          <w:sz w:val="20"/>
          <w:lang w:val="es-ES"/>
        </w:rPr>
      </w:pPr>
      <w:r>
        <w:rPr>
          <w:sz w:val="20"/>
          <w:szCs w:val="22"/>
          <w:u w:val="single"/>
          <w:lang w:val="es"/>
        </w:rPr>
        <w:t>Tabla 1</w:t>
      </w:r>
      <w:r>
        <w:rPr>
          <w:sz w:val="20"/>
          <w:szCs w:val="22"/>
          <w:lang w:val="es"/>
        </w:rPr>
        <w:t>: Acciones de interés para los Miembros de la COI en relación con cada uno de los Temas del Plan de Ejecución del SMOC</w:t>
      </w:r>
    </w:p>
    <w:p w14:paraId="3D755D2C" w14:textId="72443FFB" w:rsidR="00EC2C27" w:rsidRPr="00F524DB" w:rsidRDefault="00EC2C27" w:rsidP="00F524DB">
      <w:pPr>
        <w:pStyle w:val="Heading3"/>
      </w:pPr>
      <w:r>
        <w:rPr>
          <w:lang w:val="es"/>
        </w:rPr>
        <w:lastRenderedPageBreak/>
        <w:t>Tema A: Garantizar la sostenibilidad</w:t>
      </w:r>
    </w:p>
    <w:p w14:paraId="0BCFBF6E" w14:textId="1C1DBB56" w:rsidR="00E82853" w:rsidRPr="00116C1D" w:rsidRDefault="00EC2C27" w:rsidP="00AA1D51">
      <w:pPr>
        <w:pStyle w:val="COI"/>
        <w:rPr>
          <w:rFonts w:ascii="Times New Roman" w:hAnsi="Times New Roman"/>
          <w:sz w:val="24"/>
          <w:szCs w:val="24"/>
          <w:lang w:val="es-ES"/>
        </w:rPr>
      </w:pPr>
      <w:r>
        <w:rPr>
          <w:lang w:val="es"/>
        </w:rPr>
        <w:t xml:space="preserve">Para comprender el cambio climático y actuar ante él son necesarias observaciones </w:t>
      </w:r>
      <w:r>
        <w:rPr>
          <w:i/>
          <w:iCs/>
          <w:lang w:val="es"/>
        </w:rPr>
        <w:t>in situ</w:t>
      </w:r>
      <w:r>
        <w:rPr>
          <w:lang w:val="es"/>
        </w:rPr>
        <w:t xml:space="preserve"> y por satélite, tanto continuas como a largo plazo. La financiación constante es fundamental para garantizar la continuidad y la expansión necesarias para muchas observaciones </w:t>
      </w:r>
      <w:r>
        <w:rPr>
          <w:i/>
          <w:iCs/>
          <w:lang w:val="es"/>
        </w:rPr>
        <w:t>in</w:t>
      </w:r>
      <w:r>
        <w:rPr>
          <w:lang w:val="es"/>
        </w:rPr>
        <w:t xml:space="preserve"> </w:t>
      </w:r>
      <w:r>
        <w:rPr>
          <w:i/>
          <w:iCs/>
          <w:lang w:val="es"/>
        </w:rPr>
        <w:t>situ</w:t>
      </w:r>
      <w:r>
        <w:rPr>
          <w:lang w:val="es"/>
        </w:rPr>
        <w:t xml:space="preserve"> de ECV. Mientras que muchas observaciones atmosféricas cuentan con una financiación constante a largo plazo, la mayoría de las observaciones oceánicas y terrestres se financian a corto plazo, generalmente de una duración de unos pocos años, lo que hace extremadamente frágil la elaboración de registros a largo plazo. Dado que estas observaciones son realizadas por una gran variedad de intervinientes, un sistema de observación eficaz puede beneficiarse de una mejor coordinación internacional entre redes y programas. En este caso, el potencial de la «economía de escala» podría abaratar la adquisición de instrumentos. Las redes sostenibles necesitan una financiación y un apoyo constantes que cubran la formación, el fortalecimiento de capacidades, el mantenimiento y la sustitución de equipos.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9"/>
        <w:gridCol w:w="8931"/>
      </w:tblGrid>
      <w:tr w:rsidR="00EC2C27" w:rsidRPr="00116C1D" w14:paraId="13EDCEE7" w14:textId="77777777" w:rsidTr="00F524DB">
        <w:trPr>
          <w:trHeight w:val="300"/>
        </w:trPr>
        <w:tc>
          <w:tcPr>
            <w:tcW w:w="9490" w:type="dxa"/>
            <w:gridSpan w:val="2"/>
            <w:tcBorders>
              <w:top w:val="single" w:sz="6" w:space="0" w:color="000000"/>
              <w:left w:val="single" w:sz="6" w:space="0" w:color="000000"/>
              <w:bottom w:val="single" w:sz="6" w:space="0" w:color="000000"/>
              <w:right w:val="single" w:sz="6" w:space="0" w:color="000000"/>
            </w:tcBorders>
            <w:shd w:val="clear" w:color="auto" w:fill="DDF0C8"/>
            <w:hideMark/>
          </w:tcPr>
          <w:p w14:paraId="76180E69" w14:textId="77777777" w:rsidR="00EC2C27" w:rsidRPr="00116C1D" w:rsidRDefault="00EC2C27" w:rsidP="00545534">
            <w:pPr>
              <w:spacing w:before="100" w:beforeAutospacing="1" w:after="100" w:afterAutospacing="1"/>
              <w:textAlignment w:val="baseline"/>
              <w:rPr>
                <w:rFonts w:ascii="Times New Roman" w:hAnsi="Times New Roman"/>
                <w:b/>
                <w:bCs/>
                <w:sz w:val="24"/>
                <w:lang w:val="es-ES"/>
              </w:rPr>
            </w:pPr>
            <w:r>
              <w:rPr>
                <w:rFonts w:ascii="Verdana" w:hAnsi="Verdana"/>
                <w:b/>
                <w:bCs/>
                <w:sz w:val="18"/>
                <w:szCs w:val="18"/>
                <w:lang w:val="es"/>
              </w:rPr>
              <w:t xml:space="preserve">Acción A1: Garantizar los niveles necesarios de apoyo financiero a largo plazo para las redes </w:t>
            </w:r>
            <w:r>
              <w:rPr>
                <w:rFonts w:ascii="Verdana" w:hAnsi="Verdana"/>
                <w:b/>
                <w:bCs/>
                <w:i/>
                <w:iCs/>
                <w:sz w:val="18"/>
                <w:szCs w:val="18"/>
                <w:lang w:val="es"/>
              </w:rPr>
              <w:t>in situ</w:t>
            </w:r>
            <w:r>
              <w:rPr>
                <w:rFonts w:ascii="Verdana" w:hAnsi="Verdana"/>
                <w:b/>
                <w:bCs/>
                <w:sz w:val="18"/>
                <w:szCs w:val="18"/>
                <w:lang w:val="es"/>
              </w:rPr>
              <w:t>, desde las observaciones hasta la entrega de datos </w:t>
            </w:r>
          </w:p>
        </w:tc>
      </w:tr>
      <w:tr w:rsidR="00EC2C27" w:rsidRPr="00116C1D" w14:paraId="0CC2BEF2" w14:textId="77777777" w:rsidTr="00F524DB">
        <w:trPr>
          <w:cantSplit/>
          <w:trHeight w:val="1134"/>
        </w:trPr>
        <w:tc>
          <w:tcPr>
            <w:tcW w:w="559" w:type="dxa"/>
            <w:tcBorders>
              <w:top w:val="single" w:sz="6" w:space="0" w:color="000000"/>
              <w:left w:val="single" w:sz="6" w:space="0" w:color="000000"/>
              <w:bottom w:val="single" w:sz="6" w:space="0" w:color="000000"/>
              <w:right w:val="single" w:sz="6" w:space="0" w:color="000000"/>
            </w:tcBorders>
            <w:shd w:val="clear" w:color="auto" w:fill="auto"/>
            <w:textDirection w:val="btLr"/>
            <w:hideMark/>
          </w:tcPr>
          <w:p w14:paraId="25273808" w14:textId="77777777" w:rsidR="00EC2C27" w:rsidRPr="00C71FDA" w:rsidRDefault="00EC2C27" w:rsidP="00545534">
            <w:pPr>
              <w:spacing w:before="100" w:beforeAutospacing="1" w:after="100" w:afterAutospacing="1"/>
              <w:ind w:left="113" w:right="113"/>
              <w:jc w:val="center"/>
              <w:textAlignment w:val="baseline"/>
              <w:rPr>
                <w:rFonts w:ascii="Times New Roman" w:hAnsi="Times New Roman"/>
                <w:sz w:val="24"/>
              </w:rPr>
            </w:pPr>
            <w:r>
              <w:rPr>
                <w:rFonts w:ascii="Verdana" w:hAnsi="Verdana"/>
                <w:b/>
                <w:bCs/>
                <w:sz w:val="18"/>
                <w:szCs w:val="18"/>
                <w:lang w:val="es"/>
              </w:rPr>
              <w:t>Actividades</w:t>
            </w:r>
          </w:p>
        </w:tc>
        <w:tc>
          <w:tcPr>
            <w:tcW w:w="8931" w:type="dxa"/>
            <w:tcBorders>
              <w:top w:val="single" w:sz="6" w:space="0" w:color="000000"/>
              <w:left w:val="single" w:sz="6" w:space="0" w:color="000000"/>
              <w:bottom w:val="single" w:sz="6" w:space="0" w:color="000000"/>
              <w:right w:val="single" w:sz="6" w:space="0" w:color="000000"/>
            </w:tcBorders>
            <w:shd w:val="clear" w:color="auto" w:fill="auto"/>
            <w:hideMark/>
          </w:tcPr>
          <w:p w14:paraId="6C9D42A7" w14:textId="77777777" w:rsidR="00EC2C27" w:rsidRPr="00116C1D" w:rsidRDefault="00EC2C27" w:rsidP="00EC2C27">
            <w:pPr>
              <w:pStyle w:val="ActionTable"/>
              <w:numPr>
                <w:ilvl w:val="0"/>
                <w:numId w:val="8"/>
              </w:numPr>
              <w:spacing w:before="60" w:after="60"/>
              <w:jc w:val="left"/>
              <w:rPr>
                <w:sz w:val="18"/>
                <w:lang w:val="es-ES"/>
              </w:rPr>
            </w:pPr>
            <w:r>
              <w:rPr>
                <w:sz w:val="18"/>
                <w:lang w:val="es"/>
              </w:rPr>
              <w:t xml:space="preserve">Llevar a cabo una evaluación de los niveles actuales de apoyo financiero a las redes mundiales </w:t>
            </w:r>
            <w:r>
              <w:rPr>
                <w:i/>
                <w:iCs/>
                <w:sz w:val="18"/>
                <w:lang w:val="es"/>
              </w:rPr>
              <w:t>in situ</w:t>
            </w:r>
            <w:r>
              <w:rPr>
                <w:sz w:val="18"/>
                <w:lang w:val="es"/>
              </w:rPr>
              <w:t xml:space="preserve"> que proporcionan datos relevantes de ECV </w:t>
            </w:r>
            <w:r>
              <w:rPr>
                <w:i/>
                <w:iCs/>
                <w:sz w:val="18"/>
                <w:lang w:val="es"/>
              </w:rPr>
              <w:t>in situ</w:t>
            </w:r>
            <w:r>
              <w:rPr>
                <w:sz w:val="18"/>
                <w:lang w:val="es"/>
              </w:rPr>
              <w:t>, incluidas las mediciones de calibración/valoración, e identificar las redes</w:t>
            </w:r>
            <w:r>
              <w:rPr>
                <w:i/>
                <w:iCs/>
                <w:sz w:val="18"/>
                <w:lang w:val="es"/>
              </w:rPr>
              <w:t xml:space="preserve"> in situ </w:t>
            </w:r>
            <w:r>
              <w:rPr>
                <w:sz w:val="18"/>
                <w:lang w:val="es"/>
              </w:rPr>
              <w:t>con problemas inmediatos o a corto plazo en relación con la adecuación y la sostenibilidad de la financiación, para finales de 2023. </w:t>
            </w:r>
          </w:p>
          <w:p w14:paraId="6812DFE6" w14:textId="77777777" w:rsidR="00EC2C27" w:rsidRPr="00116C1D" w:rsidRDefault="00EC2C27" w:rsidP="00EC2C27">
            <w:pPr>
              <w:pStyle w:val="ActionTable"/>
              <w:numPr>
                <w:ilvl w:val="0"/>
                <w:numId w:val="8"/>
              </w:numPr>
              <w:spacing w:before="60" w:after="60"/>
              <w:jc w:val="left"/>
              <w:rPr>
                <w:sz w:val="18"/>
                <w:lang w:val="es-ES"/>
              </w:rPr>
            </w:pPr>
            <w:r>
              <w:rPr>
                <w:sz w:val="18"/>
                <w:lang w:val="es"/>
              </w:rPr>
              <w:t>Identificar las entidades que pueden prestar apoyo a las redes identificadas como de riesgo en la Actividad 1. </w:t>
            </w:r>
          </w:p>
          <w:p w14:paraId="372475AA" w14:textId="77777777" w:rsidR="00EC2C27" w:rsidRPr="00116C1D" w:rsidRDefault="00EC2C27" w:rsidP="00EC2C27">
            <w:pPr>
              <w:pStyle w:val="ActionTable"/>
              <w:numPr>
                <w:ilvl w:val="0"/>
                <w:numId w:val="8"/>
              </w:numPr>
              <w:spacing w:before="60" w:after="60"/>
              <w:ind w:left="261" w:hanging="284"/>
              <w:jc w:val="left"/>
              <w:rPr>
                <w:sz w:val="18"/>
                <w:lang w:val="es-ES"/>
              </w:rPr>
            </w:pPr>
            <w:r>
              <w:rPr>
                <w:sz w:val="18"/>
                <w:lang w:val="es"/>
              </w:rPr>
              <w:t>Interceder ante los organismos de financiación para que apoyen las redes identificadas.   </w:t>
            </w:r>
          </w:p>
        </w:tc>
      </w:tr>
    </w:tbl>
    <w:p w14:paraId="26C42E7D" w14:textId="6CB8D02D" w:rsidR="00E82853" w:rsidRPr="00116C1D" w:rsidRDefault="00E82853" w:rsidP="00AA1D51">
      <w:pPr>
        <w:pStyle w:val="COI"/>
        <w:rPr>
          <w:lang w:val="es-ES"/>
        </w:rPr>
      </w:pPr>
      <w:r>
        <w:rPr>
          <w:lang w:val="es"/>
        </w:rPr>
        <w:t xml:space="preserve">Los detalles sobre los problemas, los beneficios y los medios para evaluar el progreso de estas actividades se encuentran en </w:t>
      </w:r>
      <w:hyperlink r:id="rId15" w:history="1">
        <w:r>
          <w:rPr>
            <w:rStyle w:val="Hyperlink"/>
            <w:rFonts w:cs="Arial"/>
            <w:sz w:val="20"/>
            <w:szCs w:val="20"/>
            <w:lang w:val="es"/>
          </w:rPr>
          <w:t>SMOC-244</w:t>
        </w:r>
      </w:hyperlink>
      <w:r>
        <w:rPr>
          <w:color w:val="000000"/>
          <w:sz w:val="20"/>
          <w:szCs w:val="20"/>
          <w:lang w:val="es"/>
        </w:rPr>
        <w:t xml:space="preserve">. </w:t>
      </w:r>
    </w:p>
    <w:p w14:paraId="600A774A" w14:textId="4C352E87" w:rsidR="00EC2C27" w:rsidRPr="00116C1D" w:rsidRDefault="00EC2C27" w:rsidP="00F524DB">
      <w:pPr>
        <w:pStyle w:val="Heading3"/>
        <w:rPr>
          <w:lang w:val="es-ES"/>
        </w:rPr>
      </w:pPr>
      <w:r>
        <w:rPr>
          <w:lang w:val="es"/>
        </w:rPr>
        <w:t>Tema B: Colmar las lagunas de datos</w:t>
      </w:r>
    </w:p>
    <w:p w14:paraId="6D57E965" w14:textId="73F46052" w:rsidR="00EC2C27" w:rsidRPr="00116C1D" w:rsidRDefault="00EC2C27" w:rsidP="00AA1D51">
      <w:pPr>
        <w:pStyle w:val="COI"/>
        <w:rPr>
          <w:lang w:val="es-ES"/>
        </w:rPr>
      </w:pPr>
      <w:bookmarkStart w:id="0" w:name="_Hlk114751892"/>
      <w:r>
        <w:rPr>
          <w:lang w:val="es"/>
        </w:rPr>
        <w:t>Este tema aborda las lagunas del sistema de observación existente identificadas en el Informe de Situación del SMOC de 2021 (</w:t>
      </w:r>
      <w:bookmarkStart w:id="1" w:name="_Hlk114751703"/>
      <w:r>
        <w:fldChar w:fldCharType="begin"/>
      </w:r>
      <w:r>
        <w:rPr>
          <w:lang w:val="es"/>
        </w:rPr>
        <w:instrText xml:space="preserve"> HYPERLINK "https://library.wmo.int/doc_num.php?explnum_id=10784" </w:instrText>
      </w:r>
      <w:r>
        <w:fldChar w:fldCharType="separate"/>
      </w:r>
      <w:r>
        <w:rPr>
          <w:rStyle w:val="Hyperlink"/>
          <w:lang w:val="es"/>
        </w:rPr>
        <w:t>SMOC-240</w:t>
      </w:r>
      <w:r>
        <w:rPr>
          <w:rStyle w:val="Hyperlink"/>
          <w:u w:val="none"/>
          <w:lang w:val="es"/>
        </w:rPr>
        <w:fldChar w:fldCharType="end"/>
      </w:r>
      <w:bookmarkEnd w:id="1"/>
      <w:r>
        <w:rPr>
          <w:lang w:val="es"/>
        </w:rPr>
        <w:t>).</w:t>
      </w:r>
      <w:bookmarkEnd w:id="0"/>
      <w:r>
        <w:rPr>
          <w:lang w:val="es"/>
        </w:rPr>
        <w:t xml:space="preserve"> En general, las observaciones cumplen muchos de los requisitos y constituyen la base de los útiles conjuntos de ECV. Sin embargo, las observaciones </w:t>
      </w:r>
      <w:r>
        <w:rPr>
          <w:i/>
          <w:iCs/>
          <w:lang w:val="es"/>
        </w:rPr>
        <w:t>in</w:t>
      </w:r>
      <w:r>
        <w:rPr>
          <w:lang w:val="es"/>
        </w:rPr>
        <w:t xml:space="preserve"> </w:t>
      </w:r>
      <w:r>
        <w:rPr>
          <w:i/>
          <w:iCs/>
          <w:lang w:val="es"/>
        </w:rPr>
        <w:t>situ</w:t>
      </w:r>
      <w:r>
        <w:rPr>
          <w:lang w:val="es"/>
        </w:rPr>
        <w:t xml:space="preserve"> de casi todas las ECV son sistemáticamente deficientes en determinadas regiones continentales, en las profundidades oceánicas y en las regiones polares, una situación que no ha mejorado desde el Informe de Situación del SMOC de 2015 (</w:t>
      </w:r>
      <w:bookmarkStart w:id="2" w:name="_Hlk114752042"/>
      <w:r>
        <w:fldChar w:fldCharType="begin"/>
      </w:r>
      <w:r>
        <w:rPr>
          <w:lang w:val="es"/>
        </w:rPr>
        <w:instrText xml:space="preserve"> HYPERLINK "https://library.wmo.int/doc_num.php?explnum_id=7213" </w:instrText>
      </w:r>
      <w:r>
        <w:fldChar w:fldCharType="separate"/>
      </w:r>
      <w:r>
        <w:rPr>
          <w:rStyle w:val="Hyperlink"/>
          <w:lang w:val="es"/>
        </w:rPr>
        <w:t>SMOC-195</w:t>
      </w:r>
      <w:r>
        <w:rPr>
          <w:rStyle w:val="Hyperlink"/>
          <w:u w:val="none"/>
          <w:lang w:val="es"/>
        </w:rPr>
        <w:fldChar w:fldCharType="end"/>
      </w:r>
      <w:r>
        <w:rPr>
          <w:lang w:val="es"/>
        </w:rPr>
        <w:t xml:space="preserve">). </w:t>
      </w:r>
      <w:bookmarkEnd w:id="2"/>
    </w:p>
    <w:p w14:paraId="60A1C6D8" w14:textId="2DD88DF5" w:rsidR="00EC2C27" w:rsidRPr="00116C1D" w:rsidRDefault="00EC2C27" w:rsidP="00AA1D51">
      <w:pPr>
        <w:pStyle w:val="COI"/>
        <w:rPr>
          <w:lang w:val="es-ES"/>
        </w:rPr>
      </w:pPr>
      <w:r>
        <w:rPr>
          <w:lang w:val="es"/>
        </w:rPr>
        <w:t xml:space="preserve">La OMM ha adoptado los conceptos de Red Mundial Básica de Observaciones (GBON) y del Servicio de Financiamiento de Observaciones Sistemáticas (SOFF). Si la ejecución tiene éxito, la GBON proporcionará observaciones esenciales para la </w:t>
      </w:r>
      <w:bookmarkStart w:id="3" w:name="_Hlk114751788"/>
      <w:r>
        <w:rPr>
          <w:lang w:val="es"/>
        </w:rPr>
        <w:t xml:space="preserve">Predicción Numérica del Tiempo </w:t>
      </w:r>
      <w:bookmarkEnd w:id="3"/>
      <w:r>
        <w:rPr>
          <w:lang w:val="es"/>
        </w:rPr>
        <w:t>(PNT) global y el reanálisis, cubriendo algunas ECV, y el SOFF proporcionará apoyo financiero y técnico específico para la ejecución y funcionamiento de la GBON y abordará algunas de las lagunas identificadas en el Informe de Situación del SMOC de 2021. La medida B2 abarca el desarrollo y la puesta en marcha de la Red Mundial Básica de Observaciones (GBON).</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1121"/>
        <w:gridCol w:w="8507"/>
      </w:tblGrid>
      <w:tr w:rsidR="00EC2C27" w:rsidRPr="00116C1D" w14:paraId="77EB6861" w14:textId="77777777" w:rsidTr="00545534">
        <w:tc>
          <w:tcPr>
            <w:tcW w:w="5000" w:type="pct"/>
            <w:gridSpan w:val="2"/>
            <w:shd w:val="clear" w:color="auto" w:fill="DDF0C8"/>
          </w:tcPr>
          <w:p w14:paraId="7FA4FF84" w14:textId="77777777" w:rsidR="00EC2C27" w:rsidRPr="00116C1D" w:rsidRDefault="00EC2C27" w:rsidP="00545534">
            <w:pPr>
              <w:pStyle w:val="TitleTable"/>
              <w:spacing w:before="60" w:after="60"/>
              <w:rPr>
                <w:b w:val="0"/>
                <w:szCs w:val="18"/>
                <w:lang w:val="es-ES"/>
              </w:rPr>
            </w:pPr>
            <w:r>
              <w:rPr>
                <w:bCs/>
                <w:szCs w:val="18"/>
                <w:lang w:val="es"/>
              </w:rPr>
              <w:t xml:space="preserve">Acción B6:  Ampliar y construir un sistema mundial de observación de los océanos plenamente integrado </w:t>
            </w:r>
          </w:p>
        </w:tc>
      </w:tr>
      <w:tr w:rsidR="00EC2C27" w:rsidRPr="00116C1D" w14:paraId="0216969F" w14:textId="77777777" w:rsidTr="00545534">
        <w:tc>
          <w:tcPr>
            <w:tcW w:w="582" w:type="pct"/>
            <w:shd w:val="clear" w:color="auto" w:fill="auto"/>
            <w:textDirection w:val="btLr"/>
          </w:tcPr>
          <w:p w14:paraId="1D105424" w14:textId="77777777" w:rsidR="00EC2C27" w:rsidRPr="0030095D" w:rsidRDefault="00EC2C27" w:rsidP="00545534">
            <w:pPr>
              <w:pStyle w:val="ActionTable"/>
              <w:spacing w:before="60"/>
              <w:jc w:val="center"/>
              <w:rPr>
                <w:b/>
                <w:bCs/>
                <w:sz w:val="18"/>
              </w:rPr>
            </w:pPr>
            <w:r>
              <w:rPr>
                <w:rFonts w:eastAsia="Times New Roman"/>
                <w:b/>
                <w:bCs/>
                <w:sz w:val="18"/>
                <w:lang w:val="es"/>
              </w:rPr>
              <w:t>Actividades</w:t>
            </w:r>
          </w:p>
        </w:tc>
        <w:tc>
          <w:tcPr>
            <w:tcW w:w="4418" w:type="pct"/>
            <w:shd w:val="clear" w:color="auto" w:fill="auto"/>
          </w:tcPr>
          <w:p w14:paraId="1678A925" w14:textId="77777777" w:rsidR="00EC2C27" w:rsidRPr="00116C1D" w:rsidRDefault="00EC2C27" w:rsidP="00545534">
            <w:pPr>
              <w:pStyle w:val="ActionTable"/>
              <w:spacing w:before="60"/>
              <w:rPr>
                <w:sz w:val="18"/>
                <w:lang w:val="es-ES"/>
              </w:rPr>
            </w:pPr>
            <w:r>
              <w:rPr>
                <w:sz w:val="18"/>
                <w:lang w:val="es"/>
              </w:rPr>
              <w:t>Aumentar las mediciones de las ECV oceánicas en las profundidades oceánicas, bajo el hielo y los mares marginales mejorando:</w:t>
            </w:r>
          </w:p>
          <w:p w14:paraId="2DFDAF88" w14:textId="77777777" w:rsidR="00EC2C27" w:rsidRPr="00116C1D" w:rsidRDefault="00EC2C27" w:rsidP="00EC2C27">
            <w:pPr>
              <w:pStyle w:val="ActionTable"/>
              <w:numPr>
                <w:ilvl w:val="0"/>
                <w:numId w:val="11"/>
              </w:numPr>
              <w:spacing w:before="60"/>
              <w:rPr>
                <w:sz w:val="18"/>
                <w:lang w:val="es-ES"/>
              </w:rPr>
            </w:pPr>
            <w:r>
              <w:rPr>
                <w:sz w:val="18"/>
                <w:lang w:val="es"/>
              </w:rPr>
              <w:t>El Core Argo (que garantiza el cumplimiento de la densidad objetivo), el biogeoquímico (BGC-Argo) y el Deep Argo para lograr el diseño de OneArgo.</w:t>
            </w:r>
          </w:p>
          <w:p w14:paraId="7843CBFF" w14:textId="77777777" w:rsidR="00EC2C27" w:rsidRPr="00116C1D" w:rsidRDefault="00EC2C27" w:rsidP="00EC2C27">
            <w:pPr>
              <w:pStyle w:val="ActionTable"/>
              <w:numPr>
                <w:ilvl w:val="0"/>
                <w:numId w:val="11"/>
              </w:numPr>
              <w:spacing w:before="60" w:after="60"/>
              <w:jc w:val="left"/>
              <w:rPr>
                <w:sz w:val="18"/>
                <w:lang w:val="es-ES"/>
              </w:rPr>
            </w:pPr>
            <w:r>
              <w:rPr>
                <w:sz w:val="18"/>
                <w:lang w:val="es"/>
              </w:rPr>
              <w:t>La hidrografía desde buques, las observaciones en puntos fijos, las observaciones autónomas y sin tripulación.</w:t>
            </w:r>
          </w:p>
          <w:p w14:paraId="5BF5DC70" w14:textId="77777777" w:rsidR="00EC2C27" w:rsidRPr="00116C1D" w:rsidRDefault="00EC2C27" w:rsidP="00EC2C27">
            <w:pPr>
              <w:pStyle w:val="ActionTable"/>
              <w:numPr>
                <w:ilvl w:val="0"/>
                <w:numId w:val="11"/>
              </w:numPr>
              <w:spacing w:before="60" w:after="60"/>
              <w:jc w:val="left"/>
              <w:rPr>
                <w:sz w:val="18"/>
                <w:lang w:val="es-ES"/>
              </w:rPr>
            </w:pPr>
            <w:r>
              <w:rPr>
                <w:sz w:val="18"/>
                <w:lang w:val="es"/>
              </w:rPr>
              <w:lastRenderedPageBreak/>
              <w:t>La integración de redes de observación para responder adecuadamente a las necesidades de las ECV.</w:t>
            </w:r>
          </w:p>
        </w:tc>
      </w:tr>
    </w:tbl>
    <w:p w14:paraId="734BB6FA" w14:textId="77777777" w:rsidR="00E82853" w:rsidRPr="00116C1D" w:rsidRDefault="00E82853" w:rsidP="00F524DB">
      <w:pPr>
        <w:rPr>
          <w:lang w:val="es-ES"/>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1747"/>
        <w:gridCol w:w="7881"/>
      </w:tblGrid>
      <w:tr w:rsidR="00EC2C27" w:rsidRPr="00116C1D" w14:paraId="2EE13C12" w14:textId="77777777" w:rsidTr="00545534">
        <w:tc>
          <w:tcPr>
            <w:tcW w:w="5000" w:type="pct"/>
            <w:gridSpan w:val="2"/>
            <w:shd w:val="clear" w:color="auto" w:fill="DDF0C8"/>
          </w:tcPr>
          <w:p w14:paraId="3EB48864" w14:textId="77777777" w:rsidR="00EC2C27" w:rsidRPr="00116C1D" w:rsidRDefault="00EC2C27" w:rsidP="00545534">
            <w:pPr>
              <w:pStyle w:val="TitleTable"/>
              <w:spacing w:before="60" w:after="60"/>
              <w:jc w:val="left"/>
              <w:rPr>
                <w:b w:val="0"/>
                <w:szCs w:val="18"/>
                <w:lang w:val="es-ES"/>
              </w:rPr>
            </w:pPr>
            <w:r>
              <w:rPr>
                <w:bCs/>
                <w:szCs w:val="18"/>
                <w:lang w:val="es"/>
              </w:rPr>
              <w:t>Acción B7: Aumento de la hidrografía desde buques y las observaciones de puntos fijos con parámetros biológicos y biogeoquímicos</w:t>
            </w:r>
          </w:p>
        </w:tc>
      </w:tr>
      <w:tr w:rsidR="00EC2C27" w:rsidRPr="00116C1D" w14:paraId="1E3D44C4" w14:textId="77777777" w:rsidTr="00545534">
        <w:tc>
          <w:tcPr>
            <w:tcW w:w="907" w:type="pct"/>
            <w:shd w:val="clear" w:color="auto" w:fill="auto"/>
          </w:tcPr>
          <w:p w14:paraId="11CA4CEB" w14:textId="77777777" w:rsidR="00EC2C27" w:rsidRPr="0030095D" w:rsidRDefault="00EC2C27" w:rsidP="00545534">
            <w:pPr>
              <w:pStyle w:val="ActionTable"/>
              <w:spacing w:before="60"/>
              <w:jc w:val="left"/>
              <w:rPr>
                <w:b/>
                <w:bCs/>
                <w:sz w:val="18"/>
              </w:rPr>
            </w:pPr>
            <w:r>
              <w:rPr>
                <w:b/>
                <w:bCs/>
                <w:sz w:val="18"/>
                <w:lang w:val="es"/>
              </w:rPr>
              <w:t>Actividades</w:t>
            </w:r>
          </w:p>
        </w:tc>
        <w:tc>
          <w:tcPr>
            <w:tcW w:w="4093" w:type="pct"/>
            <w:shd w:val="clear" w:color="auto" w:fill="auto"/>
          </w:tcPr>
          <w:p w14:paraId="18F586B3" w14:textId="77777777" w:rsidR="00EC2C27" w:rsidRPr="00116C1D" w:rsidRDefault="00EC2C27" w:rsidP="00545534">
            <w:pPr>
              <w:pStyle w:val="ActionTable"/>
              <w:spacing w:before="60" w:after="60"/>
              <w:jc w:val="left"/>
              <w:rPr>
                <w:sz w:val="18"/>
                <w:lang w:val="es-ES"/>
              </w:rPr>
            </w:pPr>
            <w:r>
              <w:rPr>
                <w:sz w:val="18"/>
                <w:lang w:val="es"/>
              </w:rPr>
              <w:t>Añadir sensores biológicos y biogeoquímicos mejorados y mediciones de campo/laboratorio a las observaciones hidrográficas desde buques y de puntos fijos ya existentes para establecer unos valores de referencia de las distribuciones y fenología del plancton (calendario estacional en fenotipo y abundancia).</w:t>
            </w:r>
          </w:p>
        </w:tc>
      </w:tr>
    </w:tbl>
    <w:p w14:paraId="2D350331" w14:textId="77777777" w:rsidR="00B5267D" w:rsidRPr="00116C1D" w:rsidRDefault="00B5267D" w:rsidP="00F524DB">
      <w:pPr>
        <w:rPr>
          <w:lang w:val="es-ES"/>
        </w:rPr>
      </w:pPr>
    </w:p>
    <w:p w14:paraId="69952649" w14:textId="77777777" w:rsidR="00AA1D51" w:rsidRPr="00116C1D" w:rsidRDefault="00AA1D51">
      <w:pPr>
        <w:rPr>
          <w:lang w:val="es-ES"/>
        </w:rPr>
      </w:pPr>
      <w:r>
        <w:rPr>
          <w:b/>
          <w:bCs/>
          <w:lang w:val="es"/>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797"/>
        <w:gridCol w:w="8831"/>
      </w:tblGrid>
      <w:tr w:rsidR="00EC2C27" w:rsidRPr="00116C1D" w14:paraId="02CBB96F" w14:textId="77777777" w:rsidTr="00545534">
        <w:tc>
          <w:tcPr>
            <w:tcW w:w="5000" w:type="pct"/>
            <w:gridSpan w:val="2"/>
            <w:shd w:val="clear" w:color="auto" w:fill="DDF0C8"/>
          </w:tcPr>
          <w:p w14:paraId="2823DC6B" w14:textId="30ACA07A" w:rsidR="00EC2C27" w:rsidRPr="00116C1D" w:rsidRDefault="00EC2C27" w:rsidP="00545534">
            <w:pPr>
              <w:pStyle w:val="TitleTable"/>
              <w:spacing w:before="60" w:after="60"/>
              <w:rPr>
                <w:b w:val="0"/>
                <w:szCs w:val="18"/>
                <w:lang w:val="es-ES"/>
              </w:rPr>
            </w:pPr>
            <w:r>
              <w:rPr>
                <w:bCs/>
                <w:szCs w:val="18"/>
                <w:lang w:val="es"/>
              </w:rPr>
              <w:lastRenderedPageBreak/>
              <w:t>Acción B8: Coordinar las observaciones y el desarrollo de productos de datos sobre el CO</w:t>
            </w:r>
            <w:r>
              <w:rPr>
                <w:bCs/>
                <w:szCs w:val="18"/>
                <w:vertAlign w:val="subscript"/>
                <w:lang w:val="es"/>
              </w:rPr>
              <w:t>2</w:t>
            </w:r>
            <w:r>
              <w:rPr>
                <w:bCs/>
                <w:szCs w:val="18"/>
                <w:lang w:val="es"/>
              </w:rPr>
              <w:t xml:space="preserve"> y el N</w:t>
            </w:r>
            <w:r>
              <w:rPr>
                <w:bCs/>
                <w:szCs w:val="18"/>
                <w:vertAlign w:val="subscript"/>
                <w:lang w:val="es"/>
              </w:rPr>
              <w:t>2</w:t>
            </w:r>
            <w:r>
              <w:rPr>
                <w:bCs/>
                <w:szCs w:val="18"/>
                <w:lang w:val="es"/>
              </w:rPr>
              <w:t>O del océano</w:t>
            </w:r>
          </w:p>
        </w:tc>
      </w:tr>
      <w:tr w:rsidR="00EC2C27" w:rsidRPr="00116C1D" w14:paraId="53A6D6DC" w14:textId="77777777" w:rsidTr="00545534">
        <w:tc>
          <w:tcPr>
            <w:tcW w:w="414" w:type="pct"/>
            <w:shd w:val="clear" w:color="auto" w:fill="auto"/>
            <w:textDirection w:val="btLr"/>
          </w:tcPr>
          <w:p w14:paraId="5C959284" w14:textId="77777777" w:rsidR="00EC2C27" w:rsidRPr="0030095D" w:rsidRDefault="00EC2C27" w:rsidP="00545534">
            <w:pPr>
              <w:pStyle w:val="ActionTable"/>
              <w:spacing w:before="60"/>
              <w:jc w:val="center"/>
              <w:rPr>
                <w:b/>
                <w:bCs/>
                <w:sz w:val="18"/>
              </w:rPr>
            </w:pPr>
            <w:r>
              <w:rPr>
                <w:rFonts w:eastAsia="Times New Roman"/>
                <w:b/>
                <w:bCs/>
                <w:sz w:val="18"/>
                <w:lang w:val="es"/>
              </w:rPr>
              <w:t>Actividades</w:t>
            </w:r>
          </w:p>
        </w:tc>
        <w:tc>
          <w:tcPr>
            <w:tcW w:w="4586" w:type="pct"/>
            <w:shd w:val="clear" w:color="auto" w:fill="auto"/>
          </w:tcPr>
          <w:p w14:paraId="7122BED3" w14:textId="77777777" w:rsidR="00EC2C27" w:rsidRPr="00116C1D" w:rsidRDefault="00EC2C27" w:rsidP="00EC2C27">
            <w:pPr>
              <w:pStyle w:val="ActionTable"/>
              <w:numPr>
                <w:ilvl w:val="0"/>
                <w:numId w:val="12"/>
              </w:numPr>
              <w:spacing w:before="60" w:after="60"/>
              <w:ind w:left="261" w:hanging="261"/>
              <w:jc w:val="left"/>
              <w:rPr>
                <w:sz w:val="18"/>
                <w:lang w:val="es-ES"/>
              </w:rPr>
            </w:pPr>
            <w:r>
              <w:rPr>
                <w:sz w:val="18"/>
                <w:lang w:val="es"/>
              </w:rPr>
              <w:t xml:space="preserve">Desarrollar una estrategia y un plan de ejecución para hacer operativa la producción y entrega de datos sobre </w:t>
            </w:r>
            <w:r>
              <w:rPr>
                <w:color w:val="000000"/>
                <w:sz w:val="18"/>
                <w:lang w:val="es"/>
              </w:rPr>
              <w:t>el CO</w:t>
            </w:r>
            <w:r>
              <w:rPr>
                <w:color w:val="000000"/>
                <w:sz w:val="18"/>
                <w:vertAlign w:val="subscript"/>
                <w:lang w:val="es"/>
              </w:rPr>
              <w:t>2</w:t>
            </w:r>
            <w:r>
              <w:rPr>
                <w:sz w:val="18"/>
                <w:lang w:val="es"/>
              </w:rPr>
              <w:t xml:space="preserve"> de la superficie de los océanos.</w:t>
            </w:r>
          </w:p>
          <w:p w14:paraId="5CFF9292" w14:textId="77777777" w:rsidR="00EC2C27" w:rsidRPr="00116C1D" w:rsidRDefault="00EC2C27" w:rsidP="00EC2C27">
            <w:pPr>
              <w:pStyle w:val="ActionTable"/>
              <w:numPr>
                <w:ilvl w:val="0"/>
                <w:numId w:val="12"/>
              </w:numPr>
              <w:spacing w:before="60" w:after="60"/>
              <w:ind w:left="261" w:hanging="261"/>
              <w:jc w:val="left"/>
              <w:rPr>
                <w:sz w:val="18"/>
                <w:lang w:val="es-ES"/>
              </w:rPr>
            </w:pPr>
            <w:r>
              <w:rPr>
                <w:sz w:val="18"/>
                <w:lang w:val="es"/>
              </w:rPr>
              <w:t>Coordinar las observaciones oceánicas de óxido nitroso (N</w:t>
            </w:r>
            <w:r>
              <w:rPr>
                <w:sz w:val="18"/>
                <w:vertAlign w:val="subscript"/>
                <w:lang w:val="es"/>
              </w:rPr>
              <w:t>2</w:t>
            </w:r>
            <w:r>
              <w:rPr>
                <w:sz w:val="18"/>
                <w:lang w:val="es"/>
              </w:rPr>
              <w:t>O) existentes en una red armonizada.</w:t>
            </w:r>
          </w:p>
        </w:tc>
      </w:tr>
    </w:tbl>
    <w:p w14:paraId="09347A71" w14:textId="194161C2" w:rsidR="00E82853" w:rsidRPr="00116C1D" w:rsidRDefault="005836C8" w:rsidP="00AA1D51">
      <w:pPr>
        <w:pStyle w:val="COI"/>
        <w:rPr>
          <w:lang w:val="es-ES"/>
        </w:rPr>
      </w:pPr>
      <w:r>
        <w:rPr>
          <w:lang w:val="es"/>
        </w:rPr>
        <w:t xml:space="preserve">Los detalles sobre los problemas, los beneficios y los medios para evaluar el progreso de estas actividades se encuentran en </w:t>
      </w:r>
      <w:hyperlink r:id="rId16" w:history="1">
        <w:r>
          <w:rPr>
            <w:rStyle w:val="Hyperlink"/>
            <w:rFonts w:cs="Arial"/>
            <w:sz w:val="20"/>
            <w:szCs w:val="20"/>
            <w:lang w:val="es"/>
          </w:rPr>
          <w:t>SMOC-244</w:t>
        </w:r>
      </w:hyperlink>
      <w:r>
        <w:rPr>
          <w:color w:val="000000"/>
          <w:sz w:val="20"/>
          <w:szCs w:val="20"/>
          <w:lang w:val="es"/>
        </w:rPr>
        <w:t>.</w:t>
      </w:r>
    </w:p>
    <w:p w14:paraId="199C722C" w14:textId="69B96A6B" w:rsidR="00EC2C27" w:rsidRPr="00116C1D" w:rsidRDefault="00EC2C27" w:rsidP="00F524DB">
      <w:pPr>
        <w:pStyle w:val="Heading3"/>
        <w:rPr>
          <w:lang w:val="es-ES"/>
        </w:rPr>
      </w:pPr>
      <w:r>
        <w:rPr>
          <w:lang w:val="es"/>
        </w:rPr>
        <w:t>Tema C: Mejora de la calidad, disponibilidad y utilidad de los datos, incluido el reprocesamiento</w:t>
      </w:r>
    </w:p>
    <w:p w14:paraId="26E84CE2" w14:textId="77777777" w:rsidR="00EC2C27" w:rsidRPr="00116C1D" w:rsidRDefault="00EC2C27" w:rsidP="00AA1D51">
      <w:pPr>
        <w:pStyle w:val="COI"/>
        <w:rPr>
          <w:lang w:val="es-ES"/>
        </w:rPr>
      </w:pPr>
      <w:r>
        <w:rPr>
          <w:lang w:val="es"/>
        </w:rPr>
        <w:t xml:space="preserve">Este tema examina cómo se transforman los datos de observación originales en información relevante para el usuario. Empezando por el seguimiento del clima, es necesario adoptar normas que faciliten las comparaciones entre datos, la «mash-up-ability» o capacidad de combinación y que garanticen la calidad global de la información final. Las normas también son necesarias en las demás fases de la cadena de procesamiento que transforman las observaciones en productos útiles para el usuario. Éstas deberían abordar una caracterización exhaustiva de la incertidumbre, el uso de metadatos uniformes y atributos de calidad, además de apoyar el esfuerzo hacia la generación de conjuntos de datos reticulares con sensores compatibles (agnósticos) para facilitar la comparación. Reconociendo el hecho de que el uso de los datos de observación a menudo se realiza por otros sistemas, también se debería dedicar un esfuerzo concreto para garantizar la adecuación de los datos proporcionados para su uso en el reanálisis. Esto incluye un esfuerzo dedicado al reprocesamiento de los datos, la caracterización de los sesgos y, más en general, una caracterización exhaustiva de la incertidumbre asociada tanto a las observaciones como a la modelización.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797"/>
        <w:gridCol w:w="8831"/>
      </w:tblGrid>
      <w:tr w:rsidR="00EC2C27" w:rsidRPr="00116C1D" w14:paraId="04C49286" w14:textId="77777777" w:rsidTr="00545534">
        <w:tc>
          <w:tcPr>
            <w:tcW w:w="5000" w:type="pct"/>
            <w:gridSpan w:val="2"/>
            <w:shd w:val="clear" w:color="auto" w:fill="DDF0C8"/>
          </w:tcPr>
          <w:p w14:paraId="75597AAF" w14:textId="77777777" w:rsidR="00EC2C27" w:rsidRPr="00116C1D" w:rsidRDefault="00EC2C27" w:rsidP="00545534">
            <w:pPr>
              <w:pStyle w:val="TitleTable"/>
              <w:spacing w:before="60" w:after="60"/>
              <w:rPr>
                <w:b w:val="0"/>
                <w:szCs w:val="18"/>
                <w:lang w:val="es-ES"/>
              </w:rPr>
            </w:pPr>
            <w:r>
              <w:rPr>
                <w:bCs/>
                <w:szCs w:val="18"/>
                <w:lang w:val="es"/>
              </w:rPr>
              <w:t xml:space="preserve">Acción C1: Elaborar normas, orientación y mejores prácticas de seguimiento para cada ECV </w:t>
            </w:r>
          </w:p>
        </w:tc>
      </w:tr>
      <w:tr w:rsidR="00EC2C27" w:rsidRPr="00116C1D" w14:paraId="14AB2F91" w14:textId="77777777" w:rsidTr="00545534">
        <w:tc>
          <w:tcPr>
            <w:tcW w:w="414" w:type="pct"/>
            <w:shd w:val="clear" w:color="auto" w:fill="auto"/>
            <w:textDirection w:val="btLr"/>
          </w:tcPr>
          <w:p w14:paraId="0435D768" w14:textId="77777777" w:rsidR="00EC2C27" w:rsidRPr="007C1BE7" w:rsidRDefault="00EC2C27" w:rsidP="00545534">
            <w:pPr>
              <w:pStyle w:val="ActionTable"/>
              <w:spacing w:before="60"/>
              <w:jc w:val="center"/>
              <w:rPr>
                <w:b/>
                <w:bCs/>
                <w:sz w:val="18"/>
              </w:rPr>
            </w:pPr>
            <w:r>
              <w:rPr>
                <w:rFonts w:eastAsia="Times New Roman"/>
                <w:b/>
                <w:bCs/>
                <w:sz w:val="18"/>
                <w:lang w:val="es"/>
              </w:rPr>
              <w:t>Actividades</w:t>
            </w:r>
          </w:p>
        </w:tc>
        <w:tc>
          <w:tcPr>
            <w:tcW w:w="4586" w:type="pct"/>
            <w:shd w:val="clear" w:color="auto" w:fill="auto"/>
          </w:tcPr>
          <w:p w14:paraId="20955127" w14:textId="77777777" w:rsidR="00EC2C27" w:rsidRPr="00C71FDA" w:rsidRDefault="00EC2C27" w:rsidP="00EC2C27">
            <w:pPr>
              <w:pStyle w:val="ActionTable"/>
              <w:numPr>
                <w:ilvl w:val="0"/>
                <w:numId w:val="15"/>
              </w:numPr>
              <w:spacing w:before="60" w:after="60"/>
              <w:ind w:left="261" w:hanging="261"/>
              <w:jc w:val="left"/>
              <w:rPr>
                <w:sz w:val="18"/>
              </w:rPr>
            </w:pPr>
            <w:r>
              <w:rPr>
                <w:sz w:val="18"/>
                <w:lang w:val="es"/>
              </w:rPr>
              <w:t>Revisar las normas, orientación y mejores prácticas de seguimiento existentes para cada ECV, asegurándose de que reflejen el estado actual de la técnica. Llevar un repositorio de esta orientación para las ECV.</w:t>
            </w:r>
          </w:p>
          <w:p w14:paraId="1B570AA1" w14:textId="77777777" w:rsidR="00EC2C27" w:rsidRPr="00116C1D" w:rsidRDefault="00EC2C27" w:rsidP="00EC2C27">
            <w:pPr>
              <w:pStyle w:val="ActionTable"/>
              <w:numPr>
                <w:ilvl w:val="0"/>
                <w:numId w:val="15"/>
              </w:numPr>
              <w:spacing w:before="60" w:after="60"/>
              <w:ind w:left="261" w:hanging="261"/>
              <w:jc w:val="left"/>
              <w:rPr>
                <w:sz w:val="18"/>
                <w:lang w:val="es-ES"/>
              </w:rPr>
            </w:pPr>
            <w:r>
              <w:rPr>
                <w:sz w:val="18"/>
                <w:lang w:val="es"/>
              </w:rPr>
              <w:t>Garantizar el desarrollo de normas, orientación y mejores prácticas de seguimiento, incluidos los procedimientos de comparación, para aquellas ECV que no cuenten con tal orientación.</w:t>
            </w:r>
          </w:p>
          <w:p w14:paraId="753F8492" w14:textId="77777777" w:rsidR="00EC2C27" w:rsidRPr="00116C1D" w:rsidRDefault="00EC2C27" w:rsidP="00EC2C27">
            <w:pPr>
              <w:pStyle w:val="ActionTable"/>
              <w:numPr>
                <w:ilvl w:val="0"/>
                <w:numId w:val="15"/>
              </w:numPr>
              <w:spacing w:before="60" w:after="60"/>
              <w:ind w:left="261" w:hanging="261"/>
              <w:jc w:val="left"/>
              <w:rPr>
                <w:sz w:val="18"/>
                <w:lang w:val="es-ES"/>
              </w:rPr>
            </w:pPr>
            <w:r>
              <w:rPr>
                <w:sz w:val="18"/>
                <w:lang w:val="es"/>
              </w:rPr>
              <w:t>Examinar y revisar las orientaciones sobre seguimiento climático del manual WIGOS para adaptarlas a las orientaciones actualizadas desarrolladas en esta Acción.</w:t>
            </w:r>
          </w:p>
          <w:p w14:paraId="20CDDD30" w14:textId="77777777" w:rsidR="00EC2C27" w:rsidRPr="00116C1D" w:rsidRDefault="00EC2C27" w:rsidP="00EC2C27">
            <w:pPr>
              <w:pStyle w:val="ActionTable"/>
              <w:numPr>
                <w:ilvl w:val="0"/>
                <w:numId w:val="15"/>
              </w:numPr>
              <w:spacing w:before="60" w:after="60"/>
              <w:ind w:left="261" w:hanging="261"/>
              <w:jc w:val="left"/>
              <w:rPr>
                <w:sz w:val="18"/>
                <w:lang w:val="es-ES"/>
              </w:rPr>
            </w:pPr>
            <w:r>
              <w:rPr>
                <w:sz w:val="18"/>
                <w:lang w:val="es"/>
              </w:rPr>
              <w:t>Revisar los principios de seguimiento del clima del SMOC.</w:t>
            </w:r>
          </w:p>
        </w:tc>
      </w:tr>
    </w:tbl>
    <w:p w14:paraId="1FD9786E" w14:textId="38839E2B" w:rsidR="00E82853" w:rsidRPr="00116C1D" w:rsidRDefault="00AA1D51" w:rsidP="00AA1D51">
      <w:pPr>
        <w:pStyle w:val="COI"/>
        <w:rPr>
          <w:lang w:val="es-ES"/>
        </w:rPr>
      </w:pPr>
      <w:r>
        <w:rPr>
          <w:lang w:val="es"/>
        </w:rPr>
        <w:t xml:space="preserve">Los detalles sobre los problemas, los beneficios y los medios para evaluar el progreso de estas actividades se encuentran en </w:t>
      </w:r>
      <w:hyperlink r:id="rId17" w:history="1">
        <w:r>
          <w:rPr>
            <w:rStyle w:val="Hyperlink"/>
            <w:rFonts w:cs="Arial"/>
            <w:sz w:val="20"/>
            <w:szCs w:val="20"/>
            <w:lang w:val="es"/>
          </w:rPr>
          <w:t>SMOC-244</w:t>
        </w:r>
      </w:hyperlink>
      <w:r>
        <w:rPr>
          <w:color w:val="000000"/>
          <w:sz w:val="20"/>
          <w:szCs w:val="20"/>
          <w:lang w:val="es"/>
        </w:rPr>
        <w:t>.</w:t>
      </w:r>
    </w:p>
    <w:p w14:paraId="7A10F8EB" w14:textId="2D1C6FEA" w:rsidR="00EC2C27" w:rsidRPr="00F524DB" w:rsidRDefault="00EC2C27" w:rsidP="00F524DB">
      <w:pPr>
        <w:pStyle w:val="Heading3"/>
      </w:pPr>
      <w:r>
        <w:rPr>
          <w:lang w:val="es"/>
        </w:rPr>
        <w:t>Tema D: Gestión de datos</w:t>
      </w:r>
    </w:p>
    <w:p w14:paraId="0374DDDD" w14:textId="77777777" w:rsidR="00EC2C27" w:rsidRPr="00116C1D" w:rsidRDefault="00EC2C27" w:rsidP="00AA1D51">
      <w:pPr>
        <w:pStyle w:val="COI"/>
        <w:rPr>
          <w:lang w:val="es-ES"/>
        </w:rPr>
      </w:pPr>
      <w:r>
        <w:rPr>
          <w:lang w:val="es"/>
        </w:rPr>
        <w:t>Para abordar y comprender el cambio climático, es necesario conservar a perpetuidad las series temporales más largas posibles. Cada ECV debe contar con un repositorio mundial de datos reconocido y, cuando lo haya, debe ser completo y contar con el apoyo y la financiación adecuados. Los datos deben almacenarse en archivos sostenibles, bien conservados, abiertos y de libre acceso, con orientaciones claras para los centros de datos y los usuarios. Se necesitan principios claramente definidos, como los Principios TRUST (Lin et al., 2020)</w:t>
      </w:r>
      <w:r>
        <w:rPr>
          <w:rStyle w:val="FootnoteReference"/>
          <w:lang w:val="es"/>
        </w:rPr>
        <w:footnoteReference w:id="1"/>
      </w:r>
      <w:r>
        <w:rPr>
          <w:lang w:val="es"/>
        </w:rPr>
        <w:t xml:space="preserve"> y los Principios FAIR (Wilkinson et al., </w:t>
      </w:r>
      <w:r>
        <w:rPr>
          <w:lang w:val="es"/>
        </w:rPr>
        <w:lastRenderedPageBreak/>
        <w:t>2016</w:t>
      </w:r>
      <w:r>
        <w:rPr>
          <w:rStyle w:val="FootnoteReference"/>
          <w:lang w:val="es"/>
        </w:rPr>
        <w:footnoteReference w:id="2"/>
      </w:r>
      <w:r>
        <w:rPr>
          <w:lang w:val="es"/>
        </w:rPr>
        <w:t>). El rescate de datos de copias impresas o formatos digitales arcaicos permite ampliar las series de datos del pasado y debe planificarse y financiarse de conformidad con los resultados disponibles de forma abierta y gratuita. Estas actividades requieren un apoyo constante. El objetivo de este tema es organizar de forma más eficiente la recuperación, el intercambio, la conservación y el suministro de datos.</w:t>
      </w:r>
    </w:p>
    <w:p w14:paraId="29F456C8" w14:textId="77777777" w:rsidR="00AA1D51" w:rsidRPr="00116C1D" w:rsidRDefault="00AA1D51">
      <w:pPr>
        <w:rPr>
          <w:lang w:val="es-ES"/>
        </w:rPr>
      </w:pPr>
      <w:r>
        <w:rPr>
          <w:b/>
          <w:bCs/>
          <w:lang w:val="es"/>
        </w:rPr>
        <w:br w:type="page"/>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15" w:type="dxa"/>
          <w:right w:w="115" w:type="dxa"/>
        </w:tblCellMar>
        <w:tblLook w:val="0400" w:firstRow="0" w:lastRow="0" w:firstColumn="0" w:lastColumn="0" w:noHBand="0" w:noVBand="1"/>
      </w:tblPr>
      <w:tblGrid>
        <w:gridCol w:w="797"/>
        <w:gridCol w:w="8831"/>
      </w:tblGrid>
      <w:tr w:rsidR="00EC2C27" w:rsidRPr="00116C1D" w14:paraId="17DB9A6C" w14:textId="77777777" w:rsidTr="00545534">
        <w:tc>
          <w:tcPr>
            <w:tcW w:w="5000" w:type="pct"/>
            <w:gridSpan w:val="2"/>
            <w:shd w:val="clear" w:color="auto" w:fill="DDF0C8"/>
          </w:tcPr>
          <w:p w14:paraId="38650E1F" w14:textId="2C0A809A" w:rsidR="00EC2C27" w:rsidRPr="00116C1D" w:rsidRDefault="00EC2C27" w:rsidP="00545534">
            <w:pPr>
              <w:pStyle w:val="TitleTable"/>
              <w:spacing w:before="60" w:after="60"/>
              <w:rPr>
                <w:lang w:val="es-ES"/>
              </w:rPr>
            </w:pPr>
            <w:r>
              <w:rPr>
                <w:bCs/>
                <w:lang w:val="es"/>
              </w:rPr>
              <w:lastRenderedPageBreak/>
              <w:t xml:space="preserve">Acción D2: Garantizar la existencia de Centros Mundiales de Datos Climáticos para todas las observaciones </w:t>
            </w:r>
            <w:r>
              <w:rPr>
                <w:bCs/>
                <w:i/>
                <w:iCs/>
                <w:lang w:val="es"/>
              </w:rPr>
              <w:t xml:space="preserve">in situ </w:t>
            </w:r>
            <w:r>
              <w:rPr>
                <w:bCs/>
                <w:lang w:val="es"/>
              </w:rPr>
              <w:t xml:space="preserve">de ECV </w:t>
            </w:r>
          </w:p>
        </w:tc>
      </w:tr>
      <w:tr w:rsidR="00EC2C27" w:rsidRPr="00116C1D" w14:paraId="6A723A1F" w14:textId="77777777" w:rsidTr="00545534">
        <w:tc>
          <w:tcPr>
            <w:tcW w:w="414" w:type="pct"/>
            <w:shd w:val="clear" w:color="auto" w:fill="auto"/>
            <w:textDirection w:val="btLr"/>
          </w:tcPr>
          <w:p w14:paraId="5EBFEEEF" w14:textId="77777777" w:rsidR="00EC2C27" w:rsidRPr="002354AA" w:rsidRDefault="00EC2C27" w:rsidP="00545534">
            <w:pPr>
              <w:pStyle w:val="ActionTable"/>
              <w:spacing w:before="60"/>
              <w:jc w:val="center"/>
              <w:rPr>
                <w:b/>
                <w:bCs/>
                <w:sz w:val="18"/>
              </w:rPr>
            </w:pPr>
            <w:r>
              <w:rPr>
                <w:rFonts w:eastAsia="Times New Roman"/>
                <w:b/>
                <w:bCs/>
                <w:sz w:val="18"/>
                <w:lang w:val="es"/>
              </w:rPr>
              <w:t>Actividades</w:t>
            </w:r>
          </w:p>
        </w:tc>
        <w:tc>
          <w:tcPr>
            <w:tcW w:w="4586" w:type="pct"/>
            <w:shd w:val="clear" w:color="auto" w:fill="auto"/>
          </w:tcPr>
          <w:p w14:paraId="043E2E87" w14:textId="77777777" w:rsidR="00EC2C27" w:rsidRPr="00116C1D" w:rsidRDefault="00EC2C27" w:rsidP="00EC2C27">
            <w:pPr>
              <w:pStyle w:val="ActionTable"/>
              <w:numPr>
                <w:ilvl w:val="0"/>
                <w:numId w:val="17"/>
              </w:numPr>
              <w:spacing w:before="60" w:after="60"/>
              <w:ind w:left="268" w:hanging="268"/>
              <w:jc w:val="left"/>
              <w:rPr>
                <w:sz w:val="18"/>
                <w:lang w:val="es-ES"/>
              </w:rPr>
            </w:pPr>
            <w:r>
              <w:rPr>
                <w:sz w:val="18"/>
                <w:lang w:val="es"/>
              </w:rPr>
              <w:t>Identificar las ECV para las que no existen centros mundiales adecuados o que no cuentan con apoyo suficiente y facilitar y apoyar la creación o mejora de centros mundiales de datos para estas ECV.</w:t>
            </w:r>
          </w:p>
          <w:p w14:paraId="608BB381" w14:textId="77777777" w:rsidR="00EC2C27" w:rsidRPr="00116C1D" w:rsidRDefault="00EC2C27" w:rsidP="00EC2C27">
            <w:pPr>
              <w:pStyle w:val="ActionTable"/>
              <w:numPr>
                <w:ilvl w:val="0"/>
                <w:numId w:val="17"/>
              </w:numPr>
              <w:spacing w:before="60" w:after="60"/>
              <w:ind w:left="268" w:hanging="268"/>
              <w:jc w:val="left"/>
              <w:rPr>
                <w:color w:val="000000"/>
                <w:sz w:val="18"/>
                <w:lang w:val="es-ES"/>
              </w:rPr>
            </w:pPr>
            <w:r>
              <w:rPr>
                <w:sz w:val="18"/>
                <w:lang w:val="es"/>
              </w:rPr>
              <w:t>Promover los centros de datos regionales, su interoperabilidad, cuando sea posible, la sincronización de sus fondos de datos y el suministro de datos de sus archivos a los centros de datos mundiales.</w:t>
            </w:r>
          </w:p>
        </w:tc>
      </w:tr>
    </w:tbl>
    <w:p w14:paraId="52916886" w14:textId="589D7FB5" w:rsidR="00E82853" w:rsidRPr="00116C1D" w:rsidRDefault="00AA1D51" w:rsidP="00AA1D51">
      <w:pPr>
        <w:pStyle w:val="COI"/>
        <w:rPr>
          <w:lang w:val="es-ES"/>
        </w:rPr>
      </w:pPr>
      <w:r>
        <w:rPr>
          <w:lang w:val="es"/>
        </w:rPr>
        <w:t xml:space="preserve">Los detalles sobre los problemas, los beneficios y los medios para evaluar el progreso de estas actividades se recogen en </w:t>
      </w:r>
      <w:hyperlink r:id="rId18" w:history="1">
        <w:r>
          <w:rPr>
            <w:rStyle w:val="Hyperlink"/>
            <w:rFonts w:cs="Arial"/>
            <w:sz w:val="20"/>
            <w:szCs w:val="20"/>
            <w:lang w:val="es"/>
          </w:rPr>
          <w:t>SMOC-244</w:t>
        </w:r>
      </w:hyperlink>
      <w:r>
        <w:rPr>
          <w:color w:val="000000"/>
          <w:sz w:val="20"/>
          <w:szCs w:val="20"/>
          <w:lang w:val="es"/>
        </w:rPr>
        <w:t>.</w:t>
      </w:r>
    </w:p>
    <w:p w14:paraId="30DF8D4A" w14:textId="21E4847B" w:rsidR="00E82853" w:rsidRPr="00116C1D" w:rsidRDefault="005836C8" w:rsidP="00F524DB">
      <w:pPr>
        <w:pStyle w:val="Heading3"/>
        <w:rPr>
          <w:lang w:val="es-ES"/>
        </w:rPr>
      </w:pPr>
      <w:r>
        <w:rPr>
          <w:lang w:val="es"/>
        </w:rPr>
        <w:t>Tema E: Participación de los países</w:t>
      </w:r>
    </w:p>
    <w:p w14:paraId="7549CBB7" w14:textId="77777777" w:rsidR="005836C8" w:rsidRPr="00116C1D" w:rsidRDefault="005836C8" w:rsidP="00AA1D51">
      <w:pPr>
        <w:pStyle w:val="COI"/>
        <w:rPr>
          <w:lang w:val="es-ES"/>
        </w:rPr>
      </w:pPr>
      <w:r>
        <w:rPr>
          <w:lang w:val="es"/>
        </w:rPr>
        <w:t>Los organismos nacionales hacen gran cantidad de observaciones climáticas, pero estos esfuerzos necesitan apoyo y coordinación. Algunos países cuentan con programas nacionales que deben conectarse a escala regional y mundial para compartir y comunicar problemas y soluciones. El SMOC puede ayudar vinculando estos esfuerzos nacionales al sistema mundial, proporcionando información sobre las necesidades de observación, promoviendo las necesidades de apoyo y el acceso a la información mundial. Algunos sistemas SMOC nacionales también pueden colmar las lagunas del sistema mundial, por ejemplo prestando apoyo a los centros de datos regionales y mundiales.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747"/>
        <w:gridCol w:w="7881"/>
      </w:tblGrid>
      <w:tr w:rsidR="005836C8" w:rsidRPr="00116C1D" w14:paraId="3DD45944" w14:textId="77777777" w:rsidTr="00545534">
        <w:tc>
          <w:tcPr>
            <w:tcW w:w="5000" w:type="pct"/>
            <w:gridSpan w:val="2"/>
            <w:shd w:val="clear" w:color="auto" w:fill="DDF0C8"/>
          </w:tcPr>
          <w:p w14:paraId="08B90A7F" w14:textId="77777777" w:rsidR="005836C8" w:rsidRPr="00116C1D" w:rsidRDefault="005836C8" w:rsidP="00545534">
            <w:pPr>
              <w:pStyle w:val="TitleTable"/>
              <w:spacing w:before="60" w:after="60"/>
              <w:rPr>
                <w:szCs w:val="18"/>
                <w:lang w:val="es-ES"/>
              </w:rPr>
            </w:pPr>
            <w:r>
              <w:rPr>
                <w:bCs/>
                <w:szCs w:val="18"/>
                <w:lang w:val="es"/>
              </w:rPr>
              <w:t>Acción E1: Fomentar la participación regional en el SMOC</w:t>
            </w:r>
          </w:p>
        </w:tc>
      </w:tr>
      <w:tr w:rsidR="005836C8" w:rsidRPr="00116C1D" w14:paraId="1D7D339F" w14:textId="77777777" w:rsidTr="00545534">
        <w:tc>
          <w:tcPr>
            <w:tcW w:w="907" w:type="pct"/>
            <w:shd w:val="clear" w:color="auto" w:fill="auto"/>
          </w:tcPr>
          <w:p w14:paraId="16716936" w14:textId="77777777" w:rsidR="005836C8" w:rsidRPr="004C7E75" w:rsidRDefault="005836C8" w:rsidP="00545534">
            <w:pPr>
              <w:pStyle w:val="ActionTable"/>
              <w:spacing w:before="60"/>
              <w:jc w:val="left"/>
              <w:rPr>
                <w:b/>
                <w:bCs/>
                <w:sz w:val="18"/>
              </w:rPr>
            </w:pPr>
            <w:r>
              <w:rPr>
                <w:b/>
                <w:bCs/>
                <w:sz w:val="18"/>
                <w:lang w:val="es"/>
              </w:rPr>
              <w:t>Actividades</w:t>
            </w:r>
          </w:p>
        </w:tc>
        <w:tc>
          <w:tcPr>
            <w:tcW w:w="4093" w:type="pct"/>
            <w:shd w:val="clear" w:color="auto" w:fill="auto"/>
          </w:tcPr>
          <w:p w14:paraId="17DDF87D" w14:textId="77777777" w:rsidR="005836C8" w:rsidRPr="00116C1D" w:rsidRDefault="005836C8" w:rsidP="005836C8">
            <w:pPr>
              <w:pStyle w:val="ActionTable"/>
              <w:numPr>
                <w:ilvl w:val="0"/>
                <w:numId w:val="20"/>
              </w:numPr>
              <w:spacing w:before="60" w:after="60"/>
              <w:ind w:left="268" w:hanging="268"/>
              <w:jc w:val="left"/>
              <w:rPr>
                <w:sz w:val="18"/>
                <w:lang w:val="es-ES"/>
              </w:rPr>
            </w:pPr>
            <w:r>
              <w:rPr>
                <w:sz w:val="18"/>
                <w:lang w:val="es"/>
              </w:rPr>
              <w:t>Organizar al menos un taller regional del SMOC al año.</w:t>
            </w:r>
          </w:p>
          <w:p w14:paraId="39928BE8" w14:textId="77777777" w:rsidR="005836C8" w:rsidRPr="00116C1D" w:rsidRDefault="005836C8" w:rsidP="005836C8">
            <w:pPr>
              <w:pStyle w:val="ActionTable"/>
              <w:numPr>
                <w:ilvl w:val="0"/>
                <w:numId w:val="21"/>
              </w:numPr>
              <w:spacing w:before="60" w:after="60"/>
              <w:jc w:val="left"/>
              <w:rPr>
                <w:sz w:val="18"/>
                <w:lang w:val="es-ES"/>
              </w:rPr>
            </w:pPr>
            <w:r>
              <w:rPr>
                <w:sz w:val="18"/>
                <w:lang w:val="es"/>
              </w:rPr>
              <w:t>Promover las ventajas de la coordinación de las observaciones climáticas (</w:t>
            </w:r>
            <w:r>
              <w:rPr>
                <w:i/>
                <w:iCs/>
                <w:sz w:val="18"/>
                <w:lang w:val="es"/>
              </w:rPr>
              <w:t>in situ</w:t>
            </w:r>
            <w:r>
              <w:rPr>
                <w:sz w:val="18"/>
                <w:lang w:val="es"/>
              </w:rPr>
              <w:t xml:space="preserve"> y por satélite) y los programas del SMOC. </w:t>
            </w:r>
          </w:p>
          <w:p w14:paraId="460E1B79" w14:textId="77777777" w:rsidR="005836C8" w:rsidRPr="00116C1D" w:rsidRDefault="005836C8" w:rsidP="005836C8">
            <w:pPr>
              <w:pStyle w:val="ActionTable"/>
              <w:numPr>
                <w:ilvl w:val="0"/>
                <w:numId w:val="21"/>
              </w:numPr>
              <w:spacing w:before="60" w:after="60"/>
              <w:jc w:val="left"/>
              <w:rPr>
                <w:sz w:val="18"/>
                <w:lang w:val="es-ES"/>
              </w:rPr>
            </w:pPr>
            <w:r>
              <w:rPr>
                <w:sz w:val="18"/>
                <w:lang w:val="es"/>
              </w:rPr>
              <w:t>Explorar los problemas, carencias y necesidades regionales y elaborar planes para resolverlos.</w:t>
            </w:r>
          </w:p>
          <w:p w14:paraId="2640C2C8" w14:textId="77777777" w:rsidR="005836C8" w:rsidRPr="00116C1D" w:rsidRDefault="005836C8" w:rsidP="005836C8">
            <w:pPr>
              <w:pStyle w:val="ActionTable"/>
              <w:numPr>
                <w:ilvl w:val="0"/>
                <w:numId w:val="20"/>
              </w:numPr>
              <w:spacing w:before="60" w:after="60"/>
              <w:ind w:left="268" w:hanging="268"/>
              <w:jc w:val="left"/>
              <w:rPr>
                <w:sz w:val="18"/>
                <w:lang w:val="es-ES"/>
              </w:rPr>
            </w:pPr>
            <w:r>
              <w:rPr>
                <w:sz w:val="18"/>
                <w:lang w:val="es"/>
              </w:rPr>
              <w:t>Informar de las necesidades y problemas regionales a la CMNUCC, la OMM y otras partes interesadas.</w:t>
            </w:r>
          </w:p>
        </w:tc>
      </w:tr>
    </w:tbl>
    <w:p w14:paraId="04ECBA70" w14:textId="58907AC6" w:rsidR="005836C8" w:rsidRPr="00116C1D" w:rsidRDefault="00AA1D51" w:rsidP="00AA1D51">
      <w:pPr>
        <w:pStyle w:val="COI"/>
        <w:rPr>
          <w:rFonts w:cs="Arial"/>
          <w:color w:val="000000"/>
          <w:lang w:val="es-ES"/>
        </w:rPr>
      </w:pPr>
      <w:r>
        <w:rPr>
          <w:lang w:val="es"/>
        </w:rPr>
        <w:t xml:space="preserve">Los detalles sobre los problemas, los beneficios y los medios para evaluar el progreso de estas actividades se recogen en </w:t>
      </w:r>
      <w:hyperlink r:id="rId19" w:history="1">
        <w:r>
          <w:rPr>
            <w:rStyle w:val="Hyperlink"/>
            <w:rFonts w:cs="Arial"/>
            <w:sz w:val="20"/>
            <w:szCs w:val="20"/>
            <w:lang w:val="es"/>
          </w:rPr>
          <w:t>SMOC-244</w:t>
        </w:r>
      </w:hyperlink>
      <w:r>
        <w:rPr>
          <w:color w:val="000000"/>
          <w:sz w:val="20"/>
          <w:szCs w:val="20"/>
          <w:lang w:val="es"/>
        </w:rPr>
        <w:t>.</w:t>
      </w:r>
    </w:p>
    <w:p w14:paraId="59BB81CC" w14:textId="2D226F12" w:rsidR="005836C8" w:rsidRPr="00F524DB" w:rsidRDefault="005836C8" w:rsidP="00F524DB">
      <w:pPr>
        <w:pStyle w:val="Heading3"/>
      </w:pPr>
      <w:r>
        <w:rPr>
          <w:lang w:val="es"/>
        </w:rPr>
        <w:t>Tema F: Otras necesidades emergentes</w:t>
      </w:r>
    </w:p>
    <w:p w14:paraId="2393D5CE" w14:textId="39C2DE4A" w:rsidR="005836C8" w:rsidRPr="00116C1D" w:rsidRDefault="005836C8" w:rsidP="00AA1D51">
      <w:pPr>
        <w:pStyle w:val="COI"/>
        <w:rPr>
          <w:lang w:val="es-ES"/>
        </w:rPr>
      </w:pPr>
      <w:r>
        <w:rPr>
          <w:lang w:val="es"/>
        </w:rPr>
        <w:t>A medida que los países responden a las repercusiones del cambio climático, necesitan datos relacionados con las áreas concretas que afectan a sus países. Muchas de las repercusiones están directamente relacionadas con fenómenos extremos, como olas de calor, inundaciones y sequías. Aunque se sigue trabajando para determinar de qué manera el sistema mundial puede apoyar estas necesidades nacionales y locales, algunos requisitos ya son evidentes. Muchos usuarios no utilizarán directamente los datos observados, sino productos de reanálisis. La observación en zonas de interés, a resoluciones pertinentes, mejorará en gran medida el reanálisis. Este tema aborda algunas de estas necesidades, desde datos de mayor resolución (tanto espacial como temporal) para hacer un seguimiento de los fenómenos extremos, hasta el seguimiento de zonas de especial interés en las que las repercusiones sobre los seres humanos son mayores: las zonas costeras y urbanas. El SMOC continuará identificando las necesidades de adaptación y apoyando el Acuerdo de París: este tema solo aborda las acciones que ya se han identificado y que pueden iniciarse en el periodo de vigencia de este plan, de 5 a 10 años.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1121"/>
        <w:gridCol w:w="8507"/>
      </w:tblGrid>
      <w:tr w:rsidR="005836C8" w:rsidRPr="00116C1D" w14:paraId="2F7C28B8" w14:textId="77777777" w:rsidTr="00545534">
        <w:tc>
          <w:tcPr>
            <w:tcW w:w="5000" w:type="pct"/>
            <w:gridSpan w:val="2"/>
            <w:shd w:val="clear" w:color="auto" w:fill="DDF0C8"/>
          </w:tcPr>
          <w:p w14:paraId="519DD834" w14:textId="77777777" w:rsidR="005836C8" w:rsidRPr="00116C1D" w:rsidRDefault="005836C8" w:rsidP="00545534">
            <w:pPr>
              <w:pStyle w:val="TitleTable"/>
              <w:spacing w:before="60" w:after="60"/>
              <w:rPr>
                <w:szCs w:val="18"/>
                <w:lang w:val="es-ES"/>
              </w:rPr>
            </w:pPr>
            <w:r>
              <w:rPr>
                <w:bCs/>
                <w:szCs w:val="18"/>
                <w:lang w:val="es"/>
              </w:rPr>
              <w:t>Acción F3: Mejorar el seguimiento de las Zonas Económicas Exclusivas y costeras</w:t>
            </w:r>
          </w:p>
        </w:tc>
      </w:tr>
      <w:tr w:rsidR="005836C8" w:rsidRPr="00116C1D" w14:paraId="0468DF60" w14:textId="77777777" w:rsidTr="00545534">
        <w:tc>
          <w:tcPr>
            <w:tcW w:w="582" w:type="pct"/>
            <w:shd w:val="clear" w:color="auto" w:fill="auto"/>
            <w:textDirection w:val="btLr"/>
          </w:tcPr>
          <w:p w14:paraId="4932EEEA" w14:textId="77777777" w:rsidR="005836C8" w:rsidRPr="00A37E54" w:rsidRDefault="005836C8" w:rsidP="00545534">
            <w:pPr>
              <w:pStyle w:val="ActionTable"/>
              <w:spacing w:before="60"/>
              <w:jc w:val="center"/>
              <w:rPr>
                <w:b/>
                <w:bCs/>
                <w:sz w:val="18"/>
              </w:rPr>
            </w:pPr>
            <w:r>
              <w:rPr>
                <w:rFonts w:eastAsia="Times New Roman"/>
                <w:b/>
                <w:bCs/>
                <w:sz w:val="18"/>
                <w:lang w:val="es"/>
              </w:rPr>
              <w:lastRenderedPageBreak/>
              <w:t>Actividades</w:t>
            </w:r>
          </w:p>
        </w:tc>
        <w:tc>
          <w:tcPr>
            <w:tcW w:w="4418" w:type="pct"/>
            <w:shd w:val="clear" w:color="auto" w:fill="auto"/>
          </w:tcPr>
          <w:p w14:paraId="42045934" w14:textId="77777777" w:rsidR="005836C8" w:rsidRPr="00116C1D" w:rsidRDefault="005836C8" w:rsidP="005836C8">
            <w:pPr>
              <w:pStyle w:val="ActionTable"/>
              <w:numPr>
                <w:ilvl w:val="0"/>
                <w:numId w:val="22"/>
              </w:numPr>
              <w:spacing w:before="60" w:after="60"/>
              <w:ind w:left="268" w:hanging="284"/>
              <w:jc w:val="left"/>
              <w:rPr>
                <w:sz w:val="18"/>
                <w:lang w:val="es-ES"/>
              </w:rPr>
            </w:pPr>
            <w:r>
              <w:rPr>
                <w:sz w:val="18"/>
                <w:lang w:val="es"/>
              </w:rPr>
              <w:t xml:space="preserve">Ampliar las observaciones </w:t>
            </w:r>
            <w:r>
              <w:rPr>
                <w:i/>
                <w:iCs/>
                <w:sz w:val="18"/>
                <w:lang w:val="es"/>
              </w:rPr>
              <w:t>in situ</w:t>
            </w:r>
            <w:r>
              <w:rPr>
                <w:sz w:val="18"/>
                <w:lang w:val="es"/>
              </w:rPr>
              <w:t xml:space="preserve"> del clima oceánico mundial y los productos por satélite a las Zonas Económicas Exclusivas (ZEE) y las zonas costeras.</w:t>
            </w:r>
          </w:p>
          <w:p w14:paraId="3BDF03B2" w14:textId="77777777" w:rsidR="005836C8" w:rsidRPr="00116C1D" w:rsidRDefault="005836C8" w:rsidP="005836C8">
            <w:pPr>
              <w:pStyle w:val="ActionTable"/>
              <w:numPr>
                <w:ilvl w:val="0"/>
                <w:numId w:val="22"/>
              </w:numPr>
              <w:spacing w:before="60" w:after="60"/>
              <w:ind w:left="268" w:hanging="284"/>
              <w:jc w:val="left"/>
              <w:rPr>
                <w:sz w:val="18"/>
                <w:lang w:val="es-ES"/>
              </w:rPr>
            </w:pPr>
            <w:r>
              <w:rPr>
                <w:sz w:val="18"/>
                <w:lang w:val="es"/>
              </w:rPr>
              <w:t>Desarrollar nuevos productos por satélite para la biogeoquímica costera.</w:t>
            </w:r>
          </w:p>
          <w:p w14:paraId="759D9B67" w14:textId="77777777" w:rsidR="005836C8" w:rsidRPr="00116C1D" w:rsidRDefault="005836C8" w:rsidP="005836C8">
            <w:pPr>
              <w:pStyle w:val="ActionTable"/>
              <w:numPr>
                <w:ilvl w:val="0"/>
                <w:numId w:val="22"/>
              </w:numPr>
              <w:spacing w:before="60" w:after="60"/>
              <w:ind w:left="268" w:hanging="284"/>
              <w:jc w:val="left"/>
              <w:rPr>
                <w:sz w:val="18"/>
                <w:lang w:val="es-ES"/>
              </w:rPr>
            </w:pPr>
            <w:r>
              <w:rPr>
                <w:sz w:val="18"/>
                <w:lang w:val="es"/>
              </w:rPr>
              <w:t>Producir conjuntos de datos sobre la cubierta terrestre en las zonas costeras sin máscaras de la superficie terrestre y casi en tiempo real, incluidas las incertidumbres.</w:t>
            </w:r>
          </w:p>
          <w:p w14:paraId="3A5FB328" w14:textId="77777777" w:rsidR="005836C8" w:rsidRPr="00116C1D" w:rsidRDefault="005836C8" w:rsidP="005836C8">
            <w:pPr>
              <w:pStyle w:val="ActionTable"/>
              <w:numPr>
                <w:ilvl w:val="0"/>
                <w:numId w:val="22"/>
              </w:numPr>
              <w:spacing w:before="60" w:after="60"/>
              <w:ind w:left="268" w:hanging="284"/>
              <w:jc w:val="left"/>
              <w:rPr>
                <w:sz w:val="18"/>
                <w:lang w:val="es-ES"/>
              </w:rPr>
            </w:pPr>
            <w:r>
              <w:rPr>
                <w:sz w:val="18"/>
                <w:lang w:val="es"/>
              </w:rPr>
              <w:t>Mejorar la recopilación de datos nacionales costeros y de las ZEE, el procesamiento de datos, la evaluación de incertidumbres y la conservación de datos mejorando el acceso a los equipos y garantizando que las prácticas locales sean coherentes con las directrices mundiales y las mejores prácticas.</w:t>
            </w:r>
          </w:p>
        </w:tc>
      </w:tr>
    </w:tbl>
    <w:p w14:paraId="4E75DDC5" w14:textId="29556FE1" w:rsidR="005836C8" w:rsidRPr="00116C1D" w:rsidRDefault="00AA1D51" w:rsidP="00AA1D51">
      <w:pPr>
        <w:pStyle w:val="COI"/>
        <w:rPr>
          <w:rFonts w:cs="Arial"/>
          <w:color w:val="000000"/>
          <w:lang w:val="es-ES"/>
        </w:rPr>
      </w:pPr>
      <w:r>
        <w:rPr>
          <w:lang w:val="es"/>
        </w:rPr>
        <w:t xml:space="preserve">Los detalles sobre los problemas, los beneficios y los medios para evaluar el progreso de estas actividades se encuentran en </w:t>
      </w:r>
      <w:hyperlink r:id="rId20" w:history="1">
        <w:r>
          <w:rPr>
            <w:rStyle w:val="Hyperlink"/>
            <w:rFonts w:cs="Arial"/>
            <w:sz w:val="20"/>
            <w:szCs w:val="20"/>
            <w:lang w:val="es"/>
          </w:rPr>
          <w:t>SMOC-244</w:t>
        </w:r>
      </w:hyperlink>
      <w:r>
        <w:rPr>
          <w:color w:val="000000"/>
          <w:sz w:val="20"/>
          <w:szCs w:val="20"/>
          <w:lang w:val="es"/>
        </w:rPr>
        <w:t>.</w:t>
      </w:r>
    </w:p>
    <w:p w14:paraId="4A73BE4A" w14:textId="77777777" w:rsidR="00853565" w:rsidRPr="00853565" w:rsidRDefault="00853565" w:rsidP="00AA1D51">
      <w:pPr>
        <w:pStyle w:val="Heading3"/>
      </w:pPr>
      <w:r>
        <w:rPr>
          <w:lang w:val="es"/>
        </w:rPr>
        <w:t>Implicaciones financieras y administrativas</w:t>
      </w:r>
    </w:p>
    <w:p w14:paraId="43F83DE3" w14:textId="0984B73D" w:rsidR="00C3684D" w:rsidRPr="00116C1D" w:rsidRDefault="005836C8" w:rsidP="00AA1D51">
      <w:pPr>
        <w:pStyle w:val="COI"/>
        <w:rPr>
          <w:lang w:val="es-ES"/>
        </w:rPr>
      </w:pPr>
      <w:r>
        <w:rPr>
          <w:lang w:val="es"/>
        </w:rPr>
        <w:t>No hay implicaciones financieras ni administrativas.</w:t>
      </w:r>
    </w:p>
    <w:sectPr w:rsidR="00C3684D" w:rsidRPr="00116C1D" w:rsidSect="003F7186">
      <w:headerReference w:type="even" r:id="rId21"/>
      <w:headerReference w:type="default" r:id="rId22"/>
      <w:headerReference w:type="first" r:id="rId23"/>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2477" w14:textId="77777777" w:rsidR="00D51956" w:rsidRDefault="00D51956">
      <w:r>
        <w:separator/>
      </w:r>
    </w:p>
  </w:endnote>
  <w:endnote w:type="continuationSeparator" w:id="0">
    <w:p w14:paraId="29AE7D78" w14:textId="77777777" w:rsidR="00D51956" w:rsidRDefault="00D5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915D" w14:textId="77777777" w:rsidR="00D51956" w:rsidRDefault="00D51956">
      <w:r>
        <w:separator/>
      </w:r>
    </w:p>
  </w:footnote>
  <w:footnote w:type="continuationSeparator" w:id="0">
    <w:p w14:paraId="14819931" w14:textId="77777777" w:rsidR="00D51956" w:rsidRDefault="00D51956">
      <w:r>
        <w:continuationSeparator/>
      </w:r>
    </w:p>
  </w:footnote>
  <w:footnote w:id="1">
    <w:p w14:paraId="35702A32" w14:textId="77777777" w:rsidR="00EC2C27" w:rsidRPr="00EC2C27" w:rsidRDefault="00EC2C27" w:rsidP="00EC2C27">
      <w:pPr>
        <w:pStyle w:val="FootnoteText"/>
        <w:tabs>
          <w:tab w:val="left" w:pos="284"/>
        </w:tabs>
        <w:ind w:left="0" w:firstLine="0"/>
        <w:rPr>
          <w:rFonts w:cs="Arial"/>
        </w:rPr>
      </w:pPr>
      <w:r>
        <w:rPr>
          <w:rStyle w:val="FootnoteReference"/>
          <w:rFonts w:eastAsia="Verdana" w:cs="Arial"/>
          <w:lang w:val="es"/>
        </w:rPr>
        <w:footnoteRef/>
      </w:r>
      <w:r w:rsidRPr="00116C1D">
        <w:rPr>
          <w:rFonts w:cs="Arial"/>
        </w:rPr>
        <w:t xml:space="preserve"> </w:t>
      </w:r>
      <w:r w:rsidRPr="00116C1D">
        <w:rPr>
          <w:rFonts w:cs="Arial"/>
        </w:rPr>
        <w:tab/>
        <w:t xml:space="preserve">Lin, D., J. Crabtree, I. </w:t>
      </w:r>
      <w:proofErr w:type="spellStart"/>
      <w:r w:rsidRPr="00116C1D">
        <w:rPr>
          <w:rFonts w:cs="Arial"/>
        </w:rPr>
        <w:t>Dillo</w:t>
      </w:r>
      <w:proofErr w:type="spellEnd"/>
      <w:r w:rsidRPr="00116C1D">
        <w:rPr>
          <w:rFonts w:cs="Arial"/>
        </w:rPr>
        <w:t>, et al., 2020: The TRUST Principles for digital repositories. Sci Data 7, 144, DOI:10.1038/s41597-020-0486-7</w:t>
      </w:r>
    </w:p>
  </w:footnote>
  <w:footnote w:id="2">
    <w:p w14:paraId="2B0FA1DF" w14:textId="77777777" w:rsidR="00EC2C27" w:rsidRPr="00E368AE" w:rsidRDefault="00EC2C27" w:rsidP="00EC2C27">
      <w:pPr>
        <w:pStyle w:val="FootnoteText"/>
        <w:tabs>
          <w:tab w:val="left" w:pos="284"/>
        </w:tabs>
        <w:ind w:left="0" w:firstLine="0"/>
        <w:rPr>
          <w:rFonts w:eastAsia="Verdana" w:cs="Verdana"/>
          <w:sz w:val="16"/>
          <w:szCs w:val="16"/>
        </w:rPr>
      </w:pPr>
      <w:r>
        <w:rPr>
          <w:rStyle w:val="FootnoteReference"/>
          <w:rFonts w:eastAsia="Verdana" w:cs="Arial"/>
          <w:lang w:val="es"/>
        </w:rPr>
        <w:footnoteRef/>
      </w:r>
      <w:r w:rsidRPr="00116C1D">
        <w:rPr>
          <w:rFonts w:cs="Arial"/>
        </w:rPr>
        <w:t xml:space="preserve"> </w:t>
      </w:r>
      <w:r w:rsidRPr="00116C1D">
        <w:rPr>
          <w:rFonts w:cs="Arial"/>
        </w:rPr>
        <w:tab/>
        <w:t xml:space="preserve">Wilkinson, M.D., et al., 2016: The FAIR guiding principles for scientific data management and stewardship. </w:t>
      </w:r>
      <w:r>
        <w:rPr>
          <w:rFonts w:cs="Arial"/>
          <w:lang w:val="es"/>
        </w:rPr>
        <w:t>Scientific Data, 3, DOI:10.1038/sdata.2016.18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4C4C0" w14:textId="77777777" w:rsidR="00020AA1" w:rsidRPr="00C962F0" w:rsidRDefault="00020AA1">
    <w:pPr>
      <w:pStyle w:val="Header"/>
      <w:rPr>
        <w:szCs w:val="22"/>
      </w:rPr>
    </w:pPr>
    <w:r w:rsidRPr="00116C1D">
      <w:rPr>
        <w:szCs w:val="22"/>
      </w:rPr>
      <w:t>ICG/CARIBE-EWS II/WD </w:t>
    </w:r>
    <w:r w:rsidRPr="00116C1D">
      <w:rPr>
        <w:szCs w:val="22"/>
        <w:highlight w:val="cyan"/>
      </w:rPr>
      <w:t>__</w:t>
    </w:r>
  </w:p>
  <w:p w14:paraId="25ECBAB7" w14:textId="77777777" w:rsidR="00020AA1" w:rsidRPr="00C962F0" w:rsidRDefault="00020AA1">
    <w:pPr>
      <w:pStyle w:val="Header"/>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2</w:t>
    </w:r>
    <w:r>
      <w:rPr>
        <w:rStyle w:val="PageNumber"/>
        <w:szCs w:val="22"/>
        <w:lang w:val="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D5BC" w14:textId="77777777" w:rsidR="00020AA1" w:rsidRPr="00746B89" w:rsidRDefault="00020AA1" w:rsidP="00DF2FB9">
    <w:pPr>
      <w:pStyle w:val="Header"/>
      <w:tabs>
        <w:tab w:val="clear" w:pos="8306"/>
      </w:tabs>
      <w:rPr>
        <w:szCs w:val="22"/>
      </w:rPr>
    </w:pPr>
    <w:r>
      <w:rPr>
        <w:szCs w:val="22"/>
        <w:lang w:val="es"/>
      </w:rPr>
      <w:t xml:space="preserve">IOC-XXIV/2 Anexo </w:t>
    </w:r>
    <w:r>
      <w:rPr>
        <w:szCs w:val="22"/>
        <w:highlight w:val="yellow"/>
        <w:lang w:val="es"/>
      </w:rPr>
      <w:t>__</w:t>
    </w:r>
  </w:p>
  <w:p w14:paraId="4B98523B" w14:textId="77777777" w:rsidR="00020AA1" w:rsidRPr="00746B89" w:rsidRDefault="00020AA1" w:rsidP="00DF2FB9">
    <w:pPr>
      <w:pStyle w:val="Header"/>
      <w:tabs>
        <w:tab w:val="clear" w:pos="8306"/>
      </w:tabs>
      <w:rPr>
        <w:szCs w:val="22"/>
      </w:rPr>
    </w:pPr>
    <w:r>
      <w:rPr>
        <w:szCs w:val="22"/>
        <w:lang w:val="es"/>
      </w:rPr>
      <w:t>Página </w:t>
    </w:r>
    <w:r>
      <w:rPr>
        <w:rStyle w:val="PageNumber"/>
        <w:szCs w:val="22"/>
        <w:lang w:val="es"/>
      </w:rPr>
      <w:fldChar w:fldCharType="begin"/>
    </w:r>
    <w:r>
      <w:rPr>
        <w:rStyle w:val="PageNumber"/>
        <w:szCs w:val="22"/>
        <w:lang w:val="es"/>
      </w:rPr>
      <w:instrText xml:space="preserve"> PAGE </w:instrText>
    </w:r>
    <w:r>
      <w:rPr>
        <w:rStyle w:val="PageNumber"/>
        <w:szCs w:val="22"/>
        <w:lang w:val="es"/>
      </w:rPr>
      <w:fldChar w:fldCharType="separate"/>
    </w:r>
    <w:r>
      <w:rPr>
        <w:rStyle w:val="PageNumber"/>
        <w:noProof/>
        <w:szCs w:val="22"/>
        <w:lang w:val="es"/>
      </w:rPr>
      <w:t>3</w:t>
    </w:r>
    <w:r>
      <w:rPr>
        <w:rStyle w:val="PageNumber"/>
        <w:szCs w:val="22"/>
        <w:lang w:val="es"/>
      </w:rPr>
      <w:fldChar w:fldCharType="end"/>
    </w:r>
  </w:p>
  <w:p w14:paraId="2D977F78" w14:textId="77777777" w:rsidR="00020AA1" w:rsidRPr="00DF2FB9" w:rsidRDefault="00020AA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2EB6" w14:textId="1EE00556" w:rsidR="00B8392A" w:rsidRPr="00116C1D" w:rsidRDefault="00B8392A" w:rsidP="00116C1D">
    <w:pPr>
      <w:pStyle w:val="Marge"/>
      <w:tabs>
        <w:tab w:val="left" w:pos="5954"/>
        <w:tab w:val="left" w:pos="7560"/>
      </w:tabs>
      <w:spacing w:after="0"/>
      <w:rPr>
        <w:rFonts w:cs="Arial"/>
        <w:b/>
        <w:szCs w:val="22"/>
        <w:lang w:val="es-ES"/>
      </w:rPr>
    </w:pPr>
    <w:r>
      <w:rPr>
        <w:rFonts w:cs="Arial"/>
        <w:szCs w:val="22"/>
        <w:lang w:val="es"/>
      </w:rPr>
      <w:t>Distribución limitada</w:t>
    </w:r>
    <w:r>
      <w:rPr>
        <w:rFonts w:cs="Arial"/>
        <w:szCs w:val="22"/>
        <w:lang w:val="es"/>
      </w:rPr>
      <w:tab/>
    </w:r>
    <w:r>
      <w:rPr>
        <w:rFonts w:cs="Arial"/>
        <w:b/>
        <w:bCs/>
        <w:sz w:val="36"/>
        <w:szCs w:val="36"/>
        <w:lang w:val="es"/>
      </w:rPr>
      <w:t>IOC</w:t>
    </w:r>
    <w:r w:rsidR="00116C1D">
      <w:rPr>
        <w:rFonts w:cs="Arial"/>
        <w:b/>
        <w:bCs/>
        <w:sz w:val="36"/>
        <w:szCs w:val="36"/>
        <w:lang w:val="es"/>
      </w:rPr>
      <w:t>/A</w:t>
    </w:r>
    <w:r>
      <w:rPr>
        <w:rFonts w:cs="Arial"/>
        <w:b/>
        <w:bCs/>
        <w:sz w:val="36"/>
        <w:szCs w:val="36"/>
        <w:lang w:val="es"/>
      </w:rPr>
      <w:t>-32/4.</w:t>
    </w:r>
    <w:proofErr w:type="gramStart"/>
    <w:r>
      <w:rPr>
        <w:rFonts w:cs="Arial"/>
        <w:b/>
        <w:bCs/>
        <w:sz w:val="36"/>
        <w:szCs w:val="36"/>
        <w:lang w:val="es"/>
      </w:rPr>
      <w:t>10.Doc</w:t>
    </w:r>
    <w:proofErr w:type="gramEnd"/>
    <w:r>
      <w:rPr>
        <w:rFonts w:cs="Arial"/>
        <w:b/>
        <w:bCs/>
        <w:sz w:val="36"/>
        <w:szCs w:val="36"/>
        <w:lang w:val="es"/>
      </w:rPr>
      <w:t>(1)</w:t>
    </w:r>
  </w:p>
  <w:p w14:paraId="2DD4DF53" w14:textId="2E0443BC" w:rsidR="00B8392A" w:rsidRPr="00116C1D" w:rsidRDefault="00B8392A" w:rsidP="00116C1D">
    <w:pPr>
      <w:tabs>
        <w:tab w:val="clear" w:pos="567"/>
        <w:tab w:val="left" w:pos="5954"/>
        <w:tab w:val="left" w:pos="7560"/>
      </w:tabs>
      <w:jc w:val="both"/>
      <w:rPr>
        <w:rFonts w:cs="Arial"/>
        <w:szCs w:val="22"/>
        <w:lang w:val="es-ES"/>
      </w:rPr>
    </w:pPr>
    <w:r>
      <w:rPr>
        <w:noProof/>
        <w:lang w:val="es"/>
      </w:rPr>
      <w:drawing>
        <wp:anchor distT="0" distB="0" distL="114300" distR="114300" simplePos="0" relativeHeight="251659264" behindDoc="0" locked="0" layoutInCell="1" allowOverlap="1" wp14:anchorId="3CA45A40" wp14:editId="6A8F6CBD">
          <wp:simplePos x="0" y="0"/>
          <wp:positionH relativeFrom="column">
            <wp:posOffset>-124460</wp:posOffset>
          </wp:positionH>
          <wp:positionV relativeFrom="paragraph">
            <wp:posOffset>101600</wp:posOffset>
          </wp:positionV>
          <wp:extent cx="1578610" cy="1047115"/>
          <wp:effectExtent l="0" t="0" r="2540" b="635"/>
          <wp:wrapSquare wrapText="bothSides"/>
          <wp:docPr id="1" name="Picture 1"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es"/>
      </w:rPr>
      <w:tab/>
      <w:t>París, a 23 de mayo de 2023</w:t>
    </w:r>
  </w:p>
  <w:p w14:paraId="5A883982" w14:textId="77777777" w:rsidR="00B8392A" w:rsidRPr="00116C1D" w:rsidRDefault="00B8392A" w:rsidP="00116C1D">
    <w:pPr>
      <w:tabs>
        <w:tab w:val="clear" w:pos="567"/>
        <w:tab w:val="left" w:pos="5954"/>
        <w:tab w:val="left" w:pos="7560"/>
      </w:tabs>
      <w:jc w:val="both"/>
      <w:rPr>
        <w:rFonts w:cs="Arial"/>
        <w:szCs w:val="22"/>
        <w:lang w:val="es-ES"/>
      </w:rPr>
    </w:pPr>
    <w:r>
      <w:rPr>
        <w:rFonts w:cs="Arial"/>
        <w:szCs w:val="22"/>
        <w:lang w:val="es"/>
      </w:rPr>
      <w:tab/>
      <w:t xml:space="preserve">Original: </w:t>
    </w:r>
    <w:proofErr w:type="gramStart"/>
    <w:r>
      <w:rPr>
        <w:rFonts w:cs="Arial"/>
        <w:szCs w:val="22"/>
        <w:lang w:val="es"/>
      </w:rPr>
      <w:t>Inglés</w:t>
    </w:r>
    <w:proofErr w:type="gramEnd"/>
  </w:p>
  <w:p w14:paraId="37131F92" w14:textId="77777777" w:rsidR="00B8392A" w:rsidRPr="00116C1D"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rFonts w:cs="Arial"/>
        <w:b/>
        <w:szCs w:val="22"/>
        <w:lang w:val="es-ES"/>
      </w:rPr>
    </w:pPr>
  </w:p>
  <w:p w14:paraId="73AEFABA" w14:textId="77777777" w:rsidR="00B8392A" w:rsidRPr="00116C1D"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1AD5B7D8" w14:textId="77777777" w:rsidR="00B8392A" w:rsidRPr="00116C1D"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13FAA021" w14:textId="77777777" w:rsidR="00B8392A" w:rsidRPr="00116C1D"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10DDD07B" w14:textId="77777777" w:rsidR="00B8392A" w:rsidRPr="00116C1D"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2893C4E5" w14:textId="77777777" w:rsidR="00B8392A" w:rsidRPr="00116C1D" w:rsidRDefault="00B8392A" w:rsidP="00B8392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es-ES"/>
      </w:rPr>
    </w:pPr>
  </w:p>
  <w:p w14:paraId="47F5403C" w14:textId="77777777" w:rsidR="00B8392A" w:rsidRPr="00116C1D"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es-ES"/>
      </w:rPr>
    </w:pPr>
    <w:r>
      <w:rPr>
        <w:rFonts w:cs="Arial"/>
        <w:b/>
        <w:bCs/>
        <w:szCs w:val="22"/>
        <w:lang w:val="es"/>
      </w:rPr>
      <w:t>COMISIÓN OCEANOGRÁFICA INTERGUBERNAMENTAL</w:t>
    </w:r>
  </w:p>
  <w:p w14:paraId="26AE1CBC" w14:textId="77777777" w:rsidR="00B8392A" w:rsidRPr="00116C1D" w:rsidRDefault="00B8392A" w:rsidP="00B8392A">
    <w:pPr>
      <w:tabs>
        <w:tab w:val="left" w:pos="-1440"/>
        <w:tab w:val="left" w:pos="-720"/>
        <w:tab w:val="left" w:pos="720"/>
        <w:tab w:val="left" w:pos="2160"/>
        <w:tab w:val="left" w:pos="3600"/>
        <w:tab w:val="left" w:pos="4320"/>
        <w:tab w:val="left" w:pos="5040"/>
        <w:tab w:val="left" w:pos="5523"/>
        <w:tab w:val="left" w:pos="6480"/>
      </w:tabs>
      <w:jc w:val="center"/>
      <w:rPr>
        <w:rFonts w:cs="Arial"/>
        <w:bCs/>
        <w:szCs w:val="22"/>
        <w:lang w:val="es-ES"/>
      </w:rPr>
    </w:pPr>
    <w:r>
      <w:rPr>
        <w:rFonts w:cs="Arial"/>
        <w:szCs w:val="22"/>
        <w:lang w:val="es"/>
      </w:rPr>
      <w:t>(de la UNESCO)</w:t>
    </w:r>
  </w:p>
  <w:p w14:paraId="00911119" w14:textId="77777777" w:rsidR="00B8392A" w:rsidRPr="00116C1D" w:rsidRDefault="00B8392A" w:rsidP="00B8392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es-ES"/>
      </w:rPr>
    </w:pPr>
  </w:p>
  <w:p w14:paraId="5849936B" w14:textId="77777777" w:rsidR="00B8392A" w:rsidRPr="00116C1D"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lang w:val="es-ES"/>
      </w:rPr>
    </w:pPr>
    <w:r>
      <w:rPr>
        <w:rFonts w:cs="Arial"/>
        <w:b/>
        <w:bCs/>
        <w:lang w:val="es"/>
      </w:rPr>
      <w:t>32.</w:t>
    </w:r>
    <w:r>
      <w:rPr>
        <w:rFonts w:cs="Arial"/>
        <w:b/>
        <w:bCs/>
        <w:vertAlign w:val="superscript"/>
        <w:lang w:val="es"/>
      </w:rPr>
      <w:t xml:space="preserve">a </w:t>
    </w:r>
    <w:r>
      <w:rPr>
        <w:rFonts w:cs="Arial"/>
        <w:b/>
        <w:bCs/>
        <w:lang w:val="es"/>
      </w:rPr>
      <w:t>reunión de la Asamblea</w:t>
    </w:r>
  </w:p>
  <w:p w14:paraId="19A95793" w14:textId="77777777" w:rsidR="00B8392A" w:rsidRPr="00116C1D" w:rsidRDefault="00B8392A" w:rsidP="00B8392A">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lang w:val="es-ES"/>
      </w:rPr>
    </w:pPr>
    <w:r>
      <w:rPr>
        <w:rFonts w:cs="Arial"/>
        <w:lang w:val="es"/>
      </w:rPr>
      <w:t>UNESCO, 21-30 de junio de 2023</w:t>
    </w:r>
  </w:p>
  <w:p w14:paraId="10917055" w14:textId="77777777" w:rsidR="00B8392A" w:rsidRPr="00116C1D" w:rsidRDefault="00B8392A" w:rsidP="00B8392A">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es-ES"/>
      </w:rPr>
    </w:pPr>
  </w:p>
  <w:p w14:paraId="368F1CC2" w14:textId="77777777" w:rsidR="00B8392A" w:rsidRPr="00116C1D" w:rsidRDefault="00B8392A" w:rsidP="00B8392A">
    <w:pPr>
      <w:jc w:val="center"/>
      <w:rPr>
        <w:rFonts w:cs="Arial"/>
        <w:szCs w:val="22"/>
        <w:lang w:val="es-ES"/>
      </w:rPr>
    </w:pPr>
  </w:p>
  <w:p w14:paraId="2B4F1AF1" w14:textId="77777777" w:rsidR="00B8392A" w:rsidRPr="00116C1D" w:rsidRDefault="00B8392A" w:rsidP="00B8392A">
    <w:pPr>
      <w:jc w:val="center"/>
      <w:rPr>
        <w:rFonts w:cs="Arial"/>
        <w:szCs w:val="22"/>
        <w:lang w:val="es-ES"/>
      </w:rPr>
    </w:pPr>
  </w:p>
  <w:p w14:paraId="14C94893" w14:textId="77777777" w:rsidR="00B8392A" w:rsidRPr="00116C1D" w:rsidRDefault="00B8392A" w:rsidP="00B8392A">
    <w:pPr>
      <w:jc w:val="center"/>
      <w:rPr>
        <w:rFonts w:cs="Arial"/>
        <w:szCs w:val="22"/>
        <w:lang w:val="es-ES"/>
      </w:rPr>
    </w:pPr>
  </w:p>
  <w:p w14:paraId="08F1EBA6" w14:textId="77777777" w:rsidR="00B8392A" w:rsidRPr="00116C1D" w:rsidRDefault="00B8392A" w:rsidP="00B8392A">
    <w:pPr>
      <w:jc w:val="center"/>
      <w:rPr>
        <w:rFonts w:cs="Arial"/>
        <w:szCs w:val="22"/>
        <w:lang w:val="es-ES"/>
      </w:rPr>
    </w:pPr>
  </w:p>
  <w:p w14:paraId="43E9F447" w14:textId="77777777" w:rsidR="00B8392A" w:rsidRPr="00116C1D" w:rsidRDefault="00B8392A" w:rsidP="00B8392A">
    <w:pPr>
      <w:jc w:val="center"/>
      <w:rPr>
        <w:rFonts w:cs="Arial"/>
        <w:szCs w:val="22"/>
        <w:lang w:val="es-ES"/>
      </w:rPr>
    </w:pPr>
  </w:p>
  <w:p w14:paraId="014D31BF" w14:textId="265596CD" w:rsidR="00B8392A" w:rsidRPr="00116C1D" w:rsidRDefault="00B8392A" w:rsidP="00B8392A">
    <w:pPr>
      <w:pStyle w:val="Heading7"/>
      <w:tabs>
        <w:tab w:val="clear" w:pos="567"/>
        <w:tab w:val="right" w:pos="9540"/>
      </w:tabs>
      <w:rPr>
        <w:rFonts w:asciiTheme="minorBidi" w:hAnsiTheme="minorBidi" w:cstheme="minorBidi"/>
        <w:szCs w:val="22"/>
        <w:lang w:val="es-ES"/>
      </w:rPr>
    </w:pPr>
    <w:r>
      <w:rPr>
        <w:rFonts w:asciiTheme="minorBidi" w:hAnsiTheme="minorBidi" w:cstheme="minorBidi"/>
        <w:sz w:val="24"/>
        <w:lang w:val="es"/>
      </w:rPr>
      <w:t xml:space="preserve">Punto </w:t>
    </w:r>
    <w:r>
      <w:rPr>
        <w:rFonts w:asciiTheme="minorBidi" w:hAnsiTheme="minorBidi" w:cstheme="minorBidi"/>
        <w:b/>
        <w:bCs/>
        <w:sz w:val="24"/>
        <w:lang w:val="es"/>
      </w:rPr>
      <w:t>4.10</w:t>
    </w:r>
    <w:r>
      <w:rPr>
        <w:rFonts w:asciiTheme="minorBidi" w:hAnsiTheme="minorBidi" w:cstheme="minorBidi"/>
        <w:sz w:val="24"/>
        <w:lang w:val="es"/>
      </w:rPr>
      <w:t xml:space="preserve"> del Orden del día provisional</w:t>
    </w:r>
  </w:p>
  <w:p w14:paraId="097A19B9" w14:textId="77777777" w:rsidR="00B8392A" w:rsidRPr="00116C1D" w:rsidRDefault="00B8392A" w:rsidP="00B8392A">
    <w:pPr>
      <w:rPr>
        <w:rFonts w:cs="Arial"/>
        <w:szCs w:val="22"/>
        <w:lang w:val="es-ES"/>
      </w:rPr>
    </w:pPr>
  </w:p>
  <w:p w14:paraId="2C397D90" w14:textId="77777777" w:rsidR="00B8392A" w:rsidRPr="00116C1D" w:rsidRDefault="00B8392A" w:rsidP="00B8392A">
    <w:pPr>
      <w:rPr>
        <w:rFonts w:cs="Arial"/>
        <w:szCs w:val="22"/>
        <w:lang w:val="es-ES"/>
      </w:rPr>
    </w:pPr>
  </w:p>
  <w:p w14:paraId="3492DADD" w14:textId="061C0C25" w:rsidR="00B8392A" w:rsidRPr="00116C1D" w:rsidRDefault="00341B33" w:rsidP="00B8392A">
    <w:pPr>
      <w:pStyle w:val="Docheading"/>
      <w:rPr>
        <w:sz w:val="32"/>
        <w:szCs w:val="32"/>
        <w:lang w:val="es-ES"/>
      </w:rPr>
    </w:pPr>
    <w:r>
      <w:rPr>
        <w:color w:val="000000"/>
        <w:lang w:val="es"/>
      </w:rPr>
      <w:t xml:space="preserve">Suplemento de la COI al Sistema Mundial de Observación del Clima (SMOC) </w:t>
    </w:r>
    <w:r>
      <w:rPr>
        <w:b w:val="0"/>
        <w:bCs w:val="0"/>
        <w:color w:val="000000"/>
        <w:lang w:val="es"/>
      </w:rPr>
      <w:br/>
    </w:r>
    <w:r>
      <w:rPr>
        <w:color w:val="000000"/>
        <w:lang w:val="es"/>
      </w:rPr>
      <w:t>Plan de Ejecución 2022</w:t>
    </w:r>
  </w:p>
  <w:p w14:paraId="00E30E71" w14:textId="77777777" w:rsidR="00020AA1" w:rsidRPr="00116C1D" w:rsidRDefault="00020AA1" w:rsidP="00B8392A">
    <w:pPr>
      <w:pStyle w:val="Heade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56CF" w14:textId="59BD5F45" w:rsidR="00020AA1" w:rsidRPr="00BE7722" w:rsidRDefault="00BE7722" w:rsidP="00BE7722">
    <w:pPr>
      <w:pStyle w:val="Header"/>
      <w:tabs>
        <w:tab w:val="clear" w:pos="8306"/>
      </w:tabs>
      <w:rPr>
        <w:rFonts w:cs="Arial"/>
        <w:szCs w:val="22"/>
      </w:rPr>
    </w:pPr>
    <w:r>
      <w:rPr>
        <w:rFonts w:cs="Arial"/>
        <w:szCs w:val="22"/>
        <w:lang w:val="es"/>
      </w:rPr>
      <w:t>IOC</w:t>
    </w:r>
    <w:r w:rsidR="00116C1D">
      <w:rPr>
        <w:rFonts w:cs="Arial"/>
        <w:szCs w:val="22"/>
        <w:lang w:val="es"/>
      </w:rPr>
      <w:t>/A</w:t>
    </w:r>
    <w:r>
      <w:rPr>
        <w:rFonts w:cs="Arial"/>
        <w:szCs w:val="22"/>
        <w:lang w:val="es"/>
      </w:rPr>
      <w:t>-32/4.</w:t>
    </w:r>
    <w:proofErr w:type="gramStart"/>
    <w:r>
      <w:rPr>
        <w:rFonts w:cs="Arial"/>
        <w:szCs w:val="22"/>
        <w:lang w:val="es"/>
      </w:rPr>
      <w:t>10.Doc</w:t>
    </w:r>
    <w:proofErr w:type="gramEnd"/>
    <w:r>
      <w:rPr>
        <w:rFonts w:cs="Arial"/>
        <w:szCs w:val="22"/>
        <w:lang w:val="es"/>
      </w:rPr>
      <w:t>(1) – página </w:t>
    </w:r>
    <w:r>
      <w:rPr>
        <w:rStyle w:val="PageNumber"/>
        <w:rFonts w:cs="Arial"/>
        <w:szCs w:val="22"/>
        <w:lang w:val="es"/>
      </w:rPr>
      <w:fldChar w:fldCharType="begin"/>
    </w:r>
    <w:r>
      <w:rPr>
        <w:rStyle w:val="PageNumber"/>
        <w:rFonts w:cs="Arial"/>
        <w:szCs w:val="22"/>
        <w:lang w:val="es"/>
      </w:rPr>
      <w:instrText xml:space="preserve"> PAGE </w:instrText>
    </w:r>
    <w:r>
      <w:rPr>
        <w:rStyle w:val="PageNumber"/>
        <w:rFonts w:cs="Arial"/>
        <w:szCs w:val="22"/>
        <w:lang w:val="es"/>
      </w:rPr>
      <w:fldChar w:fldCharType="separate"/>
    </w:r>
    <w:r>
      <w:rPr>
        <w:rStyle w:val="PageNumber"/>
        <w:rFonts w:cs="Arial"/>
        <w:noProof/>
        <w:szCs w:val="22"/>
        <w:lang w:val="es"/>
      </w:rPr>
      <w:t>2</w:t>
    </w:r>
    <w:r>
      <w:rPr>
        <w:rStyle w:val="PageNumber"/>
        <w:rFonts w:cs="Arial"/>
        <w:szCs w:val="22"/>
        <w:lang w:val="e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E36C" w14:textId="0B7FE695" w:rsidR="00020AA1" w:rsidRPr="00BE7722" w:rsidRDefault="00BE7722" w:rsidP="007F1D1B">
    <w:pPr>
      <w:pStyle w:val="Header"/>
      <w:tabs>
        <w:tab w:val="clear" w:pos="8306"/>
      </w:tabs>
      <w:jc w:val="right"/>
      <w:rPr>
        <w:rFonts w:cs="Arial"/>
        <w:szCs w:val="22"/>
      </w:rPr>
    </w:pPr>
    <w:r>
      <w:rPr>
        <w:rFonts w:cs="Arial"/>
        <w:szCs w:val="22"/>
        <w:lang w:val="es"/>
      </w:rPr>
      <w:t>IOC</w:t>
    </w:r>
    <w:r w:rsidR="00116C1D">
      <w:rPr>
        <w:rFonts w:cs="Arial"/>
        <w:szCs w:val="22"/>
        <w:lang w:val="es"/>
      </w:rPr>
      <w:t>/A</w:t>
    </w:r>
    <w:r>
      <w:rPr>
        <w:rFonts w:cs="Arial"/>
        <w:szCs w:val="22"/>
        <w:lang w:val="es"/>
      </w:rPr>
      <w:t>-32/4.</w:t>
    </w:r>
    <w:proofErr w:type="gramStart"/>
    <w:r>
      <w:rPr>
        <w:rFonts w:cs="Arial"/>
        <w:szCs w:val="22"/>
        <w:lang w:val="es"/>
      </w:rPr>
      <w:t>10.Doc</w:t>
    </w:r>
    <w:proofErr w:type="gramEnd"/>
    <w:r>
      <w:rPr>
        <w:rFonts w:cs="Arial"/>
        <w:szCs w:val="22"/>
        <w:lang w:val="es"/>
      </w:rPr>
      <w:t>(1) – página </w:t>
    </w:r>
    <w:r>
      <w:rPr>
        <w:rStyle w:val="PageNumber"/>
        <w:rFonts w:cs="Arial"/>
        <w:szCs w:val="22"/>
        <w:lang w:val="es"/>
      </w:rPr>
      <w:fldChar w:fldCharType="begin"/>
    </w:r>
    <w:r>
      <w:rPr>
        <w:rStyle w:val="PageNumber"/>
        <w:rFonts w:cs="Arial"/>
        <w:szCs w:val="22"/>
        <w:lang w:val="es"/>
      </w:rPr>
      <w:instrText xml:space="preserve"> PAGE </w:instrText>
    </w:r>
    <w:r>
      <w:rPr>
        <w:rStyle w:val="PageNumber"/>
        <w:rFonts w:cs="Arial"/>
        <w:szCs w:val="22"/>
        <w:lang w:val="es"/>
      </w:rPr>
      <w:fldChar w:fldCharType="separate"/>
    </w:r>
    <w:r>
      <w:rPr>
        <w:rStyle w:val="PageNumber"/>
        <w:rFonts w:cs="Arial"/>
        <w:noProof/>
        <w:szCs w:val="22"/>
        <w:lang w:val="es"/>
      </w:rPr>
      <w:t>3</w:t>
    </w:r>
    <w:r>
      <w:rPr>
        <w:rStyle w:val="PageNumber"/>
        <w:rFonts w:cs="Arial"/>
        <w:szCs w:val="22"/>
        <w:lang w:val="es"/>
      </w:rPr>
      <w:fldChar w:fldCharType="end"/>
    </w:r>
  </w:p>
  <w:p w14:paraId="18E38E16" w14:textId="77777777" w:rsidR="00020AA1" w:rsidRPr="00003B31" w:rsidRDefault="00020AA1" w:rsidP="00BE7722">
    <w:pPr>
      <w:pStyle w:val="Header"/>
      <w:rPr>
        <w:rFonts w:cs="Arial"/>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E7C58" w14:textId="1BCFCD3B" w:rsidR="00020AA1" w:rsidRPr="007F1D1B" w:rsidRDefault="00020AA1" w:rsidP="00294AD5">
    <w:pPr>
      <w:pStyle w:val="Header"/>
      <w:jc w:val="right"/>
      <w:rPr>
        <w:rFonts w:cs="Arial"/>
        <w:szCs w:val="22"/>
      </w:rPr>
    </w:pPr>
    <w:r>
      <w:rPr>
        <w:rFonts w:cs="Arial"/>
        <w:szCs w:val="22"/>
        <w:lang w:val="es"/>
      </w:rPr>
      <w:t>IOC</w:t>
    </w:r>
    <w:r w:rsidR="00116C1D">
      <w:rPr>
        <w:rFonts w:cs="Arial"/>
        <w:szCs w:val="22"/>
        <w:lang w:val="es"/>
      </w:rPr>
      <w:t>/A</w:t>
    </w:r>
    <w:r>
      <w:rPr>
        <w:rFonts w:cs="Arial"/>
        <w:szCs w:val="22"/>
        <w:lang w:val="es"/>
      </w:rPr>
      <w:t>-32/4.</w:t>
    </w:r>
    <w:proofErr w:type="gramStart"/>
    <w:r>
      <w:rPr>
        <w:rFonts w:cs="Arial"/>
        <w:szCs w:val="22"/>
        <w:lang w:val="es"/>
      </w:rPr>
      <w:t>10.Doc</w:t>
    </w:r>
    <w:proofErr w:type="gramEnd"/>
    <w:r>
      <w:rPr>
        <w:rFonts w:cs="Arial"/>
        <w:szCs w:val="22"/>
        <w:lang w:val="e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0AB517C"/>
    <w:multiLevelType w:val="hybridMultilevel"/>
    <w:tmpl w:val="90E885FC"/>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9244979"/>
    <w:multiLevelType w:val="hybridMultilevel"/>
    <w:tmpl w:val="E5B63DF0"/>
    <w:lvl w:ilvl="0" w:tplc="20000017">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D6D4F"/>
    <w:multiLevelType w:val="hybridMultilevel"/>
    <w:tmpl w:val="E01061C0"/>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61F7B"/>
    <w:multiLevelType w:val="hybridMultilevel"/>
    <w:tmpl w:val="8DCE92B4"/>
    <w:lvl w:ilvl="0" w:tplc="AA46B7E2">
      <w:start w:val="1"/>
      <w:numFmt w:val="decimal"/>
      <w:pStyle w:val="COI"/>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7" w15:restartNumberingAfterBreak="0">
    <w:nsid w:val="23704B30"/>
    <w:multiLevelType w:val="hybridMultilevel"/>
    <w:tmpl w:val="70469058"/>
    <w:lvl w:ilvl="0" w:tplc="FFFFFFFF">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82B36B5"/>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72A4E"/>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412770"/>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83341D"/>
    <w:multiLevelType w:val="hybridMultilevel"/>
    <w:tmpl w:val="AFC0F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3" w15:restartNumberingAfterBreak="0">
    <w:nsid w:val="34D91986"/>
    <w:multiLevelType w:val="hybridMultilevel"/>
    <w:tmpl w:val="DCCE686A"/>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937D6B"/>
    <w:multiLevelType w:val="hybridMultilevel"/>
    <w:tmpl w:val="8264CC3E"/>
    <w:lvl w:ilvl="0" w:tplc="D1728D3A">
      <w:start w:val="1"/>
      <w:numFmt w:val="decimal"/>
      <w:lvlText w:val="%1."/>
      <w:lvlJc w:val="left"/>
      <w:pPr>
        <w:ind w:left="-131" w:hanging="360"/>
      </w:pPr>
      <w:rPr>
        <w:rFonts w:ascii="Arial" w:hAnsi="Arial" w:hint="default"/>
        <w:b w:val="0"/>
        <w:i/>
        <w:sz w:val="20"/>
        <w:szCs w:val="22"/>
      </w:rPr>
    </w:lvl>
    <w:lvl w:ilvl="1" w:tplc="15F4ACEE">
      <w:start w:val="1"/>
      <w:numFmt w:val="decimal"/>
      <w:lvlText w:val="%2."/>
      <w:lvlJc w:val="left"/>
      <w:pPr>
        <w:ind w:left="1099" w:hanging="870"/>
      </w:pPr>
      <w:rPr>
        <w:rFonts w:hint="default"/>
      </w:rPr>
    </w:lvl>
    <w:lvl w:ilvl="2" w:tplc="040C001B" w:tentative="1">
      <w:start w:val="1"/>
      <w:numFmt w:val="lowerRoman"/>
      <w:lvlText w:val="%3."/>
      <w:lvlJc w:val="right"/>
      <w:pPr>
        <w:ind w:left="1309" w:hanging="180"/>
      </w:pPr>
    </w:lvl>
    <w:lvl w:ilvl="3" w:tplc="040C000F" w:tentative="1">
      <w:start w:val="1"/>
      <w:numFmt w:val="decimal"/>
      <w:lvlText w:val="%4."/>
      <w:lvlJc w:val="left"/>
      <w:pPr>
        <w:ind w:left="2029" w:hanging="360"/>
      </w:pPr>
    </w:lvl>
    <w:lvl w:ilvl="4" w:tplc="040C0019" w:tentative="1">
      <w:start w:val="1"/>
      <w:numFmt w:val="lowerLetter"/>
      <w:lvlText w:val="%5."/>
      <w:lvlJc w:val="left"/>
      <w:pPr>
        <w:ind w:left="2749" w:hanging="360"/>
      </w:pPr>
    </w:lvl>
    <w:lvl w:ilvl="5" w:tplc="040C001B" w:tentative="1">
      <w:start w:val="1"/>
      <w:numFmt w:val="lowerRoman"/>
      <w:lvlText w:val="%6."/>
      <w:lvlJc w:val="right"/>
      <w:pPr>
        <w:ind w:left="3469" w:hanging="180"/>
      </w:pPr>
    </w:lvl>
    <w:lvl w:ilvl="6" w:tplc="040C000F" w:tentative="1">
      <w:start w:val="1"/>
      <w:numFmt w:val="decimal"/>
      <w:lvlText w:val="%7."/>
      <w:lvlJc w:val="left"/>
      <w:pPr>
        <w:ind w:left="4189" w:hanging="360"/>
      </w:pPr>
    </w:lvl>
    <w:lvl w:ilvl="7" w:tplc="040C0019" w:tentative="1">
      <w:start w:val="1"/>
      <w:numFmt w:val="lowerLetter"/>
      <w:lvlText w:val="%8."/>
      <w:lvlJc w:val="left"/>
      <w:pPr>
        <w:ind w:left="4909" w:hanging="360"/>
      </w:pPr>
    </w:lvl>
    <w:lvl w:ilvl="8" w:tplc="040C001B" w:tentative="1">
      <w:start w:val="1"/>
      <w:numFmt w:val="lowerRoman"/>
      <w:lvlText w:val="%9."/>
      <w:lvlJc w:val="right"/>
      <w:pPr>
        <w:ind w:left="5629" w:hanging="180"/>
      </w:pPr>
    </w:lvl>
  </w:abstractNum>
  <w:abstractNum w:abstractNumId="15" w15:restartNumberingAfterBreak="0">
    <w:nsid w:val="3D1D4E41"/>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204C64"/>
    <w:multiLevelType w:val="hybridMultilevel"/>
    <w:tmpl w:val="BE2E72B4"/>
    <w:lvl w:ilvl="0" w:tplc="BCA6AA70">
      <w:start w:val="1"/>
      <w:numFmt w:val="decimal"/>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9A1410"/>
    <w:multiLevelType w:val="hybridMultilevel"/>
    <w:tmpl w:val="BD6A0B26"/>
    <w:lvl w:ilvl="0" w:tplc="70D66022">
      <w:start w:val="1"/>
      <w:numFmt w:val="decimal"/>
      <w:lvlText w:val="%1."/>
      <w:lvlJc w:val="left"/>
      <w:pPr>
        <w:ind w:left="360" w:hanging="360"/>
      </w:pPr>
      <w:rPr>
        <w:rFonts w:hint="default"/>
        <w:b w:val="0"/>
        <w:bCs w:val="0"/>
        <w:i w:val="0"/>
        <w:caps w:val="0"/>
        <w:strike w:val="0"/>
        <w:dstrike w:val="0"/>
        <w:vanish w:val="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97C3E"/>
    <w:multiLevelType w:val="hybridMultilevel"/>
    <w:tmpl w:val="958EDBC6"/>
    <w:lvl w:ilvl="0" w:tplc="B48873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C939B9"/>
    <w:multiLevelType w:val="hybridMultilevel"/>
    <w:tmpl w:val="F6E08AEA"/>
    <w:lvl w:ilvl="0" w:tplc="05A8803A">
      <w:start w:val="1"/>
      <w:numFmt w:val="decimal"/>
      <w:lvlText w:val="%1."/>
      <w:lvlJc w:val="left"/>
      <w:pPr>
        <w:ind w:left="360" w:hanging="360"/>
      </w:pPr>
      <w:rPr>
        <w:rFonts w:hint="default"/>
        <w:b w:val="0"/>
        <w:bCs w:val="0"/>
        <w:i w:val="0"/>
        <w:caps w:val="0"/>
        <w:strike w:val="0"/>
        <w:dstrike w:val="0"/>
        <w:vanish w:val="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DF132B2"/>
    <w:multiLevelType w:val="hybridMultilevel"/>
    <w:tmpl w:val="958EDBC6"/>
    <w:lvl w:ilvl="0" w:tplc="B488736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B444BC"/>
    <w:multiLevelType w:val="hybridMultilevel"/>
    <w:tmpl w:val="239EE350"/>
    <w:lvl w:ilvl="0" w:tplc="2000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558438412">
    <w:abstractNumId w:val="12"/>
  </w:num>
  <w:num w:numId="2" w16cid:durableId="869492952">
    <w:abstractNumId w:val="16"/>
  </w:num>
  <w:num w:numId="3" w16cid:durableId="1143883895">
    <w:abstractNumId w:val="0"/>
  </w:num>
  <w:num w:numId="4" w16cid:durableId="642007286">
    <w:abstractNumId w:val="4"/>
  </w:num>
  <w:num w:numId="5" w16cid:durableId="2062553786">
    <w:abstractNumId w:val="6"/>
  </w:num>
  <w:num w:numId="6" w16cid:durableId="866673125">
    <w:abstractNumId w:val="16"/>
  </w:num>
  <w:num w:numId="7" w16cid:durableId="1746295248">
    <w:abstractNumId w:val="16"/>
  </w:num>
  <w:num w:numId="8" w16cid:durableId="1895308931">
    <w:abstractNumId w:val="17"/>
  </w:num>
  <w:num w:numId="9" w16cid:durableId="1750418733">
    <w:abstractNumId w:val="19"/>
  </w:num>
  <w:num w:numId="10" w16cid:durableId="1771664105">
    <w:abstractNumId w:val="11"/>
  </w:num>
  <w:num w:numId="11" w16cid:durableId="842088730">
    <w:abstractNumId w:val="1"/>
  </w:num>
  <w:num w:numId="12" w16cid:durableId="137767665">
    <w:abstractNumId w:val="9"/>
  </w:num>
  <w:num w:numId="13" w16cid:durableId="876240751">
    <w:abstractNumId w:val="10"/>
  </w:num>
  <w:num w:numId="14" w16cid:durableId="1245993269">
    <w:abstractNumId w:val="21"/>
  </w:num>
  <w:num w:numId="15" w16cid:durableId="1583298856">
    <w:abstractNumId w:val="13"/>
  </w:num>
  <w:num w:numId="16" w16cid:durableId="1660039065">
    <w:abstractNumId w:val="3"/>
  </w:num>
  <w:num w:numId="17" w16cid:durableId="427237389">
    <w:abstractNumId w:val="15"/>
  </w:num>
  <w:num w:numId="18" w16cid:durableId="1944454530">
    <w:abstractNumId w:val="8"/>
  </w:num>
  <w:num w:numId="19" w16cid:durableId="256601227">
    <w:abstractNumId w:val="7"/>
  </w:num>
  <w:num w:numId="20" w16cid:durableId="2026899355">
    <w:abstractNumId w:val="20"/>
  </w:num>
  <w:num w:numId="21" w16cid:durableId="1968393602">
    <w:abstractNumId w:val="2"/>
  </w:num>
  <w:num w:numId="22" w16cid:durableId="568884959">
    <w:abstractNumId w:val="18"/>
  </w:num>
  <w:num w:numId="23" w16cid:durableId="1079904250">
    <w:abstractNumId w:val="14"/>
  </w:num>
  <w:num w:numId="24" w16cid:durableId="17269029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33"/>
    <w:rsid w:val="00003B31"/>
    <w:rsid w:val="00010BBB"/>
    <w:rsid w:val="00020AA1"/>
    <w:rsid w:val="00056F67"/>
    <w:rsid w:val="00085D6A"/>
    <w:rsid w:val="000C1A0E"/>
    <w:rsid w:val="000F0254"/>
    <w:rsid w:val="00116C1D"/>
    <w:rsid w:val="00123719"/>
    <w:rsid w:val="001241D7"/>
    <w:rsid w:val="00137E97"/>
    <w:rsid w:val="001448C4"/>
    <w:rsid w:val="00155393"/>
    <w:rsid w:val="001572C7"/>
    <w:rsid w:val="00167158"/>
    <w:rsid w:val="00196052"/>
    <w:rsid w:val="001B3B24"/>
    <w:rsid w:val="001C6455"/>
    <w:rsid w:val="001D3BBA"/>
    <w:rsid w:val="0021210D"/>
    <w:rsid w:val="00294AD5"/>
    <w:rsid w:val="002C7DE3"/>
    <w:rsid w:val="002E0859"/>
    <w:rsid w:val="0034156B"/>
    <w:rsid w:val="00341B33"/>
    <w:rsid w:val="003561BE"/>
    <w:rsid w:val="003805F5"/>
    <w:rsid w:val="003A7860"/>
    <w:rsid w:val="003D3711"/>
    <w:rsid w:val="003F55CF"/>
    <w:rsid w:val="003F7186"/>
    <w:rsid w:val="004031FB"/>
    <w:rsid w:val="00413F17"/>
    <w:rsid w:val="00424DE6"/>
    <w:rsid w:val="004529B8"/>
    <w:rsid w:val="00467E3F"/>
    <w:rsid w:val="004A135F"/>
    <w:rsid w:val="004C1625"/>
    <w:rsid w:val="004F7D6C"/>
    <w:rsid w:val="00576270"/>
    <w:rsid w:val="005836C8"/>
    <w:rsid w:val="005C7A36"/>
    <w:rsid w:val="005C7D76"/>
    <w:rsid w:val="005D4621"/>
    <w:rsid w:val="005E544C"/>
    <w:rsid w:val="006110DA"/>
    <w:rsid w:val="00633EA5"/>
    <w:rsid w:val="006842FA"/>
    <w:rsid w:val="0068682C"/>
    <w:rsid w:val="00690A0C"/>
    <w:rsid w:val="00690FD2"/>
    <w:rsid w:val="00693199"/>
    <w:rsid w:val="006B4B95"/>
    <w:rsid w:val="006C18D9"/>
    <w:rsid w:val="006C6449"/>
    <w:rsid w:val="00737A18"/>
    <w:rsid w:val="00746B89"/>
    <w:rsid w:val="0079212B"/>
    <w:rsid w:val="007A0F46"/>
    <w:rsid w:val="007F1D1B"/>
    <w:rsid w:val="008048D2"/>
    <w:rsid w:val="0081004E"/>
    <w:rsid w:val="00846B8C"/>
    <w:rsid w:val="00853565"/>
    <w:rsid w:val="008A6E5C"/>
    <w:rsid w:val="008B384B"/>
    <w:rsid w:val="008D2398"/>
    <w:rsid w:val="008F6942"/>
    <w:rsid w:val="009026D3"/>
    <w:rsid w:val="00906FFE"/>
    <w:rsid w:val="00993CA4"/>
    <w:rsid w:val="009B63AB"/>
    <w:rsid w:val="009C0A89"/>
    <w:rsid w:val="009C15B1"/>
    <w:rsid w:val="009E6A03"/>
    <w:rsid w:val="009F3A67"/>
    <w:rsid w:val="009F7769"/>
    <w:rsid w:val="00A11697"/>
    <w:rsid w:val="00A25BC8"/>
    <w:rsid w:val="00AA1D51"/>
    <w:rsid w:val="00AD3D55"/>
    <w:rsid w:val="00B5267D"/>
    <w:rsid w:val="00B722DE"/>
    <w:rsid w:val="00B83068"/>
    <w:rsid w:val="00B8392A"/>
    <w:rsid w:val="00BD6603"/>
    <w:rsid w:val="00BE7722"/>
    <w:rsid w:val="00BF069C"/>
    <w:rsid w:val="00BF3835"/>
    <w:rsid w:val="00C1002D"/>
    <w:rsid w:val="00C2635E"/>
    <w:rsid w:val="00C3684D"/>
    <w:rsid w:val="00C4032B"/>
    <w:rsid w:val="00C6486C"/>
    <w:rsid w:val="00C648D3"/>
    <w:rsid w:val="00C75B02"/>
    <w:rsid w:val="00C962F0"/>
    <w:rsid w:val="00D013ED"/>
    <w:rsid w:val="00D36BDC"/>
    <w:rsid w:val="00D5049E"/>
    <w:rsid w:val="00D51956"/>
    <w:rsid w:val="00D55FEC"/>
    <w:rsid w:val="00DB60BB"/>
    <w:rsid w:val="00DF2FB9"/>
    <w:rsid w:val="00E63DEF"/>
    <w:rsid w:val="00E64936"/>
    <w:rsid w:val="00E82853"/>
    <w:rsid w:val="00EC2C27"/>
    <w:rsid w:val="00EE0542"/>
    <w:rsid w:val="00F463F2"/>
    <w:rsid w:val="00F524DB"/>
    <w:rsid w:val="00F818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3DD4F9"/>
  <w15:docId w15:val="{72345450-BF99-4C45-B5E1-FE2287E9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qFormat/>
    <w:pPr>
      <w:keepNext/>
      <w:keepLines/>
      <w:spacing w:before="240" w:after="240"/>
      <w:jc w:val="center"/>
      <w:outlineLvl w:val="0"/>
    </w:pPr>
    <w:rPr>
      <w:b/>
      <w:bCs/>
      <w:kern w:val="28"/>
    </w:rPr>
  </w:style>
  <w:style w:type="paragraph" w:styleId="Heading2">
    <w:name w:val="heading 2"/>
    <w:basedOn w:val="Normal"/>
    <w:next w:val="Marge"/>
    <w:qFormat/>
    <w:pPr>
      <w:keepNext/>
      <w:keepLines/>
      <w:spacing w:before="480" w:after="240"/>
      <w:ind w:left="567" w:hanging="567"/>
      <w:outlineLvl w:val="1"/>
    </w:pPr>
    <w:rPr>
      <w:b/>
      <w:bCs/>
      <w:caps/>
    </w:rPr>
  </w:style>
  <w:style w:type="paragraph" w:styleId="Heading3">
    <w:name w:val="heading 3"/>
    <w:basedOn w:val="Normal"/>
    <w:next w:val="Marge"/>
    <w:autoRedefine/>
    <w:qFormat/>
    <w:rsid w:val="00AA1D51"/>
    <w:pPr>
      <w:keepNext/>
      <w:keepLines/>
      <w:spacing w:after="240"/>
      <w:outlineLvl w:val="2"/>
    </w:pPr>
    <w:rPr>
      <w:rFonts w:eastAsia="Arial Unicode MS"/>
      <w:b/>
      <w:bCs/>
      <w:szCs w:val="22"/>
    </w:rPr>
  </w:style>
  <w:style w:type="paragraph" w:styleId="Heading4">
    <w:name w:val="heading 4"/>
    <w:basedOn w:val="Normal"/>
    <w:next w:val="Marge"/>
    <w:qFormat/>
    <w:pPr>
      <w:keepNext/>
      <w:keepLines/>
      <w:spacing w:after="240"/>
      <w:outlineLvl w:val="3"/>
    </w:pPr>
    <w:rPr>
      <w:b/>
      <w:bCs/>
    </w:rPr>
  </w:style>
  <w:style w:type="paragraph" w:styleId="Heading5">
    <w:name w:val="heading 5"/>
    <w:basedOn w:val="Normal"/>
    <w:next w:val="Marge"/>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qFormat/>
    <w:pPr>
      <w:keepNext/>
      <w:spacing w:line="360" w:lineRule="atLeast"/>
      <w:outlineLvl w:val="6"/>
    </w:pPr>
    <w:rPr>
      <w:u w:val="single"/>
    </w:rPr>
  </w:style>
  <w:style w:type="paragraph" w:styleId="Heading9">
    <w:name w:val="heading 9"/>
    <w:basedOn w:val="Normal"/>
    <w:next w:val="Normal"/>
    <w:link w:val="Heading9Char"/>
    <w:semiHidden/>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qFormat/>
    <w:rPr>
      <w:vertAlign w:val="superscript"/>
    </w:rPr>
  </w:style>
  <w:style w:type="paragraph" w:styleId="Header">
    <w:name w:val="header"/>
    <w:basedOn w:val="Normal"/>
    <w:pPr>
      <w:tabs>
        <w:tab w:val="center" w:pos="4153"/>
        <w:tab w:val="right" w:pos="8306"/>
      </w:tabs>
    </w:pPr>
  </w:style>
  <w:style w:type="paragraph" w:styleId="FootnoteText">
    <w:name w:val="footnote text"/>
    <w:basedOn w:val="Normal"/>
    <w:link w:val="FootnoteTextChar"/>
    <w:uiPriority w:val="99"/>
    <w:qFormat/>
    <w:pPr>
      <w:ind w:left="567" w:hanging="567"/>
    </w:pPr>
    <w:rPr>
      <w:sz w:val="20"/>
      <w:szCs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AA1D51"/>
    <w:pPr>
      <w:numPr>
        <w:numId w:val="24"/>
      </w:numPr>
      <w:tabs>
        <w:tab w:val="clear" w:pos="567"/>
        <w:tab w:val="left" w:pos="709"/>
      </w:tabs>
      <w:spacing w:before="240"/>
      <w:ind w:left="0" w:firstLine="0"/>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AA1D51"/>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styleId="CommentReference">
    <w:name w:val="annotation reference"/>
    <w:basedOn w:val="DefaultParagraphFont"/>
    <w:semiHidden/>
    <w:unhideWhenUsed/>
    <w:rsid w:val="00056F67"/>
    <w:rPr>
      <w:sz w:val="16"/>
      <w:szCs w:val="16"/>
    </w:rPr>
  </w:style>
  <w:style w:type="paragraph" w:styleId="CommentText">
    <w:name w:val="annotation text"/>
    <w:basedOn w:val="Normal"/>
    <w:link w:val="CommentTextChar"/>
    <w:semiHidden/>
    <w:unhideWhenUsed/>
    <w:rsid w:val="00056F67"/>
    <w:rPr>
      <w:sz w:val="20"/>
      <w:szCs w:val="20"/>
    </w:rPr>
  </w:style>
  <w:style w:type="character" w:customStyle="1" w:styleId="CommentTextChar">
    <w:name w:val="Comment Text Char"/>
    <w:basedOn w:val="DefaultParagraphFont"/>
    <w:link w:val="CommentText"/>
    <w:semiHidden/>
    <w:rsid w:val="00056F67"/>
    <w:rPr>
      <w:rFonts w:ascii="Arial" w:hAnsi="Arial"/>
      <w:snapToGrid w:val="0"/>
      <w:lang w:val="en-GB" w:eastAsia="en-US"/>
    </w:rPr>
  </w:style>
  <w:style w:type="paragraph" w:styleId="CommentSubject">
    <w:name w:val="annotation subject"/>
    <w:basedOn w:val="CommentText"/>
    <w:next w:val="CommentText"/>
    <w:link w:val="CommentSubjectChar"/>
    <w:semiHidden/>
    <w:unhideWhenUsed/>
    <w:rsid w:val="00056F67"/>
    <w:rPr>
      <w:b/>
      <w:bCs/>
    </w:rPr>
  </w:style>
  <w:style w:type="character" w:customStyle="1" w:styleId="CommentSubjectChar">
    <w:name w:val="Comment Subject Char"/>
    <w:basedOn w:val="CommentTextChar"/>
    <w:link w:val="CommentSubject"/>
    <w:semiHidden/>
    <w:rsid w:val="00056F67"/>
    <w:rPr>
      <w:rFonts w:ascii="Arial" w:hAnsi="Arial"/>
      <w:b/>
      <w:bCs/>
      <w:snapToGrid w:val="0"/>
      <w:lang w:val="en-GB" w:eastAsia="en-US"/>
    </w:rPr>
  </w:style>
  <w:style w:type="paragraph" w:styleId="BalloonText">
    <w:name w:val="Balloon Text"/>
    <w:basedOn w:val="Normal"/>
    <w:link w:val="BalloonTextChar"/>
    <w:semiHidden/>
    <w:unhideWhenUsed/>
    <w:rsid w:val="00056F67"/>
    <w:rPr>
      <w:rFonts w:ascii="Segoe UI" w:hAnsi="Segoe UI" w:cs="Segoe UI"/>
      <w:sz w:val="18"/>
      <w:szCs w:val="18"/>
    </w:rPr>
  </w:style>
  <w:style w:type="character" w:customStyle="1" w:styleId="BalloonTextChar">
    <w:name w:val="Balloon Text Char"/>
    <w:basedOn w:val="DefaultParagraphFont"/>
    <w:link w:val="BalloonText"/>
    <w:semiHidden/>
    <w:rsid w:val="00056F67"/>
    <w:rPr>
      <w:rFonts w:ascii="Segoe UI" w:hAnsi="Segoe UI" w:cs="Segoe UI"/>
      <w:snapToGrid w:val="0"/>
      <w:sz w:val="18"/>
      <w:szCs w:val="18"/>
      <w:lang w:val="en-GB" w:eastAsia="en-US"/>
    </w:rPr>
  </w:style>
  <w:style w:type="character" w:styleId="UnresolvedMention">
    <w:name w:val="Unresolved Mention"/>
    <w:basedOn w:val="DefaultParagraphFont"/>
    <w:uiPriority w:val="99"/>
    <w:semiHidden/>
    <w:unhideWhenUsed/>
    <w:rsid w:val="00EC2C27"/>
    <w:rPr>
      <w:color w:val="605E5C"/>
      <w:shd w:val="clear" w:color="auto" w:fill="E1DFDD"/>
    </w:rPr>
  </w:style>
  <w:style w:type="table" w:styleId="GridTable5Dark-Accent1">
    <w:name w:val="Grid Table 5 Dark Accent 1"/>
    <w:basedOn w:val="TableNormal"/>
    <w:uiPriority w:val="50"/>
    <w:rsid w:val="00EC2C27"/>
    <w:rPr>
      <w:rFonts w:asciiTheme="minorHAnsi" w:eastAsiaTheme="minorEastAsia" w:hAnsiTheme="minorHAnsi" w:cstheme="minorBidi"/>
      <w:sz w:val="24"/>
      <w:szCs w:val="24"/>
      <w:lang w:val="en-GB"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GCOSReportBodyText">
    <w:name w:val="GCOS_Report_BodyText"/>
    <w:basedOn w:val="Normal"/>
    <w:link w:val="GCOSReportBodyTextChar"/>
    <w:qFormat/>
    <w:rsid w:val="00EC2C27"/>
    <w:pPr>
      <w:tabs>
        <w:tab w:val="clear" w:pos="567"/>
      </w:tabs>
      <w:snapToGrid/>
      <w:spacing w:before="120" w:line="276" w:lineRule="auto"/>
      <w:jc w:val="both"/>
    </w:pPr>
    <w:rPr>
      <w:rFonts w:ascii="Verdana" w:eastAsia="MS Mincho" w:hAnsi="Verdana"/>
      <w:snapToGrid/>
      <w:sz w:val="18"/>
      <w:szCs w:val="20"/>
    </w:rPr>
  </w:style>
  <w:style w:type="character" w:customStyle="1" w:styleId="GCOSReportBodyTextChar">
    <w:name w:val="GCOS_Report_BodyText Char"/>
    <w:basedOn w:val="DefaultParagraphFont"/>
    <w:link w:val="GCOSReportBodyText"/>
    <w:rsid w:val="00EC2C27"/>
    <w:rPr>
      <w:rFonts w:ascii="Verdana" w:eastAsia="MS Mincho" w:hAnsi="Verdana"/>
      <w:sz w:val="18"/>
      <w:lang w:val="en-GB" w:eastAsia="en-US"/>
    </w:rPr>
  </w:style>
  <w:style w:type="paragraph" w:customStyle="1" w:styleId="ActionTable">
    <w:name w:val="ActionTable"/>
    <w:basedOn w:val="GCOSReportBodyText"/>
    <w:link w:val="ActionTableChar"/>
    <w:qFormat/>
    <w:rsid w:val="00EC2C27"/>
    <w:rPr>
      <w:sz w:val="16"/>
      <w:szCs w:val="18"/>
    </w:rPr>
  </w:style>
  <w:style w:type="character" w:customStyle="1" w:styleId="ActionTableChar">
    <w:name w:val="ActionTable Char"/>
    <w:basedOn w:val="GCOSReportBodyTextChar"/>
    <w:link w:val="ActionTable"/>
    <w:rsid w:val="00EC2C27"/>
    <w:rPr>
      <w:rFonts w:ascii="Verdana" w:eastAsia="MS Mincho" w:hAnsi="Verdana"/>
      <w:sz w:val="16"/>
      <w:szCs w:val="18"/>
      <w:lang w:val="en-GB" w:eastAsia="en-US"/>
    </w:rPr>
  </w:style>
  <w:style w:type="paragraph" w:customStyle="1" w:styleId="TitleTable">
    <w:name w:val="TitleTable"/>
    <w:basedOn w:val="ActionTable"/>
    <w:rsid w:val="00EC2C27"/>
    <w:rPr>
      <w:b/>
      <w:sz w:val="18"/>
      <w:szCs w:val="20"/>
    </w:rPr>
  </w:style>
  <w:style w:type="character" w:customStyle="1" w:styleId="FootnoteTextChar">
    <w:name w:val="Footnote Text Char"/>
    <w:basedOn w:val="DefaultParagraphFont"/>
    <w:link w:val="FootnoteText"/>
    <w:uiPriority w:val="99"/>
    <w:qFormat/>
    <w:rsid w:val="00EC2C27"/>
    <w:rPr>
      <w:rFonts w:ascii="Arial" w:hAnsi="Arial"/>
      <w:snapToGrid w:val="0"/>
      <w:lang w:val="en-GB" w:eastAsia="en-US"/>
    </w:rPr>
  </w:style>
  <w:style w:type="paragraph" w:styleId="Revision">
    <w:name w:val="Revision"/>
    <w:hidden/>
    <w:uiPriority w:val="99"/>
    <w:semiHidden/>
    <w:rsid w:val="00BE7722"/>
    <w:rPr>
      <w:rFonts w:ascii="Arial" w:hAnsi="Arial"/>
      <w:snapToGrid w:val="0"/>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992775">
      <w:bodyDiv w:val="1"/>
      <w:marLeft w:val="0"/>
      <w:marRight w:val="0"/>
      <w:marTop w:val="0"/>
      <w:marBottom w:val="0"/>
      <w:divBdr>
        <w:top w:val="none" w:sz="0" w:space="0" w:color="auto"/>
        <w:left w:val="none" w:sz="0" w:space="0" w:color="auto"/>
        <w:bottom w:val="none" w:sz="0" w:space="0" w:color="auto"/>
        <w:right w:val="none" w:sz="0" w:space="0" w:color="auto"/>
      </w:divBdr>
      <w:divsChild>
        <w:div w:id="1309088044">
          <w:marLeft w:val="0"/>
          <w:marRight w:val="0"/>
          <w:marTop w:val="0"/>
          <w:marBottom w:val="0"/>
          <w:divBdr>
            <w:top w:val="none" w:sz="0" w:space="0" w:color="auto"/>
            <w:left w:val="none" w:sz="0" w:space="0" w:color="auto"/>
            <w:bottom w:val="none" w:sz="0" w:space="0" w:color="auto"/>
            <w:right w:val="none" w:sz="0" w:space="0" w:color="auto"/>
          </w:divBdr>
          <w:divsChild>
            <w:div w:id="2010011893">
              <w:marLeft w:val="0"/>
              <w:marRight w:val="0"/>
              <w:marTop w:val="0"/>
              <w:marBottom w:val="0"/>
              <w:divBdr>
                <w:top w:val="none" w:sz="0" w:space="0" w:color="auto"/>
                <w:left w:val="none" w:sz="0" w:space="0" w:color="auto"/>
                <w:bottom w:val="none" w:sz="0" w:space="0" w:color="auto"/>
                <w:right w:val="none" w:sz="0" w:space="0" w:color="auto"/>
              </w:divBdr>
              <w:divsChild>
                <w:div w:id="1909146505">
                  <w:marLeft w:val="0"/>
                  <w:marRight w:val="0"/>
                  <w:marTop w:val="0"/>
                  <w:marBottom w:val="0"/>
                  <w:divBdr>
                    <w:top w:val="none" w:sz="0" w:space="0" w:color="auto"/>
                    <w:left w:val="none" w:sz="0" w:space="0" w:color="auto"/>
                    <w:bottom w:val="none" w:sz="0" w:space="0" w:color="auto"/>
                    <w:right w:val="none" w:sz="0" w:space="0" w:color="auto"/>
                  </w:divBdr>
                  <w:divsChild>
                    <w:div w:id="802969379">
                      <w:marLeft w:val="0"/>
                      <w:marRight w:val="0"/>
                      <w:marTop w:val="0"/>
                      <w:marBottom w:val="0"/>
                      <w:divBdr>
                        <w:top w:val="none" w:sz="0" w:space="0" w:color="auto"/>
                        <w:left w:val="none" w:sz="0" w:space="0" w:color="auto"/>
                        <w:bottom w:val="none" w:sz="0" w:space="0" w:color="auto"/>
                        <w:right w:val="none" w:sz="0" w:space="0" w:color="auto"/>
                      </w:divBdr>
                      <w:divsChild>
                        <w:div w:id="1800219495">
                          <w:marLeft w:val="0"/>
                          <w:marRight w:val="0"/>
                          <w:marTop w:val="0"/>
                          <w:marBottom w:val="0"/>
                          <w:divBdr>
                            <w:top w:val="none" w:sz="0" w:space="0" w:color="auto"/>
                            <w:left w:val="none" w:sz="0" w:space="0" w:color="auto"/>
                            <w:bottom w:val="none" w:sz="0" w:space="0" w:color="auto"/>
                            <w:right w:val="none" w:sz="0" w:space="0" w:color="auto"/>
                          </w:divBdr>
                          <w:divsChild>
                            <w:div w:id="1133642518">
                              <w:marLeft w:val="0"/>
                              <w:marRight w:val="0"/>
                              <w:marTop w:val="0"/>
                              <w:marBottom w:val="0"/>
                              <w:divBdr>
                                <w:top w:val="none" w:sz="0" w:space="0" w:color="auto"/>
                                <w:left w:val="none" w:sz="0" w:space="0" w:color="auto"/>
                                <w:bottom w:val="none" w:sz="0" w:space="0" w:color="auto"/>
                                <w:right w:val="none" w:sz="0" w:space="0" w:color="auto"/>
                              </w:divBdr>
                              <w:divsChild>
                                <w:div w:id="566498067">
                                  <w:marLeft w:val="0"/>
                                  <w:marRight w:val="0"/>
                                  <w:marTop w:val="0"/>
                                  <w:marBottom w:val="0"/>
                                  <w:divBdr>
                                    <w:top w:val="none" w:sz="0" w:space="0" w:color="auto"/>
                                    <w:left w:val="none" w:sz="0" w:space="0" w:color="auto"/>
                                    <w:bottom w:val="none" w:sz="0" w:space="0" w:color="auto"/>
                                    <w:right w:val="none" w:sz="0" w:space="0" w:color="auto"/>
                                  </w:divBdr>
                                  <w:divsChild>
                                    <w:div w:id="503865789">
                                      <w:marLeft w:val="0"/>
                                      <w:marRight w:val="0"/>
                                      <w:marTop w:val="0"/>
                                      <w:marBottom w:val="0"/>
                                      <w:divBdr>
                                        <w:top w:val="none" w:sz="0" w:space="0" w:color="auto"/>
                                        <w:left w:val="none" w:sz="0" w:space="0" w:color="auto"/>
                                        <w:bottom w:val="none" w:sz="0" w:space="0" w:color="auto"/>
                                        <w:right w:val="none" w:sz="0" w:space="0" w:color="auto"/>
                                      </w:divBdr>
                                      <w:divsChild>
                                        <w:div w:id="1692685409">
                                          <w:marLeft w:val="0"/>
                                          <w:marRight w:val="0"/>
                                          <w:marTop w:val="0"/>
                                          <w:marBottom w:val="0"/>
                                          <w:divBdr>
                                            <w:top w:val="none" w:sz="0" w:space="0" w:color="auto"/>
                                            <w:left w:val="none" w:sz="0" w:space="0" w:color="auto"/>
                                            <w:bottom w:val="none" w:sz="0" w:space="0" w:color="auto"/>
                                            <w:right w:val="none" w:sz="0" w:space="0" w:color="auto"/>
                                          </w:divBdr>
                                          <w:divsChild>
                                            <w:div w:id="1941134215">
                                              <w:marLeft w:val="0"/>
                                              <w:marRight w:val="0"/>
                                              <w:marTop w:val="0"/>
                                              <w:marBottom w:val="0"/>
                                              <w:divBdr>
                                                <w:top w:val="none" w:sz="0" w:space="0" w:color="auto"/>
                                                <w:left w:val="none" w:sz="0" w:space="0" w:color="auto"/>
                                                <w:bottom w:val="none" w:sz="0" w:space="0" w:color="auto"/>
                                                <w:right w:val="none" w:sz="0" w:space="0" w:color="auto"/>
                                              </w:divBdr>
                                              <w:divsChild>
                                                <w:div w:id="932124643">
                                                  <w:marLeft w:val="0"/>
                                                  <w:marRight w:val="0"/>
                                                  <w:marTop w:val="0"/>
                                                  <w:marBottom w:val="0"/>
                                                  <w:divBdr>
                                                    <w:top w:val="none" w:sz="0" w:space="0" w:color="auto"/>
                                                    <w:left w:val="none" w:sz="0" w:space="0" w:color="auto"/>
                                                    <w:bottom w:val="none" w:sz="0" w:space="0" w:color="auto"/>
                                                    <w:right w:val="none" w:sz="0" w:space="0" w:color="auto"/>
                                                  </w:divBdr>
                                                  <w:divsChild>
                                                    <w:div w:id="74430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brary.wmo.int/doc_num.php?explnum_id=11317" TargetMode="External"/><Relationship Id="rId13" Type="http://schemas.openxmlformats.org/officeDocument/2006/relationships/hyperlink" Target="https://library.wmo.int/doc_num.php?explnum_id=11318" TargetMode="External"/><Relationship Id="rId18" Type="http://schemas.openxmlformats.org/officeDocument/2006/relationships/hyperlink" Target="https://www.goosocean.org/index.php?option=com_oe&amp;task=viewDocumentRecord&amp;docID=30251"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library.wmo.int/doc_num.php?explnum_id=11317" TargetMode="External"/><Relationship Id="rId17" Type="http://schemas.openxmlformats.org/officeDocument/2006/relationships/hyperlink" Target="https://www.goosocean.org/index.php?option=com_oe&amp;task=viewDocumentRecord&amp;docID=3025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osocean.org/index.php?option=com_oe&amp;task=viewDocumentRecord&amp;docID=30251" TargetMode="External"/><Relationship Id="rId20" Type="http://schemas.openxmlformats.org/officeDocument/2006/relationships/hyperlink" Target="https://www.goosocean.org/index.php?option=com_oe&amp;task=viewDocumentRecord&amp;docID=302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osocean.org/index.php?option=com_oe&amp;task=viewDocumentRecord&amp;docID=30251"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goosocean.org/index.php?option=com_oe&amp;task=viewDocumentRecord&amp;docID=3025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ibrary.wmo.int/doc_num.php?explnum_id=11317"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72739-0038-7148-BF06-A785213C0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2587</Words>
  <Characters>15076</Characters>
  <Application>Microsoft Office Word</Application>
  <DocSecurity>4</DocSecurity>
  <Lines>125</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Microsoft Office User</dc:creator>
  <cp:lastModifiedBy>Boned, Patrice</cp:lastModifiedBy>
  <cp:revision>2</cp:revision>
  <cp:lastPrinted>2002-06-12T09:28:00Z</cp:lastPrinted>
  <dcterms:created xsi:type="dcterms:W3CDTF">2023-06-17T10:17:00Z</dcterms:created>
  <dcterms:modified xsi:type="dcterms:W3CDTF">2023-06-17T10:17:00Z</dcterms:modified>
</cp:coreProperties>
</file>