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8359"/>
      </w:tblGrid>
      <w:tr w:rsidR="00FA68D9" w:rsidRPr="00B72C84" w14:paraId="1709CCC6" w14:textId="77777777" w:rsidTr="00E35CD7">
        <w:trPr>
          <w:trHeight w:val="5617"/>
          <w:jc w:val="center"/>
        </w:trPr>
        <w:tc>
          <w:tcPr>
            <w:tcW w:w="8359" w:type="dxa"/>
          </w:tcPr>
          <w:p w14:paraId="33D8523D" w14:textId="2EFF265F" w:rsidR="001B5075" w:rsidRPr="00B72C84" w:rsidRDefault="001B5075" w:rsidP="00E35CD7">
            <w:pPr>
              <w:tabs>
                <w:tab w:val="clear" w:pos="567"/>
              </w:tabs>
              <w:snapToGrid/>
              <w:spacing w:before="120"/>
              <w:jc w:val="center"/>
              <w:rPr>
                <w:rFonts w:asciiTheme="minorBidi" w:hAnsiTheme="minorBidi" w:cstheme="minorBidi"/>
                <w:bCs/>
                <w:sz w:val="22"/>
                <w:szCs w:val="22"/>
                <w:u w:val="single"/>
                <w:lang w:val="ru-RU"/>
              </w:rPr>
            </w:pPr>
            <w:r w:rsidRPr="00B72C84">
              <w:rPr>
                <w:rFonts w:asciiTheme="minorBidi" w:hAnsiTheme="minorBidi" w:cstheme="minorBidi"/>
                <w:sz w:val="22"/>
                <w:szCs w:val="22"/>
                <w:u w:val="single"/>
                <w:lang w:val="ru-RU"/>
              </w:rPr>
              <w:t>Резюме</w:t>
            </w:r>
          </w:p>
          <w:p w14:paraId="0D6FC64F" w14:textId="77777777" w:rsidR="001B5075" w:rsidRPr="00B72C84" w:rsidRDefault="001B5075">
            <w:pPr>
              <w:tabs>
                <w:tab w:val="clear" w:pos="567"/>
              </w:tabs>
              <w:snapToGrid/>
              <w:rPr>
                <w:rFonts w:asciiTheme="minorBidi" w:hAnsiTheme="minorBidi" w:cstheme="minorBidi"/>
                <w:bCs/>
                <w:sz w:val="22"/>
                <w:szCs w:val="22"/>
                <w:lang w:val="ru-RU"/>
              </w:rPr>
            </w:pPr>
          </w:p>
          <w:p w14:paraId="562E8283" w14:textId="35724A60" w:rsidR="00FA68D9" w:rsidRPr="00B72C84" w:rsidRDefault="00C403AD" w:rsidP="00FA68D9">
            <w:pPr>
              <w:tabs>
                <w:tab w:val="clear" w:pos="567"/>
              </w:tabs>
              <w:snapToGrid/>
              <w:spacing w:after="200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В первой части доклада Исполнительного секретаря представлен стратегический анализ текущего положения дел в МОК и основных аспектов работы. </w:t>
            </w:r>
          </w:p>
          <w:p w14:paraId="661840A4" w14:textId="5951BB29" w:rsidR="00A95A27" w:rsidRPr="00B72C84" w:rsidRDefault="007C4C1D" w:rsidP="001B5A71">
            <w:pPr>
              <w:tabs>
                <w:tab w:val="clear" w:pos="567"/>
              </w:tabs>
              <w:snapToGrid/>
              <w:spacing w:after="200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Далее приводится оценка достигнутого за первый год двухлетнего периода (1</w:t>
            </w:r>
            <w:r w:rsid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 </w:t>
            </w: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января – 31 декабря 2022 г.) прогресса в осуществлении программы и бюджета (документ 41 С/5).</w:t>
            </w:r>
          </w:p>
          <w:p w14:paraId="39C2A891" w14:textId="4303542E" w:rsidR="007C4C1D" w:rsidRPr="00B72C84" w:rsidRDefault="007C4C1D" w:rsidP="007C4C1D">
            <w:pPr>
              <w:tabs>
                <w:tab w:val="clear" w:pos="567"/>
              </w:tabs>
              <w:snapToGrid/>
              <w:spacing w:after="200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В добавлении к настоящему документу представлена подробная обновленная информация (только на английском языке) о проделанной в период с июня 2021</w:t>
            </w:r>
            <w:r w:rsid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 </w:t>
            </w: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г. по май 2023 г. работе в разбивке по функциям МОК. </w:t>
            </w:r>
          </w:p>
          <w:p w14:paraId="10E6030E" w14:textId="44E7350A" w:rsidR="00FA68D9" w:rsidRPr="00B72C84" w:rsidRDefault="00FA68D9" w:rsidP="00FA68D9">
            <w:pPr>
              <w:tabs>
                <w:tab w:val="clear" w:pos="567"/>
              </w:tabs>
              <w:snapToGrid/>
              <w:spacing w:after="200"/>
              <w:jc w:val="both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Дополнением к устному докладу Исполнительного секретаря на пленарном заседании Ассамблеи являются также следующие документы: «Доклад об исполнении бюджета на 2022-2023 гг. (41 С/5) по состоянию на 31 декабря 2022 г.» (документ IOC-32/3.2.Doc(3)) и «Доклад о финансовом положении специального счета МОК по состоянию на конец 2022 г. и прогноз на 2023 г.» </w:t>
            </w:r>
          </w:p>
          <w:p w14:paraId="00585BEB" w14:textId="5DA0EA83" w:rsidR="00B25FE5" w:rsidRPr="00B72C84" w:rsidRDefault="00B25FE5" w:rsidP="00B25FE5">
            <w:pPr>
              <w:tabs>
                <w:tab w:val="clear" w:pos="567"/>
              </w:tabs>
              <w:snapToGrid/>
              <w:spacing w:after="200"/>
              <w:jc w:val="both"/>
              <w:rPr>
                <w:rFonts w:asciiTheme="minorBidi" w:hAnsiTheme="minorBidi" w:cstheme="minorBidi"/>
                <w:sz w:val="22"/>
                <w:szCs w:val="22"/>
                <w:lang w:val="ru-RU"/>
              </w:rPr>
            </w:pP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Полный аналитический доклад о выполнении программы (АДВП), охватывающий весь четырехлетний программный цикл (1 января 2018 г. – 31 декабря 2021</w:t>
            </w:r>
            <w:r w:rsid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 </w:t>
            </w: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г.) и включающий оценку результативности в сопоставлении с утвержденными показателями эффективности и целевыми показателями, был представлен Исполнительному совету МОК на его 55-й сессии в 2022 г. в документе</w:t>
            </w:r>
            <w:r w:rsidR="006D046E">
              <w:rPr>
                <w:rFonts w:asciiTheme="minorBidi" w:hAnsiTheme="minorBidi" w:cstheme="minorBidi"/>
                <w:sz w:val="22"/>
                <w:szCs w:val="22"/>
                <w:lang w:val="en-US"/>
              </w:rPr>
              <w:t> </w:t>
            </w: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IOC/EC-55/3.1.Doc(1).</w:t>
            </w:r>
          </w:p>
          <w:p w14:paraId="6C050125" w14:textId="4AF26C4B" w:rsidR="00FA68D9" w:rsidRPr="00B72C84" w:rsidRDefault="00FA68D9" w:rsidP="00B120FB">
            <w:pPr>
              <w:tabs>
                <w:tab w:val="clear" w:pos="567"/>
              </w:tabs>
              <w:snapToGrid/>
              <w:spacing w:after="120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 w:rsidRPr="00B72C84">
              <w:rPr>
                <w:rFonts w:asciiTheme="minorBidi" w:hAnsiTheme="minorBidi" w:cstheme="minorBidi"/>
                <w:sz w:val="22"/>
                <w:szCs w:val="22"/>
                <w:u w:val="single"/>
                <w:lang w:val="ru-RU"/>
              </w:rPr>
              <w:t>Предлагаемое решение</w:t>
            </w:r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 xml:space="preserve">: Ассамблее предлагается принять к сведению настоящий доклад и вспомогательные документы и рассмотреть проект решения, приведенный в предварительном документе о принятых и предлагаемых мерах (документ IOC-32/AP) как </w:t>
            </w:r>
            <w:proofErr w:type="spellStart"/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реш</w:t>
            </w:r>
            <w:proofErr w:type="spellEnd"/>
            <w:r w:rsidRPr="00B72C84">
              <w:rPr>
                <w:rFonts w:asciiTheme="minorBidi" w:hAnsiTheme="minorBidi" w:cstheme="minorBidi"/>
                <w:sz w:val="22"/>
                <w:szCs w:val="22"/>
                <w:lang w:val="ru-RU"/>
              </w:rPr>
              <w:t>. IOC-32/3.2.</w:t>
            </w:r>
          </w:p>
        </w:tc>
      </w:tr>
    </w:tbl>
    <w:p w14:paraId="1E543DEA" w14:textId="4D9DF3BA" w:rsidR="00FA68D9" w:rsidRPr="00B72C84" w:rsidRDefault="00FA68D9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</w:rPr>
      </w:pPr>
      <w:r w:rsidRPr="00B72C84">
        <w:rPr>
          <w:rFonts w:asciiTheme="minorBidi" w:hAnsiTheme="minorBidi" w:cstheme="minorBidi"/>
          <w:b/>
          <w:bCs/>
          <w:sz w:val="22"/>
          <w:szCs w:val="22"/>
        </w:rPr>
        <w:br w:type="page"/>
      </w:r>
    </w:p>
    <w:p w14:paraId="7E71C7D7" w14:textId="0C02FCC1" w:rsidR="00025A88" w:rsidRPr="00B72C84" w:rsidRDefault="00C403AD" w:rsidP="00025A88">
      <w:pPr>
        <w:keepNext/>
        <w:keepLines/>
        <w:widowControl w:val="0"/>
        <w:adjustRightInd w:val="0"/>
        <w:ind w:left="567" w:hanging="567"/>
        <w:jc w:val="both"/>
        <w:textAlignment w:val="baseline"/>
        <w:outlineLvl w:val="1"/>
        <w:rPr>
          <w:rFonts w:asciiTheme="minorBidi" w:eastAsia="Times New Roman" w:hAnsiTheme="minorBidi" w:cstheme="minorBidi"/>
          <w:b/>
          <w:bCs/>
          <w:caps/>
          <w:sz w:val="22"/>
          <w:szCs w:val="22"/>
        </w:rPr>
      </w:pPr>
      <w:r w:rsidRPr="00B72C84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СТРАТЕГИЧЕСКИЙ АНАЛИЗ, ПОДГОТОВЛЕННЫЙ ИСПОЛНИТЕЛЬНЫМ СЕКРЕТАРЕМ</w:t>
      </w:r>
    </w:p>
    <w:p w14:paraId="6E0C8A6C" w14:textId="77777777" w:rsidR="00025A88" w:rsidRPr="00B72C84" w:rsidRDefault="00025A88" w:rsidP="00025A88">
      <w:pPr>
        <w:widowControl w:val="0"/>
        <w:adjustRightInd w:val="0"/>
        <w:jc w:val="both"/>
        <w:textAlignment w:val="baseline"/>
        <w:rPr>
          <w:rFonts w:asciiTheme="minorBidi" w:eastAsia="Times New Roman" w:hAnsiTheme="minorBidi" w:cstheme="minorBidi"/>
          <w:sz w:val="22"/>
          <w:szCs w:val="22"/>
          <w:lang w:eastAsia="en-US"/>
        </w:rPr>
      </w:pPr>
      <w:r w:rsidRPr="00B72C84">
        <w:rPr>
          <w:rFonts w:asciiTheme="minorBidi" w:eastAsia="Times New Roman" w:hAnsiTheme="minorBidi" w:cstheme="minorBidi"/>
          <w:noProof/>
          <w:snapToGrid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27533B" wp14:editId="69B10454">
                <wp:simplePos x="0" y="0"/>
                <wp:positionH relativeFrom="column">
                  <wp:posOffset>12700</wp:posOffset>
                </wp:positionH>
                <wp:positionV relativeFrom="paragraph">
                  <wp:posOffset>6889</wp:posOffset>
                </wp:positionV>
                <wp:extent cx="6181725" cy="19050"/>
                <wp:effectExtent l="0" t="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eLuna="https://cms.unov.org/eLuna/2015/main" xmlns:a="http://schemas.openxmlformats.org/drawingml/2006/main">
            <w:pict>
              <v:line xmlns:o="urn:schemas-microsoft-com:office:office" xmlns:v="urn:schemas-microsoft-com:vml" id="Straight Connector 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a7ebb" from="1pt,.55pt" to="487.7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EtIngtwAAAAFAQAADwAAAAAAAAAA&#10;AAAAAAAfBAAAZHJzL2Rvd25yZXYueG1sUEsFBgAAAAAEAAQA8wAAACgFAAAAAA==&#10;" w14:anchorId="6B07B381"/>
            </w:pict>
          </mc:Fallback>
        </mc:AlternateContent>
      </w:r>
    </w:p>
    <w:p w14:paraId="5FA81D73" w14:textId="74EA8989" w:rsidR="00C403AD" w:rsidRPr="00B72C84" w:rsidRDefault="00C403AD" w:rsidP="009A5392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В соответствии с обычной практикой в этой содержащей стратегический анализ вводной части к докладу Исполнительного секретаря я рассмотрю основные события за двухлетний период, истекший после 31-й сессии Ассамблеи МОК. Однако, поскольку 31 декабря 2023 г. срок моего нахождения в должности истекает, позвольте мне также поделиться своими мыслями о произошедших в МОК изменениях за весь период моей работы в Комиссии и ЮНЕСКО, к которой я приступил 1 марта 2015 г. </w:t>
      </w:r>
    </w:p>
    <w:p w14:paraId="4F7EA582" w14:textId="5FB4E7F1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Несмотря на наступившие для нас крайне трудные времена в связи с пандемией COVID</w:t>
      </w:r>
      <w:r w:rsidR="009A5392">
        <w:rPr>
          <w:rFonts w:asciiTheme="minorBidi" w:hAnsiTheme="minorBidi" w:cstheme="minorBidi"/>
          <w:sz w:val="22"/>
          <w:szCs w:val="22"/>
          <w:lang w:val="ru-RU"/>
        </w:rPr>
        <w:noBreakHyphen/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19, а также с серьезными и все усиливающимися разногласиями и напряженностью в мире, которые привели к войне на Украине и многим другим ожесточенным конфликтам, в этот период произошли такие исторические события, как утверждение Повестки дня ООН в области устойчивого развития на период до 2030 г., включающей цель 14 в области устойчивого развития, касающуюся Мирового океана, принятие Парижского соглашения, в преамбуле которого впервые отмечается </w:t>
      </w:r>
      <w:r w:rsidRPr="00B72C84">
        <w:rPr>
          <w:rFonts w:asciiTheme="minorBidi" w:hAnsiTheme="minorBidi" w:cstheme="minorBidi"/>
          <w:i/>
          <w:iCs/>
          <w:sz w:val="22"/>
          <w:szCs w:val="22"/>
          <w:lang w:val="ru-RU"/>
        </w:rPr>
        <w:t>«важность обеспечения целостности всех экосистем, включая океаны»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,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Сендайской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рамочной программы ООН по снижению риска бедствий и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Куньминско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-Монреальской рамочной программы в области биоразнообразия, а также подписание в марте 2023 г. имеющего обязательную юридическую силу международного договора об открытом море в рамках ЮНКЛОС. В настоящее время ведутся переговоры о заключении международного соглашения о борьбе с загрязнением пластиковым мусором, в том числе в морской среде. МОК внесла вклад в работу по каждому из этих документов. </w:t>
      </w:r>
    </w:p>
    <w:p w14:paraId="48A0592C" w14:textId="585B56CD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Океану стало уделяться больше внимания в рамках системы ООН. Первая Конференция ООН по океану, организованная совместно Фиджи и Швецией в 2017 г. в Центральных учреждениях ООН в Нью-Йорке, способствовала осознанию проблем океана в ООН. МОК ЮНЕСКО внесла в нее наиболее заметный и, что важно, определяющий вклад. На Конференции ООН по океану, организованной совместно Кенией и Португалией в 2022 г. в Лиссабоне, обязательства стран по решению связанных с океаном вопросов были заявлены на более высоком уровне – 24 главами участвовавших в ней государств и правительств.  И в этом случае МОК внесла существенный вклад, который помог задать тон и направление дискуссий и оказать значительное положительное влияние на их содержание. В подписанной по итогам Конференции политической декларации этот вклад нашел отражение в непосредственной увязке МОК и Десятилетия океана </w:t>
      </w:r>
      <w:r w:rsidR="006D046E">
        <w:rPr>
          <w:rFonts w:asciiTheme="minorBidi" w:hAnsiTheme="minorBidi" w:cstheme="minorBidi"/>
          <w:sz w:val="22"/>
          <w:szCs w:val="22"/>
          <w:lang w:val="ru-RU"/>
        </w:rPr>
        <w:t>–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подобных заявлений ранее еще не делалось. Следующая Конференция ООН по океану, которая будет организована совместно Коста-Рикой и Францией в июне 2025 г. в Ницце, может позволить достичь еще более важных практических результатов в интересах океана. Она предоставит уникальную возможность приступить к разработке консолидированного плана научно обоснованных мероприятий ООН в области океана, учитывающих связанные с океаном аспекты изменения климата, сохранения и защиты биоразнообразия, направленных на формирование устойчивой морской экономики и способствующих устойчивому и мирному развитию на планете. Главное, теперь мы знаем, что и как нужно делать. </w:t>
      </w:r>
    </w:p>
    <w:p w14:paraId="4A89CADF" w14:textId="3277D843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Основное достижение МОК за эти восемь лет заключается в провозглашении Организацией Объединенных Наций Десятилетия, посвященного науке об океане в интересах устойчивого развития (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2021-2030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гг.), или Десятилетия океана. Первоначальная идея проведения этого Десятилетия зародилась в начале января 2016 г. в ходе информационно-аналитического совещания МОК в небольшом прибрежном городе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Гиллелейе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в Дании. Государства – члены МОК поддержали эту идею, и на ее основе было разработано предложение, представленное на 72-й сессии Генеральной Ассамблеи ООН, которая провозгласила Десятилетие океана в своей общей тематической резолюции A/RES/72/73 «Мировой океан и морское право» (п. 292). В повестке дня текущей сессии Ассамблеи МОК есть отдельный пункт, посвященный Десятилетию океана. В этом отношении достаточно будет сказать, что Десятилетие уже стало самым масштабным начинанием в истории науки об океане и представляет собой совместно разработанную ориентированную на преобразования инициативу, объединяющую на междисциплинарной основе естественные, социальные, экономические и политические 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науки и подкрепленную небывалым стремлением людей к построению более гармоничных отношений между человеком и океаном. МОК не только обеспечивает общую координацию деятельности по проведению Десятилетия океана, но и выступает в роли руководителя или партнера в рамках нескольких флагманских программ и проектов Десятилетия. </w:t>
      </w:r>
    </w:p>
    <w:p w14:paraId="23389758" w14:textId="69A4B945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В настоящее время связанные с океаном мероприятия также занимают более важное место в деятельности ЮНЕСКО. Исполнительный совет ЮНЕСКО на своей 214-й сессии в апреле 2022 г. принял решение «ЮНЕСКО и Мировой океан» (документ 214 EX/29), содержащее 14 практических мер, направленных на укрепление и обеспечение более тесной увязки многочисленных аспектов связанных с океаном мероприятий Организации в рамках МОК и секторов ЮНЕСКО. Доклад о ходе выполнения этого решения должен быть представлен Исполнительному совету ЮНЕСКО на его 217-й сессии в октябре 2023 г. С 2015 г. (ограниченная) функциональная автономия МОК была расширена: нынешние документы ЮНЕСКО по планированию и бюджету содержат отдельные главы для МОК, тогда как ранее информация по МОК в этих документах включалась в раздел, посвященный Сектору естественных наук.</w:t>
      </w:r>
    </w:p>
    <w:p w14:paraId="4D12C5A3" w14:textId="47B29498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Одно из ключевых событий в касающейся океана деятельности связано с дискуссиями в Группе высокого уровня по устойчивой экономике океана (Группа по вопросам океана), в которую первоначально входили главы 14 государств и правительств, а в настоящее время их число достигло 17. МОК принимала участие в работе Группы по вопросам океана. Группа осуществляла свою деятельность под руководством научного сообщества. Она подготовила более 20 концептуальных документов, в которых рассматриваются различные аспекты деятельности человека в океане. Предлагаемая концепция устойчивого океанического планирования способна обратить вспять процесс ухудшения состояния океана, обеспечить устойчивое использование ресурсов океана при высокой экономической отдаче и способствовать решению ряда связанных с изменением климата вопросов. Наука, несколько упрощенно названная «наукой о данных» в подготовленном группой заключительном докладе о преобразованиях, как ожидается, станет основой устойчивого океанического планирования. Эта концепция все еще требует серьезной проработки, однако уже сейчас понятно, что она осуществима на практике и открывает порой неожиданные возможности устойчивого управления океаном. Реализовать эту концепцию в своих исключительных экономических зонах к 2025 г. – главное обязательство 17 членов Группы, которые также призывают все остальные страны приступить к устойчивому управлению морскими районами, находящимися под их национальной юрисдикцией, к 2030 г. Десятилетие океана предоставляет глобальную и нейтральную общую площадку для обмена между странами знаниями и инструментами в области устойчивого океанического планирования и будет способствовать развитию этой концепции в странах, не представленных в Группе по вопросам океана. Важно отметить, что недавно согласованный договор об открытом море, Глобальная рамочная программа в области биоразнообразия и ряд других рамочных документов обеспечивают основу для управления почти всеми районами океана. Эта исключительная возможность работы на благо человечества должна мотивировать МОК к предоставлению соответствующих услуг с целью ее превращения в реальный план действий.</w:t>
      </w:r>
    </w:p>
    <w:p w14:paraId="6434E0AB" w14:textId="71E8FE00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В период после 2015 г. МОК добилась новых важных результатов. В 2017 г. МОК опубликовала свой первый </w:t>
      </w:r>
      <w:r w:rsidRPr="00B72C84">
        <w:rPr>
          <w:rFonts w:asciiTheme="minorBidi" w:hAnsiTheme="minorBidi" w:cstheme="minorBidi"/>
          <w:i/>
          <w:iCs/>
          <w:sz w:val="22"/>
          <w:szCs w:val="22"/>
          <w:lang w:val="ru-RU"/>
        </w:rPr>
        <w:t xml:space="preserve">Глобальный доклад о состоянии океанографии 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>(ГДСО). Подготовка его второго издания была завершена в 2020 г. В настоящее время МОК является учреждением ООН, курирующим предоставление отчетности по показателям для задач 14.3 (закисление океана) и 14.a (потенциал науки об океане) ЦУР. Были созданы онлайновые порталы для сбора информации по этим показателям. Показатели для этих двух задач были разработаны секретариатом МОК и усовершенствованы, в связи с чем их уровень был повышен с III до II. Комиссия стремится развивать потенциал стран для представления отчетности по имеющим отношение к МОК показателям, а также помогает ЮНЕП в подготовке отчетности по показателям для задач 1 и 2 ЦУР 14. В 2022 г. было опубликовано экспериментальное издание Д</w:t>
      </w:r>
      <w:r w:rsidRPr="00B72C84">
        <w:rPr>
          <w:rFonts w:asciiTheme="minorBidi" w:hAnsiTheme="minorBidi" w:cstheme="minorBidi"/>
          <w:i/>
          <w:iCs/>
          <w:sz w:val="22"/>
          <w:szCs w:val="22"/>
          <w:lang w:val="ru-RU"/>
        </w:rPr>
        <w:t>оклада МОК о состоянии Мирового океана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. Повышение грамотности в связанных с океаном вопросах в настоящее время является неизменным направлением деятельности МОК, что высоко ценится в ЮНЕСКО и во всем мире. МОК разработала портал по распространению 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знаний об океане и комплект материалов. Повышая грамотность в связанных с океаном вопросах, МОК вносит вклад в осуществление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межсекторальной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программы 2 ЮНЕСКО и реализацию крупной инициативы ЮНЕСКО «Образование в интересах устойчивого развития». Новые перспективы в области повышения грамотности в связанных с океаном вопросах открывает сотрудничество с Генеральным директоратом Европейской комиссии по вопросам морской политики и рыболовства и частным сектором, в частности с компаниями «Prada» и «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Panerai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».   </w:t>
      </w:r>
    </w:p>
    <w:p w14:paraId="5B9BF3E2" w14:textId="2862E4EC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Международная координация океанографических исследований является смыслом существования МОК. По мнению Исполнительного секретаря, в настоящее время МОК оказывает более существенное, чем раньше, (положительное) воздействие на масштабы и направление глобальных океанографических исследований, а также на наличие и устойчивость их финансирования. Исследования все больше сосредоточены на устойчивом развитии. Этот прогресс во многом является результатом проведения Десятилетия океана и развивается на основе эффективного сотрудничества с различными имеющими аналогичные мандаты организациями, такими как Европейская морская коллегия, Международный совет по исследованию моря (ИКЕС), Северо-Тихоокеанская организация по морским наукам (СТОМН) и Научный комитет по океанологическим исследованиям (НКОИ). На уровне ООН, например, в сети «ООН-океаны» происходит эффективное разделение труда между различными занимающимися вопросами океана учреждениями, а МОК играет сквозную роль в качестве авторитетного источника (спонсора, поставщика) научных знаний об океане для системы ООН. Кроме того, секретариат МОК оказывает поддержку различным рабочим группам и содействует осуществлению проектов, способствующих проведению современных океанографических исследований, касающихся, например, закисления океана, деоксигенации, вредоносного цветения водорослей, экосистем «голубого углерода»,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неэндемичных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видов, а также координации исследований перспектив использования океана в качестве поглотителя углерода, что имеет решающее значение для осуществления Парижского соглашения. МОК сохраняет свою приверженность Всемирной программе ВМО/МОК/МСН по исследованию климата, являющейся основным источником знаний, данных и прогнозов в области климата, и остается одним из учреждений, руководящих ее работой.  </w:t>
      </w:r>
    </w:p>
    <w:p w14:paraId="08E8174C" w14:textId="66691D88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Достигнут стабильный прогресс в области наблюдений за океаном, управления данными и предоставления услуг. Однако период 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2015-2016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гг. был непростым. В 2015 г. совместная техническая комиссия ВМО-МОК по океанографии и морской метеорологии (СКОММ), приступившая к работе в 2001 г., была основным оператором глобальной системы наблюдений за океаном (ГСНО). После ее роспуска в связи с реструктуризацией вспомогательных органов ВМО был создан совместный совет по сотрудничеству между ВМО и МОК (ССС). Результаты работы ГСНО, ССС и ГСНК будут обсуждаться Ассамблеей в рамках пунктов 4.8, 4.9 и 4.10 повестки дня. Развитие ГСНО осуществляется в соответствии с принятой Ассамблеей МОК на ее 30-й сессии в 2019 г. стратегией ГСНО на период до 2030 г. и планом действий по осуществлению данной стратегии. Функционирование ГСНО как системы обеспечивают ее три группы экспертов (по физике и климату, биогеохимии, биологии и экологии), группы по координации наблюдений за океаном и прогнозирования, а также сети и системы наблюдений за океаном. МОК и ВМО совместно отслеживают внедрение системы наблюдений за океаном через центр оперативной поддержки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ОкеанОПС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. </w:t>
      </w:r>
    </w:p>
    <w:p w14:paraId="4AD26B31" w14:textId="23649C4C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ОБИС поддерживает развитие портала «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БиоЭко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» для биологических и экологических наблюдений за океаном, который впоследствии позволит нам отслеживать внедрение компонентов биологических и экологических наблюдений за океаном. В 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2020-2022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гг. осуществление наблюдений за океаном было серьезно затруднено в связи с пандемией COVID-19, а в настоящее время система испытывает на себе воздействие инфляции. Введенные ограничительные меры нанесли огромный ущерб многим сетям наблюдений за океаном и привели к необратимым последствиям для учета климатических параметров океана. В настоящее время руководящий комитет ГСНО предпринимает заслуживающие высокой оценки усилия по пересмотру позиционирования программы, повышению ее наглядности и совершенство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ванию информационно-разъяснительных и коммуникационных механизмов. По мнению Исполнительного секретаря, необходимость рассмотрения вопроса об оптимальном управлении ГСНО действительно существует, в частности, следует сосредоточить внимание на поиске способов обеспечения того, чтобы сетям наблюдений за океаном отводилось надлежащее место в рамках существующего механизма научно-политического взаимодействия по связанным с океаном вопросам, в том числе на национальном уровне. Можно приветствовать инициативу создания национальных координационных центров ГСНО, однако такие центры должны иметь возможности доступа к занимающимся вопросами океана государственным структурам. На начальном этапе для развития ГСНО были предложены Рамки наблюдений за океаном (РНО), в которых отражены связи между сетями и вопросами климата, биоразнообразия и морских услуг. Эти связи с политикой 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наглядно демонстрируются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в 35 основных океанических переменных (ООП). В частности, ООП способствуют выполнению глобальных соглашений в области климата и биоразнообразия и заключению новых соглашений о борьбе с загрязнением пластмассами. </w:t>
      </w:r>
    </w:p>
    <w:p w14:paraId="05671391" w14:textId="72E4C19D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Сегодня ГСНО предоставляет данные более 100 тысяч наблюдений для практического применения в области прогнозирования погоды и климата и все шире охватывает такие сферы, как биогеохимия, биология и экология, а также антропогенное воздействие. Однако потребности общества в наблюдениях за океаном растут еще быстрее. Зарождающаяся концепция устойчивого океанического планирования, по всей вероятности, окажет весьма положительное воздействие на развитие океанографических наблюдений, напрямую способствующих решению ключевых связанных с океаном вопросов. Кроме того, существует настоятельная необходимость восстановления тесных отношений и механизмов координации деятельности со спутниковыми агентствами. ГСНО также стремится стать более ориентированной на пользователя, поскольку стратегия ГСНО на период до 2030 г. выстроена на основе ее производственно-сбытовой цепочки, начиная от наблюдений, данных, моделирования и оценок и заканчивая пользовательскими услугами. Эти связи активно развиваются в рамках работы группы экспертов ГСНО по оперативным системам прогнозирования состояния океана, осуществления трех программ ГСНО в контексте Десятилетия океана («Прогнозирование в прибрежных районах», «Общая конфигурация наблюдений за океаном» и «Совместные наблюдения»), а также деятельности партнеров ВМО. </w:t>
      </w:r>
    </w:p>
    <w:p w14:paraId="5E665034" w14:textId="798C14C4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Пришло время приступить к систематическому расширению объективного анализа, повторного анализа океанографических данных и прогнозирования и к созданию экосистемы цифровых моделей океана, что будет напрямую способствовать развитию устойчивого океанического планирования. Ключевой вклад в эту работу вносит новая межправительственная организация «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Mercator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Ocean International», созданная в 2022 г. на базе функционирующей в рамках программы «Коперник» службы мониторинга морской среды. Аналогичная деятельность осуществляется различными ведущими океанографическими центрами мира.        </w:t>
      </w:r>
    </w:p>
    <w:p w14:paraId="161FD361" w14:textId="04EC3D24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В настоящее время в сфере океанографических данных происходят значительные изменения. Ассамблея рассмотрит проекты инновационной политики МОК в области обмена океанографическими данными и стратегического плана МОК по управлению океанографическими данными и информацией на 2023-2029 гг. Темпы сбора данных для информационной системы МОК по биоразнообразию океана (ОБИС), уже являющейся крупнейшей распределенной базой данных по морской флоре и фауне, стремительно растут в связи с новыми исследованиями в области экологической ДНК (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эДНК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>). В рамках программы МООД на основе достижений проекта «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Инфоцентр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-океан» была начата разработка системы океанографических данных и информации (ОДИС), которая в будущем должна стать глобальной экосистемой океанографических данных. Эти ориентированные на МОК, но при этом фундаментальные разработки в большинстве своем осуществляются при поддержке правительства Фландрии (Бельгия), предоставляющего финансирование в рамках конкретных проектов. В самом бюро МОК по проектам МООД в Остенде, Бельгия, работают сотрудники ЮНЕСКО и сотрудники, откомандированные Морским институтом Фландрии. Нет сомнений, что в ближайшем будущем произойдет стремительное увеличение объемов связанной с океанографическими данными работы и их потенциальной коммерциализации. МОК должна оставаться не только 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конкурентоспособной, но и ведущей организацией в области обмена океанографическими данными и информацией. Это необходимо не столько для благополучия МОК, сколько для обеспечения последовательного развития системы обмена океанографическими данными и информацией при наличии необходимых стандартов и соблюдении требований функциональной совместимости. И в этом случае ориентация системы данных МОК на обеспечение устойчивого океанического планирования может способствовать активизации и укреплению этой работы.   </w:t>
      </w:r>
    </w:p>
    <w:p w14:paraId="5DFCE6B6" w14:textId="6B1AA819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В 2016 г., менее чем через год после принятия Организацией Объединенных Наций Повестки-2030, была опубликована первая «Оценка состояния Мирового океана» (ОМО), привлекшая внимание системы ООН к необходимости скорейшего перехода человечества к устойчивому управлению океаном, пока еще не слишком поздно. В настоящее время ООН работает над третьим изданием доклада об ОМО. В декабре 2023 г. МОК совместно с Отделом по вопросам океана и морскому праву (ОВОМП) ООН проведет в Штаб-квартире ЮНЕСКО совещание по ОМО. Океану регулярно посвящаются оценки Межправительственной группы экспертов по изменению климата (МГЭИК). Ее с</w:t>
      </w:r>
      <w:r w:rsidRPr="00B72C84">
        <w:rPr>
          <w:rFonts w:asciiTheme="minorBidi" w:hAnsiTheme="minorBidi" w:cstheme="minorBidi"/>
          <w:i/>
          <w:iCs/>
          <w:sz w:val="22"/>
          <w:szCs w:val="22"/>
          <w:lang w:val="ru-RU"/>
        </w:rPr>
        <w:t>пециальный доклад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r w:rsidRPr="00B72C84">
        <w:rPr>
          <w:rFonts w:asciiTheme="minorBidi" w:hAnsiTheme="minorBidi" w:cstheme="minorBidi"/>
          <w:i/>
          <w:iCs/>
          <w:sz w:val="22"/>
          <w:szCs w:val="22"/>
          <w:lang w:val="ru-RU"/>
        </w:rPr>
        <w:t>«Океан и криосфера в условиях изменяющегося климата»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сыграл важную роль в привлечении внимания РКИК ООН к проблемам океана и развертывании дискуссий по океану и климату в рамках Вспомогательного органа РКИК ООН для консультирования по научным и техническим аспектам (ВОКНТА). Межправительственная научно-политическая платформа по биоразнообразию и экосистемным услугам (МПБЭУ) также рассмотрела связанные с океаном вопросы в своем опубликованном в 2019 г. докладе. МОК подготовила свой первый </w:t>
      </w:r>
      <w:r w:rsidRPr="00DF31C7">
        <w:rPr>
          <w:rFonts w:asciiTheme="minorBidi" w:hAnsiTheme="minorBidi" w:cstheme="minorBidi"/>
          <w:i/>
          <w:iCs/>
          <w:sz w:val="22"/>
          <w:szCs w:val="22"/>
          <w:lang w:val="ru-RU"/>
        </w:rPr>
        <w:t>Д</w:t>
      </w:r>
      <w:r w:rsidRPr="00B72C84">
        <w:rPr>
          <w:rFonts w:asciiTheme="minorBidi" w:hAnsiTheme="minorBidi" w:cstheme="minorBidi"/>
          <w:i/>
          <w:iCs/>
          <w:sz w:val="22"/>
          <w:szCs w:val="22"/>
          <w:lang w:val="ru-RU"/>
        </w:rPr>
        <w:t>оклад о состоянии Мирового океана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(ДСМО), пилотное издание которого будет дополнительно рассмотрено Ассамблеей на ее текущей сессии в рамках пункта 4.2 повестки дня. ДСМО задумывался как инструмент предоставления более наглядной, ориентированной на конкретные действия и обновляемой чаще, чем в ОМО, информации о состоянии океана. Основное внимание в ДСМО уделяется десяти задачам Десятилетия океана, включая устойчивое управление океаном, что помогает отслеживать прогресс или выявлять его отсутствие в основных связанных с океаном вопросах, и со временем это позволит сформировать четкое представление о влиянии глобальных программ Десятилетия океана, работа по примерно 50 из которых уже ведется с участием тысяч партнеров во всем мире, на взаимодействие между наукой, политикой и обществом. Следует особо отметить выпускаемый функционирующей в рамках программы «Коперник» службой мониторинга морской среды актуальный и перспективный доклад о состоянии океана, который представляет собой справочный доклад Европейского союза, подготовленный на основе повторного анализа океанографических данных, в том числе полученных с помощью дистанционного зондирования. Оценок состояния океана множество, и, по всей вероятности, они нуждаются в некотором упорядочении. </w:t>
      </w:r>
    </w:p>
    <w:p w14:paraId="4A2BAFFB" w14:textId="09284256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В 2015 г. ввиду бюджетных ограничений МОК пришлось принимать решение относительно целесообразности дальнейшего участия в финансировании Генеральной батиметрической карты океанов (ГЕБКО). В этой связи Исполнительный секретарь, вступивший в должность 1 марта 2015 г., должен был принять свое первое стратегически важное решение. Ассамблее МОК на ее 28-й сессии в 2015 г. рекомендовалось провести оценку всех связанных с ГЕБКО аспектов деятельности Комиссии, сосредоточив внимание на программных потребностях в батиметрических данных. Ассамблея постановила провести такой обзор и учредила для этой цели рабочую группу. Через два года, в 2017 г., Ассамблея МОК на своей 29-й сессии приняла однозначное решение о продолжении участия МОК в совместном с Международной гидрографической организацией (МГО) финансировании ГЕБКО. С тех пор был </w:t>
      </w:r>
      <w:r w:rsidR="00DF31C7" w:rsidRPr="00B72C84">
        <w:rPr>
          <w:rFonts w:asciiTheme="minorBidi" w:hAnsiTheme="minorBidi" w:cstheme="minorBidi"/>
          <w:sz w:val="22"/>
          <w:szCs w:val="22"/>
          <w:lang w:val="ru-RU"/>
        </w:rPr>
        <w:t>достигнут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весьма существенный прогресс, особенно благодаря проекту фонда «Ниппон»/ГЕБКО «Морское дно – 2030», позволившему привлечь значительный объем средств и собрать большое количество батиметрических данных. К 2016 г., спустя 113 лет после основания ГЕБКО Его Светлостью князем Монако Альбертом I, на карту было нанесено примерно 5% площади дна океана. Всего за семь лет к этим 5% было добавлено еще приблизительно 20%, в связи с чем показатель покрытия ГЕБКО площади дна океана сегодня приблизился к символической отметке в 25%. Это 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наглядно демонстрирует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огромный потенциал международного сотрудничества для решения связанных с океаном вопросов.</w:t>
      </w:r>
    </w:p>
    <w:p w14:paraId="090AFE30" w14:textId="72FFD0A4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>После цунами, произошедших в Индийском океане в 2004 г. и у побережья Тохоку в 2011</w:t>
      </w:r>
      <w:r w:rsidR="009A5392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г., еще одно обрушилось на город Палу в 2018 г. и два других образовались в результате активности вулканов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Анак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-Кракатау в 2018 г. и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Хунга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>-Тонга-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Хунга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>-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Хаапай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в 2022 г. Последние три катастрофы были особенными ввиду вызвавших их причин: разрушительное цунами у берегов Палу, вероятно, стало следствием подводного оползня, причиной цунами 2018 г. было обрушение части склона вулкана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Анак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-Кракатау, а цунами 2022 г. возникло в результате мощного извержения вулкана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Хунга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>-Тонга-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Хунга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>-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Хаапай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>. Все эти катастрофы привели к человеческим жертвам. Эти события побудили сообщество специалистов по цунами задуматься о поиске возможностей предупреждения о «нестандартных», в том числе имеющих несейсмическое происхождение цунами. Эффективное сотрудничество с Управлением ООН по снижению риска бедствий, особенно в рамках проводимого ежегодно 5 ноября Всемирного дня распространения информации о проблеме цунами, способствовало повышению заинтересованности специалистов по цунами. Четкое понимание важности мер ближнего реагирования обусловило развертывание программы сертификации готовности к цунами с благородной и масштабной целью – обеспечить, чтобы к 2030 г. 100% подверженных риску цунами прибрежных общин были признаны готовыми к цунами. В целом, программа МОК по цунами осуществляется успешно. Рабочая группа по системам предупреждения о цунами и других опасных явлениях, связанных с изменением уровня моря, и смягчения их последствий, обеспечивает идейное руководство этой работой. Одиннадцать государств-членов (Австралия, Греция, Индия, Индонезия, Италия, Китай, Португалия, Соединенные Штаты Америки, Турция, Франция и Япония) занимаются производством связанных с цунами продуктов для четырех соответствующих океанических бассейнов, что свидетельствует о поистине межправительственном характере сотрудничества. Совсем недавно началось осуществление региональной стратегии по цунами в Северо-Восточной части Атлантического океана и Средиземном море, а также обновленной среднесрочной стратегии для Тихого океана. Сообщество специалистов разрабатывает систему на основе сетей станций измерения сейсмической активности и уровня моря, изучаются также другие источники данных. Во многих странах существуют действующие национальные службы предупреждения, а Австралия, Барбадос, Индонезия и Соединенные Штаты Америки помогают МОК, обеспечивая секретариат специализированных бюро МОК.</w:t>
      </w:r>
    </w:p>
    <w:p w14:paraId="05C62E4A" w14:textId="4310F89E" w:rsidR="00C403AD" w:rsidRPr="00B72C84" w:rsidRDefault="00C403AD" w:rsidP="00B72C84">
      <w:pPr>
        <w:pStyle w:val="ListParagraph"/>
        <w:numPr>
          <w:ilvl w:val="0"/>
          <w:numId w:val="23"/>
        </w:numPr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Управление океаном должно осуществляться на устойчивой основе. МОК уже разработала структурные элементы для новой системы и расширяет комплекс своих мероприятий в области управления океаном, включая управление прибрежными зонами, морское пространственное планирование (МПП) и управление крупными морскими экосистемами. Две прошедшие в 2017 г. и 2022 г. глобальные конференции по МПП объединили мировое сообщество и способствовали обмену передовым опытом. Они имели важное значение для повышения интереса государств-членов к морскому пространственному планированию. Тесное сотрудничество с Европейской комиссией и ее финансовая поддержка деятельности МОК сыграли решающую роль в разработке проекта «МПП Глобал» и плана действий по его осуществлению, который будет определять направление сотрудничества в течение следующих пяти лет в целях развития МПП в таких областях, как изменение климата, сохранение и восстановление экосистем и устойчивая морская экономика. В рамках мониторинга прогресса в области МПП на глобальном уровне МОК зарегистрировала свыше 300 инициатив в более чем 100 странах. Программа развития Организации Объединенных Наций (ПРООН) и Глобальный экологический фонд (ГЭФ) в настоящее время являются крупнейшими спонсорами МОК, что обусловлено ростом числа осуществляемых МОК проектов ГЭФ в рамках тематической области «Международные воды» (проекты, касающиеся Саргассова моря и Черного моря, информационно-образовательный проект «Международные воды»). Теперь есть возможность принять дальнейшие меры и наладить стратегическое партнерское взаимодействие с ПРООН и другими агентствами ГЭФ, с тем чтобы укрепить позиционирование МОК и Сектора науки ЮНЕСКО в качестве ведущего экспертного учреждения, специализирующегося в области трансграничного сотрудничества по связанным с океаном и пресноводными ресурсами вопросам. Это может расширить возможности ЮНЕСКО и МОК по привлечению средств.  </w:t>
      </w:r>
    </w:p>
    <w:p w14:paraId="1EEA7EDD" w14:textId="77777777" w:rsidR="00C403AD" w:rsidRPr="00B72C84" w:rsidRDefault="00C403AD" w:rsidP="00B72C84">
      <w:pPr>
        <w:pStyle w:val="ListParagraph"/>
        <w:numPr>
          <w:ilvl w:val="0"/>
          <w:numId w:val="23"/>
        </w:numPr>
        <w:tabs>
          <w:tab w:val="left" w:pos="709"/>
        </w:tabs>
        <w:adjustRightInd w:val="0"/>
        <w:spacing w:after="12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Развитие потенциала было и всегда будет одним из основных направлений деятельности МОК. В настоящее время МОК проводит обширную работу по развитию потенциала, в том числе в рамках: </w:t>
      </w:r>
    </w:p>
    <w:p w14:paraId="25119DAF" w14:textId="77777777" w:rsidR="00C403AD" w:rsidRPr="00B72C84" w:rsidRDefault="00C403AD" w:rsidP="00B72C84">
      <w:pPr>
        <w:pStyle w:val="ListParagraph"/>
        <w:numPr>
          <w:ilvl w:val="0"/>
          <w:numId w:val="24"/>
        </w:numPr>
        <w:tabs>
          <w:tab w:val="clear" w:pos="567"/>
        </w:tabs>
        <w:adjustRightInd w:val="0"/>
        <w:spacing w:after="240"/>
        <w:ind w:left="1134" w:hanging="567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Глобальной академии «Океан-инструктор» (ГАОИ) второго поколения, имеющей 17 центров по всему миру, </w:t>
      </w:r>
    </w:p>
    <w:p w14:paraId="2FDAFB4C" w14:textId="77777777" w:rsidR="00C403AD" w:rsidRPr="00B72C84" w:rsidRDefault="00C403AD" w:rsidP="00B72C84">
      <w:pPr>
        <w:pStyle w:val="ListParagraph"/>
        <w:numPr>
          <w:ilvl w:val="0"/>
          <w:numId w:val="24"/>
        </w:numPr>
        <w:tabs>
          <w:tab w:val="clear" w:pos="567"/>
        </w:tabs>
        <w:adjustRightInd w:val="0"/>
        <w:spacing w:after="240"/>
        <w:ind w:left="1134" w:hanging="567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шести (пять действующих и один в процессе создания) региональных учебно-исследовательских центров ВЕСТПАК,</w:t>
      </w:r>
    </w:p>
    <w:p w14:paraId="7EE75957" w14:textId="77777777" w:rsidR="00C403AD" w:rsidRPr="00B72C84" w:rsidRDefault="00C403AD" w:rsidP="00B72C84">
      <w:pPr>
        <w:pStyle w:val="ListParagraph"/>
        <w:numPr>
          <w:ilvl w:val="0"/>
          <w:numId w:val="24"/>
        </w:numPr>
        <w:tabs>
          <w:tab w:val="clear" w:pos="567"/>
        </w:tabs>
        <w:adjustRightInd w:val="0"/>
        <w:spacing w:after="240"/>
        <w:ind w:left="1134" w:hanging="567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трех связанных с океаном центров ЮНЕСКО категории 2 (в Исламской Республике Иран, Индии и Исландии), </w:t>
      </w:r>
    </w:p>
    <w:p w14:paraId="0C5B4A6E" w14:textId="24F39F50" w:rsidR="00C403AD" w:rsidRPr="00B72C84" w:rsidRDefault="00C403AD" w:rsidP="00B72C84">
      <w:pPr>
        <w:pStyle w:val="ListParagraph"/>
        <w:numPr>
          <w:ilvl w:val="0"/>
          <w:numId w:val="24"/>
        </w:numPr>
        <w:tabs>
          <w:tab w:val="clear" w:pos="567"/>
        </w:tabs>
        <w:adjustRightInd w:val="0"/>
        <w:spacing w:after="240"/>
        <w:ind w:left="1134" w:hanging="567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мероприятий по развитию потенциала в области экологической ДНК, закисления океана, вредоносного цветения водорослей и 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т.д.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, </w:t>
      </w:r>
    </w:p>
    <w:p w14:paraId="25432020" w14:textId="77777777" w:rsidR="00C403AD" w:rsidRPr="00B72C84" w:rsidRDefault="00C403AD" w:rsidP="00B72C84">
      <w:pPr>
        <w:pStyle w:val="ListParagraph"/>
        <w:numPr>
          <w:ilvl w:val="0"/>
          <w:numId w:val="24"/>
        </w:numPr>
        <w:tabs>
          <w:tab w:val="clear" w:pos="567"/>
        </w:tabs>
        <w:adjustRightInd w:val="0"/>
        <w:spacing w:after="240"/>
        <w:ind w:left="1134" w:hanging="567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центра по развитию потенциала в связанных с океаном вопросах, действующего в качестве центрального хранилища информации о касающихся развития соответствующего потенциала возможностях во всем мире,</w:t>
      </w:r>
    </w:p>
    <w:p w14:paraId="1B342E04" w14:textId="77777777" w:rsidR="00C403AD" w:rsidRPr="00B72C84" w:rsidRDefault="00C403AD" w:rsidP="00B72C84">
      <w:pPr>
        <w:pStyle w:val="ListParagraph"/>
        <w:numPr>
          <w:ilvl w:val="0"/>
          <w:numId w:val="24"/>
        </w:numPr>
        <w:tabs>
          <w:tab w:val="clear" w:pos="567"/>
        </w:tabs>
        <w:adjustRightInd w:val="0"/>
        <w:spacing w:after="240"/>
        <w:ind w:left="1134" w:hanging="567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кафедр ЮНЕСКО по морским наукам, которые на недавней конференции УНИТВИН приняли решение о создании сети,  </w:t>
      </w:r>
    </w:p>
    <w:p w14:paraId="3BD60062" w14:textId="77777777" w:rsidR="00C403AD" w:rsidRPr="00B72C84" w:rsidRDefault="00C403AD" w:rsidP="00B72C84">
      <w:pPr>
        <w:pStyle w:val="ListParagraph"/>
        <w:numPr>
          <w:ilvl w:val="0"/>
          <w:numId w:val="24"/>
        </w:numPr>
        <w:tabs>
          <w:tab w:val="clear" w:pos="567"/>
        </w:tabs>
        <w:adjustRightInd w:val="0"/>
        <w:spacing w:after="240"/>
        <w:ind w:left="1134" w:hanging="567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мероприятий по развитию потенциала в рамках Десятилетия океана, проводимых при поддержке и координации со стороны финансируемого правительством Фландрии в сотрудничестве с МОК фонда Десятилетия океана по развитию потенциала. </w:t>
      </w:r>
    </w:p>
    <w:p w14:paraId="1BD97A88" w14:textId="7D1E97BE" w:rsidR="00C403AD" w:rsidRPr="00B72C84" w:rsidRDefault="00C403AD" w:rsidP="00FC6C61">
      <w:pPr>
        <w:pStyle w:val="ListParagraph"/>
        <w:numPr>
          <w:ilvl w:val="0"/>
          <w:numId w:val="23"/>
        </w:numPr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Ассамблея на своей текущей сессии рассмотрит стратегию МОК в области развития потенциала на 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2023-2030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гг., а также план информационно-разъяснительной и коммуникационной деятельности с целью повышения наглядности и расширения охвата стратегии МОК в области развития потенциала. Эти два основных документа будут определять направление дальнейшей работы МОК по развитию потенциала на глобальном и региональном уровнях. Кроме того, в недавно согласованном договоре об открытом море МОК непосредственно упоминается в связи с потребностями в развитии потенциала. Развитие потенциала является ключевым элементом работы региональных вспомогательных органов МОК. Как и в случае со многими основными функциональными областями деятельности МОК, на работу Комиссии по развитию потенциала по-прежнему выделяется недостаточно средств. Несмотря на то, что работа по развитию потенциала имеет для МОК основополагающее значение, некоторые ее компоненты, </w:t>
      </w:r>
      <w:proofErr w:type="gramStart"/>
      <w:r w:rsidRPr="00B72C84">
        <w:rPr>
          <w:rFonts w:asciiTheme="minorBidi" w:hAnsiTheme="minorBidi" w:cstheme="minorBidi"/>
          <w:sz w:val="22"/>
          <w:szCs w:val="22"/>
          <w:lang w:val="ru-RU"/>
        </w:rPr>
        <w:t>например,</w:t>
      </w:r>
      <w:proofErr w:type="gram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ГАОИ и ОДИС, финансируются в рамках конкретных проектов при щедрой поддержке правительства Фландрии (Бельгия). </w:t>
      </w:r>
    </w:p>
    <w:p w14:paraId="013E7F76" w14:textId="77777777" w:rsidR="00C403AD" w:rsidRPr="00B72C84" w:rsidRDefault="00C403AD" w:rsidP="00C403AD">
      <w:pPr>
        <w:pStyle w:val="Heading3"/>
        <w:rPr>
          <w:rFonts w:asciiTheme="minorBidi" w:hAnsiTheme="minorBidi" w:cstheme="minorBidi"/>
          <w:sz w:val="22"/>
          <w:szCs w:val="22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Успехи/прогресс</w:t>
      </w:r>
    </w:p>
    <w:p w14:paraId="55AC935B" w14:textId="11529F12" w:rsidR="00C403AD" w:rsidRPr="00B72C84" w:rsidRDefault="00C403AD" w:rsidP="00FC6C61">
      <w:pPr>
        <w:pStyle w:val="ListParagraph"/>
        <w:numPr>
          <w:ilvl w:val="0"/>
          <w:numId w:val="23"/>
        </w:numPr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Успехи международных организаций (учреждений) порой оцениваются по показателям увеличения бюджета и штата сотрудников, знаковым мероприятиям и публикациям. По мнению Исполнительного секретаря, достигнутые МОК результаты имеют гораздо более фундаментальное значение: предусмотренная мандатом МОК работа по всем функциям, определенным в ее среднесрочной стратегии, и в контексте Десятилетия океана подвела нас к историческому рубежу в наших отношениях с океаном. Впервые в истории наука говорит нам, что существует реальная возможность обратить вспять процесс ухудшения состояния океана и начать жить в гармонии с ним. Мы могли бы двигаться вперед по этому пути, обеспечив оптимальное с точки зрения климата, экологически ориентированное, этичное управление океаном на основе научно обоснованного океанического планирования в интересах устойчивой океанической экономики. Однако его концепцию еще только предстоит разработать. Эта работа будет осуществляться в соответствии со среднесрочной стратегией МОК на 2022-2029</w:t>
      </w:r>
      <w:r w:rsidR="009A5392">
        <w:rPr>
          <w:rFonts w:asciiTheme="minorBidi" w:hAnsiTheme="minorBidi" w:cstheme="minorBidi"/>
          <w:sz w:val="22"/>
          <w:szCs w:val="22"/>
          <w:lang w:val="ru-RU"/>
        </w:rPr>
        <w:t> 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гг. и в рамках разработки стратегии для всей системы МОК в области устойчивого океанического 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планирования и управления, которая будет представлена Исполнительному совету МОК для принятия в 2024 г. Среднесрочная стратегия преследует цель </w:t>
      </w:r>
      <w:r w:rsidRPr="00B72C84">
        <w:rPr>
          <w:rFonts w:asciiTheme="minorBidi" w:hAnsiTheme="minorBidi" w:cstheme="minorBidi"/>
          <w:i/>
          <w:iCs/>
          <w:sz w:val="22"/>
          <w:szCs w:val="22"/>
          <w:lang w:val="ru-RU"/>
        </w:rPr>
        <w:t>«объединить усилия правительств и научного сообщества с тем, чтобы обеспечить необходимое нам состояние океана в интересах будущего, каким мы хотим его видеть» »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t>. В связи с этим Исполнительный секретарь предлагает МОК и ее партнерам поразмышлять о будущем океана и о том, какую роль в нем играет МОК. Данный вопрос будет рассмотрен Ассамблеей на ее текущей сессии в рамках пункта 5 повестки дня.</w:t>
      </w:r>
    </w:p>
    <w:p w14:paraId="589DDA75" w14:textId="77777777" w:rsidR="00C403AD" w:rsidRPr="00B72C84" w:rsidRDefault="00C403AD" w:rsidP="00FC6C61">
      <w:pPr>
        <w:pStyle w:val="Heading3"/>
        <w:rPr>
          <w:rFonts w:asciiTheme="minorBidi" w:hAnsiTheme="minorBidi" w:cstheme="minorBidi"/>
          <w:sz w:val="22"/>
          <w:szCs w:val="22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Трудности</w:t>
      </w:r>
    </w:p>
    <w:p w14:paraId="3AD29BFC" w14:textId="3252DE59" w:rsidR="00C403AD" w:rsidRPr="00B72C84" w:rsidRDefault="00C403AD" w:rsidP="00FC6C61">
      <w:pPr>
        <w:pStyle w:val="ListParagraph"/>
        <w:numPr>
          <w:ilvl w:val="0"/>
          <w:numId w:val="23"/>
        </w:numPr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Когда МОК создавалась в 1960 г., ее главной целью было предоставить платформу для сотрудничества между океанографами из разных стран. В настоящее время наука об океане имеет жизненно важное значение: почти все глобальные проблемы тем или иным образом связаны с океаном, а необходимые решения требуют серьезных исследований и разработок в области науки об океане. Это не только диктует необходимость укрепления потенциала науки об океане и придания ей более конкретной направленности, но и побуждает МОК работать в рамках всей связанной с наукой об океане производственно-сбытовой цепочки, функционирующей как одна система, – от наблюдений, данных и исследований до систематической поддержки устойчивого океанического планирования. С сожалением должен отметить, что за время моего нахождения в должности можно было сделать больше для объединения функций МОК в единую комплексную систему. </w:t>
      </w:r>
    </w:p>
    <w:p w14:paraId="3CB6F873" w14:textId="2A0E35E7" w:rsidR="00C403AD" w:rsidRPr="00B72C84" w:rsidRDefault="00C403AD" w:rsidP="00FC6C61">
      <w:pPr>
        <w:pStyle w:val="ListParagraph"/>
        <w:numPr>
          <w:ilvl w:val="0"/>
          <w:numId w:val="23"/>
        </w:numPr>
        <w:adjustRightInd w:val="0"/>
        <w:spacing w:after="240"/>
        <w:ind w:left="0" w:firstLine="0"/>
        <w:contextualSpacing w:val="0"/>
        <w:jc w:val="both"/>
        <w:textAlignment w:val="baseline"/>
        <w:rPr>
          <w:rFonts w:asciiTheme="minorBidi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МОК осуществляет свою деятельность без опоры на какую-либо международную конвенцию, которая обязывала бы страны проводить океанографические наблюдения и исследования. Наша работа продолжается благодаря пониманию ее важности и доброй воле государств-членов и других заинтересованных сторон. Глобальная инициатива проведения Десятилетия океана является проявлением этой доброй воли. Однако, даже если бы имеющая обязательную юридическую силу конвенция существовала, слабо развитое взаимодействие между наукой об океане и политикой все равно препятствовало бы осуществлению эффективных мер во многих странах. Кроме того, сохраняется необходимость в изучении на основе национальной отчетности того, каким образом знания об океане способствуют развитию морской экономики и снижению инвестиционных рисков и как можно обеспечить в национальной политике учет взаимовыгодных связей между наукой об океане и экономикой. Взаимодействие между наукой об океане и политикой слабо развито не по вине МОК, это лишь следствие имевшей место в прошлом недооценки важной роли океана для человечества. Есть надежда, что ведущая роль и успехи МОК в превращении науки в ключевой элемент системы принятия скоординированных решений по вопросам океана будут способствовать активизации и укреплению взаимодействия между наукой об океане и политикой в странах мира. Недооценка важности океана и роли науки в управлении им также является одной из основных причин постоянной нехватки кадровых и финансовых ресурсов секретариата МОК. Многое в дальнейшей деятельности МОК будет зависеть от приверженности государств – членов ЮНЕСКО и МОК целям Комиссии, а также от того, проявится ли их приверженность в наращивании предсказуемого и устойчивого финансирования работы секретариата МОК с менее жесткой целевой привязкой. По сути, это будут не расходы, а высокоэффективные инвестиции в будущее нашей цивилизации.</w:t>
      </w:r>
    </w:p>
    <w:p w14:paraId="52662ED0" w14:textId="77777777" w:rsidR="00C403AD" w:rsidRPr="00B72C84" w:rsidRDefault="00C403AD" w:rsidP="00FC6C61">
      <w:pPr>
        <w:pStyle w:val="Heading3"/>
        <w:rPr>
          <w:rFonts w:asciiTheme="minorBidi" w:hAnsiTheme="minorBidi" w:cstheme="minorBidi"/>
          <w:sz w:val="22"/>
          <w:szCs w:val="22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Выражение глубокой благодарности </w:t>
      </w:r>
    </w:p>
    <w:p w14:paraId="793A5363" w14:textId="55E01980" w:rsidR="00025A88" w:rsidRPr="00B72C84" w:rsidRDefault="00C403AD" w:rsidP="00FC6C61">
      <w:pPr>
        <w:numPr>
          <w:ilvl w:val="0"/>
          <w:numId w:val="18"/>
        </w:numPr>
        <w:shd w:val="clear" w:color="auto" w:fill="FFFFFF"/>
        <w:adjustRightInd w:val="0"/>
        <w:snapToGrid/>
        <w:spacing w:after="240"/>
        <w:ind w:left="0" w:firstLine="0"/>
        <w:jc w:val="both"/>
        <w:textAlignment w:val="baseline"/>
        <w:rPr>
          <w:rFonts w:asciiTheme="minorBidi" w:eastAsia="Times New Roman" w:hAnsiTheme="minorBidi" w:cstheme="minorBidi"/>
          <w:b/>
          <w:bCs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sz w:val="22"/>
          <w:szCs w:val="22"/>
          <w:lang w:val="ru-RU"/>
        </w:rPr>
        <w:t>МОК представляет интересы государств-членов, народов и Мирового океана. Она представляет интересы ЮНЕСКО и ООН. МОК занимается развитием науки в целях построения гармоничных отношений человека с океаном. И океан вносит в эту работу свой вклад, ведь он обладает уникальной способностью объединять талантливых и добрых людей. Мы должны быть благодарны ему за это. Восемь лет работы в МОК были для меня вдохновляющими. Позвольте мне поблагодарить Председателей и должностных лиц, руководивших работой МОК в период моего пребывания в должности (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Пён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Санкюн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, Питер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Хауган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 и Ариэль </w:t>
      </w:r>
      <w:proofErr w:type="spellStart"/>
      <w:r w:rsidRPr="00B72C84">
        <w:rPr>
          <w:rFonts w:asciiTheme="minorBidi" w:hAnsiTheme="minorBidi" w:cstheme="minorBidi"/>
          <w:sz w:val="22"/>
          <w:szCs w:val="22"/>
          <w:lang w:val="ru-RU"/>
        </w:rPr>
        <w:t>Троиси</w:t>
      </w:r>
      <w:proofErr w:type="spellEnd"/>
      <w:r w:rsidRPr="00B72C84">
        <w:rPr>
          <w:rFonts w:asciiTheme="minorBidi" w:hAnsiTheme="minorBidi" w:cstheme="minorBidi"/>
          <w:sz w:val="22"/>
          <w:szCs w:val="22"/>
          <w:lang w:val="ru-RU"/>
        </w:rPr>
        <w:t xml:space="preserve">) </w:t>
      </w:r>
      <w:r w:rsidRPr="00B72C84">
        <w:rPr>
          <w:rFonts w:asciiTheme="minorBidi" w:hAnsiTheme="minorBidi" w:cstheme="minorBidi"/>
          <w:sz w:val="22"/>
          <w:szCs w:val="22"/>
          <w:lang w:val="ru-RU"/>
        </w:rPr>
        <w:lastRenderedPageBreak/>
        <w:t xml:space="preserve">и ранее. Да, действительно, сегодня МОК стоит на плечах гигантов. Позвольте мне также поблагодарить моих коллег из ЮНЕСКО, которые все вместе формируют коллектив уникальной организации, содействующей укоренению в сознании людей идеи защиты мира. Напоследок хочу обратиться к секретариату МОК. Спасибо вам, дорогие друзья, за честь и привилегию быть частью нашей команды. Наилучшие пожелания и успехов моему преемнику в выведении МОК на новые рубежи и высоты.   </w:t>
      </w:r>
    </w:p>
    <w:p w14:paraId="7CA382D1" w14:textId="77777777" w:rsidR="00FC6C61" w:rsidRDefault="00FC6C61" w:rsidP="00C403AD">
      <w:pPr>
        <w:keepNext/>
        <w:keepLines/>
        <w:widowControl w:val="0"/>
        <w:tabs>
          <w:tab w:val="clear" w:pos="567"/>
        </w:tabs>
        <w:adjustRightInd w:val="0"/>
        <w:jc w:val="both"/>
        <w:textAlignment w:val="baseline"/>
        <w:outlineLvl w:val="1"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515438CF" w14:textId="202A0D68" w:rsidR="007C4C1D" w:rsidRPr="00B72C84" w:rsidRDefault="00C51DE8" w:rsidP="00FC6C61">
      <w:pPr>
        <w:keepNext/>
        <w:keepLines/>
        <w:widowControl w:val="0"/>
        <w:tabs>
          <w:tab w:val="clear" w:pos="567"/>
        </w:tabs>
        <w:adjustRightInd w:val="0"/>
        <w:jc w:val="both"/>
        <w:textAlignment w:val="baseline"/>
        <w:outlineLvl w:val="1"/>
        <w:rPr>
          <w:rFonts w:asciiTheme="minorBidi" w:eastAsia="Times New Roman" w:hAnsiTheme="minorBidi" w:cstheme="minorBidi"/>
          <w:b/>
          <w:bCs/>
          <w:caps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ОЦЕНКА ДОСТИГНУТОГО ЗА ПЕРВЫЙ ГОД ДВУХЛЕТНЕГО ПЕРИОДА (1 ЯНВАРЯ – 31</w:t>
      </w:r>
      <w:r w:rsidR="00FC6C61">
        <w:rPr>
          <w:rFonts w:asciiTheme="minorBidi" w:hAnsiTheme="minorBidi" w:cstheme="minorBidi"/>
          <w:b/>
          <w:bCs/>
          <w:sz w:val="22"/>
          <w:szCs w:val="22"/>
          <w:lang w:val="ru-RU"/>
        </w:rPr>
        <w:t> </w:t>
      </w:r>
      <w:r w:rsidRPr="00B72C84">
        <w:rPr>
          <w:rFonts w:asciiTheme="minorBidi" w:hAnsiTheme="minorBidi" w:cstheme="minorBidi"/>
          <w:b/>
          <w:bCs/>
          <w:sz w:val="22"/>
          <w:szCs w:val="22"/>
          <w:lang w:val="ru-RU"/>
        </w:rPr>
        <w:t>ДЕКАБРЯ 2022 Г.) ПРОГРЕССА В ОСУЩЕСТВЛЕНИИ ПРОГРАММЫ И БЮДЖЕТА (ДОКУМЕНТ 41 С/5).</w:t>
      </w:r>
    </w:p>
    <w:p w14:paraId="271432EB" w14:textId="0AEC4C69" w:rsidR="007C4C1D" w:rsidRPr="00D2256D" w:rsidRDefault="00F457B9" w:rsidP="00FC6C61">
      <w:pPr>
        <w:widowControl w:val="0"/>
        <w:adjustRightInd w:val="0"/>
        <w:spacing w:before="240" w:after="240"/>
        <w:jc w:val="center"/>
        <w:textAlignment w:val="baseline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B72C84">
        <w:rPr>
          <w:rFonts w:asciiTheme="minorBidi" w:eastAsia="Times New Roman" w:hAnsiTheme="minorBidi" w:cstheme="minorBidi"/>
          <w:noProof/>
          <w:snapToGrid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F2336B" wp14:editId="2AF7F54B">
                <wp:simplePos x="0" y="0"/>
                <wp:positionH relativeFrom="column">
                  <wp:posOffset>-56515</wp:posOffset>
                </wp:positionH>
                <wp:positionV relativeFrom="paragraph">
                  <wp:posOffset>13970</wp:posOffset>
                </wp:positionV>
                <wp:extent cx="6181725" cy="1905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eLuna="https://cms.unov.org/eLuna/2015/main" xmlns:a="http://schemas.openxmlformats.org/drawingml/2006/main">
            <w:pict>
              <v:line xmlns:o="urn:schemas-microsoft-com:office:office" xmlns:v="urn:schemas-microsoft-com:vml" id="Straight Connector 3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a7ebb" from="-4.45pt,1.1pt" to="482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YHI0WNwAAAAGAQAADwAAAAAAAAAA&#10;AAAAAAAfBAAAZHJzL2Rvd25yZXYueG1sUEsFBgAAAAAEAAQA8wAAACgFAAAAAA==&#10;" w14:anchorId="052F80F2"/>
            </w:pict>
          </mc:Fallback>
        </mc:AlternateContent>
      </w:r>
      <w:r w:rsidRPr="00B72C84">
        <w:rPr>
          <w:rFonts w:asciiTheme="minorBidi" w:hAnsiTheme="minorBidi" w:cstheme="minorBidi"/>
          <w:b/>
          <w:bCs/>
          <w:sz w:val="22"/>
          <w:szCs w:val="22"/>
          <w:lang w:val="ru-RU"/>
        </w:rPr>
        <w:t>ВЫПОЛНЕНИЕ ПРОГРАММЫ, УТВЕРЖДЕННОЙ ГЕНЕРАЛЬНОЙ КОНФЕРЕНЦИЕЙ: ДОКЛАД О ВЫПОЛНЕНИИ ПРОГРАММЫ, СОДЕРЖАЩЕЙСЯ В ДОКУМЕНТЕ C/5 (EX/4)</w:t>
      </w:r>
      <w:r w:rsidR="00F66A6D" w:rsidRPr="00D2256D">
        <w:rPr>
          <w:rStyle w:val="FootnoteReference"/>
          <w:rFonts w:asciiTheme="minorBidi" w:hAnsiTheme="minorBidi" w:cstheme="minorBidi"/>
          <w:snapToGrid/>
          <w:color w:val="000000"/>
          <w:sz w:val="22"/>
          <w:szCs w:val="22"/>
          <w:lang w:val="ru-RU"/>
        </w:rPr>
        <w:footnoteReference w:id="1"/>
      </w:r>
    </w:p>
    <w:p w14:paraId="276E888A" w14:textId="092443A1" w:rsidR="00FC6C61" w:rsidRDefault="009C032A" w:rsidP="009C032A">
      <w:pPr>
        <w:widowControl w:val="0"/>
        <w:adjustRightInd w:val="0"/>
        <w:spacing w:after="240"/>
        <w:jc w:val="center"/>
        <w:textAlignment w:val="baseline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drawing>
          <wp:inline distT="0" distB="0" distL="0" distR="0" wp14:anchorId="4F432F16" wp14:editId="2CE97040">
            <wp:extent cx="5273749" cy="7371648"/>
            <wp:effectExtent l="0" t="0" r="3175" b="1270"/>
            <wp:docPr id="2" name="Picture 2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ocumen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401" cy="740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120A" w14:textId="77777777" w:rsidR="00FC6C61" w:rsidRDefault="00FC6C61" w:rsidP="00FC6C61">
      <w:pPr>
        <w:widowControl w:val="0"/>
        <w:adjustRightInd w:val="0"/>
        <w:spacing w:after="240"/>
        <w:jc w:val="both"/>
        <w:textAlignment w:val="baseline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5142A5A1" w14:textId="09381322" w:rsidR="009C032A" w:rsidRDefault="009C032A" w:rsidP="009C032A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drawing>
          <wp:inline distT="0" distB="0" distL="0" distR="0" wp14:anchorId="4742AA23" wp14:editId="3CAF68B7">
            <wp:extent cx="5932967" cy="8557804"/>
            <wp:effectExtent l="0" t="0" r="0" b="0"/>
            <wp:docPr id="4" name="Picture 4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document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28" cy="856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 w:cstheme="minorBidi"/>
          <w:sz w:val="22"/>
          <w:szCs w:val="22"/>
          <w:lang w:val="ru-RU" w:eastAsia="en-US"/>
        </w:rPr>
        <w:br w:type="page"/>
      </w:r>
    </w:p>
    <w:p w14:paraId="149CFB17" w14:textId="6C071B46" w:rsidR="009C032A" w:rsidRDefault="009C032A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lastRenderedPageBreak/>
        <w:drawing>
          <wp:inline distT="0" distB="0" distL="0" distR="0" wp14:anchorId="67AE4C55" wp14:editId="6168F3A0">
            <wp:extent cx="6372573" cy="8676167"/>
            <wp:effectExtent l="0" t="0" r="9525" b="0"/>
            <wp:docPr id="5" name="Picture 5" descr="A picture containing text, newspaper, publicati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publication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3687" cy="867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 w:cstheme="minorBidi"/>
          <w:sz w:val="22"/>
          <w:szCs w:val="22"/>
          <w:lang w:val="ru-RU" w:eastAsia="en-US"/>
        </w:rPr>
        <w:br w:type="page"/>
      </w:r>
    </w:p>
    <w:p w14:paraId="31264963" w14:textId="1B09C446" w:rsidR="009C032A" w:rsidRDefault="009C032A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lastRenderedPageBreak/>
        <w:drawing>
          <wp:inline distT="0" distB="0" distL="0" distR="0" wp14:anchorId="60BB6774" wp14:editId="0565E828">
            <wp:extent cx="6120130" cy="8870315"/>
            <wp:effectExtent l="0" t="0" r="0" b="6985"/>
            <wp:docPr id="7" name="Picture 7" descr="A picture containing text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desig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7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 w:cstheme="minorBidi"/>
          <w:sz w:val="22"/>
          <w:szCs w:val="22"/>
          <w:lang w:val="ru-RU" w:eastAsia="en-US"/>
        </w:rPr>
        <w:br w:type="page"/>
      </w:r>
    </w:p>
    <w:p w14:paraId="5E4EA0DD" w14:textId="4A077F75" w:rsidR="009C032A" w:rsidRDefault="009C032A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lastRenderedPageBreak/>
        <w:drawing>
          <wp:inline distT="0" distB="0" distL="0" distR="0" wp14:anchorId="1CB18220" wp14:editId="1C43CA80">
            <wp:extent cx="6074797" cy="5609645"/>
            <wp:effectExtent l="0" t="0" r="2540" b="0"/>
            <wp:docPr id="8" name="Picture 8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screenshot, font, de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797" cy="56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 w:cstheme="minorBidi"/>
          <w:sz w:val="22"/>
          <w:szCs w:val="22"/>
          <w:lang w:val="ru-RU" w:eastAsia="en-US"/>
        </w:rPr>
        <w:br w:type="page"/>
      </w:r>
    </w:p>
    <w:p w14:paraId="2B8BF222" w14:textId="568C7482" w:rsidR="009C032A" w:rsidRDefault="009C032A">
      <w:pPr>
        <w:tabs>
          <w:tab w:val="clear" w:pos="567"/>
        </w:tabs>
        <w:snapToGrid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lastRenderedPageBreak/>
        <w:drawing>
          <wp:inline distT="0" distB="0" distL="0" distR="0" wp14:anchorId="1C75B181" wp14:editId="1AD77411">
            <wp:extent cx="6120130" cy="5078095"/>
            <wp:effectExtent l="0" t="0" r="0" b="8255"/>
            <wp:docPr id="9" name="Picture 9" descr="A picture containing text, screenshot, rectangl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creenshot, rectangle,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7B9" w:rsidRPr="00B72C84">
        <w:rPr>
          <w:rFonts w:asciiTheme="minorBidi" w:eastAsia="Times New Roman" w:hAnsiTheme="minorBidi" w:cstheme="minorBidi"/>
          <w:sz w:val="22"/>
          <w:szCs w:val="22"/>
          <w:lang w:val="ru-RU" w:eastAsia="en-US"/>
        </w:rPr>
        <w:br w:type="page"/>
      </w:r>
    </w:p>
    <w:p w14:paraId="4A3BBE13" w14:textId="77777777" w:rsidR="00F457B9" w:rsidRPr="00B72C84" w:rsidRDefault="00F457B9" w:rsidP="00F457B9">
      <w:pPr>
        <w:widowControl w:val="0"/>
        <w:adjustRightInd w:val="0"/>
        <w:jc w:val="both"/>
        <w:textAlignment w:val="baseline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25D9263A" w14:textId="035D168F" w:rsidR="00ED1659" w:rsidRPr="00B72C84" w:rsidRDefault="00ED1659" w:rsidP="009A5392">
      <w:pPr>
        <w:tabs>
          <w:tab w:val="clear" w:pos="567"/>
        </w:tabs>
        <w:autoSpaceDE w:val="0"/>
        <w:autoSpaceDN w:val="0"/>
        <w:adjustRightInd w:val="0"/>
        <w:snapToGrid/>
        <w:spacing w:after="240"/>
        <w:jc w:val="center"/>
        <w:rPr>
          <w:rFonts w:asciiTheme="minorBidi" w:hAnsiTheme="minorBidi" w:cstheme="minorBidi"/>
          <w:snapToGrid/>
          <w:color w:val="000000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b/>
          <w:bCs/>
          <w:sz w:val="22"/>
          <w:szCs w:val="22"/>
          <w:lang w:val="ru-RU"/>
        </w:rPr>
        <w:t>Выполнение программы, утвержденной Генеральной конференцией:</w:t>
      </w:r>
      <w:r w:rsidR="009A5392">
        <w:rPr>
          <w:rFonts w:asciiTheme="minorBidi" w:hAnsiTheme="minorBidi" w:cstheme="minorBidi"/>
          <w:b/>
          <w:bCs/>
          <w:sz w:val="22"/>
          <w:szCs w:val="22"/>
          <w:lang w:val="ru-RU"/>
        </w:rPr>
        <w:br/>
      </w:r>
      <w:r w:rsidRPr="00B72C84">
        <w:rPr>
          <w:rFonts w:asciiTheme="minorBidi" w:hAnsiTheme="minorBidi" w:cstheme="minorBidi"/>
          <w:b/>
          <w:bCs/>
          <w:sz w:val="22"/>
          <w:szCs w:val="22"/>
          <w:lang w:val="ru-RU"/>
        </w:rPr>
        <w:t>доклад о выполнении программы, содержащейся в документе С/5</w:t>
      </w:r>
    </w:p>
    <w:p w14:paraId="5568CB6A" w14:textId="5CD1AA21" w:rsidR="00F457B9" w:rsidRPr="00B72C84" w:rsidRDefault="00ED1659" w:rsidP="00ED1659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sz w:val="22"/>
          <w:szCs w:val="22"/>
          <w:lang w:val="ru-RU"/>
        </w:rPr>
      </w:pPr>
      <w:r w:rsidRPr="00B72C84">
        <w:rPr>
          <w:rFonts w:asciiTheme="minorBidi" w:hAnsiTheme="minorBidi" w:cstheme="minorBidi"/>
          <w:b/>
          <w:bCs/>
          <w:sz w:val="22"/>
          <w:szCs w:val="22"/>
          <w:lang w:val="ru-RU"/>
        </w:rPr>
        <w:t>Оценка прогресса в разбивке по промежуточным результатам</w:t>
      </w:r>
    </w:p>
    <w:p w14:paraId="7DEDC455" w14:textId="32C40C44" w:rsidR="00F457B9" w:rsidRPr="00B72C84" w:rsidRDefault="00F457B9" w:rsidP="007C4C1D">
      <w:pPr>
        <w:widowControl w:val="0"/>
        <w:adjustRightInd w:val="0"/>
        <w:jc w:val="both"/>
        <w:textAlignment w:val="baseline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5B9C6296" w14:textId="26175755" w:rsidR="00F457B9" w:rsidRPr="00B72C84" w:rsidRDefault="00F457B9" w:rsidP="007C4C1D">
      <w:pPr>
        <w:widowControl w:val="0"/>
        <w:adjustRightInd w:val="0"/>
        <w:jc w:val="both"/>
        <w:textAlignment w:val="baseline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</w:p>
    <w:p w14:paraId="4BBF1831" w14:textId="781D2764" w:rsidR="009C032A" w:rsidRDefault="009C032A" w:rsidP="009C032A">
      <w:pPr>
        <w:tabs>
          <w:tab w:val="clear" w:pos="567"/>
        </w:tabs>
        <w:snapToGrid/>
        <w:jc w:val="center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drawing>
          <wp:inline distT="0" distB="0" distL="0" distR="0" wp14:anchorId="117D237D" wp14:editId="5B2A7F6A">
            <wp:extent cx="5826642" cy="7906351"/>
            <wp:effectExtent l="0" t="0" r="3175" b="0"/>
            <wp:docPr id="10" name="Picture 10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document&#10;&#10;Description automatically generated with low confidenc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7372" r="5821" b="8598"/>
                    <a:stretch/>
                  </pic:blipFill>
                  <pic:spPr bwMode="auto">
                    <a:xfrm>
                      <a:off x="0" y="0"/>
                      <a:ext cx="5832581" cy="7914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Bidi" w:eastAsia="Times New Roman" w:hAnsiTheme="minorBidi" w:cstheme="minorBidi"/>
          <w:sz w:val="22"/>
          <w:szCs w:val="22"/>
          <w:lang w:val="ru-RU" w:eastAsia="en-US"/>
        </w:rPr>
        <w:br w:type="page"/>
      </w:r>
    </w:p>
    <w:p w14:paraId="6B267ACE" w14:textId="6F33F840" w:rsidR="00F457B9" w:rsidRPr="00B72C84" w:rsidRDefault="009C032A" w:rsidP="007C4C1D">
      <w:pPr>
        <w:widowControl w:val="0"/>
        <w:adjustRightInd w:val="0"/>
        <w:jc w:val="both"/>
        <w:textAlignment w:val="baseline"/>
        <w:rPr>
          <w:rFonts w:asciiTheme="minorBidi" w:eastAsia="Times New Roman" w:hAnsiTheme="minorBidi" w:cstheme="minorBidi"/>
          <w:sz w:val="22"/>
          <w:szCs w:val="22"/>
          <w:lang w:val="ru-RU" w:eastAsia="en-US"/>
        </w:rPr>
      </w:pPr>
      <w:r>
        <w:rPr>
          <w:rFonts w:asciiTheme="minorBidi" w:eastAsia="Times New Roman" w:hAnsiTheme="minorBidi" w:cstheme="minorBidi"/>
          <w:noProof/>
          <w:snapToGrid/>
          <w:sz w:val="22"/>
          <w:szCs w:val="22"/>
          <w:lang w:val="ru-RU" w:eastAsia="en-US"/>
        </w:rPr>
        <w:lastRenderedPageBreak/>
        <w:drawing>
          <wp:inline distT="0" distB="0" distL="0" distR="0" wp14:anchorId="37C798E6" wp14:editId="54A71578">
            <wp:extent cx="5976885" cy="4423144"/>
            <wp:effectExtent l="0" t="0" r="5080" b="0"/>
            <wp:docPr id="11" name="Picture 1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document&#10;&#10;Description automatically generated with medium confidence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6388" r="5126" b="47420"/>
                    <a:stretch/>
                  </pic:blipFill>
                  <pic:spPr bwMode="auto">
                    <a:xfrm>
                      <a:off x="0" y="0"/>
                      <a:ext cx="5990108" cy="443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57B9" w:rsidRPr="00B72C84" w:rsidSect="00B72C84">
      <w:headerReference w:type="even" r:id="rId16"/>
      <w:headerReference w:type="default" r:id="rId17"/>
      <w:headerReference w:type="first" r:id="rId18"/>
      <w:pgSz w:w="11906" w:h="16838" w:code="9"/>
      <w:pgMar w:top="1418" w:right="1134" w:bottom="113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E4686" w14:textId="77777777" w:rsidR="008732FF" w:rsidRDefault="008732FF">
      <w:r>
        <w:separator/>
      </w:r>
    </w:p>
  </w:endnote>
  <w:endnote w:type="continuationSeparator" w:id="0">
    <w:p w14:paraId="5709D6FB" w14:textId="77777777" w:rsidR="008732FF" w:rsidRDefault="00873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DD83F" w14:textId="77777777" w:rsidR="008732FF" w:rsidRDefault="008732FF">
      <w:r>
        <w:separator/>
      </w:r>
    </w:p>
  </w:footnote>
  <w:footnote w:type="continuationSeparator" w:id="0">
    <w:p w14:paraId="0D3275CB" w14:textId="77777777" w:rsidR="008732FF" w:rsidRDefault="008732FF">
      <w:r>
        <w:continuationSeparator/>
      </w:r>
    </w:p>
  </w:footnote>
  <w:footnote w:id="1">
    <w:p w14:paraId="29D9F54A" w14:textId="10AAE334" w:rsidR="00F66A6D" w:rsidRPr="00FC6C61" w:rsidRDefault="00F66A6D" w:rsidP="00FC6C61">
      <w:pPr>
        <w:pStyle w:val="FootnoteText"/>
        <w:jc w:val="both"/>
        <w:rPr>
          <w:rFonts w:asciiTheme="minorBidi" w:hAnsiTheme="minorBidi" w:cstheme="minorBidi"/>
          <w:sz w:val="18"/>
          <w:szCs w:val="18"/>
          <w:lang w:val="ru-RU"/>
        </w:rPr>
      </w:pPr>
      <w:r w:rsidRPr="00FC6C61">
        <w:rPr>
          <w:rStyle w:val="FootnoteReference"/>
          <w:rFonts w:asciiTheme="minorBidi" w:hAnsiTheme="minorBidi" w:cstheme="minorBidi"/>
          <w:sz w:val="18"/>
          <w:szCs w:val="18"/>
          <w:lang w:val="ru-RU"/>
        </w:rPr>
        <w:footnoteRef/>
      </w:r>
      <w:r w:rsidRPr="00FC6C61">
        <w:rPr>
          <w:rFonts w:asciiTheme="minorBidi" w:hAnsiTheme="minorBidi" w:cstheme="minorBidi"/>
          <w:sz w:val="18"/>
          <w:szCs w:val="18"/>
          <w:lang w:val="ru-RU"/>
        </w:rPr>
        <w:t xml:space="preserve"> </w:t>
      </w:r>
      <w:r w:rsidR="00FC6C61">
        <w:rPr>
          <w:rFonts w:asciiTheme="minorBidi" w:hAnsiTheme="minorBidi" w:cstheme="minorBidi"/>
          <w:sz w:val="18"/>
          <w:szCs w:val="18"/>
          <w:lang w:val="ru-RU"/>
        </w:rPr>
        <w:tab/>
      </w:r>
      <w:r w:rsidRPr="00FC6C61">
        <w:rPr>
          <w:rFonts w:asciiTheme="minorBidi" w:hAnsiTheme="minorBidi" w:cstheme="minorBidi"/>
          <w:sz w:val="18"/>
          <w:szCs w:val="18"/>
          <w:lang w:val="ru-RU"/>
        </w:rPr>
        <w:t>Представленный Исполнительному совету ЮНЕСКО на его 216-й сессии (документы 216 ЕХ/4 и 216</w:t>
      </w:r>
      <w:r w:rsidR="00FC6C61">
        <w:rPr>
          <w:rFonts w:asciiTheme="minorBidi" w:hAnsiTheme="minorBidi" w:cstheme="minorBidi"/>
          <w:sz w:val="18"/>
          <w:szCs w:val="18"/>
          <w:lang w:val="ru-RU"/>
        </w:rPr>
        <w:t> </w:t>
      </w:r>
      <w:r w:rsidRPr="00FC6C61">
        <w:rPr>
          <w:rFonts w:asciiTheme="minorBidi" w:hAnsiTheme="minorBidi" w:cstheme="minorBidi"/>
          <w:sz w:val="18"/>
          <w:szCs w:val="18"/>
          <w:lang w:val="ru-RU"/>
        </w:rPr>
        <w:t>ЕХ/4.INF)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8030A" w14:textId="1BA1B238" w:rsidR="003B6FC5" w:rsidRPr="00FF54F5" w:rsidRDefault="00352423" w:rsidP="009A5392">
    <w:pPr>
      <w:pStyle w:val="Header"/>
      <w:spacing w:after="240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2B07D7">
      <w:rPr>
        <w:rFonts w:ascii="Arial" w:hAnsi="Arial" w:cs="Arial"/>
        <w:bCs/>
        <w:sz w:val="22"/>
        <w:szCs w:val="22"/>
        <w:lang w:val="fr-FR"/>
      </w:rPr>
      <w:t>/A</w:t>
    </w:r>
    <w:r w:rsidRPr="00352423">
      <w:rPr>
        <w:rFonts w:ascii="Arial" w:hAnsi="Arial" w:cs="Arial"/>
        <w:bCs/>
        <w:sz w:val="22"/>
        <w:szCs w:val="22"/>
        <w:lang w:val="fr-FR"/>
      </w:rPr>
      <w:t>-</w:t>
    </w:r>
    <w:r w:rsidR="007C667D">
      <w:rPr>
        <w:rFonts w:ascii="Arial" w:hAnsi="Arial" w:cs="Arial"/>
        <w:bCs/>
        <w:sz w:val="22"/>
        <w:szCs w:val="22"/>
        <w:lang w:val="fr-FR"/>
      </w:rPr>
      <w:t>32</w:t>
    </w:r>
    <w:r w:rsidR="00FA68D9">
      <w:rPr>
        <w:rFonts w:ascii="Arial" w:hAnsi="Arial" w:cs="Arial"/>
        <w:bCs/>
        <w:sz w:val="22"/>
        <w:szCs w:val="22"/>
        <w:lang w:val="fr-FR"/>
      </w:rPr>
      <w:t>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r w:rsidR="007C667D">
      <w:rPr>
        <w:rFonts w:ascii="Arial" w:hAnsi="Arial" w:cs="Arial"/>
        <w:bCs/>
        <w:sz w:val="22"/>
        <w:szCs w:val="22"/>
        <w:lang w:val="fr-FR"/>
      </w:rPr>
      <w:t>2.</w:t>
    </w:r>
    <w:r w:rsidR="007C667D" w:rsidRPr="00352423">
      <w:rPr>
        <w:rFonts w:ascii="Arial" w:hAnsi="Arial" w:cs="Arial"/>
        <w:bCs/>
        <w:sz w:val="22"/>
        <w:szCs w:val="22"/>
        <w:lang w:val="fr-FR"/>
      </w:rPr>
      <w:t xml:space="preserve"> Doc</w:t>
    </w:r>
    <w:sdt>
      <w:sdtPr>
        <w:rPr>
          <w:rFonts w:ascii="Arial" w:hAnsi="Arial" w:cs="Arial"/>
          <w:bCs/>
          <w:sz w:val="22"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="00FA68D9">
          <w:rPr>
            <w:rFonts w:ascii="Arial" w:hAnsi="Arial" w:cs="Arial"/>
            <w:bCs/>
            <w:sz w:val="22"/>
            <w:szCs w:val="22"/>
          </w:rPr>
          <w:t>(1)</w:t>
        </w:r>
        <w:r w:rsidR="00BC135C">
          <w:rPr>
            <w:rFonts w:ascii="Arial" w:hAnsi="Arial" w:cs="Arial"/>
            <w:bCs/>
            <w:sz w:val="22"/>
            <w:szCs w:val="22"/>
          </w:rPr>
          <w:t xml:space="preserve"> – page </w:t>
        </w:r>
        <w:r w:rsidR="00BC135C" w:rsidRPr="00BC135C">
          <w:rPr>
            <w:rFonts w:ascii="Arial" w:hAnsi="Arial" w:cs="Arial"/>
            <w:bCs/>
            <w:sz w:val="22"/>
            <w:szCs w:val="22"/>
          </w:rPr>
          <w:fldChar w:fldCharType="begin"/>
        </w:r>
        <w:r w:rsidR="00BC135C" w:rsidRPr="00BC135C">
          <w:rPr>
            <w:rFonts w:ascii="Arial" w:hAnsi="Arial" w:cs="Arial"/>
            <w:bCs/>
            <w:sz w:val="22"/>
            <w:szCs w:val="22"/>
          </w:rPr>
          <w:instrText xml:space="preserve"> PAGE   \* MERGEFORMAT </w:instrText>
        </w:r>
        <w:r w:rsidR="00BC135C" w:rsidRPr="00BC135C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D110FE">
          <w:rPr>
            <w:rFonts w:ascii="Arial" w:hAnsi="Arial" w:cs="Arial"/>
            <w:bCs/>
            <w:noProof/>
            <w:sz w:val="22"/>
            <w:szCs w:val="22"/>
          </w:rPr>
          <w:t>2</w:t>
        </w:r>
        <w:r w:rsidR="00BC135C" w:rsidRPr="00BC135C">
          <w:rPr>
            <w:rFonts w:ascii="Arial" w:hAnsi="Arial" w:cs="Arial"/>
            <w:bCs/>
            <w:noProof/>
            <w:sz w:val="22"/>
            <w:szCs w:val="2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B357" w14:textId="6E7DD0A3" w:rsidR="00FF54F5" w:rsidRPr="00DD55DA" w:rsidRDefault="00E01FDA" w:rsidP="009A5392">
    <w:pPr>
      <w:pStyle w:val="Header"/>
      <w:spacing w:after="240"/>
      <w:jc w:val="right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2B07D7">
      <w:rPr>
        <w:rFonts w:ascii="Arial" w:hAnsi="Arial" w:cs="Arial"/>
        <w:bCs/>
        <w:sz w:val="22"/>
        <w:szCs w:val="22"/>
        <w:lang w:val="fr-FR"/>
      </w:rPr>
      <w:t>/A</w:t>
    </w:r>
    <w:r w:rsidRPr="00352423">
      <w:rPr>
        <w:rFonts w:ascii="Arial" w:hAnsi="Arial" w:cs="Arial"/>
        <w:bCs/>
        <w:sz w:val="22"/>
        <w:szCs w:val="22"/>
        <w:lang w:val="fr-FR"/>
      </w:rPr>
      <w:t>-</w:t>
    </w:r>
    <w:r w:rsidR="007C667D">
      <w:rPr>
        <w:rFonts w:ascii="Arial" w:hAnsi="Arial" w:cs="Arial"/>
        <w:bCs/>
        <w:sz w:val="22"/>
        <w:szCs w:val="22"/>
        <w:lang w:val="fr-FR"/>
      </w:rPr>
      <w:t>32</w:t>
    </w:r>
    <w:r w:rsidRPr="00352423">
      <w:rPr>
        <w:rFonts w:ascii="Arial" w:hAnsi="Arial" w:cs="Arial"/>
        <w:bCs/>
        <w:sz w:val="22"/>
        <w:szCs w:val="22"/>
        <w:lang w:val="fr-FR"/>
      </w:rPr>
      <w:t>/</w:t>
    </w:r>
    <w:r w:rsidR="007C4C1D">
      <w:rPr>
        <w:rFonts w:ascii="Arial" w:hAnsi="Arial" w:cs="Arial"/>
        <w:bCs/>
        <w:sz w:val="22"/>
        <w:szCs w:val="22"/>
        <w:lang w:val="fr-FR"/>
      </w:rPr>
      <w:t>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proofErr w:type="gramStart"/>
    <w:r w:rsidR="007C667D">
      <w:rPr>
        <w:rFonts w:ascii="Arial" w:hAnsi="Arial" w:cs="Arial"/>
        <w:bCs/>
        <w:sz w:val="22"/>
        <w:szCs w:val="22"/>
        <w:lang w:val="fr-FR"/>
      </w:rPr>
      <w:t>2</w:t>
    </w:r>
    <w:r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proofErr w:type="gramEnd"/>
    <w:r w:rsidR="007C4C1D">
      <w:rPr>
        <w:rFonts w:ascii="Arial" w:hAnsi="Arial" w:cs="Arial"/>
        <w:bCs/>
        <w:sz w:val="22"/>
        <w:szCs w:val="22"/>
        <w:lang w:val="fr-FR"/>
      </w:rPr>
      <w:t>(1)</w:t>
    </w:r>
    <w:r w:rsidR="00A14C22">
      <w:rPr>
        <w:rFonts w:ascii="Arial" w:hAnsi="Arial" w:cs="Arial"/>
        <w:bCs/>
        <w:sz w:val="22"/>
        <w:szCs w:val="22"/>
        <w:lang w:val="fr-FR"/>
      </w:rPr>
      <w:t xml:space="preserve"> – page </w:t>
    </w:r>
    <w:r w:rsidR="00A14C22" w:rsidRPr="00A14C22">
      <w:rPr>
        <w:rFonts w:ascii="Arial" w:hAnsi="Arial" w:cs="Arial"/>
        <w:bCs/>
        <w:sz w:val="22"/>
        <w:szCs w:val="22"/>
        <w:lang w:val="fr-FR"/>
      </w:rPr>
      <w:fldChar w:fldCharType="begin"/>
    </w:r>
    <w:r w:rsidR="00A14C22" w:rsidRPr="00A14C22">
      <w:rPr>
        <w:rFonts w:ascii="Arial" w:hAnsi="Arial" w:cs="Arial"/>
        <w:bCs/>
        <w:sz w:val="22"/>
        <w:szCs w:val="22"/>
        <w:lang w:val="fr-FR"/>
      </w:rPr>
      <w:instrText xml:space="preserve"> PAGE   \* MERGEFORMAT </w:instrText>
    </w:r>
    <w:r w:rsidR="00A14C22" w:rsidRPr="00A14C22">
      <w:rPr>
        <w:rFonts w:ascii="Arial" w:hAnsi="Arial" w:cs="Arial"/>
        <w:bCs/>
        <w:sz w:val="22"/>
        <w:szCs w:val="22"/>
        <w:lang w:val="fr-FR"/>
      </w:rPr>
      <w:fldChar w:fldCharType="separate"/>
    </w:r>
    <w:r w:rsidR="00D110FE">
      <w:rPr>
        <w:rFonts w:ascii="Arial" w:hAnsi="Arial" w:cs="Arial"/>
        <w:bCs/>
        <w:noProof/>
        <w:sz w:val="22"/>
        <w:szCs w:val="22"/>
        <w:lang w:val="fr-FR"/>
      </w:rPr>
      <w:t>3</w:t>
    </w:r>
    <w:r w:rsidR="00A14C22" w:rsidRPr="00A14C22">
      <w:rPr>
        <w:rFonts w:ascii="Arial" w:hAnsi="Arial" w:cs="Arial"/>
        <w:bCs/>
        <w:noProof/>
        <w:sz w:val="22"/>
        <w:szCs w:val="22"/>
        <w:lang w:val="fr-FR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2890" w14:textId="002A2530" w:rsidR="00F62C19" w:rsidRPr="002B07D7" w:rsidRDefault="008B77EB" w:rsidP="00392009">
    <w:pPr>
      <w:pStyle w:val="Marge"/>
      <w:tabs>
        <w:tab w:val="left" w:pos="6379"/>
        <w:tab w:val="left" w:pos="7088"/>
      </w:tabs>
      <w:spacing w:after="0"/>
      <w:rPr>
        <w:rFonts w:asciiTheme="minorBidi" w:hAnsiTheme="minorBidi" w:cstheme="minorBidi"/>
        <w:b/>
        <w:sz w:val="34"/>
        <w:szCs w:val="34"/>
        <w:lang w:val="ru-RU"/>
      </w:rPr>
    </w:pPr>
    <w:r w:rsidRPr="00B72C84">
      <w:rPr>
        <w:rFonts w:asciiTheme="minorBidi" w:hAnsiTheme="minorBidi" w:cstheme="minorBidi"/>
        <w:sz w:val="22"/>
        <w:szCs w:val="22"/>
        <w:lang w:val="ru-RU"/>
      </w:rPr>
      <w:t>Рассылается по списку</w:t>
    </w:r>
    <w:r w:rsidRPr="00B72C84">
      <w:rPr>
        <w:rFonts w:asciiTheme="minorBidi" w:hAnsiTheme="minorBidi" w:cstheme="minorBidi"/>
        <w:lang w:val="ru-RU"/>
      </w:rPr>
      <w:tab/>
    </w:r>
    <w:r w:rsidRPr="002B07D7">
      <w:rPr>
        <w:rFonts w:asciiTheme="minorBidi" w:hAnsiTheme="minorBidi" w:cstheme="minorBidi"/>
        <w:b/>
        <w:bCs/>
        <w:sz w:val="34"/>
        <w:szCs w:val="34"/>
        <w:lang w:val="ru-RU"/>
      </w:rPr>
      <w:t>IOC</w:t>
    </w:r>
    <w:r w:rsidR="002B07D7" w:rsidRPr="002B07D7">
      <w:rPr>
        <w:rFonts w:asciiTheme="minorBidi" w:hAnsiTheme="minorBidi" w:cstheme="minorBidi"/>
        <w:b/>
        <w:bCs/>
        <w:sz w:val="34"/>
        <w:szCs w:val="34"/>
        <w:lang w:val="ru-RU"/>
      </w:rPr>
      <w:t>/</w:t>
    </w:r>
    <w:r w:rsidR="002B07D7" w:rsidRPr="002B07D7">
      <w:rPr>
        <w:rFonts w:asciiTheme="minorBidi" w:hAnsiTheme="minorBidi" w:cstheme="minorBidi"/>
        <w:b/>
        <w:bCs/>
        <w:sz w:val="34"/>
        <w:szCs w:val="34"/>
        <w:lang w:val="en-US"/>
      </w:rPr>
      <w:t>A</w:t>
    </w:r>
    <w:r w:rsidRPr="002B07D7">
      <w:rPr>
        <w:rFonts w:asciiTheme="minorBidi" w:hAnsiTheme="minorBidi" w:cstheme="minorBidi"/>
        <w:b/>
        <w:bCs/>
        <w:sz w:val="34"/>
        <w:szCs w:val="34"/>
        <w:lang w:val="ru-RU"/>
      </w:rPr>
      <w:t>-32/3.</w:t>
    </w:r>
    <w:proofErr w:type="gramStart"/>
    <w:r w:rsidRPr="002B07D7">
      <w:rPr>
        <w:rFonts w:asciiTheme="minorBidi" w:hAnsiTheme="minorBidi" w:cstheme="minorBidi"/>
        <w:b/>
        <w:bCs/>
        <w:sz w:val="34"/>
        <w:szCs w:val="34"/>
        <w:lang w:val="ru-RU"/>
      </w:rPr>
      <w:t>2.Doc</w:t>
    </w:r>
    <w:proofErr w:type="gramEnd"/>
    <w:r w:rsidRPr="002B07D7">
      <w:rPr>
        <w:rFonts w:asciiTheme="minorBidi" w:hAnsiTheme="minorBidi" w:cstheme="minorBidi"/>
        <w:b/>
        <w:bCs/>
        <w:sz w:val="34"/>
        <w:szCs w:val="34"/>
        <w:lang w:val="ru-RU"/>
      </w:rPr>
      <w:t>(1)</w:t>
    </w:r>
    <w:bookmarkStart w:id="0" w:name="_Hlk54263549"/>
    <w:bookmarkEnd w:id="0"/>
  </w:p>
  <w:p w14:paraId="4FD70AD5" w14:textId="5FA0FA25" w:rsidR="004B7754" w:rsidRPr="00B72C84" w:rsidRDefault="008B77EB" w:rsidP="00392009">
    <w:pPr>
      <w:pStyle w:val="Marge"/>
      <w:tabs>
        <w:tab w:val="left" w:pos="6379"/>
      </w:tabs>
      <w:spacing w:after="0"/>
      <w:rPr>
        <w:rFonts w:asciiTheme="minorBidi" w:hAnsiTheme="minorBidi" w:cstheme="minorBidi"/>
        <w:sz w:val="22"/>
        <w:szCs w:val="22"/>
        <w:lang w:val="ru-RU"/>
      </w:rPr>
    </w:pPr>
    <w:r w:rsidRPr="00B72C84">
      <w:rPr>
        <w:rFonts w:asciiTheme="minorBidi" w:hAnsiTheme="minorBidi" w:cstheme="minorBidi"/>
        <w:b/>
        <w:noProof/>
        <w:snapToGrid/>
        <w:szCs w:val="22"/>
        <w:lang w:val="ru-RU" w:eastAsia="fr-FR"/>
      </w:rPr>
      <w:drawing>
        <wp:anchor distT="0" distB="0" distL="114300" distR="114300" simplePos="0" relativeHeight="251658240" behindDoc="0" locked="0" layoutInCell="1" allowOverlap="1" wp14:anchorId="7C2FCC9E" wp14:editId="3855C8E1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2C84">
      <w:rPr>
        <w:rFonts w:asciiTheme="minorBidi" w:hAnsiTheme="minorBidi" w:cstheme="minorBidi"/>
        <w:lang w:val="ru-RU"/>
      </w:rPr>
      <w:tab/>
    </w:r>
    <w:r w:rsidRPr="00B72C84">
      <w:rPr>
        <w:rFonts w:asciiTheme="minorBidi" w:hAnsiTheme="minorBidi" w:cstheme="minorBidi"/>
        <w:sz w:val="22"/>
        <w:szCs w:val="22"/>
        <w:lang w:val="ru-RU"/>
      </w:rPr>
      <w:t xml:space="preserve">Париж, 18 мая 2023 г. </w:t>
    </w:r>
  </w:p>
  <w:p w14:paraId="07C76426" w14:textId="18A2F05C" w:rsidR="004B7754" w:rsidRPr="00B72C84" w:rsidRDefault="004B7754" w:rsidP="00392009">
    <w:pPr>
      <w:pStyle w:val="Marge"/>
      <w:tabs>
        <w:tab w:val="left" w:pos="6379"/>
      </w:tabs>
      <w:rPr>
        <w:rFonts w:asciiTheme="minorBidi" w:hAnsiTheme="minorBidi" w:cstheme="minorBidi"/>
        <w:sz w:val="22"/>
        <w:szCs w:val="22"/>
        <w:lang w:val="ru-RU"/>
      </w:rPr>
    </w:pPr>
    <w:r w:rsidRPr="00B72C84">
      <w:rPr>
        <w:rFonts w:asciiTheme="minorBidi" w:hAnsiTheme="minorBidi" w:cstheme="minorBidi"/>
        <w:sz w:val="22"/>
        <w:szCs w:val="22"/>
        <w:lang w:val="ru-RU"/>
      </w:rPr>
      <w:tab/>
      <w:t>Оригинал: английский</w:t>
    </w:r>
  </w:p>
  <w:p w14:paraId="0759C652" w14:textId="6ACD3015" w:rsidR="004B7754" w:rsidRPr="00B72C84" w:rsidRDefault="004B77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Theme="minorBidi" w:hAnsiTheme="minorBidi" w:cstheme="minorBidi"/>
        <w:b/>
        <w:szCs w:val="22"/>
        <w:lang w:val="ru-RU"/>
      </w:rPr>
    </w:pPr>
  </w:p>
  <w:p w14:paraId="5CBA7A2E" w14:textId="7CD94594" w:rsidR="00B17054" w:rsidRPr="00B72C84" w:rsidRDefault="00B170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asciiTheme="minorBidi" w:hAnsiTheme="minorBidi" w:cstheme="minorBidi"/>
        <w:b/>
        <w:szCs w:val="22"/>
        <w:lang w:val="ru-RU"/>
      </w:rPr>
    </w:pPr>
  </w:p>
  <w:p w14:paraId="364F293E" w14:textId="4E082054" w:rsidR="00B17054" w:rsidRPr="00B72C84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28CD0B7C" w14:textId="77777777" w:rsidR="008B77EB" w:rsidRPr="00B72C84" w:rsidRDefault="008B77EB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1D868DB4" w14:textId="77777777" w:rsidR="00B17054" w:rsidRPr="00B72C84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71A52761" w14:textId="56DB973C" w:rsidR="004B7754" w:rsidRPr="00B72C84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lang w:val="ru-RU"/>
      </w:rPr>
    </w:pPr>
    <w:r w:rsidRPr="00B72C84">
      <w:rPr>
        <w:rFonts w:asciiTheme="minorBidi" w:hAnsiTheme="minorBidi" w:cstheme="minorBidi"/>
        <w:b/>
        <w:bCs/>
        <w:lang w:val="ru-RU"/>
      </w:rPr>
      <w:t>МЕЖПРАВИТЕЛЬСТВЕННАЯ ОКЕАНОГРАФИЧЕСКАЯ КОМИССИЯ</w:t>
    </w:r>
  </w:p>
  <w:p w14:paraId="67E49D49" w14:textId="77777777" w:rsidR="004B7754" w:rsidRPr="00B72C84" w:rsidRDefault="004B7754" w:rsidP="00B17054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lang w:val="ru-RU"/>
      </w:rPr>
    </w:pPr>
    <w:r w:rsidRPr="00B72C84">
      <w:rPr>
        <w:rFonts w:asciiTheme="minorBidi" w:hAnsiTheme="minorBidi" w:cstheme="minorBidi"/>
        <w:lang w:val="ru-RU"/>
      </w:rPr>
      <w:t>(ЮНЕСКО)</w:t>
    </w:r>
  </w:p>
  <w:p w14:paraId="4872ECD5" w14:textId="77777777" w:rsidR="004B7754" w:rsidRPr="00B72C84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Cs w:val="22"/>
        <w:lang w:val="ru-RU"/>
      </w:rPr>
    </w:pPr>
  </w:p>
  <w:p w14:paraId="7BF4961F" w14:textId="3064990B" w:rsidR="004B7754" w:rsidRPr="00B72C84" w:rsidRDefault="003F29E2" w:rsidP="00B17054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lang w:val="ru-RU"/>
      </w:rPr>
    </w:pPr>
    <w:r w:rsidRPr="00B72C84">
      <w:rPr>
        <w:rFonts w:asciiTheme="minorBidi" w:hAnsiTheme="minorBidi" w:cstheme="minorBidi"/>
        <w:b/>
        <w:bCs/>
        <w:lang w:val="ru-RU"/>
      </w:rPr>
      <w:t>Тридцать вторая сессия Ассамблеи</w:t>
    </w:r>
  </w:p>
  <w:p w14:paraId="71300EEE" w14:textId="5DAE81BC" w:rsidR="004B7754" w:rsidRPr="00B72C84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lang w:val="ru-RU"/>
      </w:rPr>
    </w:pPr>
    <w:r w:rsidRPr="00B72C84">
      <w:rPr>
        <w:rFonts w:asciiTheme="minorBidi" w:hAnsiTheme="minorBidi" w:cstheme="minorBidi"/>
        <w:lang w:val="ru-RU"/>
      </w:rPr>
      <w:t xml:space="preserve">ЮНЕСКО, Париж, </w:t>
    </w:r>
    <w:proofErr w:type="gramStart"/>
    <w:r w:rsidRPr="00B72C84">
      <w:rPr>
        <w:rFonts w:asciiTheme="minorBidi" w:hAnsiTheme="minorBidi" w:cstheme="minorBidi"/>
        <w:lang w:val="ru-RU"/>
      </w:rPr>
      <w:t>21-30</w:t>
    </w:r>
    <w:proofErr w:type="gramEnd"/>
    <w:r w:rsidRPr="00B72C84">
      <w:rPr>
        <w:rFonts w:asciiTheme="minorBidi" w:hAnsiTheme="minorBidi" w:cstheme="minorBidi"/>
        <w:lang w:val="ru-RU"/>
      </w:rPr>
      <w:t xml:space="preserve"> июня 2023 г.</w:t>
    </w:r>
  </w:p>
  <w:p w14:paraId="5BB9C169" w14:textId="77777777" w:rsidR="004B7754" w:rsidRPr="00B72C84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Cs w:val="22"/>
        <w:lang w:val="ru-RU"/>
      </w:rPr>
    </w:pPr>
  </w:p>
  <w:p w14:paraId="003DCA37" w14:textId="77777777" w:rsidR="004B7754" w:rsidRPr="00B72C84" w:rsidRDefault="004B7754" w:rsidP="00B17054">
    <w:pPr>
      <w:jc w:val="center"/>
      <w:rPr>
        <w:rFonts w:asciiTheme="minorBidi" w:hAnsiTheme="minorBidi" w:cstheme="minorBidi"/>
        <w:szCs w:val="22"/>
        <w:lang w:val="ru-RU"/>
      </w:rPr>
    </w:pPr>
  </w:p>
  <w:p w14:paraId="4AE80372" w14:textId="18054B45" w:rsidR="00FA68D9" w:rsidRPr="00B72C84" w:rsidRDefault="00FA68D9" w:rsidP="00FA68D9">
    <w:pPr>
      <w:keepNext/>
      <w:widowControl w:val="0"/>
      <w:tabs>
        <w:tab w:val="right" w:pos="9540"/>
      </w:tabs>
      <w:adjustRightInd w:val="0"/>
      <w:jc w:val="both"/>
      <w:textAlignment w:val="baseline"/>
      <w:outlineLvl w:val="6"/>
      <w:rPr>
        <w:rFonts w:asciiTheme="minorBidi" w:eastAsia="Times New Roman" w:hAnsiTheme="minorBidi" w:cstheme="minorBidi"/>
        <w:sz w:val="22"/>
        <w:szCs w:val="22"/>
        <w:lang w:val="ru-RU"/>
      </w:rPr>
    </w:pPr>
    <w:r w:rsidRPr="00B72C84">
      <w:rPr>
        <w:rFonts w:asciiTheme="minorBidi" w:hAnsiTheme="minorBidi" w:cstheme="minorBidi"/>
        <w:sz w:val="22"/>
        <w:szCs w:val="22"/>
        <w:u w:val="single"/>
        <w:lang w:val="ru-RU"/>
      </w:rPr>
      <w:t xml:space="preserve">Пункт </w:t>
    </w:r>
    <w:r w:rsidRPr="00B72C84">
      <w:rPr>
        <w:rFonts w:asciiTheme="minorBidi" w:hAnsiTheme="minorBidi" w:cstheme="minorBidi"/>
        <w:b/>
        <w:bCs/>
        <w:sz w:val="22"/>
        <w:szCs w:val="22"/>
        <w:u w:val="single"/>
        <w:lang w:val="ru-RU"/>
      </w:rPr>
      <w:t>3.2</w:t>
    </w:r>
    <w:r w:rsidRPr="00B72C84">
      <w:rPr>
        <w:rFonts w:asciiTheme="minorBidi" w:hAnsiTheme="minorBidi" w:cstheme="minorBidi"/>
        <w:sz w:val="22"/>
        <w:szCs w:val="22"/>
        <w:u w:val="single"/>
        <w:lang w:val="ru-RU"/>
      </w:rPr>
      <w:t xml:space="preserve"> предварительной повестки дня</w:t>
    </w:r>
  </w:p>
  <w:p w14:paraId="5283A965" w14:textId="77777777" w:rsidR="00FA68D9" w:rsidRPr="00B72C84" w:rsidRDefault="00FA68D9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/>
        <w:bCs/>
        <w:caps/>
        <w:sz w:val="22"/>
        <w:szCs w:val="22"/>
        <w:lang w:val="ru-RU"/>
      </w:rPr>
    </w:pPr>
  </w:p>
  <w:p w14:paraId="78CE1720" w14:textId="77777777" w:rsidR="00FA68D9" w:rsidRPr="00B72C84" w:rsidRDefault="00FA68D9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/>
        <w:bCs/>
        <w:caps/>
        <w:lang w:val="ru-RU"/>
      </w:rPr>
    </w:pPr>
  </w:p>
  <w:p w14:paraId="28D5C1EB" w14:textId="13575AEF" w:rsidR="00FA68D9" w:rsidRPr="00B72C84" w:rsidRDefault="00B72C84" w:rsidP="00E35CD7">
    <w:pPr>
      <w:pStyle w:val="b"/>
      <w:ind w:left="567" w:firstLine="0"/>
      <w:jc w:val="center"/>
      <w:rPr>
        <w:rFonts w:asciiTheme="minorBidi" w:hAnsiTheme="minorBidi" w:cstheme="minorBidi"/>
        <w:b/>
        <w:bCs/>
        <w:caps/>
        <w:sz w:val="28"/>
        <w:szCs w:val="28"/>
        <w:lang w:val="ru-RU"/>
      </w:rPr>
    </w:pPr>
    <w:r w:rsidRPr="00B72C84">
      <w:rPr>
        <w:rFonts w:asciiTheme="minorBidi" w:hAnsiTheme="minorBidi" w:cstheme="minorBidi"/>
        <w:b/>
        <w:bCs/>
        <w:sz w:val="28"/>
        <w:szCs w:val="28"/>
        <w:lang w:val="ru-RU"/>
      </w:rPr>
      <w:t>Доклад Исполнительного секретаря о работе, проделанной</w:t>
    </w:r>
    <w:r w:rsidR="009A5392">
      <w:rPr>
        <w:rFonts w:asciiTheme="minorBidi" w:hAnsiTheme="minorBidi" w:cstheme="minorBidi"/>
        <w:b/>
        <w:bCs/>
        <w:sz w:val="28"/>
        <w:szCs w:val="28"/>
        <w:lang w:val="ru-RU"/>
      </w:rPr>
      <w:br/>
    </w:r>
    <w:r w:rsidRPr="00B72C84">
      <w:rPr>
        <w:rFonts w:asciiTheme="minorBidi" w:hAnsiTheme="minorBidi" w:cstheme="minorBidi"/>
        <w:b/>
        <w:bCs/>
        <w:sz w:val="28"/>
        <w:szCs w:val="28"/>
        <w:lang w:val="ru-RU"/>
      </w:rPr>
      <w:t>после 31-й сессии Ассамблеи (июль 2021 г. – май 2023 г.)</w:t>
    </w:r>
    <w:r w:rsidRPr="00B72C84">
      <w:rPr>
        <w:rFonts w:asciiTheme="minorBidi" w:hAnsiTheme="minorBidi" w:cstheme="minorBidi"/>
        <w:sz w:val="28"/>
        <w:szCs w:val="28"/>
        <w:lang w:val="ru-RU"/>
      </w:rPr>
      <w:t xml:space="preserve">  </w:t>
    </w:r>
  </w:p>
  <w:p w14:paraId="12B25AD8" w14:textId="77777777" w:rsidR="004B7754" w:rsidRPr="00B72C84" w:rsidRDefault="004B7754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Cs/>
        <w:szCs w:val="22"/>
        <w:lang w:val="ru-RU"/>
      </w:rPr>
    </w:pPr>
  </w:p>
  <w:p w14:paraId="5F53C7C4" w14:textId="77777777" w:rsidR="004B7754" w:rsidRPr="00B72C84" w:rsidRDefault="004B7754" w:rsidP="00B17054">
    <w:pPr>
      <w:pStyle w:val="Header"/>
      <w:jc w:val="cent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00789"/>
    <w:multiLevelType w:val="hybridMultilevel"/>
    <w:tmpl w:val="0704798C"/>
    <w:lvl w:ilvl="0" w:tplc="6A1871F0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487B17"/>
    <w:multiLevelType w:val="hybridMultilevel"/>
    <w:tmpl w:val="99DE56D2"/>
    <w:lvl w:ilvl="0" w:tplc="D256C7D2">
      <w:numFmt w:val="bullet"/>
      <w:lvlText w:val="•"/>
      <w:lvlJc w:val="left"/>
      <w:pPr>
        <w:ind w:left="786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7110" w:hanging="360"/>
      </w:pPr>
    </w:lvl>
    <w:lvl w:ilvl="2" w:tplc="FFFFFFFF" w:tentative="1">
      <w:start w:val="1"/>
      <w:numFmt w:val="lowerRoman"/>
      <w:lvlText w:val="%3."/>
      <w:lvlJc w:val="right"/>
      <w:pPr>
        <w:ind w:left="7830" w:hanging="180"/>
      </w:pPr>
    </w:lvl>
    <w:lvl w:ilvl="3" w:tplc="FFFFFFFF" w:tentative="1">
      <w:start w:val="1"/>
      <w:numFmt w:val="decimal"/>
      <w:lvlText w:val="%4."/>
      <w:lvlJc w:val="left"/>
      <w:pPr>
        <w:ind w:left="8550" w:hanging="360"/>
      </w:pPr>
    </w:lvl>
    <w:lvl w:ilvl="4" w:tplc="FFFFFFFF" w:tentative="1">
      <w:start w:val="1"/>
      <w:numFmt w:val="lowerLetter"/>
      <w:lvlText w:val="%5."/>
      <w:lvlJc w:val="left"/>
      <w:pPr>
        <w:ind w:left="9270" w:hanging="360"/>
      </w:pPr>
    </w:lvl>
    <w:lvl w:ilvl="5" w:tplc="FFFFFFFF" w:tentative="1">
      <w:start w:val="1"/>
      <w:numFmt w:val="lowerRoman"/>
      <w:lvlText w:val="%6."/>
      <w:lvlJc w:val="right"/>
      <w:pPr>
        <w:ind w:left="9990" w:hanging="180"/>
      </w:pPr>
    </w:lvl>
    <w:lvl w:ilvl="6" w:tplc="FFFFFFFF" w:tentative="1">
      <w:start w:val="1"/>
      <w:numFmt w:val="decimal"/>
      <w:lvlText w:val="%7."/>
      <w:lvlJc w:val="left"/>
      <w:pPr>
        <w:ind w:left="10710" w:hanging="360"/>
      </w:pPr>
    </w:lvl>
    <w:lvl w:ilvl="7" w:tplc="FFFFFFFF" w:tentative="1">
      <w:start w:val="1"/>
      <w:numFmt w:val="lowerLetter"/>
      <w:lvlText w:val="%8."/>
      <w:lvlJc w:val="left"/>
      <w:pPr>
        <w:ind w:left="11430" w:hanging="360"/>
      </w:pPr>
    </w:lvl>
    <w:lvl w:ilvl="8" w:tplc="FFFFFFFF" w:tentative="1">
      <w:start w:val="1"/>
      <w:numFmt w:val="lowerRoman"/>
      <w:lvlText w:val="%9."/>
      <w:lvlJc w:val="right"/>
      <w:pPr>
        <w:ind w:left="1215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4F930136"/>
    <w:multiLevelType w:val="hybridMultilevel"/>
    <w:tmpl w:val="4826383A"/>
    <w:lvl w:ilvl="0" w:tplc="C442930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8FD1B24"/>
    <w:multiLevelType w:val="hybridMultilevel"/>
    <w:tmpl w:val="45F06410"/>
    <w:lvl w:ilvl="0" w:tplc="1BF863B4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7110" w:hanging="360"/>
      </w:pPr>
    </w:lvl>
    <w:lvl w:ilvl="2" w:tplc="0809001B" w:tentative="1">
      <w:start w:val="1"/>
      <w:numFmt w:val="lowerRoman"/>
      <w:lvlText w:val="%3."/>
      <w:lvlJc w:val="right"/>
      <w:pPr>
        <w:ind w:left="7830" w:hanging="180"/>
      </w:pPr>
    </w:lvl>
    <w:lvl w:ilvl="3" w:tplc="0809000F" w:tentative="1">
      <w:start w:val="1"/>
      <w:numFmt w:val="decimal"/>
      <w:lvlText w:val="%4."/>
      <w:lvlJc w:val="left"/>
      <w:pPr>
        <w:ind w:left="8550" w:hanging="360"/>
      </w:pPr>
    </w:lvl>
    <w:lvl w:ilvl="4" w:tplc="08090019" w:tentative="1">
      <w:start w:val="1"/>
      <w:numFmt w:val="lowerLetter"/>
      <w:lvlText w:val="%5."/>
      <w:lvlJc w:val="left"/>
      <w:pPr>
        <w:ind w:left="9270" w:hanging="360"/>
      </w:pPr>
    </w:lvl>
    <w:lvl w:ilvl="5" w:tplc="0809001B" w:tentative="1">
      <w:start w:val="1"/>
      <w:numFmt w:val="lowerRoman"/>
      <w:lvlText w:val="%6."/>
      <w:lvlJc w:val="right"/>
      <w:pPr>
        <w:ind w:left="9990" w:hanging="180"/>
      </w:pPr>
    </w:lvl>
    <w:lvl w:ilvl="6" w:tplc="0809000F" w:tentative="1">
      <w:start w:val="1"/>
      <w:numFmt w:val="decimal"/>
      <w:lvlText w:val="%7."/>
      <w:lvlJc w:val="left"/>
      <w:pPr>
        <w:ind w:left="10710" w:hanging="360"/>
      </w:pPr>
    </w:lvl>
    <w:lvl w:ilvl="7" w:tplc="08090019" w:tentative="1">
      <w:start w:val="1"/>
      <w:numFmt w:val="lowerLetter"/>
      <w:lvlText w:val="%8."/>
      <w:lvlJc w:val="left"/>
      <w:pPr>
        <w:ind w:left="11430" w:hanging="360"/>
      </w:pPr>
    </w:lvl>
    <w:lvl w:ilvl="8" w:tplc="0809001B" w:tentative="1">
      <w:start w:val="1"/>
      <w:numFmt w:val="lowerRoman"/>
      <w:lvlText w:val="%9."/>
      <w:lvlJc w:val="right"/>
      <w:pPr>
        <w:ind w:left="12150" w:hanging="180"/>
      </w:pPr>
    </w:lvl>
  </w:abstractNum>
  <w:abstractNum w:abstractNumId="11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 w16cid:durableId="359160724">
    <w:abstractNumId w:val="6"/>
  </w:num>
  <w:num w:numId="2" w16cid:durableId="1762484659">
    <w:abstractNumId w:val="6"/>
  </w:num>
  <w:num w:numId="3" w16cid:durableId="148862959">
    <w:abstractNumId w:val="6"/>
  </w:num>
  <w:num w:numId="4" w16cid:durableId="1845775393">
    <w:abstractNumId w:val="6"/>
  </w:num>
  <w:num w:numId="5" w16cid:durableId="757752473">
    <w:abstractNumId w:val="6"/>
  </w:num>
  <w:num w:numId="6" w16cid:durableId="625935560">
    <w:abstractNumId w:val="6"/>
  </w:num>
  <w:num w:numId="7" w16cid:durableId="1941327204">
    <w:abstractNumId w:val="6"/>
  </w:num>
  <w:num w:numId="8" w16cid:durableId="1702898912">
    <w:abstractNumId w:val="6"/>
  </w:num>
  <w:num w:numId="9" w16cid:durableId="967010169">
    <w:abstractNumId w:val="6"/>
  </w:num>
  <w:num w:numId="10" w16cid:durableId="264702335">
    <w:abstractNumId w:val="6"/>
  </w:num>
  <w:num w:numId="11" w16cid:durableId="1458907902">
    <w:abstractNumId w:val="13"/>
  </w:num>
  <w:num w:numId="12" w16cid:durableId="2017731118">
    <w:abstractNumId w:val="6"/>
  </w:num>
  <w:num w:numId="13" w16cid:durableId="2011786552">
    <w:abstractNumId w:val="4"/>
  </w:num>
  <w:num w:numId="14" w16cid:durableId="1927491621">
    <w:abstractNumId w:val="7"/>
  </w:num>
  <w:num w:numId="15" w16cid:durableId="787504072">
    <w:abstractNumId w:val="2"/>
  </w:num>
  <w:num w:numId="16" w16cid:durableId="167017327">
    <w:abstractNumId w:val="9"/>
  </w:num>
  <w:num w:numId="17" w16cid:durableId="773092961">
    <w:abstractNumId w:val="5"/>
  </w:num>
  <w:num w:numId="18" w16cid:durableId="1870726831">
    <w:abstractNumId w:val="1"/>
  </w:num>
  <w:num w:numId="19" w16cid:durableId="1742947500">
    <w:abstractNumId w:val="11"/>
  </w:num>
  <w:num w:numId="20" w16cid:durableId="925459819">
    <w:abstractNumId w:val="12"/>
  </w:num>
  <w:num w:numId="21" w16cid:durableId="2024700089">
    <w:abstractNumId w:val="0"/>
  </w:num>
  <w:num w:numId="22" w16cid:durableId="779639911">
    <w:abstractNumId w:val="8"/>
  </w:num>
  <w:num w:numId="23" w16cid:durableId="690571295">
    <w:abstractNumId w:val="10"/>
  </w:num>
  <w:num w:numId="24" w16cid:durableId="298891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31EF"/>
    <w:rsid w:val="00004725"/>
    <w:rsid w:val="000055C3"/>
    <w:rsid w:val="00006C25"/>
    <w:rsid w:val="00010B89"/>
    <w:rsid w:val="000118CD"/>
    <w:rsid w:val="00013390"/>
    <w:rsid w:val="00017E4B"/>
    <w:rsid w:val="00025A88"/>
    <w:rsid w:val="00026782"/>
    <w:rsid w:val="00027122"/>
    <w:rsid w:val="000319A1"/>
    <w:rsid w:val="00032C8E"/>
    <w:rsid w:val="00033544"/>
    <w:rsid w:val="00034C53"/>
    <w:rsid w:val="00034C70"/>
    <w:rsid w:val="000431C5"/>
    <w:rsid w:val="000445B8"/>
    <w:rsid w:val="0004582F"/>
    <w:rsid w:val="00060399"/>
    <w:rsid w:val="00060718"/>
    <w:rsid w:val="000658F2"/>
    <w:rsid w:val="00065DEB"/>
    <w:rsid w:val="0006619A"/>
    <w:rsid w:val="0006675E"/>
    <w:rsid w:val="00067E0B"/>
    <w:rsid w:val="000719A5"/>
    <w:rsid w:val="000748A0"/>
    <w:rsid w:val="00075DC0"/>
    <w:rsid w:val="00080B76"/>
    <w:rsid w:val="00080CDD"/>
    <w:rsid w:val="00081592"/>
    <w:rsid w:val="000816BD"/>
    <w:rsid w:val="00082162"/>
    <w:rsid w:val="00083369"/>
    <w:rsid w:val="00085FE9"/>
    <w:rsid w:val="00086071"/>
    <w:rsid w:val="0009246D"/>
    <w:rsid w:val="0009256F"/>
    <w:rsid w:val="00097CDF"/>
    <w:rsid w:val="000A504B"/>
    <w:rsid w:val="000A6D08"/>
    <w:rsid w:val="000B1B44"/>
    <w:rsid w:val="000B40F3"/>
    <w:rsid w:val="000C3BB5"/>
    <w:rsid w:val="000D6EB3"/>
    <w:rsid w:val="000D719C"/>
    <w:rsid w:val="000E0533"/>
    <w:rsid w:val="000E05C8"/>
    <w:rsid w:val="000E188E"/>
    <w:rsid w:val="000E55FB"/>
    <w:rsid w:val="000E7E22"/>
    <w:rsid w:val="000F4768"/>
    <w:rsid w:val="000F4DDB"/>
    <w:rsid w:val="000F7203"/>
    <w:rsid w:val="000F78B3"/>
    <w:rsid w:val="001002FF"/>
    <w:rsid w:val="001026BE"/>
    <w:rsid w:val="00104894"/>
    <w:rsid w:val="00104EE2"/>
    <w:rsid w:val="001056F8"/>
    <w:rsid w:val="00105E15"/>
    <w:rsid w:val="00105EA4"/>
    <w:rsid w:val="00110568"/>
    <w:rsid w:val="00110D3A"/>
    <w:rsid w:val="00113090"/>
    <w:rsid w:val="00113F97"/>
    <w:rsid w:val="0012374E"/>
    <w:rsid w:val="00123F7E"/>
    <w:rsid w:val="00131529"/>
    <w:rsid w:val="0013238B"/>
    <w:rsid w:val="00134711"/>
    <w:rsid w:val="0013649D"/>
    <w:rsid w:val="00143B1A"/>
    <w:rsid w:val="0014529C"/>
    <w:rsid w:val="0015046B"/>
    <w:rsid w:val="001524A3"/>
    <w:rsid w:val="0015561D"/>
    <w:rsid w:val="001579AB"/>
    <w:rsid w:val="00160284"/>
    <w:rsid w:val="0016592F"/>
    <w:rsid w:val="001659AA"/>
    <w:rsid w:val="00165CBD"/>
    <w:rsid w:val="0017022A"/>
    <w:rsid w:val="001766F9"/>
    <w:rsid w:val="00182096"/>
    <w:rsid w:val="0018253D"/>
    <w:rsid w:val="00183FEA"/>
    <w:rsid w:val="00185B54"/>
    <w:rsid w:val="00185D28"/>
    <w:rsid w:val="0019010A"/>
    <w:rsid w:val="00192400"/>
    <w:rsid w:val="001A033E"/>
    <w:rsid w:val="001A071C"/>
    <w:rsid w:val="001A2943"/>
    <w:rsid w:val="001A6261"/>
    <w:rsid w:val="001A6DDA"/>
    <w:rsid w:val="001A73F8"/>
    <w:rsid w:val="001B2807"/>
    <w:rsid w:val="001B5075"/>
    <w:rsid w:val="001B5A71"/>
    <w:rsid w:val="001B64AC"/>
    <w:rsid w:val="001B7A71"/>
    <w:rsid w:val="001C18CF"/>
    <w:rsid w:val="001C20FE"/>
    <w:rsid w:val="001C4F30"/>
    <w:rsid w:val="001C6221"/>
    <w:rsid w:val="001C6842"/>
    <w:rsid w:val="001C6D83"/>
    <w:rsid w:val="001D11E8"/>
    <w:rsid w:val="001D5E97"/>
    <w:rsid w:val="001D69B3"/>
    <w:rsid w:val="001E441E"/>
    <w:rsid w:val="001E5FF2"/>
    <w:rsid w:val="001F42ED"/>
    <w:rsid w:val="001F65B3"/>
    <w:rsid w:val="001F65D5"/>
    <w:rsid w:val="001F6CF5"/>
    <w:rsid w:val="001F7EF6"/>
    <w:rsid w:val="00200519"/>
    <w:rsid w:val="0020169B"/>
    <w:rsid w:val="00203E48"/>
    <w:rsid w:val="0020573A"/>
    <w:rsid w:val="00207581"/>
    <w:rsid w:val="00215B28"/>
    <w:rsid w:val="00216228"/>
    <w:rsid w:val="00225B52"/>
    <w:rsid w:val="00231994"/>
    <w:rsid w:val="00232596"/>
    <w:rsid w:val="00232FAE"/>
    <w:rsid w:val="0023308D"/>
    <w:rsid w:val="00237FCC"/>
    <w:rsid w:val="00243536"/>
    <w:rsid w:val="00255764"/>
    <w:rsid w:val="002571D5"/>
    <w:rsid w:val="00257562"/>
    <w:rsid w:val="00257884"/>
    <w:rsid w:val="0026233A"/>
    <w:rsid w:val="00265C91"/>
    <w:rsid w:val="00265E4E"/>
    <w:rsid w:val="0027043E"/>
    <w:rsid w:val="00272866"/>
    <w:rsid w:val="00273C68"/>
    <w:rsid w:val="00274D0A"/>
    <w:rsid w:val="0028078A"/>
    <w:rsid w:val="00282456"/>
    <w:rsid w:val="00282FBC"/>
    <w:rsid w:val="00283B06"/>
    <w:rsid w:val="00286B3B"/>
    <w:rsid w:val="002A05D9"/>
    <w:rsid w:val="002A3623"/>
    <w:rsid w:val="002A364B"/>
    <w:rsid w:val="002A3D8C"/>
    <w:rsid w:val="002B0438"/>
    <w:rsid w:val="002B07D7"/>
    <w:rsid w:val="002B0B65"/>
    <w:rsid w:val="002B2FB7"/>
    <w:rsid w:val="002B58F5"/>
    <w:rsid w:val="002B6AF0"/>
    <w:rsid w:val="002C4F4E"/>
    <w:rsid w:val="002C6A49"/>
    <w:rsid w:val="002D2062"/>
    <w:rsid w:val="002D41F6"/>
    <w:rsid w:val="002D4B35"/>
    <w:rsid w:val="002E0A07"/>
    <w:rsid w:val="002E3B10"/>
    <w:rsid w:val="002E524A"/>
    <w:rsid w:val="002E558B"/>
    <w:rsid w:val="002E5A7D"/>
    <w:rsid w:val="002E6FCC"/>
    <w:rsid w:val="002F0EB7"/>
    <w:rsid w:val="002F11B4"/>
    <w:rsid w:val="002F27AC"/>
    <w:rsid w:val="002F335A"/>
    <w:rsid w:val="002F37FA"/>
    <w:rsid w:val="002F53C8"/>
    <w:rsid w:val="002F577C"/>
    <w:rsid w:val="002F58A0"/>
    <w:rsid w:val="002F6710"/>
    <w:rsid w:val="00304613"/>
    <w:rsid w:val="00306797"/>
    <w:rsid w:val="003118C0"/>
    <w:rsid w:val="00313AB1"/>
    <w:rsid w:val="00315268"/>
    <w:rsid w:val="00320986"/>
    <w:rsid w:val="00321055"/>
    <w:rsid w:val="00322E7B"/>
    <w:rsid w:val="00323A23"/>
    <w:rsid w:val="00323C8D"/>
    <w:rsid w:val="00327059"/>
    <w:rsid w:val="00332421"/>
    <w:rsid w:val="00332534"/>
    <w:rsid w:val="00332785"/>
    <w:rsid w:val="0033582A"/>
    <w:rsid w:val="0033741E"/>
    <w:rsid w:val="00341FD0"/>
    <w:rsid w:val="0034392B"/>
    <w:rsid w:val="00344E00"/>
    <w:rsid w:val="00352423"/>
    <w:rsid w:val="00354A10"/>
    <w:rsid w:val="00355A56"/>
    <w:rsid w:val="003563D2"/>
    <w:rsid w:val="00360F32"/>
    <w:rsid w:val="00366C04"/>
    <w:rsid w:val="003774D6"/>
    <w:rsid w:val="00382463"/>
    <w:rsid w:val="00392009"/>
    <w:rsid w:val="00393704"/>
    <w:rsid w:val="0039512E"/>
    <w:rsid w:val="00395A11"/>
    <w:rsid w:val="003B2CC9"/>
    <w:rsid w:val="003B3349"/>
    <w:rsid w:val="003B390E"/>
    <w:rsid w:val="003B64CB"/>
    <w:rsid w:val="003B6DA1"/>
    <w:rsid w:val="003B6ECA"/>
    <w:rsid w:val="003B6FC5"/>
    <w:rsid w:val="003C15F6"/>
    <w:rsid w:val="003C240D"/>
    <w:rsid w:val="003C309A"/>
    <w:rsid w:val="003C4A99"/>
    <w:rsid w:val="003D31F1"/>
    <w:rsid w:val="003D4548"/>
    <w:rsid w:val="003E26AB"/>
    <w:rsid w:val="003E331B"/>
    <w:rsid w:val="003E5A89"/>
    <w:rsid w:val="003E7B79"/>
    <w:rsid w:val="003F29E2"/>
    <w:rsid w:val="003F5299"/>
    <w:rsid w:val="003F74E5"/>
    <w:rsid w:val="004032DB"/>
    <w:rsid w:val="00403EB2"/>
    <w:rsid w:val="004047AA"/>
    <w:rsid w:val="00404945"/>
    <w:rsid w:val="00405201"/>
    <w:rsid w:val="004119A8"/>
    <w:rsid w:val="00417106"/>
    <w:rsid w:val="00425E51"/>
    <w:rsid w:val="0042612F"/>
    <w:rsid w:val="00431123"/>
    <w:rsid w:val="00437DB1"/>
    <w:rsid w:val="00441F29"/>
    <w:rsid w:val="00441FE3"/>
    <w:rsid w:val="00450AA6"/>
    <w:rsid w:val="00452512"/>
    <w:rsid w:val="00452CFD"/>
    <w:rsid w:val="00453CE0"/>
    <w:rsid w:val="00463AB2"/>
    <w:rsid w:val="004750C1"/>
    <w:rsid w:val="004768E8"/>
    <w:rsid w:val="00476A0C"/>
    <w:rsid w:val="00477409"/>
    <w:rsid w:val="0048119B"/>
    <w:rsid w:val="00481C77"/>
    <w:rsid w:val="00485772"/>
    <w:rsid w:val="00485AA9"/>
    <w:rsid w:val="00486080"/>
    <w:rsid w:val="0049319A"/>
    <w:rsid w:val="00494DB3"/>
    <w:rsid w:val="00495A69"/>
    <w:rsid w:val="004966AD"/>
    <w:rsid w:val="004A0A6B"/>
    <w:rsid w:val="004A0F6A"/>
    <w:rsid w:val="004A202F"/>
    <w:rsid w:val="004A3AAD"/>
    <w:rsid w:val="004B389C"/>
    <w:rsid w:val="004B3D01"/>
    <w:rsid w:val="004B5787"/>
    <w:rsid w:val="004B7754"/>
    <w:rsid w:val="004C2490"/>
    <w:rsid w:val="004C4469"/>
    <w:rsid w:val="004C586B"/>
    <w:rsid w:val="004C6065"/>
    <w:rsid w:val="004C6FFD"/>
    <w:rsid w:val="004C78C5"/>
    <w:rsid w:val="004D4484"/>
    <w:rsid w:val="004E084D"/>
    <w:rsid w:val="004E2D89"/>
    <w:rsid w:val="004E3446"/>
    <w:rsid w:val="004E4A23"/>
    <w:rsid w:val="004E6B90"/>
    <w:rsid w:val="004F0BEC"/>
    <w:rsid w:val="004F4AC5"/>
    <w:rsid w:val="004F5686"/>
    <w:rsid w:val="005066B5"/>
    <w:rsid w:val="00514AC0"/>
    <w:rsid w:val="00515020"/>
    <w:rsid w:val="00521F5C"/>
    <w:rsid w:val="00523B29"/>
    <w:rsid w:val="00523DF2"/>
    <w:rsid w:val="00524D94"/>
    <w:rsid w:val="00530113"/>
    <w:rsid w:val="00534733"/>
    <w:rsid w:val="0053720B"/>
    <w:rsid w:val="005462A1"/>
    <w:rsid w:val="00554688"/>
    <w:rsid w:val="00555D7F"/>
    <w:rsid w:val="00556410"/>
    <w:rsid w:val="005616DE"/>
    <w:rsid w:val="00561F53"/>
    <w:rsid w:val="00561F97"/>
    <w:rsid w:val="00562F4C"/>
    <w:rsid w:val="0056655B"/>
    <w:rsid w:val="00570881"/>
    <w:rsid w:val="00572116"/>
    <w:rsid w:val="00574F2F"/>
    <w:rsid w:val="0057500A"/>
    <w:rsid w:val="00575B63"/>
    <w:rsid w:val="00576EF7"/>
    <w:rsid w:val="005829FE"/>
    <w:rsid w:val="0058628A"/>
    <w:rsid w:val="00587822"/>
    <w:rsid w:val="005878F6"/>
    <w:rsid w:val="00593EC9"/>
    <w:rsid w:val="00595060"/>
    <w:rsid w:val="00596959"/>
    <w:rsid w:val="005A1B75"/>
    <w:rsid w:val="005A7E87"/>
    <w:rsid w:val="005B0510"/>
    <w:rsid w:val="005B09E3"/>
    <w:rsid w:val="005B0F21"/>
    <w:rsid w:val="005B2606"/>
    <w:rsid w:val="005B6674"/>
    <w:rsid w:val="005B670F"/>
    <w:rsid w:val="005C565B"/>
    <w:rsid w:val="005C5B67"/>
    <w:rsid w:val="005C6245"/>
    <w:rsid w:val="005C76B4"/>
    <w:rsid w:val="005D05AB"/>
    <w:rsid w:val="005D0CC4"/>
    <w:rsid w:val="005D36CA"/>
    <w:rsid w:val="005D5313"/>
    <w:rsid w:val="005E2BCD"/>
    <w:rsid w:val="005E325F"/>
    <w:rsid w:val="005E4C90"/>
    <w:rsid w:val="005E661A"/>
    <w:rsid w:val="005F2B83"/>
    <w:rsid w:val="005F39DB"/>
    <w:rsid w:val="005F55BE"/>
    <w:rsid w:val="00600999"/>
    <w:rsid w:val="00602C02"/>
    <w:rsid w:val="0060360F"/>
    <w:rsid w:val="006122F2"/>
    <w:rsid w:val="00612A3E"/>
    <w:rsid w:val="00613F3F"/>
    <w:rsid w:val="006140DB"/>
    <w:rsid w:val="00615D71"/>
    <w:rsid w:val="00615F33"/>
    <w:rsid w:val="00625EE0"/>
    <w:rsid w:val="00625FE6"/>
    <w:rsid w:val="006327B2"/>
    <w:rsid w:val="006331C8"/>
    <w:rsid w:val="00637621"/>
    <w:rsid w:val="006408BF"/>
    <w:rsid w:val="00645699"/>
    <w:rsid w:val="00646F26"/>
    <w:rsid w:val="006502B2"/>
    <w:rsid w:val="00650A87"/>
    <w:rsid w:val="00654AA1"/>
    <w:rsid w:val="00657AC1"/>
    <w:rsid w:val="00657EB5"/>
    <w:rsid w:val="006644A7"/>
    <w:rsid w:val="00666085"/>
    <w:rsid w:val="0067098E"/>
    <w:rsid w:val="00671A70"/>
    <w:rsid w:val="00672A6F"/>
    <w:rsid w:val="00672AE6"/>
    <w:rsid w:val="0067544A"/>
    <w:rsid w:val="00681D60"/>
    <w:rsid w:val="00682998"/>
    <w:rsid w:val="00694BEE"/>
    <w:rsid w:val="00697CE4"/>
    <w:rsid w:val="006A1ED7"/>
    <w:rsid w:val="006A2412"/>
    <w:rsid w:val="006A2C9D"/>
    <w:rsid w:val="006A3196"/>
    <w:rsid w:val="006B217E"/>
    <w:rsid w:val="006B2C23"/>
    <w:rsid w:val="006B7AA9"/>
    <w:rsid w:val="006C2500"/>
    <w:rsid w:val="006C48C7"/>
    <w:rsid w:val="006C6875"/>
    <w:rsid w:val="006C6EB1"/>
    <w:rsid w:val="006C7AE8"/>
    <w:rsid w:val="006D046E"/>
    <w:rsid w:val="006E0BCF"/>
    <w:rsid w:val="006E33FC"/>
    <w:rsid w:val="006E3403"/>
    <w:rsid w:val="006E3CA0"/>
    <w:rsid w:val="006E5A90"/>
    <w:rsid w:val="006F53F4"/>
    <w:rsid w:val="006F6B09"/>
    <w:rsid w:val="0070039C"/>
    <w:rsid w:val="00702EB4"/>
    <w:rsid w:val="007033D9"/>
    <w:rsid w:val="00704AD8"/>
    <w:rsid w:val="00705DFD"/>
    <w:rsid w:val="00705F29"/>
    <w:rsid w:val="007069A8"/>
    <w:rsid w:val="00713AE4"/>
    <w:rsid w:val="007156EF"/>
    <w:rsid w:val="00716710"/>
    <w:rsid w:val="007169AF"/>
    <w:rsid w:val="007206CD"/>
    <w:rsid w:val="00727C74"/>
    <w:rsid w:val="00727EEF"/>
    <w:rsid w:val="00731536"/>
    <w:rsid w:val="00732AF2"/>
    <w:rsid w:val="007331F8"/>
    <w:rsid w:val="00735534"/>
    <w:rsid w:val="00735E52"/>
    <w:rsid w:val="0073737E"/>
    <w:rsid w:val="007443CA"/>
    <w:rsid w:val="007464AB"/>
    <w:rsid w:val="00747591"/>
    <w:rsid w:val="00750F05"/>
    <w:rsid w:val="00755DEA"/>
    <w:rsid w:val="00756E39"/>
    <w:rsid w:val="00756E80"/>
    <w:rsid w:val="007577B2"/>
    <w:rsid w:val="007628BE"/>
    <w:rsid w:val="00762B2E"/>
    <w:rsid w:val="00766688"/>
    <w:rsid w:val="00770EC7"/>
    <w:rsid w:val="00771A2C"/>
    <w:rsid w:val="00774083"/>
    <w:rsid w:val="007746A7"/>
    <w:rsid w:val="00774FDF"/>
    <w:rsid w:val="007756DF"/>
    <w:rsid w:val="007807C6"/>
    <w:rsid w:val="00782F36"/>
    <w:rsid w:val="007869BC"/>
    <w:rsid w:val="00787155"/>
    <w:rsid w:val="00787C77"/>
    <w:rsid w:val="00790644"/>
    <w:rsid w:val="0079161F"/>
    <w:rsid w:val="00795D13"/>
    <w:rsid w:val="007A264F"/>
    <w:rsid w:val="007A2976"/>
    <w:rsid w:val="007A4866"/>
    <w:rsid w:val="007B032D"/>
    <w:rsid w:val="007B267F"/>
    <w:rsid w:val="007B4E4D"/>
    <w:rsid w:val="007B5C46"/>
    <w:rsid w:val="007B70CA"/>
    <w:rsid w:val="007B79DB"/>
    <w:rsid w:val="007C23B2"/>
    <w:rsid w:val="007C2552"/>
    <w:rsid w:val="007C4C1D"/>
    <w:rsid w:val="007C5399"/>
    <w:rsid w:val="007C58F2"/>
    <w:rsid w:val="007C60C1"/>
    <w:rsid w:val="007C6427"/>
    <w:rsid w:val="007C667D"/>
    <w:rsid w:val="007C6D7C"/>
    <w:rsid w:val="007D02E1"/>
    <w:rsid w:val="007D14B6"/>
    <w:rsid w:val="007D3990"/>
    <w:rsid w:val="007D4781"/>
    <w:rsid w:val="007D5C6F"/>
    <w:rsid w:val="007E331D"/>
    <w:rsid w:val="007E3BE2"/>
    <w:rsid w:val="007E6267"/>
    <w:rsid w:val="007E6585"/>
    <w:rsid w:val="007F0FB9"/>
    <w:rsid w:val="007F1A39"/>
    <w:rsid w:val="007F77F4"/>
    <w:rsid w:val="00800665"/>
    <w:rsid w:val="00806CD3"/>
    <w:rsid w:val="008074BE"/>
    <w:rsid w:val="00811963"/>
    <w:rsid w:val="0081272A"/>
    <w:rsid w:val="008148FD"/>
    <w:rsid w:val="00821ABA"/>
    <w:rsid w:val="0082240E"/>
    <w:rsid w:val="00823535"/>
    <w:rsid w:val="00825797"/>
    <w:rsid w:val="0083349A"/>
    <w:rsid w:val="008334C8"/>
    <w:rsid w:val="00835997"/>
    <w:rsid w:val="00835F4D"/>
    <w:rsid w:val="008426CA"/>
    <w:rsid w:val="00843E81"/>
    <w:rsid w:val="00845462"/>
    <w:rsid w:val="008518CC"/>
    <w:rsid w:val="00851937"/>
    <w:rsid w:val="00856ABB"/>
    <w:rsid w:val="008608E0"/>
    <w:rsid w:val="0086422A"/>
    <w:rsid w:val="00864ABF"/>
    <w:rsid w:val="00866274"/>
    <w:rsid w:val="00866366"/>
    <w:rsid w:val="00867B04"/>
    <w:rsid w:val="0087160D"/>
    <w:rsid w:val="008732FF"/>
    <w:rsid w:val="00873AFD"/>
    <w:rsid w:val="00873C36"/>
    <w:rsid w:val="0087409D"/>
    <w:rsid w:val="00876067"/>
    <w:rsid w:val="008840C0"/>
    <w:rsid w:val="00884332"/>
    <w:rsid w:val="008901AA"/>
    <w:rsid w:val="00890255"/>
    <w:rsid w:val="0089179C"/>
    <w:rsid w:val="00895E0F"/>
    <w:rsid w:val="00896575"/>
    <w:rsid w:val="008967F5"/>
    <w:rsid w:val="008A05D0"/>
    <w:rsid w:val="008A0C1C"/>
    <w:rsid w:val="008A6D88"/>
    <w:rsid w:val="008A7D5D"/>
    <w:rsid w:val="008B19BD"/>
    <w:rsid w:val="008B4407"/>
    <w:rsid w:val="008B544A"/>
    <w:rsid w:val="008B77EB"/>
    <w:rsid w:val="008C15AF"/>
    <w:rsid w:val="008C2CC5"/>
    <w:rsid w:val="008C74FA"/>
    <w:rsid w:val="008D5C30"/>
    <w:rsid w:val="008E02B7"/>
    <w:rsid w:val="008E0DC5"/>
    <w:rsid w:val="008E280C"/>
    <w:rsid w:val="008E5F82"/>
    <w:rsid w:val="008F0135"/>
    <w:rsid w:val="008F4611"/>
    <w:rsid w:val="008F67D5"/>
    <w:rsid w:val="00900C89"/>
    <w:rsid w:val="00900FD7"/>
    <w:rsid w:val="009028D9"/>
    <w:rsid w:val="00903B13"/>
    <w:rsid w:val="00904ACB"/>
    <w:rsid w:val="00906E3C"/>
    <w:rsid w:val="00910C59"/>
    <w:rsid w:val="00911834"/>
    <w:rsid w:val="00912C72"/>
    <w:rsid w:val="0091479B"/>
    <w:rsid w:val="00920270"/>
    <w:rsid w:val="009205FF"/>
    <w:rsid w:val="00922194"/>
    <w:rsid w:val="00923FC3"/>
    <w:rsid w:val="009263CA"/>
    <w:rsid w:val="00926737"/>
    <w:rsid w:val="009278CB"/>
    <w:rsid w:val="0093392C"/>
    <w:rsid w:val="00935F8E"/>
    <w:rsid w:val="00940BCB"/>
    <w:rsid w:val="00941FC7"/>
    <w:rsid w:val="00942E2B"/>
    <w:rsid w:val="0094308D"/>
    <w:rsid w:val="00945D12"/>
    <w:rsid w:val="00952B4D"/>
    <w:rsid w:val="009531A0"/>
    <w:rsid w:val="009533B4"/>
    <w:rsid w:val="00953F37"/>
    <w:rsid w:val="00957CB2"/>
    <w:rsid w:val="0096155D"/>
    <w:rsid w:val="00962925"/>
    <w:rsid w:val="0096678C"/>
    <w:rsid w:val="00970D2E"/>
    <w:rsid w:val="0097327C"/>
    <w:rsid w:val="009736C0"/>
    <w:rsid w:val="0097668F"/>
    <w:rsid w:val="0098096C"/>
    <w:rsid w:val="00980AA0"/>
    <w:rsid w:val="00981A92"/>
    <w:rsid w:val="009827C6"/>
    <w:rsid w:val="009832EB"/>
    <w:rsid w:val="00985E78"/>
    <w:rsid w:val="0098794B"/>
    <w:rsid w:val="009905D6"/>
    <w:rsid w:val="009911AA"/>
    <w:rsid w:val="0099674A"/>
    <w:rsid w:val="009A03DB"/>
    <w:rsid w:val="009A1DDC"/>
    <w:rsid w:val="009A5392"/>
    <w:rsid w:val="009A6B84"/>
    <w:rsid w:val="009A7F76"/>
    <w:rsid w:val="009B2FB5"/>
    <w:rsid w:val="009B33B9"/>
    <w:rsid w:val="009B4B8B"/>
    <w:rsid w:val="009B7ED9"/>
    <w:rsid w:val="009C032A"/>
    <w:rsid w:val="009C32D0"/>
    <w:rsid w:val="009C5BA0"/>
    <w:rsid w:val="009D460D"/>
    <w:rsid w:val="009E05CD"/>
    <w:rsid w:val="009E4F85"/>
    <w:rsid w:val="009E511B"/>
    <w:rsid w:val="009E51C9"/>
    <w:rsid w:val="009F1EFE"/>
    <w:rsid w:val="009F2CE4"/>
    <w:rsid w:val="009F42E1"/>
    <w:rsid w:val="009F49EA"/>
    <w:rsid w:val="009F5659"/>
    <w:rsid w:val="00A02887"/>
    <w:rsid w:val="00A02E57"/>
    <w:rsid w:val="00A03BA7"/>
    <w:rsid w:val="00A057C4"/>
    <w:rsid w:val="00A05A4D"/>
    <w:rsid w:val="00A05AB4"/>
    <w:rsid w:val="00A06D53"/>
    <w:rsid w:val="00A070D7"/>
    <w:rsid w:val="00A12E09"/>
    <w:rsid w:val="00A14C22"/>
    <w:rsid w:val="00A25EB2"/>
    <w:rsid w:val="00A265E3"/>
    <w:rsid w:val="00A30AC2"/>
    <w:rsid w:val="00A403AD"/>
    <w:rsid w:val="00A40E60"/>
    <w:rsid w:val="00A45588"/>
    <w:rsid w:val="00A4607A"/>
    <w:rsid w:val="00A529FA"/>
    <w:rsid w:val="00A52B09"/>
    <w:rsid w:val="00A532BD"/>
    <w:rsid w:val="00A54730"/>
    <w:rsid w:val="00A54BD1"/>
    <w:rsid w:val="00A56096"/>
    <w:rsid w:val="00A56440"/>
    <w:rsid w:val="00A62E0B"/>
    <w:rsid w:val="00A63491"/>
    <w:rsid w:val="00A6553E"/>
    <w:rsid w:val="00A7029E"/>
    <w:rsid w:val="00A72488"/>
    <w:rsid w:val="00A7294C"/>
    <w:rsid w:val="00A74B98"/>
    <w:rsid w:val="00A75239"/>
    <w:rsid w:val="00A7623D"/>
    <w:rsid w:val="00A820F1"/>
    <w:rsid w:val="00A95A27"/>
    <w:rsid w:val="00AA3077"/>
    <w:rsid w:val="00AA36BB"/>
    <w:rsid w:val="00AA6564"/>
    <w:rsid w:val="00AA6FCA"/>
    <w:rsid w:val="00AB2387"/>
    <w:rsid w:val="00AB346C"/>
    <w:rsid w:val="00AB37B5"/>
    <w:rsid w:val="00AB5A78"/>
    <w:rsid w:val="00AC333C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537"/>
    <w:rsid w:val="00AE3F49"/>
    <w:rsid w:val="00B00B27"/>
    <w:rsid w:val="00B012D9"/>
    <w:rsid w:val="00B0184D"/>
    <w:rsid w:val="00B02B0A"/>
    <w:rsid w:val="00B046E5"/>
    <w:rsid w:val="00B046EA"/>
    <w:rsid w:val="00B04D6D"/>
    <w:rsid w:val="00B120FB"/>
    <w:rsid w:val="00B14DDB"/>
    <w:rsid w:val="00B14E7A"/>
    <w:rsid w:val="00B154B8"/>
    <w:rsid w:val="00B17054"/>
    <w:rsid w:val="00B201CC"/>
    <w:rsid w:val="00B2296C"/>
    <w:rsid w:val="00B25FE5"/>
    <w:rsid w:val="00B26B8D"/>
    <w:rsid w:val="00B302AD"/>
    <w:rsid w:val="00B308C0"/>
    <w:rsid w:val="00B344A6"/>
    <w:rsid w:val="00B35F7A"/>
    <w:rsid w:val="00B36DD4"/>
    <w:rsid w:val="00B44A64"/>
    <w:rsid w:val="00B45A77"/>
    <w:rsid w:val="00B461D5"/>
    <w:rsid w:val="00B53C2C"/>
    <w:rsid w:val="00B5440A"/>
    <w:rsid w:val="00B6146B"/>
    <w:rsid w:val="00B64733"/>
    <w:rsid w:val="00B64CA2"/>
    <w:rsid w:val="00B64DE3"/>
    <w:rsid w:val="00B72C84"/>
    <w:rsid w:val="00B75F3E"/>
    <w:rsid w:val="00B777B1"/>
    <w:rsid w:val="00B820A7"/>
    <w:rsid w:val="00B84521"/>
    <w:rsid w:val="00B848E4"/>
    <w:rsid w:val="00B87A2E"/>
    <w:rsid w:val="00B905CA"/>
    <w:rsid w:val="00B91EC7"/>
    <w:rsid w:val="00B961F7"/>
    <w:rsid w:val="00BA0180"/>
    <w:rsid w:val="00BA1457"/>
    <w:rsid w:val="00BA3009"/>
    <w:rsid w:val="00BA6559"/>
    <w:rsid w:val="00BB080A"/>
    <w:rsid w:val="00BB37B9"/>
    <w:rsid w:val="00BB3C67"/>
    <w:rsid w:val="00BB3D08"/>
    <w:rsid w:val="00BB66E8"/>
    <w:rsid w:val="00BB7EC3"/>
    <w:rsid w:val="00BC07E0"/>
    <w:rsid w:val="00BC135C"/>
    <w:rsid w:val="00BC5A68"/>
    <w:rsid w:val="00BC7AE6"/>
    <w:rsid w:val="00BE1951"/>
    <w:rsid w:val="00BE2960"/>
    <w:rsid w:val="00BE4A26"/>
    <w:rsid w:val="00BE76AB"/>
    <w:rsid w:val="00C01CF5"/>
    <w:rsid w:val="00C021AC"/>
    <w:rsid w:val="00C0560F"/>
    <w:rsid w:val="00C073F3"/>
    <w:rsid w:val="00C161F8"/>
    <w:rsid w:val="00C16A4A"/>
    <w:rsid w:val="00C200DD"/>
    <w:rsid w:val="00C23624"/>
    <w:rsid w:val="00C26F58"/>
    <w:rsid w:val="00C34EE6"/>
    <w:rsid w:val="00C373AB"/>
    <w:rsid w:val="00C37980"/>
    <w:rsid w:val="00C403AD"/>
    <w:rsid w:val="00C40B1F"/>
    <w:rsid w:val="00C4149E"/>
    <w:rsid w:val="00C45D23"/>
    <w:rsid w:val="00C46D98"/>
    <w:rsid w:val="00C47727"/>
    <w:rsid w:val="00C50747"/>
    <w:rsid w:val="00C51DE8"/>
    <w:rsid w:val="00C55047"/>
    <w:rsid w:val="00C571DF"/>
    <w:rsid w:val="00C57455"/>
    <w:rsid w:val="00C6051B"/>
    <w:rsid w:val="00C61B6B"/>
    <w:rsid w:val="00C62EFC"/>
    <w:rsid w:val="00C6503F"/>
    <w:rsid w:val="00C662E9"/>
    <w:rsid w:val="00C67E4A"/>
    <w:rsid w:val="00C71CFC"/>
    <w:rsid w:val="00C72A49"/>
    <w:rsid w:val="00C74028"/>
    <w:rsid w:val="00C742E6"/>
    <w:rsid w:val="00C75E37"/>
    <w:rsid w:val="00C818D1"/>
    <w:rsid w:val="00C81A70"/>
    <w:rsid w:val="00C849C1"/>
    <w:rsid w:val="00C90C4E"/>
    <w:rsid w:val="00C96485"/>
    <w:rsid w:val="00C96BBC"/>
    <w:rsid w:val="00CA03C6"/>
    <w:rsid w:val="00CA2306"/>
    <w:rsid w:val="00CA2BE4"/>
    <w:rsid w:val="00CA3640"/>
    <w:rsid w:val="00CA5EBC"/>
    <w:rsid w:val="00CA69F1"/>
    <w:rsid w:val="00CA7799"/>
    <w:rsid w:val="00CB0FC2"/>
    <w:rsid w:val="00CB1845"/>
    <w:rsid w:val="00CB2350"/>
    <w:rsid w:val="00CB30FB"/>
    <w:rsid w:val="00CB5F9B"/>
    <w:rsid w:val="00CB6E5F"/>
    <w:rsid w:val="00CB74DA"/>
    <w:rsid w:val="00CC7C0D"/>
    <w:rsid w:val="00CD31B6"/>
    <w:rsid w:val="00CD50AB"/>
    <w:rsid w:val="00CD7729"/>
    <w:rsid w:val="00CE11E4"/>
    <w:rsid w:val="00CE43C1"/>
    <w:rsid w:val="00CE4E66"/>
    <w:rsid w:val="00CF2D0C"/>
    <w:rsid w:val="00CF2F1F"/>
    <w:rsid w:val="00D02605"/>
    <w:rsid w:val="00D110FE"/>
    <w:rsid w:val="00D12711"/>
    <w:rsid w:val="00D1662F"/>
    <w:rsid w:val="00D204B7"/>
    <w:rsid w:val="00D2050E"/>
    <w:rsid w:val="00D2256D"/>
    <w:rsid w:val="00D36C3E"/>
    <w:rsid w:val="00D429D1"/>
    <w:rsid w:val="00D45B02"/>
    <w:rsid w:val="00D473EA"/>
    <w:rsid w:val="00D50B1A"/>
    <w:rsid w:val="00D512DE"/>
    <w:rsid w:val="00D56566"/>
    <w:rsid w:val="00D57367"/>
    <w:rsid w:val="00D61A37"/>
    <w:rsid w:val="00D64782"/>
    <w:rsid w:val="00D67278"/>
    <w:rsid w:val="00D67B8D"/>
    <w:rsid w:val="00D72829"/>
    <w:rsid w:val="00D74196"/>
    <w:rsid w:val="00D7566D"/>
    <w:rsid w:val="00D76E20"/>
    <w:rsid w:val="00D8125F"/>
    <w:rsid w:val="00D86D5E"/>
    <w:rsid w:val="00D90453"/>
    <w:rsid w:val="00D922B1"/>
    <w:rsid w:val="00D923CC"/>
    <w:rsid w:val="00DA5F08"/>
    <w:rsid w:val="00DB22A5"/>
    <w:rsid w:val="00DB7370"/>
    <w:rsid w:val="00DC139D"/>
    <w:rsid w:val="00DC2C8A"/>
    <w:rsid w:val="00DC4666"/>
    <w:rsid w:val="00DC4D2A"/>
    <w:rsid w:val="00DC571F"/>
    <w:rsid w:val="00DC71F3"/>
    <w:rsid w:val="00DD3F5E"/>
    <w:rsid w:val="00DD55DA"/>
    <w:rsid w:val="00DD5ADB"/>
    <w:rsid w:val="00DE0399"/>
    <w:rsid w:val="00DE271E"/>
    <w:rsid w:val="00DE569D"/>
    <w:rsid w:val="00DE6571"/>
    <w:rsid w:val="00DE7784"/>
    <w:rsid w:val="00DF0410"/>
    <w:rsid w:val="00DF31C7"/>
    <w:rsid w:val="00DF39D8"/>
    <w:rsid w:val="00DF419A"/>
    <w:rsid w:val="00DF7F7A"/>
    <w:rsid w:val="00E01FDA"/>
    <w:rsid w:val="00E03C5A"/>
    <w:rsid w:val="00E04B7F"/>
    <w:rsid w:val="00E0531A"/>
    <w:rsid w:val="00E10342"/>
    <w:rsid w:val="00E117F3"/>
    <w:rsid w:val="00E154A0"/>
    <w:rsid w:val="00E15729"/>
    <w:rsid w:val="00E179CF"/>
    <w:rsid w:val="00E202A8"/>
    <w:rsid w:val="00E229C2"/>
    <w:rsid w:val="00E232D1"/>
    <w:rsid w:val="00E2459C"/>
    <w:rsid w:val="00E24C1A"/>
    <w:rsid w:val="00E255B3"/>
    <w:rsid w:val="00E26643"/>
    <w:rsid w:val="00E32C35"/>
    <w:rsid w:val="00E35CD7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64DA"/>
    <w:rsid w:val="00E574F6"/>
    <w:rsid w:val="00E608F3"/>
    <w:rsid w:val="00E60D6A"/>
    <w:rsid w:val="00E60FEA"/>
    <w:rsid w:val="00E63E82"/>
    <w:rsid w:val="00E65FAA"/>
    <w:rsid w:val="00E673A2"/>
    <w:rsid w:val="00E75460"/>
    <w:rsid w:val="00E777DA"/>
    <w:rsid w:val="00E7794D"/>
    <w:rsid w:val="00E77BC6"/>
    <w:rsid w:val="00E77DE7"/>
    <w:rsid w:val="00E83E68"/>
    <w:rsid w:val="00E84A3B"/>
    <w:rsid w:val="00E903F8"/>
    <w:rsid w:val="00E913BA"/>
    <w:rsid w:val="00E94F30"/>
    <w:rsid w:val="00E95B86"/>
    <w:rsid w:val="00E95F76"/>
    <w:rsid w:val="00E97813"/>
    <w:rsid w:val="00EA4749"/>
    <w:rsid w:val="00EA7FE0"/>
    <w:rsid w:val="00EB362B"/>
    <w:rsid w:val="00EB56CD"/>
    <w:rsid w:val="00EC22AC"/>
    <w:rsid w:val="00EC2B26"/>
    <w:rsid w:val="00EC5BB8"/>
    <w:rsid w:val="00EC5F29"/>
    <w:rsid w:val="00ED1508"/>
    <w:rsid w:val="00ED1659"/>
    <w:rsid w:val="00ED324B"/>
    <w:rsid w:val="00ED39AD"/>
    <w:rsid w:val="00EE171A"/>
    <w:rsid w:val="00EE2F00"/>
    <w:rsid w:val="00EE551A"/>
    <w:rsid w:val="00EE7052"/>
    <w:rsid w:val="00EF0BFF"/>
    <w:rsid w:val="00EF225C"/>
    <w:rsid w:val="00EF2790"/>
    <w:rsid w:val="00EF5E12"/>
    <w:rsid w:val="00EF6431"/>
    <w:rsid w:val="00EF661D"/>
    <w:rsid w:val="00EF748B"/>
    <w:rsid w:val="00F01066"/>
    <w:rsid w:val="00F051B9"/>
    <w:rsid w:val="00F13454"/>
    <w:rsid w:val="00F15E89"/>
    <w:rsid w:val="00F17FBE"/>
    <w:rsid w:val="00F2236C"/>
    <w:rsid w:val="00F2704F"/>
    <w:rsid w:val="00F2742F"/>
    <w:rsid w:val="00F32E45"/>
    <w:rsid w:val="00F34A3F"/>
    <w:rsid w:val="00F3686B"/>
    <w:rsid w:val="00F36D40"/>
    <w:rsid w:val="00F37E9A"/>
    <w:rsid w:val="00F40E3D"/>
    <w:rsid w:val="00F4275D"/>
    <w:rsid w:val="00F450E2"/>
    <w:rsid w:val="00F457B9"/>
    <w:rsid w:val="00F459B3"/>
    <w:rsid w:val="00F469C0"/>
    <w:rsid w:val="00F51365"/>
    <w:rsid w:val="00F54707"/>
    <w:rsid w:val="00F57317"/>
    <w:rsid w:val="00F615EE"/>
    <w:rsid w:val="00F625D4"/>
    <w:rsid w:val="00F62C19"/>
    <w:rsid w:val="00F6596B"/>
    <w:rsid w:val="00F65E15"/>
    <w:rsid w:val="00F66A6D"/>
    <w:rsid w:val="00F7261E"/>
    <w:rsid w:val="00F74E91"/>
    <w:rsid w:val="00F76CC9"/>
    <w:rsid w:val="00F77F91"/>
    <w:rsid w:val="00F80390"/>
    <w:rsid w:val="00F8262B"/>
    <w:rsid w:val="00F83DB4"/>
    <w:rsid w:val="00F90174"/>
    <w:rsid w:val="00F9085A"/>
    <w:rsid w:val="00F91FD6"/>
    <w:rsid w:val="00F92D39"/>
    <w:rsid w:val="00F92EBD"/>
    <w:rsid w:val="00F94A51"/>
    <w:rsid w:val="00F95414"/>
    <w:rsid w:val="00FA1BE4"/>
    <w:rsid w:val="00FA5456"/>
    <w:rsid w:val="00FA5B2A"/>
    <w:rsid w:val="00FA68D9"/>
    <w:rsid w:val="00FA6FB3"/>
    <w:rsid w:val="00FB44DD"/>
    <w:rsid w:val="00FB4EDC"/>
    <w:rsid w:val="00FC2702"/>
    <w:rsid w:val="00FC2BEC"/>
    <w:rsid w:val="00FC58B3"/>
    <w:rsid w:val="00FC65BB"/>
    <w:rsid w:val="00FC6C61"/>
    <w:rsid w:val="00FD08CC"/>
    <w:rsid w:val="00FD12DC"/>
    <w:rsid w:val="00FD65AE"/>
    <w:rsid w:val="00FE0520"/>
    <w:rsid w:val="00FE33E1"/>
    <w:rsid w:val="00FE6ADA"/>
    <w:rsid w:val="00FF2C58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basedOn w:val="Normal"/>
    <w:uiPriority w:val="34"/>
    <w:qFormat/>
    <w:rsid w:val="009C5BA0"/>
    <w:pPr>
      <w:ind w:left="720"/>
      <w:contextualSpacing/>
    </w:pPr>
  </w:style>
  <w:style w:type="character" w:styleId="FollowedHyperlink">
    <w:name w:val="FollowedHyperlink"/>
    <w:basedOn w:val="DefaultParagraphFont"/>
    <w:semiHidden/>
    <w:unhideWhenUsed/>
    <w:rsid w:val="00615F33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5F3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66A6D"/>
    <w:rPr>
      <w:snapToGrid w:val="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F176F-6DA6-48E5-9FC0-12E1B9310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18</Pages>
  <Words>4621</Words>
  <Characters>30969</Characters>
  <Application>Microsoft Office Word</Application>
  <DocSecurity>0</DocSecurity>
  <Lines>258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Доклад Исполнительного секретаря о работе, проделанной_x000d_
после 31-й сессии Ассамблеи (июль 2021 г. – май 2023 г.) _x000d_
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35519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Исполнительного секретаря о работе, проделанной_x000d_
после 31-й сессии Ассамблеи (июль 2021 г. – май 2023 г.) _x000d_
</dc:title>
  <dc:subject>IOC-32/3.2.Doc(1)</dc:subject>
  <dc:creator>UNESCO</dc:creator>
  <cp:keywords>0</cp:keywords>
  <dc:description/>
  <cp:lastModifiedBy>Boned, Patrice</cp:lastModifiedBy>
  <cp:revision>12</cp:revision>
  <cp:lastPrinted>2023-05-19T15:22:00Z</cp:lastPrinted>
  <dcterms:created xsi:type="dcterms:W3CDTF">2023-05-30T14:04:00Z</dcterms:created>
  <dcterms:modified xsi:type="dcterms:W3CDTF">2023-06-18T13:35:00Z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</vt:lpwstr>
  </property>
  <property fmtid="{D5CDD505-2E9C-101B-9397-08002B2CF9AE}" pid="3" name="TranslatedWith">
    <vt:lpwstr>Mercury</vt:lpwstr>
  </property>
  <property fmtid="{D5CDD505-2E9C-101B-9397-08002B2CF9AE}" pid="4" name="GeneratedBy">
    <vt:lpwstr>natali.bogdanova</vt:lpwstr>
  </property>
  <property fmtid="{D5CDD505-2E9C-101B-9397-08002B2CF9AE}" pid="5" name="GeneratedDate">
    <vt:lpwstr>5/30/2023 1:16:33 PM</vt:lpwstr>
  </property>
  <property fmtid="{D5CDD505-2E9C-101B-9397-08002B2CF9AE}" pid="6" name="OriginalDocID">
    <vt:lpwstr>b832b7a4-ea0d-4066-93f8-037b1cd0b62f</vt:lpwstr>
  </property>
  <property fmtid="{D5CDD505-2E9C-101B-9397-08002B2CF9AE}" pid="7" name="JobDCPMS">
    <vt:lpwstr>2301641</vt:lpwstr>
  </property>
</Properties>
</file>