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30B70" w14:paraId="56CE70E1" w14:textId="77777777">
        <w:trPr>
          <w:jc w:val="center"/>
        </w:trPr>
        <w:tc>
          <w:tcPr>
            <w:tcW w:w="7654" w:type="dxa"/>
            <w:tcMar>
              <w:top w:w="170" w:type="dxa"/>
              <w:left w:w="170" w:type="dxa"/>
              <w:bottom w:w="170" w:type="dxa"/>
              <w:right w:w="170" w:type="dxa"/>
            </w:tcMar>
          </w:tcPr>
          <w:p w14:paraId="47AFF20B" w14:textId="77777777" w:rsidR="00467E3F" w:rsidRPr="00830B70" w:rsidRDefault="00B83068" w:rsidP="00853565">
            <w:pPr>
              <w:pStyle w:val="Marge"/>
              <w:jc w:val="center"/>
              <w:rPr>
                <w:rFonts w:cs="Arial"/>
                <w:szCs w:val="22"/>
                <w:lang w:val="es-ES"/>
              </w:rPr>
            </w:pPr>
            <w:r>
              <w:rPr>
                <w:rFonts w:cs="Arial"/>
                <w:szCs w:val="22"/>
                <w:u w:val="single"/>
                <w:lang w:val="es"/>
              </w:rPr>
              <w:t>Resumen</w:t>
            </w:r>
          </w:p>
          <w:p w14:paraId="1F236688" w14:textId="78D6CF18" w:rsidR="00433B4C" w:rsidRPr="00830B70" w:rsidRDefault="00433B4C" w:rsidP="00433B4C">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eastAsia="Arial" w:cs="Arial"/>
                <w:color w:val="000000"/>
                <w:szCs w:val="22"/>
                <w:lang w:val="es-ES"/>
              </w:rPr>
            </w:pPr>
            <w:r>
              <w:rPr>
                <w:rFonts w:eastAsia="Arial" w:cs="Arial"/>
                <w:color w:val="000000"/>
                <w:szCs w:val="22"/>
                <w:lang w:val="es"/>
              </w:rPr>
              <w:t>La Junta de Colaboración Mixta OMM-COI (en lo sucesivo, JCM) fue creada por la Resolución XXX-2 (2019) de la Asamblea de la COI y una resolución «espejo» adoptada por la OMM</w:t>
            </w:r>
            <w:r>
              <w:rPr>
                <w:rFonts w:eastAsia="Arial" w:cs="Arial"/>
                <w:szCs w:val="22"/>
                <w:lang w:val="es"/>
              </w:rPr>
              <w:t>. E</w:t>
            </w:r>
            <w:r>
              <w:rPr>
                <w:rFonts w:eastAsia="Arial" w:cs="Arial"/>
                <w:color w:val="000000"/>
                <w:szCs w:val="22"/>
                <w:lang w:val="es"/>
              </w:rPr>
              <w:t xml:space="preserve">n 2021 la COI adoptó la Estrategia de Colaboración e Informe de la OMM-COI (Decisión A-31/3.5.5 de la COI). En 2022, la JCM celebró una reunión virtual e identificó una serie de </w:t>
            </w:r>
            <w:r>
              <w:rPr>
                <w:rFonts w:eastAsia="Arial" w:cs="Arial"/>
                <w:szCs w:val="22"/>
                <w:lang w:val="es"/>
              </w:rPr>
              <w:t>posibles</w:t>
            </w:r>
            <w:r>
              <w:rPr>
                <w:rFonts w:eastAsia="Arial" w:cs="Arial"/>
                <w:color w:val="000000"/>
                <w:szCs w:val="22"/>
                <w:lang w:val="es"/>
              </w:rPr>
              <w:t xml:space="preserve"> acciones para respaldar la consecución de sus objetivos. </w:t>
            </w:r>
          </w:p>
          <w:p w14:paraId="2C21414E" w14:textId="63D3C1E1" w:rsidR="00433B4C" w:rsidRPr="00830B70" w:rsidRDefault="00433B4C" w:rsidP="00433B4C">
            <w:pPr>
              <w:pBdr>
                <w:top w:val="nil"/>
                <w:left w:val="nil"/>
                <w:bottom w:val="nil"/>
                <w:right w:val="nil"/>
                <w:between w:val="nil"/>
              </w:pBdr>
              <w:tabs>
                <w:tab w:val="left" w:pos="709"/>
              </w:tabs>
              <w:suppressAutoHyphens/>
              <w:snapToGrid/>
              <w:spacing w:after="240"/>
              <w:ind w:left="-35"/>
              <w:jc w:val="both"/>
              <w:textDirection w:val="btLr"/>
              <w:textAlignment w:val="top"/>
              <w:outlineLvl w:val="0"/>
              <w:rPr>
                <w:color w:val="000000"/>
                <w:lang w:val="es-ES"/>
              </w:rPr>
            </w:pPr>
            <w:r>
              <w:rPr>
                <w:rFonts w:eastAsia="Arial" w:cs="Arial"/>
                <w:color w:val="000000"/>
                <w:szCs w:val="22"/>
                <w:lang w:val="es"/>
              </w:rPr>
              <w:t>En este documento se resumen los resultados de la reunión de la JCM mencionada y se presentan las próximas medidas que adoptará la JCM (con el apoyo de las Secretarías de la COI y la OMM) para llevar a cabo las tareas que le han sido encomendadas y hacer una revisión de los progresos realizados, tal como solicitó la COI en 2019 (Resolución XXX-2 de la COI).</w:t>
            </w:r>
          </w:p>
          <w:p w14:paraId="538183C2" w14:textId="77D2D41F" w:rsidR="00413F17" w:rsidRPr="00830B70" w:rsidRDefault="00A16ACF" w:rsidP="00F167D7">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cs="Arial"/>
                <w:szCs w:val="22"/>
                <w:lang w:val="es-ES"/>
              </w:rPr>
            </w:pPr>
            <w:r>
              <w:rPr>
                <w:rFonts w:cs="Arial"/>
                <w:szCs w:val="22"/>
                <w:lang w:val="es"/>
              </w:rPr>
              <w:t xml:space="preserve">El objetivo del documento es revisar los progresos realizados y aprobar el planteamiento de las próximas etapas de la JCM. </w:t>
            </w:r>
          </w:p>
          <w:p w14:paraId="3A98DB71" w14:textId="4C179C9F" w:rsidR="00A16ACF" w:rsidRPr="00830B70" w:rsidRDefault="00A16ACF" w:rsidP="00F167D7">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cs="Arial"/>
                <w:szCs w:val="22"/>
                <w:lang w:val="es-ES"/>
              </w:rPr>
            </w:pPr>
            <w:r>
              <w:rPr>
                <w:rFonts w:cs="Arial"/>
                <w:szCs w:val="22"/>
                <w:u w:val="single"/>
                <w:lang w:val="es"/>
              </w:rPr>
              <w:t>Implicaciones financieras y administrativas</w:t>
            </w:r>
            <w:r>
              <w:rPr>
                <w:rFonts w:cs="Arial"/>
                <w:szCs w:val="22"/>
                <w:lang w:val="es"/>
              </w:rPr>
              <w:t>: No hay implicaciones financieras ni administrativas.</w:t>
            </w:r>
          </w:p>
          <w:p w14:paraId="769F42B1" w14:textId="3115F41B" w:rsidR="00737A18" w:rsidRPr="00830B70" w:rsidRDefault="00A16ACF" w:rsidP="00F167D7">
            <w:pPr>
              <w:ind w:left="-35"/>
              <w:rPr>
                <w:rFonts w:eastAsia="Calibri"/>
                <w:u w:val="single"/>
                <w:lang w:val="es-ES"/>
              </w:rPr>
            </w:pPr>
            <w:r>
              <w:rPr>
                <w:rFonts w:cs="Arial"/>
                <w:szCs w:val="22"/>
                <w:u w:val="single"/>
                <w:lang w:val="es"/>
              </w:rPr>
              <w:t>La(s) decisión(es) propuesta(s)</w:t>
            </w:r>
            <w:r>
              <w:rPr>
                <w:rFonts w:cs="Arial"/>
                <w:szCs w:val="22"/>
                <w:lang w:val="es"/>
              </w:rPr>
              <w:t xml:space="preserve"> llevan la referencia A-32/4.9 en el Documento de Decisión Provisional (documento IOC-32/AP Prov.)</w:t>
            </w:r>
          </w:p>
        </w:tc>
      </w:tr>
    </w:tbl>
    <w:p w14:paraId="48CD519D" w14:textId="69BE9EB8" w:rsidR="00F116E7" w:rsidRPr="00830B70" w:rsidRDefault="00F116E7" w:rsidP="00BE219B">
      <w:pPr>
        <w:pStyle w:val="Heading3"/>
        <w:rPr>
          <w:lang w:val="es-ES"/>
        </w:rPr>
      </w:pPr>
    </w:p>
    <w:p w14:paraId="50DBE39E" w14:textId="77777777" w:rsidR="00F116E7" w:rsidRPr="00830B70" w:rsidRDefault="00F116E7">
      <w:pPr>
        <w:tabs>
          <w:tab w:val="clear" w:pos="567"/>
        </w:tabs>
        <w:snapToGrid/>
        <w:rPr>
          <w:rFonts w:eastAsia="Arial Unicode MS"/>
          <w:b/>
          <w:bCs/>
          <w:szCs w:val="22"/>
          <w:lang w:val="es-ES"/>
        </w:rPr>
      </w:pPr>
      <w:r>
        <w:rPr>
          <w:lang w:val="es"/>
        </w:rPr>
        <w:br w:type="page"/>
      </w:r>
    </w:p>
    <w:p w14:paraId="34DA60E0" w14:textId="77777777" w:rsidR="00737A18" w:rsidRDefault="009026D3" w:rsidP="00BE219B">
      <w:pPr>
        <w:pStyle w:val="Heading3"/>
      </w:pPr>
      <w:r>
        <w:rPr>
          <w:lang w:val="es"/>
        </w:rPr>
        <w:lastRenderedPageBreak/>
        <w:t>Introducción</w:t>
      </w:r>
    </w:p>
    <w:p w14:paraId="41E99416" w14:textId="3AC79816" w:rsidR="003E59E0" w:rsidRPr="00830B70" w:rsidRDefault="003E59E0" w:rsidP="00BE219B">
      <w:pPr>
        <w:pStyle w:val="COI"/>
        <w:spacing w:after="240"/>
        <w:rPr>
          <w:lang w:val="es-ES"/>
        </w:rPr>
      </w:pPr>
      <w:r>
        <w:rPr>
          <w:lang w:val="es"/>
        </w:rPr>
        <w:t xml:space="preserve">El Consejo de Colaboración Mixto de la Organización Meteorológica Mundial (OMM) y la Comisión Oceanográfica Intergubernamental de la UNESCO (COI) celebró su segunda reunión (JCM-2) en línea, en dos sesiones de tres horas, los días 1 y 2 de marzo de 2022 (véase </w:t>
      </w:r>
      <w:hyperlink r:id="rId8" w:history="1">
        <w:r>
          <w:rPr>
            <w:rStyle w:val="Hyperlink"/>
            <w:lang w:val="es"/>
          </w:rPr>
          <w:t>IOC/INF-1420</w:t>
        </w:r>
      </w:hyperlink>
      <w:r>
        <w:rPr>
          <w:lang w:val="es"/>
        </w:rPr>
        <w:t xml:space="preserve"> Anexo 1 del Orden del día). </w:t>
      </w:r>
    </w:p>
    <w:p w14:paraId="73C706D5" w14:textId="46AD471C" w:rsidR="003E59E0" w:rsidRPr="00830B70" w:rsidRDefault="003E59E0" w:rsidP="00BE219B">
      <w:pPr>
        <w:pStyle w:val="COI"/>
        <w:rPr>
          <w:lang w:val="es-ES"/>
        </w:rPr>
      </w:pPr>
      <w:r>
        <w:rPr>
          <w:lang w:val="es"/>
        </w:rPr>
        <w:t>Los copresidentes de la JCM, el Dr. Albert Martis (OMM) y el Dr. Srinivasa Kumar Tummala (COI), presidieron la sesión. Tras la aprobación de la Estrategia de Colaboración Conjunta OMM-COI (2022-2025) por el Consejo Ejecutivo de la OMM en su 73ª reunión (EC73) y por la Asamblea de la COI en su 31.</w:t>
      </w:r>
      <w:r>
        <w:rPr>
          <w:vertAlign w:val="superscript"/>
          <w:lang w:val="es"/>
        </w:rPr>
        <w:t>a </w:t>
      </w:r>
      <w:r>
        <w:rPr>
          <w:lang w:val="es"/>
        </w:rPr>
        <w:t>reunión (A-32) en junio de 2021 (</w:t>
      </w:r>
      <w:hyperlink r:id="rId9" w:history="1">
        <w:r>
          <w:rPr>
            <w:rStyle w:val="Hyperlink"/>
            <w:lang w:val="es"/>
          </w:rPr>
          <w:t>IOC/A-31/3.5.5.Doc(1) Rev.</w:t>
        </w:r>
      </w:hyperlink>
      <w:r>
        <w:rPr>
          <w:lang w:val="es"/>
        </w:rPr>
        <w:t>), los resultados esperados de la JCM-2 eran los siguientes:</w:t>
      </w:r>
    </w:p>
    <w:p w14:paraId="5B353CF8" w14:textId="5B32C5B5"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Comprender el papel de la JCM para añadir valor a las actividades conjuntas y de interés mutuo entre la OMM y la COI;</w:t>
      </w:r>
    </w:p>
    <w:p w14:paraId="69E3D59D" w14:textId="7B2BA106" w:rsidR="003E59E0" w:rsidRPr="00830B70" w:rsidRDefault="003E59E0" w:rsidP="00F167D7">
      <w:pPr>
        <w:pStyle w:val="ListParagraph"/>
        <w:numPr>
          <w:ilvl w:val="0"/>
          <w:numId w:val="18"/>
        </w:numPr>
        <w:tabs>
          <w:tab w:val="clear" w:pos="567"/>
        </w:tabs>
        <w:spacing w:after="120"/>
        <w:ind w:left="1134" w:hanging="442"/>
        <w:contextualSpacing w:val="0"/>
        <w:rPr>
          <w:lang w:val="es-ES"/>
        </w:rPr>
      </w:pPr>
      <w:r>
        <w:rPr>
          <w:lang w:val="es"/>
        </w:rPr>
        <w:t>Identificar lagunas/posibles ámbitos de colaboración reforzada y formular recomendaciones para subsanarlas; y</w:t>
      </w:r>
    </w:p>
    <w:p w14:paraId="05A7E814" w14:textId="06905933" w:rsidR="003E59E0" w:rsidRPr="00830B70" w:rsidRDefault="003E59E0" w:rsidP="00F167D7">
      <w:pPr>
        <w:pStyle w:val="ListParagraph"/>
        <w:numPr>
          <w:ilvl w:val="0"/>
          <w:numId w:val="18"/>
        </w:numPr>
        <w:tabs>
          <w:tab w:val="clear" w:pos="567"/>
        </w:tabs>
        <w:spacing w:after="240"/>
        <w:ind w:left="1134" w:hanging="442"/>
        <w:contextualSpacing w:val="0"/>
        <w:rPr>
          <w:lang w:val="es-ES"/>
        </w:rPr>
      </w:pPr>
      <w:r>
        <w:rPr>
          <w:lang w:val="es"/>
        </w:rPr>
        <w:t>Esbozar un plan de trabajo para 2022-2023.</w:t>
      </w:r>
    </w:p>
    <w:p w14:paraId="5F419DB4" w14:textId="6ECF504F" w:rsidR="003E59E0" w:rsidRPr="00830B70" w:rsidRDefault="003E59E0" w:rsidP="00BE219B">
      <w:pPr>
        <w:pStyle w:val="COI"/>
        <w:rPr>
          <w:lang w:val="es-ES"/>
        </w:rPr>
      </w:pPr>
      <w:r>
        <w:rPr>
          <w:lang w:val="es"/>
        </w:rPr>
        <w:t>La reunión siguió el enfoque de la cadena de valor, desde las observaciones, pasando por los datos, la modelización, los servicios, y abarcando la investigación y el desarrollo de capacidades, de la JCM. Tanto la COI como la OMM presentaron sus prioridades y actividades conexas, destacaron el progreso de los trabajos en 2021 y propusieron prioridades a corto plazo para la acción de la JCM. La JCM debatió las lagunas y oportunidades, y cómo y dónde la JCM podía añadir valor. Se acordó un plan de trabajo de colaboración conjunta para 2022-2023 con los siguientes puntos clave:</w:t>
      </w:r>
    </w:p>
    <w:p w14:paraId="734BF6AD" w14:textId="3625DB38"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Establecimiento de una serie de seminarios web de la JCM en toda la cadena de valor;</w:t>
      </w:r>
    </w:p>
    <w:p w14:paraId="44434774" w14:textId="1B36DEEC"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Elaboración de propuestas para el Libro Blanco sobre la posición de los satélites oceánicos;</w:t>
      </w:r>
    </w:p>
    <w:p w14:paraId="641909AD" w14:textId="7EF14C0E"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Mejora de la sinergia entre el proceso GBON/RRR y el Codiseño del GOOS para promover la sostenibilidad de la observación;</w:t>
      </w:r>
    </w:p>
    <w:p w14:paraId="2F951833" w14:textId="06F44831"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Mayor atención a la investigación sobre el carbono oceánico y a la capacidad y el diseño de la observación;</w:t>
      </w:r>
    </w:p>
    <w:p w14:paraId="05CE3B04" w14:textId="73A197F8"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Elaboración conjunta de un mapa de datos oceánicos;</w:t>
      </w:r>
    </w:p>
    <w:p w14:paraId="53BABDCD" w14:textId="71214608"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Colaboración para la interoperabilidad entre el COI/IODE OIH/ODIS y WIS OMM: Mayor participación de todos los miembros de la JCM en el desarrollo del WIS 2.0 y del Plan de Ejecución de ODIS, así como en las iniciativas regionales;</w:t>
      </w:r>
    </w:p>
    <w:p w14:paraId="3E1047E6" w14:textId="3222F816"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Colaboración entre la COI/IODE y la OMM sobre las mejores prácticas oceánicas (IOC OBPS);</w:t>
      </w:r>
    </w:p>
    <w:p w14:paraId="11A32803" w14:textId="604D9B6E"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Armonización de la política de datos, orientaciones y consultas de la OMM y la COI;</w:t>
      </w:r>
    </w:p>
    <w:p w14:paraId="3B42AC51" w14:textId="24889EB6"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Respuesta reforzada y resiliencia frente a los peligros de inundaciones del litoral para las comunidades costeras, incluidos tsunamis;</w:t>
      </w:r>
    </w:p>
    <w:p w14:paraId="07D9863B" w14:textId="283D850F"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Avance de la predicción oceánica y la previsión S/GDPFS en beneficio de los usuarios finales y los Miembros;</w:t>
      </w:r>
    </w:p>
    <w:p w14:paraId="3EFF4101" w14:textId="57F87B3C"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Más oportunidades para que la comunidad de expertos en meteorología marina y oceanografía se reúna a escala regional/local, además de incrementar la participación de los responsables de la toma de decisiones;</w:t>
      </w:r>
    </w:p>
    <w:p w14:paraId="616D8659" w14:textId="6986A48C"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Coorganización de grandes eventos oceánicos entre la OMM y la COI y codirección de otros grandes eventos/conferencias (por ejemplo, la COP);</w:t>
      </w:r>
    </w:p>
    <w:p w14:paraId="41C7ED02" w14:textId="741296A7"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lastRenderedPageBreak/>
        <w:t>Aumento de la colaboración regional entre la OMM y la COI (por ejemplo, Ocean Side Event);</w:t>
      </w:r>
    </w:p>
    <w:p w14:paraId="2DDC360D" w14:textId="6D637EF3"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Intensificación del aprovechamiento de los planes estratégicos existentes de la OMM y la COI para lograr una mayor contribución;</w:t>
      </w:r>
    </w:p>
    <w:p w14:paraId="74125FC5" w14:textId="0A5FEC44" w:rsidR="003E59E0" w:rsidRPr="00830B70" w:rsidRDefault="003E59E0" w:rsidP="00F167D7">
      <w:pPr>
        <w:pStyle w:val="ListParagraph"/>
        <w:numPr>
          <w:ilvl w:val="0"/>
          <w:numId w:val="18"/>
        </w:numPr>
        <w:tabs>
          <w:tab w:val="clear" w:pos="567"/>
        </w:tabs>
        <w:spacing w:after="120"/>
        <w:ind w:left="1134" w:hanging="444"/>
        <w:contextualSpacing w:val="0"/>
        <w:rPr>
          <w:lang w:val="es-ES"/>
        </w:rPr>
      </w:pPr>
      <w:r>
        <w:rPr>
          <w:lang w:val="es"/>
        </w:rPr>
        <w:t>Generación de vínculos y armonización de las actividades/programas/estrategias de Desarrollo de Capacidades de la OMM y la COI;</w:t>
      </w:r>
    </w:p>
    <w:p w14:paraId="18F98B19" w14:textId="627CE228" w:rsidR="003E59E0" w:rsidRPr="00830B70" w:rsidRDefault="003E59E0" w:rsidP="00BE219B">
      <w:pPr>
        <w:pStyle w:val="Heading3"/>
        <w:rPr>
          <w:lang w:val="es-ES"/>
        </w:rPr>
      </w:pPr>
      <w:r>
        <w:rPr>
          <w:lang w:val="es"/>
        </w:rPr>
        <w:t>Avances en 2022-2023 y situación de la revisión del la JCM</w:t>
      </w:r>
    </w:p>
    <w:p w14:paraId="70AE28ED" w14:textId="2248D871" w:rsidR="003E59E0" w:rsidRPr="00830B70" w:rsidRDefault="003E59E0" w:rsidP="00BE219B">
      <w:pPr>
        <w:pStyle w:val="COI"/>
        <w:spacing w:after="240"/>
        <w:rPr>
          <w:lang w:val="es-ES"/>
        </w:rPr>
      </w:pPr>
      <w:r>
        <w:rPr>
          <w:lang w:val="es"/>
        </w:rPr>
        <w:t>La reunión JCM-2 celebrada en marzo de 2022 fue positiva y se identificaron varias áreas importantes de colaboración, como se destaca en el Plan de Trabajo 2022-2023.  Aunque la COI y la OMM han avanzado en algunos de los puntos del plan de trabajo, el progreso general ha sido más lento de lo previsto. Esto se debe en parte a que la COVID-19 afecta a la capacidad de la JCM de reunirse en persona para debatir, evaluar los progresos o priorizar las acciones y otras cuestiones relacionadas con los recursos.</w:t>
      </w:r>
    </w:p>
    <w:p w14:paraId="0FCA236F" w14:textId="6DEC34E9" w:rsidR="003E59E0" w:rsidRPr="00830B70" w:rsidRDefault="003E59E0" w:rsidP="00BE219B">
      <w:pPr>
        <w:pStyle w:val="COI"/>
        <w:spacing w:after="240"/>
        <w:rPr>
          <w:lang w:val="es-ES"/>
        </w:rPr>
      </w:pPr>
      <w:r>
        <w:rPr>
          <w:lang w:val="es"/>
        </w:rPr>
        <w:t>Además, aunque la JCM ha cumplido parte de la tarea encomendada por la COI (Resolución XXX-2, 2019) y ha preparado una Estrategia de colaboración OMM-COI, tal como se decidió en 2021, además de un plan de trabajo para 2022-2023, no ha cumplido la petición de la COI de realizar una revisión de su actividad al cabo de cuatro años, lo que suponía presentar un informe ante la Asamblea de la COI en 2023. Además, el mecanismo de ejecución de una estrategia de colaboración de la JCM no está muy claro, por ejemplo, en cuando a cómo funciona junto con otras estrategias existentes de la OMM y la COI.</w:t>
      </w:r>
    </w:p>
    <w:p w14:paraId="58BE1F28" w14:textId="710961B2" w:rsidR="003E59E0" w:rsidRPr="00830B70" w:rsidRDefault="003E59E0" w:rsidP="00BE219B">
      <w:pPr>
        <w:pStyle w:val="COI"/>
        <w:spacing w:after="240"/>
        <w:rPr>
          <w:lang w:val="es-ES"/>
        </w:rPr>
      </w:pPr>
      <w:r>
        <w:rPr>
          <w:lang w:val="es"/>
        </w:rPr>
        <w:t>Los presidentes de la JCM se reunieron de forma virtual en marzo de 2023 y acordaron abordar el progreso del plan de trabajo y la revisión cuatrienal de la JCM en una reunión en septiembre/octubre de 2023. El orden del día pertinente se debatirá en una reunión virtual en julio, pero incluirá una revisión y se centrará en los temas prioritarios de colaboración. Tanto el secretario ejecutivo como la Secretaría del COI han renovado su compromiso con el trabajo de la JCM.</w:t>
      </w:r>
    </w:p>
    <w:p w14:paraId="76AF1C70" w14:textId="643E2C11" w:rsidR="00C3684D" w:rsidRPr="00830B70" w:rsidRDefault="00C3684D" w:rsidP="00BE219B">
      <w:pPr>
        <w:spacing w:after="240"/>
        <w:rPr>
          <w:lang w:val="es-ES"/>
        </w:rPr>
      </w:pPr>
    </w:p>
    <w:sectPr w:rsidR="00C3684D" w:rsidRPr="00830B70" w:rsidSect="003F7186">
      <w:headerReference w:type="even" r:id="rId10"/>
      <w:headerReference w:type="default" r:id="rId11"/>
      <w:headerReference w:type="first" r:id="rId1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52B2" w14:textId="77777777" w:rsidR="004C2B7F" w:rsidRDefault="004C2B7F">
      <w:r>
        <w:separator/>
      </w:r>
    </w:p>
  </w:endnote>
  <w:endnote w:type="continuationSeparator" w:id="0">
    <w:p w14:paraId="5D556B78" w14:textId="77777777" w:rsidR="004C2B7F" w:rsidRDefault="004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AD10" w14:textId="77777777" w:rsidR="004C2B7F" w:rsidRDefault="004C2B7F">
      <w:r>
        <w:separator/>
      </w:r>
    </w:p>
  </w:footnote>
  <w:footnote w:type="continuationSeparator" w:id="0">
    <w:p w14:paraId="740BD0B5" w14:textId="77777777" w:rsidR="004C2B7F" w:rsidRDefault="004C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4079" w14:textId="7EE27D96" w:rsidR="00020AA1" w:rsidRPr="00BE219B" w:rsidRDefault="00B8392A" w:rsidP="00A16ACF">
    <w:pPr>
      <w:pStyle w:val="Header"/>
      <w:tabs>
        <w:tab w:val="clear" w:pos="8306"/>
      </w:tabs>
      <w:rPr>
        <w:rFonts w:cs="Arial"/>
        <w:szCs w:val="22"/>
      </w:rPr>
    </w:pPr>
    <w:r>
      <w:rPr>
        <w:rFonts w:cs="Arial"/>
        <w:szCs w:val="22"/>
        <w:lang w:val="es"/>
      </w:rPr>
      <w:t>IOC</w:t>
    </w:r>
    <w:r w:rsidR="00830B70">
      <w:rPr>
        <w:rFonts w:cs="Arial"/>
        <w:szCs w:val="22"/>
        <w:lang w:val="es"/>
      </w:rPr>
      <w:t>/A</w:t>
    </w:r>
    <w:r>
      <w:rPr>
        <w:rFonts w:cs="Arial"/>
        <w:szCs w:val="22"/>
        <w:lang w:val="es"/>
      </w:rPr>
      <w:t>-32/4.</w:t>
    </w:r>
    <w:proofErr w:type="gramStart"/>
    <w:r>
      <w:rPr>
        <w:rFonts w:cs="Arial"/>
        <w:szCs w:val="22"/>
        <w:lang w:val="es"/>
      </w:rPr>
      <w:t>9.Doc</w:t>
    </w:r>
    <w:proofErr w:type="gramEnd"/>
    <w:r>
      <w:rPr>
        <w:rFonts w:cs="Arial"/>
        <w:szCs w:val="22"/>
        <w:lang w:val="es"/>
      </w:rPr>
      <w:t>(1) – 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2</w:t>
    </w:r>
    <w:r>
      <w:rPr>
        <w:rStyle w:val="PageNumber"/>
        <w:rFonts w:cs="Arial"/>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2E42" w14:textId="51EB3084" w:rsidR="00020AA1" w:rsidRPr="00BE219B" w:rsidRDefault="00F116E7" w:rsidP="00830B70">
    <w:pPr>
      <w:pStyle w:val="Header"/>
      <w:ind w:left="6237"/>
      <w:rPr>
        <w:rFonts w:cs="Arial"/>
        <w:sz w:val="24"/>
      </w:rPr>
    </w:pPr>
    <w:r>
      <w:rPr>
        <w:rFonts w:cs="Arial"/>
        <w:szCs w:val="22"/>
        <w:lang w:val="es"/>
      </w:rPr>
      <w:t>IOC</w:t>
    </w:r>
    <w:r w:rsidR="00830B70">
      <w:rPr>
        <w:rFonts w:cs="Arial"/>
        <w:szCs w:val="22"/>
        <w:lang w:val="es"/>
      </w:rPr>
      <w:t>/A</w:t>
    </w:r>
    <w:r>
      <w:rPr>
        <w:rFonts w:cs="Arial"/>
        <w:szCs w:val="22"/>
        <w:lang w:val="es"/>
      </w:rPr>
      <w:t>-32/4.</w:t>
    </w:r>
    <w:proofErr w:type="gramStart"/>
    <w:r>
      <w:rPr>
        <w:rFonts w:cs="Arial"/>
        <w:szCs w:val="22"/>
        <w:lang w:val="es"/>
      </w:rPr>
      <w:t>9.Doc</w:t>
    </w:r>
    <w:proofErr w:type="gramEnd"/>
    <w:r>
      <w:rPr>
        <w:rFonts w:cs="Arial"/>
        <w:szCs w:val="22"/>
        <w:lang w:val="es"/>
      </w:rPr>
      <w:t>(1) – 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szCs w:val="22"/>
        <w:lang w:val="es"/>
      </w:rPr>
      <w:t>2</w:t>
    </w:r>
    <w:r>
      <w:rPr>
        <w:rStyle w:val="PageNumber"/>
        <w:rFonts w:cs="Arial"/>
        <w:szCs w:val="22"/>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5AEE" w14:textId="76F2A1B6" w:rsidR="00F116E7" w:rsidRPr="00830B70" w:rsidRDefault="00F116E7" w:rsidP="00830B70">
    <w:pPr>
      <w:pStyle w:val="Marge"/>
      <w:tabs>
        <w:tab w:val="left" w:pos="6237"/>
        <w:tab w:val="left" w:pos="7560"/>
      </w:tabs>
      <w:spacing w:after="0"/>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w:t>
    </w:r>
    <w:r w:rsidR="00830B70">
      <w:rPr>
        <w:rFonts w:cs="Arial"/>
        <w:b/>
        <w:bCs/>
        <w:sz w:val="36"/>
        <w:szCs w:val="36"/>
        <w:lang w:val="es"/>
      </w:rPr>
      <w:t>/A</w:t>
    </w:r>
    <w:r>
      <w:rPr>
        <w:rFonts w:cs="Arial"/>
        <w:b/>
        <w:bCs/>
        <w:sz w:val="36"/>
        <w:szCs w:val="36"/>
        <w:lang w:val="es"/>
      </w:rPr>
      <w:t>-32/4.</w:t>
    </w:r>
    <w:proofErr w:type="gramStart"/>
    <w:r>
      <w:rPr>
        <w:rFonts w:cs="Arial"/>
        <w:b/>
        <w:bCs/>
        <w:sz w:val="36"/>
        <w:szCs w:val="36"/>
        <w:lang w:val="es"/>
      </w:rPr>
      <w:t>9.Doc</w:t>
    </w:r>
    <w:proofErr w:type="gramEnd"/>
    <w:r>
      <w:rPr>
        <w:rFonts w:cs="Arial"/>
        <w:b/>
        <w:bCs/>
        <w:sz w:val="36"/>
        <w:szCs w:val="36"/>
        <w:lang w:val="es"/>
      </w:rPr>
      <w:t xml:space="preserve">(1) </w:t>
    </w:r>
  </w:p>
  <w:p w14:paraId="66092EF4" w14:textId="77777777" w:rsidR="00F116E7" w:rsidRPr="00830B70" w:rsidRDefault="00F116E7" w:rsidP="00830B70">
    <w:pPr>
      <w:tabs>
        <w:tab w:val="clear" w:pos="567"/>
        <w:tab w:val="left" w:pos="6237"/>
        <w:tab w:val="left" w:pos="7560"/>
      </w:tabs>
      <w:jc w:val="both"/>
      <w:rPr>
        <w:rFonts w:cs="Arial"/>
        <w:szCs w:val="22"/>
        <w:lang w:val="es-ES"/>
      </w:rPr>
    </w:pPr>
    <w:r>
      <w:rPr>
        <w:noProof/>
        <w:lang w:val="es"/>
      </w:rPr>
      <w:drawing>
        <wp:anchor distT="0" distB="0" distL="114300" distR="114300" simplePos="0" relativeHeight="251661312" behindDoc="0" locked="0" layoutInCell="1" allowOverlap="1" wp14:anchorId="1EDB8255" wp14:editId="6623AFD3">
          <wp:simplePos x="0" y="0"/>
          <wp:positionH relativeFrom="column">
            <wp:posOffset>-124460</wp:posOffset>
          </wp:positionH>
          <wp:positionV relativeFrom="paragraph">
            <wp:posOffset>101600</wp:posOffset>
          </wp:positionV>
          <wp:extent cx="1578610" cy="1047115"/>
          <wp:effectExtent l="0" t="0" r="2540" b="635"/>
          <wp:wrapSquare wrapText="bothSides"/>
          <wp:docPr id="2" name="Picture 2"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a 23 de mayo de 2023</w:t>
    </w:r>
  </w:p>
  <w:p w14:paraId="095B4652" w14:textId="77777777" w:rsidR="00F116E7" w:rsidRPr="00830B70" w:rsidRDefault="00F116E7" w:rsidP="00830B70">
    <w:pPr>
      <w:tabs>
        <w:tab w:val="clear" w:pos="567"/>
        <w:tab w:val="left" w:pos="6237"/>
        <w:tab w:val="left" w:pos="7560"/>
      </w:tabs>
      <w:jc w:val="both"/>
      <w:rPr>
        <w:rFonts w:cs="Arial"/>
        <w:szCs w:val="22"/>
        <w:lang w:val="es-ES"/>
      </w:rPr>
    </w:pPr>
    <w:r>
      <w:rPr>
        <w:rFonts w:cs="Arial"/>
        <w:szCs w:val="22"/>
        <w:lang w:val="es"/>
      </w:rPr>
      <w:tab/>
      <w:t xml:space="preserve">Original: </w:t>
    </w:r>
    <w:proofErr w:type="gramStart"/>
    <w:r>
      <w:rPr>
        <w:rFonts w:cs="Arial"/>
        <w:szCs w:val="22"/>
        <w:lang w:val="es"/>
      </w:rPr>
      <w:t>Inglés</w:t>
    </w:r>
    <w:proofErr w:type="gramEnd"/>
  </w:p>
  <w:p w14:paraId="0DA57F0D" w14:textId="77777777" w:rsidR="00F116E7" w:rsidRPr="00830B70" w:rsidRDefault="00F116E7" w:rsidP="00830B70">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237"/>
        <w:tab w:val="left" w:pos="7020"/>
        <w:tab w:val="left" w:pos="7088"/>
      </w:tabs>
      <w:jc w:val="both"/>
      <w:rPr>
        <w:rFonts w:cs="Arial"/>
        <w:b/>
        <w:szCs w:val="22"/>
        <w:lang w:val="es-ES"/>
      </w:rPr>
    </w:pPr>
  </w:p>
  <w:p w14:paraId="2107BF3C"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1402C66"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55F42975"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2E756A2"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FF33242"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3FDBEAAA"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rFonts w:cs="Arial"/>
        <w:b/>
        <w:bCs/>
        <w:szCs w:val="22"/>
        <w:lang w:val="es"/>
      </w:rPr>
      <w:t>COMISIÓN OCEANOGRÁFICA INTERGUBERNAMENTAL</w:t>
    </w:r>
  </w:p>
  <w:p w14:paraId="72C649AE" w14:textId="77777777" w:rsidR="00F116E7" w:rsidRPr="00830B70" w:rsidRDefault="00F116E7" w:rsidP="00F116E7">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Pr>
        <w:rFonts w:cs="Arial"/>
        <w:szCs w:val="22"/>
        <w:lang w:val="es"/>
      </w:rPr>
      <w:t>(de la UNESCO)</w:t>
    </w:r>
  </w:p>
  <w:p w14:paraId="3C0594D1" w14:textId="77777777" w:rsidR="00F116E7" w:rsidRPr="00830B70" w:rsidRDefault="00F116E7" w:rsidP="00F116E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3D2AF276" w14:textId="77777777" w:rsidR="00F116E7" w:rsidRPr="00830B70" w:rsidRDefault="00F116E7" w:rsidP="00F116E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
      </w:rPr>
    </w:pPr>
    <w:r>
      <w:rPr>
        <w:rFonts w:cs="Arial"/>
        <w:b/>
        <w:bCs/>
        <w:lang w:val="es"/>
      </w:rPr>
      <w:t>32.</w:t>
    </w:r>
    <w:r>
      <w:rPr>
        <w:rFonts w:cs="Arial"/>
        <w:b/>
        <w:bCs/>
        <w:vertAlign w:val="superscript"/>
        <w:lang w:val="es"/>
      </w:rPr>
      <w:t>a </w:t>
    </w:r>
    <w:r>
      <w:rPr>
        <w:rFonts w:cs="Arial"/>
        <w:b/>
        <w:bCs/>
        <w:lang w:val="es"/>
      </w:rPr>
      <w:t>reunión de la Asamblea</w:t>
    </w:r>
  </w:p>
  <w:p w14:paraId="33A47F38" w14:textId="77777777" w:rsidR="00F116E7" w:rsidRPr="00830B70" w:rsidRDefault="00F116E7" w:rsidP="00F116E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Pr>
        <w:rFonts w:cs="Arial"/>
        <w:lang w:val="es"/>
      </w:rPr>
      <w:t>UNESCO, 21-30 de junio de 2023</w:t>
    </w:r>
  </w:p>
  <w:p w14:paraId="48B165D4" w14:textId="77777777" w:rsidR="00F116E7" w:rsidRPr="00830B70" w:rsidRDefault="00F116E7" w:rsidP="00F116E7">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589C51BA" w14:textId="77777777" w:rsidR="00F116E7" w:rsidRPr="00830B70" w:rsidRDefault="00F116E7" w:rsidP="00F116E7">
    <w:pPr>
      <w:jc w:val="center"/>
      <w:rPr>
        <w:rFonts w:cs="Arial"/>
        <w:szCs w:val="22"/>
        <w:lang w:val="es-ES"/>
      </w:rPr>
    </w:pPr>
  </w:p>
  <w:p w14:paraId="7FF832FE" w14:textId="77777777" w:rsidR="00F116E7" w:rsidRPr="00830B70" w:rsidRDefault="00F116E7" w:rsidP="00F116E7">
    <w:pPr>
      <w:jc w:val="center"/>
      <w:rPr>
        <w:rFonts w:cs="Arial"/>
        <w:szCs w:val="22"/>
        <w:lang w:val="es-ES"/>
      </w:rPr>
    </w:pPr>
  </w:p>
  <w:p w14:paraId="6FC94616" w14:textId="77777777" w:rsidR="00F116E7" w:rsidRPr="00830B70" w:rsidRDefault="00F116E7" w:rsidP="00F116E7">
    <w:pPr>
      <w:jc w:val="center"/>
      <w:rPr>
        <w:rFonts w:cs="Arial"/>
        <w:szCs w:val="22"/>
        <w:lang w:val="es-ES"/>
      </w:rPr>
    </w:pPr>
  </w:p>
  <w:p w14:paraId="1792B819" w14:textId="77777777" w:rsidR="00F116E7" w:rsidRPr="00830B70" w:rsidRDefault="00F116E7" w:rsidP="00F116E7">
    <w:pPr>
      <w:jc w:val="center"/>
      <w:rPr>
        <w:rFonts w:cs="Arial"/>
        <w:szCs w:val="22"/>
        <w:lang w:val="es-ES"/>
      </w:rPr>
    </w:pPr>
  </w:p>
  <w:p w14:paraId="72AD6587" w14:textId="77777777" w:rsidR="00F116E7" w:rsidRPr="00830B70" w:rsidRDefault="00F116E7" w:rsidP="00F116E7">
    <w:pPr>
      <w:jc w:val="center"/>
      <w:rPr>
        <w:rFonts w:cs="Arial"/>
        <w:szCs w:val="22"/>
        <w:lang w:val="es-ES"/>
      </w:rPr>
    </w:pPr>
  </w:p>
  <w:p w14:paraId="011CF311" w14:textId="77777777" w:rsidR="00F116E7" w:rsidRPr="00830B70" w:rsidRDefault="00F116E7" w:rsidP="00F116E7">
    <w:pPr>
      <w:pStyle w:val="Heading7"/>
      <w:tabs>
        <w:tab w:val="clear" w:pos="567"/>
        <w:tab w:val="right" w:pos="9540"/>
      </w:tabs>
      <w:rPr>
        <w:rFonts w:asciiTheme="minorBidi" w:hAnsiTheme="minorBidi" w:cstheme="minorBidi"/>
        <w:szCs w:val="22"/>
        <w:lang w:val="es-ES"/>
      </w:rPr>
    </w:pPr>
    <w:r>
      <w:rPr>
        <w:rFonts w:asciiTheme="minorBidi" w:hAnsiTheme="minorBidi" w:cstheme="minorBidi"/>
        <w:sz w:val="24"/>
        <w:lang w:val="es"/>
      </w:rPr>
      <w:t xml:space="preserve">Punto </w:t>
    </w:r>
    <w:r>
      <w:rPr>
        <w:rFonts w:asciiTheme="minorBidi" w:hAnsiTheme="minorBidi" w:cstheme="minorBidi"/>
        <w:b/>
        <w:bCs/>
        <w:sz w:val="24"/>
        <w:lang w:val="es"/>
      </w:rPr>
      <w:t>4.9</w:t>
    </w:r>
    <w:r>
      <w:rPr>
        <w:rFonts w:asciiTheme="minorBidi" w:hAnsiTheme="minorBidi" w:cstheme="minorBidi"/>
        <w:sz w:val="24"/>
        <w:lang w:val="es"/>
      </w:rPr>
      <w:t xml:space="preserve"> del Orden del día provisional</w:t>
    </w:r>
  </w:p>
  <w:p w14:paraId="4EA592F0" w14:textId="77777777" w:rsidR="00F116E7" w:rsidRPr="00830B70" w:rsidRDefault="00F116E7" w:rsidP="00F116E7">
    <w:pPr>
      <w:rPr>
        <w:rFonts w:cs="Arial"/>
        <w:szCs w:val="22"/>
        <w:lang w:val="es-ES"/>
      </w:rPr>
    </w:pPr>
  </w:p>
  <w:p w14:paraId="4102F122" w14:textId="77777777" w:rsidR="00F116E7" w:rsidRPr="00830B70" w:rsidRDefault="00F116E7" w:rsidP="00F116E7">
    <w:pPr>
      <w:rPr>
        <w:rFonts w:cs="Arial"/>
        <w:szCs w:val="22"/>
        <w:lang w:val="es-ES"/>
      </w:rPr>
    </w:pPr>
  </w:p>
  <w:p w14:paraId="28E97288" w14:textId="77777777" w:rsidR="00F116E7" w:rsidRPr="00830B70" w:rsidRDefault="00F116E7" w:rsidP="00BE219B">
    <w:pPr>
      <w:pStyle w:val="Docheading"/>
      <w:rPr>
        <w:lang w:val="es-ES"/>
      </w:rPr>
    </w:pPr>
    <w:r>
      <w:rPr>
        <w:lang w:val="es"/>
      </w:rPr>
      <w:t>Resumen de los avances de la Junta Mixta de Colaboración OMM-COI</w:t>
    </w:r>
  </w:p>
  <w:p w14:paraId="63D7C417" w14:textId="3F734974" w:rsidR="00020AA1" w:rsidRPr="00830B70" w:rsidRDefault="00020AA1" w:rsidP="00294AD5">
    <w:pPr>
      <w:pStyle w:val="Header"/>
      <w:jc w:val="right"/>
      <w:rPr>
        <w:rFonts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382144"/>
    <w:multiLevelType w:val="hybridMultilevel"/>
    <w:tmpl w:val="DE5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CA4DB9"/>
    <w:multiLevelType w:val="hybridMultilevel"/>
    <w:tmpl w:val="FB0ED892"/>
    <w:lvl w:ilvl="0" w:tplc="BB7E71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256C2"/>
    <w:multiLevelType w:val="hybridMultilevel"/>
    <w:tmpl w:val="E416C646"/>
    <w:lvl w:ilvl="0" w:tplc="D256C7D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CD1485"/>
    <w:multiLevelType w:val="hybridMultilevel"/>
    <w:tmpl w:val="46521AE2"/>
    <w:lvl w:ilvl="0" w:tplc="D256C7D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9" w15:restartNumberingAfterBreak="0">
    <w:nsid w:val="3AF22525"/>
    <w:multiLevelType w:val="hybridMultilevel"/>
    <w:tmpl w:val="6EBCBEAE"/>
    <w:lvl w:ilvl="0" w:tplc="D256C7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67069"/>
    <w:multiLevelType w:val="hybridMultilevel"/>
    <w:tmpl w:val="D1820D64"/>
    <w:lvl w:ilvl="0" w:tplc="BB7E7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46B32"/>
    <w:multiLevelType w:val="hybridMultilevel"/>
    <w:tmpl w:val="87B80C34"/>
    <w:lvl w:ilvl="0" w:tplc="9D84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04C64"/>
    <w:multiLevelType w:val="hybridMultilevel"/>
    <w:tmpl w:val="6F9ACB32"/>
    <w:lvl w:ilvl="0" w:tplc="D5A6DCB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D56A92"/>
    <w:multiLevelType w:val="hybridMultilevel"/>
    <w:tmpl w:val="474E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E7636"/>
    <w:multiLevelType w:val="hybridMultilevel"/>
    <w:tmpl w:val="080C1A22"/>
    <w:lvl w:ilvl="0" w:tplc="EE38723C">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2E3DF9"/>
    <w:multiLevelType w:val="hybridMultilevel"/>
    <w:tmpl w:val="195A12DE"/>
    <w:lvl w:ilvl="0" w:tplc="18DE4B6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6649152">
    <w:abstractNumId w:val="7"/>
  </w:num>
  <w:num w:numId="2" w16cid:durableId="78792144">
    <w:abstractNumId w:val="12"/>
  </w:num>
  <w:num w:numId="3" w16cid:durableId="197855601">
    <w:abstractNumId w:val="0"/>
  </w:num>
  <w:num w:numId="4" w16cid:durableId="1735078919">
    <w:abstractNumId w:val="2"/>
  </w:num>
  <w:num w:numId="5" w16cid:durableId="457073328">
    <w:abstractNumId w:val="3"/>
  </w:num>
  <w:num w:numId="6" w16cid:durableId="515538091">
    <w:abstractNumId w:val="12"/>
  </w:num>
  <w:num w:numId="7" w16cid:durableId="1918979943">
    <w:abstractNumId w:val="12"/>
  </w:num>
  <w:num w:numId="8" w16cid:durableId="323242517">
    <w:abstractNumId w:val="10"/>
  </w:num>
  <w:num w:numId="9" w16cid:durableId="1420327771">
    <w:abstractNumId w:val="4"/>
  </w:num>
  <w:num w:numId="10" w16cid:durableId="2013340199">
    <w:abstractNumId w:val="13"/>
  </w:num>
  <w:num w:numId="11" w16cid:durableId="109975758">
    <w:abstractNumId w:val="1"/>
  </w:num>
  <w:num w:numId="12" w16cid:durableId="602686032">
    <w:abstractNumId w:val="8"/>
  </w:num>
  <w:num w:numId="13" w16cid:durableId="1385324566">
    <w:abstractNumId w:val="15"/>
  </w:num>
  <w:num w:numId="14" w16cid:durableId="1562597788">
    <w:abstractNumId w:val="6"/>
  </w:num>
  <w:num w:numId="15" w16cid:durableId="731736658">
    <w:abstractNumId w:val="11"/>
  </w:num>
  <w:num w:numId="16" w16cid:durableId="1663775088">
    <w:abstractNumId w:val="5"/>
  </w:num>
  <w:num w:numId="17" w16cid:durableId="851263658">
    <w:abstractNumId w:val="14"/>
  </w:num>
  <w:num w:numId="18" w16cid:durableId="1879973159">
    <w:abstractNumId w:val="9"/>
  </w:num>
  <w:num w:numId="19" w16cid:durableId="1500080481">
    <w:abstractNumId w:val="14"/>
  </w:num>
  <w:num w:numId="20" w16cid:durableId="305669431">
    <w:abstractNumId w:val="14"/>
  </w:num>
  <w:num w:numId="21" w16cid:durableId="728573618">
    <w:abstractNumId w:val="14"/>
  </w:num>
  <w:num w:numId="22" w16cid:durableId="5538526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E0"/>
    <w:rsid w:val="00003B31"/>
    <w:rsid w:val="00010BBB"/>
    <w:rsid w:val="00020AA1"/>
    <w:rsid w:val="00045A48"/>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26621"/>
    <w:rsid w:val="00294AD5"/>
    <w:rsid w:val="002C7DE3"/>
    <w:rsid w:val="002E0859"/>
    <w:rsid w:val="0034156B"/>
    <w:rsid w:val="003561BE"/>
    <w:rsid w:val="003805F5"/>
    <w:rsid w:val="003A7860"/>
    <w:rsid w:val="003D3711"/>
    <w:rsid w:val="003E59E0"/>
    <w:rsid w:val="003F55CF"/>
    <w:rsid w:val="003F7186"/>
    <w:rsid w:val="004031FB"/>
    <w:rsid w:val="00413F17"/>
    <w:rsid w:val="00424DE6"/>
    <w:rsid w:val="00433B4C"/>
    <w:rsid w:val="004529B8"/>
    <w:rsid w:val="004555E6"/>
    <w:rsid w:val="00467E3F"/>
    <w:rsid w:val="004A135F"/>
    <w:rsid w:val="004C1625"/>
    <w:rsid w:val="004C2B7F"/>
    <w:rsid w:val="004F3E0E"/>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737A18"/>
    <w:rsid w:val="00746B89"/>
    <w:rsid w:val="00780FBB"/>
    <w:rsid w:val="0079212B"/>
    <w:rsid w:val="008048D2"/>
    <w:rsid w:val="0081004E"/>
    <w:rsid w:val="00830B70"/>
    <w:rsid w:val="00853565"/>
    <w:rsid w:val="008A6E5C"/>
    <w:rsid w:val="008B384B"/>
    <w:rsid w:val="008D2398"/>
    <w:rsid w:val="008F6942"/>
    <w:rsid w:val="009026D3"/>
    <w:rsid w:val="00905860"/>
    <w:rsid w:val="0093773D"/>
    <w:rsid w:val="00953E7F"/>
    <w:rsid w:val="00957FB0"/>
    <w:rsid w:val="0098559C"/>
    <w:rsid w:val="00993CA4"/>
    <w:rsid w:val="009B63AB"/>
    <w:rsid w:val="009C0A89"/>
    <w:rsid w:val="009C15B1"/>
    <w:rsid w:val="009E6A03"/>
    <w:rsid w:val="009F3A67"/>
    <w:rsid w:val="009F7769"/>
    <w:rsid w:val="00A11697"/>
    <w:rsid w:val="00A16ACF"/>
    <w:rsid w:val="00A25BC8"/>
    <w:rsid w:val="00A947AE"/>
    <w:rsid w:val="00AD3D55"/>
    <w:rsid w:val="00B722DE"/>
    <w:rsid w:val="00B83068"/>
    <w:rsid w:val="00B8392A"/>
    <w:rsid w:val="00B91C06"/>
    <w:rsid w:val="00BD6603"/>
    <w:rsid w:val="00BE022B"/>
    <w:rsid w:val="00BE219B"/>
    <w:rsid w:val="00BF069C"/>
    <w:rsid w:val="00BF3835"/>
    <w:rsid w:val="00C1002D"/>
    <w:rsid w:val="00C2635E"/>
    <w:rsid w:val="00C3684D"/>
    <w:rsid w:val="00C4032B"/>
    <w:rsid w:val="00C6486C"/>
    <w:rsid w:val="00C648D3"/>
    <w:rsid w:val="00C75B02"/>
    <w:rsid w:val="00C962F0"/>
    <w:rsid w:val="00CD1321"/>
    <w:rsid w:val="00D013ED"/>
    <w:rsid w:val="00D36BDC"/>
    <w:rsid w:val="00D441D6"/>
    <w:rsid w:val="00D5049E"/>
    <w:rsid w:val="00D55FEC"/>
    <w:rsid w:val="00DF2FB9"/>
    <w:rsid w:val="00E63DEF"/>
    <w:rsid w:val="00E64936"/>
    <w:rsid w:val="00EE0542"/>
    <w:rsid w:val="00EF1D81"/>
    <w:rsid w:val="00F116E7"/>
    <w:rsid w:val="00F167D7"/>
    <w:rsid w:val="00F463F2"/>
    <w:rsid w:val="00F5053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04D4C4"/>
  <w15:docId w15:val="{4CE74480-11C8-AE46-B993-1AB1F269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BE219B"/>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E219B"/>
    <w:pPr>
      <w:keepNext/>
      <w:keepLines/>
      <w:numPr>
        <w:numId w:val="17"/>
      </w:numPr>
      <w:tabs>
        <w:tab w:val="clear" w:pos="567"/>
        <w:tab w:val="left" w:pos="709"/>
      </w:tabs>
      <w:spacing w:after="120"/>
      <w:ind w:left="0" w:firstLine="0"/>
      <w:outlineLvl w:val="2"/>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BE219B"/>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Revision">
    <w:name w:val="Revision"/>
    <w:hidden/>
    <w:uiPriority w:val="99"/>
    <w:semiHidden/>
    <w:rsid w:val="00A16ACF"/>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A16ACF"/>
    <w:rPr>
      <w:color w:val="605E5C"/>
      <w:shd w:val="clear" w:color="auto" w:fill="E1DFDD"/>
    </w:rPr>
  </w:style>
  <w:style w:type="paragraph" w:styleId="ListParagraph">
    <w:name w:val="List Paragraph"/>
    <w:basedOn w:val="Normal"/>
    <w:uiPriority w:val="34"/>
    <w:qFormat/>
    <w:rsid w:val="0045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4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document/3255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43F3-951C-5040-A298-C467BB00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5259</Characters>
  <Application>Microsoft Office Word</Application>
  <DocSecurity>4</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2023-06-17T10:09:00Z</dcterms:created>
  <dcterms:modified xsi:type="dcterms:W3CDTF">2023-06-17T10:09:00Z</dcterms:modified>
</cp:coreProperties>
</file>