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9E49" w14:textId="72053828" w:rsidR="00EA1C02" w:rsidRPr="00800C71" w:rsidRDefault="00334B9F" w:rsidP="00334B9F">
      <w:pPr>
        <w:keepNext/>
        <w:widowControl w:val="0"/>
        <w:tabs>
          <w:tab w:val="right" w:pos="9540"/>
        </w:tabs>
        <w:adjustRightInd w:val="0"/>
        <w:spacing w:after="240" w:line="240" w:lineRule="auto"/>
        <w:jc w:val="both"/>
        <w:textAlignment w:val="baseline"/>
        <w:outlineLvl w:val="6"/>
        <w:rPr>
          <w:rFonts w:ascii="Arial" w:eastAsia="Times New Roman" w:hAnsi="Arial" w:cs="Arial"/>
          <w:lang w:val="es-ES_tradnl"/>
        </w:rPr>
      </w:pPr>
      <w:r w:rsidRPr="00800C71">
        <w:rPr>
          <w:rFonts w:ascii="Arial" w:eastAsia="Times New Roman" w:hAnsi="Arial" w:cs="Arial"/>
          <w:u w:val="single"/>
          <w:lang w:val="es-ES_tradnl"/>
        </w:rPr>
        <w:t xml:space="preserve">Punto </w:t>
      </w:r>
      <w:r w:rsidR="005C58A5" w:rsidRPr="00800C71">
        <w:rPr>
          <w:rFonts w:ascii="Arial" w:eastAsia="Times New Roman" w:hAnsi="Arial" w:cs="Arial"/>
          <w:b/>
          <w:bCs/>
          <w:u w:val="single"/>
          <w:lang w:val="es-ES_tradnl"/>
        </w:rPr>
        <w:t>4.10</w:t>
      </w:r>
      <w:r w:rsidRPr="00800C71">
        <w:rPr>
          <w:rFonts w:ascii="Arial" w:eastAsia="Times New Roman" w:hAnsi="Arial" w:cs="Arial"/>
          <w:u w:val="single"/>
          <w:lang w:val="es-ES_tradnl"/>
        </w:rPr>
        <w:t xml:space="preserve"> del orden del día provisional</w:t>
      </w:r>
    </w:p>
    <w:tbl>
      <w:tblPr>
        <w:tblStyle w:val="Tablaconcuadrcula"/>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81"/>
      </w:tblGrid>
      <w:tr w:rsidR="00334B9F" w:rsidRPr="00800C71" w14:paraId="03D16870" w14:textId="77777777" w:rsidTr="005C58A5">
        <w:trPr>
          <w:trHeight w:val="328"/>
          <w:jc w:val="center"/>
        </w:trPr>
        <w:tc>
          <w:tcPr>
            <w:tcW w:w="9781" w:type="dxa"/>
            <w:vAlign w:val="center"/>
          </w:tcPr>
          <w:p w14:paraId="0A5F4471" w14:textId="6E2C4C65" w:rsidR="00334B9F" w:rsidRPr="00800C71" w:rsidRDefault="00606E41" w:rsidP="005C58A5">
            <w:pPr>
              <w:tabs>
                <w:tab w:val="left" w:pos="567"/>
              </w:tabs>
              <w:snapToGrid w:val="0"/>
              <w:spacing w:before="240" w:after="240"/>
              <w:jc w:val="center"/>
              <w:rPr>
                <w:rFonts w:ascii="Arial" w:eastAsia="SimSun" w:hAnsi="Arial"/>
                <w:b/>
                <w:bCs/>
                <w:caps/>
                <w:snapToGrid w:val="0"/>
                <w:sz w:val="22"/>
                <w:szCs w:val="22"/>
                <w:lang w:val="es-ES_tradnl" w:eastAsia="zh-CN"/>
              </w:rPr>
            </w:pPr>
            <w:r w:rsidRPr="00800C71">
              <w:rPr>
                <w:rFonts w:ascii="Arial" w:eastAsia="SimSun" w:hAnsi="Arial"/>
                <w:b/>
                <w:bCs/>
                <w:caps/>
                <w:snapToGrid w:val="0"/>
                <w:sz w:val="22"/>
                <w:szCs w:val="22"/>
                <w:lang w:val="es-ES_tradnl" w:eastAsia="zh-CN"/>
              </w:rPr>
              <w:t>ESTADO DE</w:t>
            </w:r>
            <w:r w:rsidR="005C58A5" w:rsidRPr="00800C71">
              <w:rPr>
                <w:rFonts w:ascii="Arial" w:eastAsia="SimSun" w:hAnsi="Arial"/>
                <w:b/>
                <w:bCs/>
                <w:caps/>
                <w:snapToGrid w:val="0"/>
                <w:sz w:val="22"/>
                <w:szCs w:val="22"/>
                <w:lang w:val="es-ES_tradnl" w:eastAsia="zh-CN"/>
              </w:rPr>
              <w:t xml:space="preserve"> la ejecución del Decenio de las Naciones Unidas de las Ciencias Oceánicas para el Desarrollo Sostenible y perspectivas para 2024</w:t>
            </w:r>
          </w:p>
        </w:tc>
      </w:tr>
    </w:tbl>
    <w:p w14:paraId="13A04BCF" w14:textId="77777777" w:rsidR="00EA1C02" w:rsidRPr="00800C71" w:rsidRDefault="00EA1C02" w:rsidP="00C06866">
      <w:pPr>
        <w:tabs>
          <w:tab w:val="left" w:pos="-1440"/>
          <w:tab w:val="left" w:pos="-720"/>
          <w:tab w:val="left" w:pos="720"/>
          <w:tab w:val="left" w:pos="1440"/>
          <w:tab w:val="left" w:pos="2160"/>
          <w:tab w:val="left" w:pos="3600"/>
          <w:tab w:val="left" w:pos="4320"/>
          <w:tab w:val="left" w:pos="5040"/>
          <w:tab w:val="left" w:pos="5523"/>
          <w:tab w:val="left" w:pos="6480"/>
        </w:tabs>
        <w:spacing w:after="360" w:line="240" w:lineRule="auto"/>
        <w:jc w:val="center"/>
        <w:rPr>
          <w:rFonts w:ascii="Arial" w:hAnsi="Arial" w:cs="Arial"/>
          <w:caps/>
          <w:lang w:val="es-ES_tradnl"/>
        </w:rPr>
      </w:pPr>
    </w:p>
    <w:tbl>
      <w:tblPr>
        <w:tblStyle w:val="Tablaconcuadrcula"/>
        <w:tblW w:w="0" w:type="auto"/>
        <w:jc w:val="center"/>
        <w:tblCellMar>
          <w:top w:w="284" w:type="dxa"/>
          <w:left w:w="340" w:type="dxa"/>
          <w:bottom w:w="28" w:type="dxa"/>
          <w:right w:w="340" w:type="dxa"/>
        </w:tblCellMar>
        <w:tblLook w:val="04A0" w:firstRow="1" w:lastRow="0" w:firstColumn="1" w:lastColumn="0" w:noHBand="0" w:noVBand="1"/>
      </w:tblPr>
      <w:tblGrid>
        <w:gridCol w:w="7083"/>
      </w:tblGrid>
      <w:tr w:rsidR="007C13AF" w:rsidRPr="00800C71" w14:paraId="6495551A" w14:textId="77777777" w:rsidTr="005C58A5">
        <w:trPr>
          <w:jc w:val="center"/>
        </w:trPr>
        <w:tc>
          <w:tcPr>
            <w:tcW w:w="7083" w:type="dxa"/>
            <w:tcMar>
              <w:left w:w="284" w:type="dxa"/>
              <w:bottom w:w="85" w:type="dxa"/>
              <w:right w:w="284" w:type="dxa"/>
            </w:tcMar>
          </w:tcPr>
          <w:p w14:paraId="078903BE" w14:textId="77777777" w:rsidR="009A7585" w:rsidRPr="00800C71" w:rsidRDefault="00334B9F" w:rsidP="009A7585">
            <w:pPr>
              <w:tabs>
                <w:tab w:val="left" w:pos="567"/>
              </w:tabs>
              <w:snapToGrid w:val="0"/>
              <w:spacing w:after="240"/>
              <w:jc w:val="center"/>
              <w:rPr>
                <w:rFonts w:ascii="Arial" w:eastAsia="SimSun" w:hAnsi="Arial"/>
                <w:snapToGrid w:val="0"/>
                <w:sz w:val="22"/>
                <w:szCs w:val="22"/>
                <w:lang w:val="es-ES_tradnl" w:eastAsia="zh-CN"/>
              </w:rPr>
            </w:pPr>
            <w:r w:rsidRPr="00800C71">
              <w:rPr>
                <w:rFonts w:ascii="Arial" w:eastAsia="Times New Roman" w:hAnsi="Arial"/>
                <w:snapToGrid w:val="0"/>
                <w:sz w:val="22"/>
                <w:szCs w:val="22"/>
                <w:u w:val="single"/>
                <w:lang w:val="es-ES_tradnl"/>
              </w:rPr>
              <w:t>Resumen</w:t>
            </w:r>
          </w:p>
          <w:p w14:paraId="5A161964" w14:textId="347BAB43" w:rsidR="005C58A5" w:rsidRPr="00800C71" w:rsidRDefault="005C58A5" w:rsidP="005C58A5">
            <w:pPr>
              <w:tabs>
                <w:tab w:val="left" w:pos="567"/>
              </w:tabs>
              <w:snapToGrid w:val="0"/>
              <w:spacing w:after="240"/>
              <w:jc w:val="both"/>
              <w:rPr>
                <w:rFonts w:ascii="Arial" w:eastAsia="DengXian" w:hAnsi="Arial" w:cs="Arial"/>
                <w:sz w:val="22"/>
                <w:szCs w:val="22"/>
                <w:lang w:val="es-ES_tradnl" w:eastAsia="zh-CN"/>
              </w:rPr>
            </w:pPr>
            <w:r w:rsidRPr="00800C71">
              <w:rPr>
                <w:rFonts w:ascii="Arial" w:eastAsia="DengXian" w:hAnsi="Arial" w:cs="Arial"/>
                <w:sz w:val="22"/>
                <w:szCs w:val="22"/>
                <w:lang w:val="es-ES_tradnl" w:eastAsia="zh-CN"/>
              </w:rPr>
              <w:t xml:space="preserve">De conformidad con la resolución EC-55/1, en este documento se proporciona información sobre los principales resultados de la ejecución del Decenio del Océano en los cuatro pilares principales de actividad, a saber, i) las acciones del Decenio; ii) las estructuras de gobernanza y coordinación y los grupos de trabajo </w:t>
            </w:r>
            <w:r w:rsidR="00BA01F8" w:rsidRPr="00800C71">
              <w:rPr>
                <w:rFonts w:ascii="Arial" w:eastAsia="DengXian" w:hAnsi="Arial" w:cs="Arial"/>
                <w:sz w:val="22"/>
                <w:szCs w:val="22"/>
                <w:lang w:val="es-ES_tradnl" w:eastAsia="zh-CN"/>
              </w:rPr>
              <w:t>oficiosos</w:t>
            </w:r>
            <w:r w:rsidRPr="00800C71">
              <w:rPr>
                <w:rFonts w:ascii="Arial" w:eastAsia="DengXian" w:hAnsi="Arial" w:cs="Arial"/>
                <w:sz w:val="22"/>
                <w:szCs w:val="22"/>
                <w:lang w:val="es-ES_tradnl" w:eastAsia="zh-CN"/>
              </w:rPr>
              <w:t>; iii) la movilización de recursos; y iv) la participación de las partes interesadas y el alcance durante el período comprendido entre junio de 2021 y mayo de 2023. Se definen los desafíos restantes y las oportunidades en los distintos pilares y, por último, se presenta una visión y una perspectiva para 2023–2024 y los años posteriores.</w:t>
            </w:r>
          </w:p>
          <w:p w14:paraId="1CD90026" w14:textId="77777777" w:rsidR="005C58A5" w:rsidRPr="00800C71" w:rsidRDefault="005C58A5" w:rsidP="005C58A5">
            <w:pPr>
              <w:tabs>
                <w:tab w:val="left" w:pos="567"/>
              </w:tabs>
              <w:snapToGrid w:val="0"/>
              <w:spacing w:after="240"/>
              <w:jc w:val="both"/>
              <w:rPr>
                <w:rFonts w:ascii="Arial" w:eastAsia="DengXian" w:hAnsi="Arial" w:cs="Arial"/>
                <w:sz w:val="22"/>
                <w:szCs w:val="22"/>
                <w:lang w:val="es-ES_tradnl" w:eastAsia="zh-CN"/>
              </w:rPr>
            </w:pPr>
            <w:r w:rsidRPr="00800C71">
              <w:rPr>
                <w:rFonts w:ascii="Arial" w:eastAsia="DengXian" w:hAnsi="Arial" w:cs="Arial"/>
                <w:sz w:val="22"/>
                <w:szCs w:val="22"/>
                <w:u w:val="single"/>
                <w:lang w:val="es-ES_tradnl" w:eastAsia="zh-CN"/>
              </w:rPr>
              <w:t>Repercusiones financieras</w:t>
            </w:r>
            <w:r w:rsidRPr="00800C71">
              <w:rPr>
                <w:rFonts w:ascii="Arial" w:eastAsia="DengXian" w:hAnsi="Arial" w:cs="Arial"/>
                <w:sz w:val="22"/>
                <w:szCs w:val="22"/>
                <w:lang w:val="es-ES_tradnl" w:eastAsia="zh-CN"/>
              </w:rPr>
              <w:t>: párrafos 17 a 22.</w:t>
            </w:r>
          </w:p>
          <w:p w14:paraId="2E6144B3" w14:textId="07660AD3" w:rsidR="007C13AF" w:rsidRPr="00800C71" w:rsidRDefault="005C58A5" w:rsidP="005C58A5">
            <w:pPr>
              <w:tabs>
                <w:tab w:val="left" w:pos="567"/>
              </w:tabs>
              <w:snapToGrid w:val="0"/>
              <w:spacing w:after="240"/>
              <w:jc w:val="both"/>
              <w:rPr>
                <w:rFonts w:ascii="Arial" w:eastAsia="Times New Roman" w:hAnsi="Arial"/>
                <w:snapToGrid w:val="0"/>
                <w:szCs w:val="22"/>
                <w:lang w:val="es-ES_tradnl"/>
              </w:rPr>
            </w:pPr>
            <w:r w:rsidRPr="00800C71">
              <w:rPr>
                <w:rFonts w:ascii="Arial" w:eastAsia="DengXian" w:hAnsi="Arial" w:cs="Arial"/>
                <w:sz w:val="22"/>
                <w:szCs w:val="22"/>
                <w:u w:val="single"/>
                <w:lang w:val="es-ES_tradnl" w:eastAsia="zh-CN"/>
              </w:rPr>
              <w:t>Resolución propuesta</w:t>
            </w:r>
            <w:r w:rsidRPr="00800C71">
              <w:rPr>
                <w:rFonts w:ascii="Arial" w:eastAsia="DengXian" w:hAnsi="Arial" w:cs="Arial"/>
                <w:sz w:val="22"/>
                <w:szCs w:val="22"/>
                <w:lang w:val="es-ES_tradnl" w:eastAsia="zh-CN"/>
              </w:rPr>
              <w:t xml:space="preserve">: </w:t>
            </w:r>
            <w:r w:rsidR="00606E41" w:rsidRPr="00800C71">
              <w:rPr>
                <w:rFonts w:ascii="Arial" w:eastAsia="DengXian" w:hAnsi="Arial" w:cs="Arial"/>
                <w:sz w:val="22"/>
                <w:szCs w:val="22"/>
                <w:lang w:val="es-ES_tradnl" w:eastAsia="zh-CN"/>
              </w:rPr>
              <w:t>s</w:t>
            </w:r>
            <w:r w:rsidRPr="00800C71">
              <w:rPr>
                <w:rFonts w:ascii="Arial" w:eastAsia="DengXian" w:hAnsi="Arial" w:cs="Arial"/>
                <w:sz w:val="22"/>
                <w:szCs w:val="22"/>
                <w:lang w:val="es-ES_tradnl" w:eastAsia="zh-CN"/>
              </w:rPr>
              <w:t>e invita a la Asamblea a examinar el proyecto de resolución que lleva la referencia A-32/[4.12] en el documento de decisión provisional (documento IOC</w:t>
            </w:r>
            <w:r w:rsidR="00606E41" w:rsidRPr="00800C71">
              <w:rPr>
                <w:rFonts w:ascii="Arial" w:eastAsia="DengXian" w:hAnsi="Arial" w:cs="Arial"/>
                <w:sz w:val="22"/>
                <w:szCs w:val="22"/>
                <w:lang w:val="es-ES_tradnl" w:eastAsia="zh-CN"/>
              </w:rPr>
              <w:t>/A</w:t>
            </w:r>
            <w:r w:rsidRPr="00800C71">
              <w:rPr>
                <w:rFonts w:ascii="Arial" w:eastAsia="DengXian" w:hAnsi="Arial" w:cs="Arial"/>
                <w:sz w:val="22"/>
                <w:szCs w:val="22"/>
                <w:lang w:val="es-ES_tradnl" w:eastAsia="zh-CN"/>
              </w:rPr>
              <w:t>-32/AP Prov.).</w:t>
            </w:r>
          </w:p>
        </w:tc>
      </w:tr>
    </w:tbl>
    <w:p w14:paraId="4FEEAAA0" w14:textId="77777777" w:rsidR="00F9513F" w:rsidRPr="00800C71" w:rsidRDefault="00F9513F" w:rsidP="00A62288">
      <w:pPr>
        <w:tabs>
          <w:tab w:val="left" w:pos="567"/>
        </w:tabs>
        <w:snapToGrid w:val="0"/>
        <w:spacing w:after="0" w:line="240" w:lineRule="auto"/>
        <w:jc w:val="both"/>
        <w:rPr>
          <w:rFonts w:ascii="Arial" w:eastAsia="Times New Roman" w:hAnsi="Arial" w:cs="Arial"/>
          <w:snapToGrid w:val="0"/>
          <w:szCs w:val="24"/>
          <w:lang w:val="es-ES_tradnl"/>
        </w:rPr>
      </w:pPr>
    </w:p>
    <w:p w14:paraId="12149059" w14:textId="77777777" w:rsidR="00270E93" w:rsidRPr="00800C71" w:rsidRDefault="00270E93" w:rsidP="00A62288">
      <w:pPr>
        <w:tabs>
          <w:tab w:val="left" w:pos="567"/>
        </w:tabs>
        <w:snapToGrid w:val="0"/>
        <w:spacing w:after="0" w:line="240" w:lineRule="auto"/>
        <w:jc w:val="both"/>
        <w:rPr>
          <w:rFonts w:ascii="Arial" w:eastAsia="Times New Roman" w:hAnsi="Arial" w:cs="Arial"/>
          <w:snapToGrid w:val="0"/>
          <w:szCs w:val="24"/>
          <w:lang w:val="es-ES_tradnl"/>
        </w:rPr>
        <w:sectPr w:rsidR="00270E93" w:rsidRPr="00800C71" w:rsidSect="009A7585">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680" w:footer="680" w:gutter="0"/>
          <w:cols w:space="708"/>
          <w:titlePg/>
          <w:docGrid w:linePitch="360"/>
        </w:sectPr>
      </w:pPr>
    </w:p>
    <w:p w14:paraId="078BCDDF" w14:textId="77777777"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szCs w:val="24"/>
          <w:lang w:val="es-ES_tradnl"/>
        </w:rPr>
      </w:pPr>
      <w:r w:rsidRPr="00800C71">
        <w:rPr>
          <w:rFonts w:ascii="Arial" w:eastAsia="Times New Roman" w:hAnsi="Arial" w:cs="Arial"/>
          <w:snapToGrid w:val="0"/>
          <w:szCs w:val="24"/>
          <w:lang w:val="es-ES_tradnl"/>
        </w:rPr>
        <w:lastRenderedPageBreak/>
        <w:t>En diciembre de 2017, sobre la base de las iniciativas de los Estados Miembros de la COI y la Secretaría de la COI, la Asamblea General de las Naciones Unidas proclamó el Decenio de las Naciones Unidas de las Ciencias Oceánicas para el Desarrollo Sostenible de 2021 a 2030, en adelante el Decenio del Océano. El Decenio del Océano es una oportunidad única para lograr un cambio radical en la generación y el uso de las ciencias oceánicas. Influirá en la forma en que los países invierten y participan en la ciencia y la innovación para adoptar metas sociales y alinear la inversión en investigación, y así contribuir a la consecución de objetivos comunes, incluida la Agenda 2030.</w:t>
      </w:r>
    </w:p>
    <w:p w14:paraId="196599BD" w14:textId="1C1D3DC7"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Times New Roman" w:hAnsi="Arial" w:cs="Arial"/>
          <w:bCs/>
          <w:snapToGrid w:val="0"/>
          <w:lang w:val="es-ES_tradnl"/>
        </w:rPr>
      </w:pPr>
      <w:r w:rsidRPr="00800C71">
        <w:rPr>
          <w:rFonts w:ascii="Arial" w:eastAsia="Times New Roman" w:hAnsi="Arial" w:cs="Arial"/>
          <w:snapToGrid w:val="0"/>
          <w:szCs w:val="24"/>
          <w:lang w:val="es-ES_tradnl"/>
        </w:rPr>
        <w:t>De conformidad con la resolución A/RES/72/73 de la Asamblea General de las Naciones Unidas y la resolución EC-LI.1 de la COI, tras la fase preparatoria del Decenio de las Naciones Unidas de las Ciencias Oceánicas para el Desarrollo Sostenible (2021-2030), de la que se informa en los documentos IOC-XXX/2 Anexo 3 (2019), IOC/EC-53/4.1.Doc(1)Rev. (2020), IOC/A</w:t>
      </w:r>
      <w:r w:rsidR="0005515E" w:rsidRPr="00800C71">
        <w:rPr>
          <w:rFonts w:ascii="Arial" w:eastAsia="Times New Roman" w:hAnsi="Arial" w:cs="Arial"/>
          <w:snapToGrid w:val="0"/>
          <w:szCs w:val="24"/>
          <w:lang w:val="es-ES_tradnl"/>
        </w:rPr>
        <w:noBreakHyphen/>
      </w:r>
      <w:r w:rsidRPr="00800C71">
        <w:rPr>
          <w:rFonts w:ascii="Arial" w:eastAsia="Times New Roman" w:hAnsi="Arial" w:cs="Arial"/>
          <w:snapToGrid w:val="0"/>
          <w:szCs w:val="24"/>
          <w:lang w:val="es-ES_tradnl"/>
        </w:rPr>
        <w:t>31/3.7.Doc(2) (2021) e IOC/EC-55/4.1.Doc(2) (2022), el período comprendido entre junio de 2021 y mayo de 2023 ha experimentado una intensa y continua actividad en la ejecución del Decenio del Océano.</w:t>
      </w:r>
    </w:p>
    <w:p w14:paraId="69C7A433" w14:textId="77777777"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800C71">
        <w:rPr>
          <w:rFonts w:ascii="Arial" w:eastAsia="Times New Roman" w:hAnsi="Arial" w:cs="Arial"/>
          <w:snapToGrid w:val="0"/>
          <w:szCs w:val="24"/>
          <w:lang w:val="es-ES_tradnl"/>
        </w:rPr>
        <w:t>Este periodo abarcó los dos primeros años esenciales de la puesta en marcha del Decenio del Océano, que fueron de intensa actividad en numerosos frentes. Se han realizado importantes esfuerzos en materia de compromiso y visibilidad, se ha creado una cartera de acciones del Decenio sólida y adecuadamente fundada, y se ha establecido una arquitectura central y descentralizada para la gobernanza y la coordinación del Decenio.</w:t>
      </w:r>
    </w:p>
    <w:p w14:paraId="2AF32FBD" w14:textId="77777777" w:rsidR="005C58A5" w:rsidRPr="00800C71" w:rsidRDefault="005C58A5" w:rsidP="0005515E">
      <w:pPr>
        <w:keepNext/>
        <w:tabs>
          <w:tab w:val="left" w:pos="709"/>
        </w:tabs>
        <w:adjustRightInd w:val="0"/>
        <w:snapToGrid w:val="0"/>
        <w:spacing w:after="240" w:line="240" w:lineRule="auto"/>
        <w:jc w:val="both"/>
        <w:textAlignment w:val="baseline"/>
        <w:rPr>
          <w:rFonts w:ascii="Arial" w:eastAsia="Arial" w:hAnsi="Arial" w:cs="Arial"/>
          <w:b/>
          <w:bCs/>
          <w:snapToGrid w:val="0"/>
          <w:color w:val="000000"/>
          <w:szCs w:val="24"/>
          <w:lang w:val="es-ES_tradnl"/>
        </w:rPr>
      </w:pPr>
      <w:r w:rsidRPr="00800C71">
        <w:rPr>
          <w:rFonts w:ascii="Arial" w:eastAsia="Times New Roman" w:hAnsi="Arial" w:cs="Arial"/>
          <w:b/>
          <w:bCs/>
          <w:snapToGrid w:val="0"/>
          <w:szCs w:val="24"/>
          <w:lang w:val="es-ES_tradnl"/>
        </w:rPr>
        <w:t>Acciones del Decenio</w:t>
      </w:r>
    </w:p>
    <w:p w14:paraId="4E7B3F20" w14:textId="77777777"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800C71">
        <w:rPr>
          <w:rFonts w:ascii="Arial" w:eastAsia="Times New Roman" w:hAnsi="Arial" w:cs="Arial"/>
          <w:snapToGrid w:val="0"/>
          <w:szCs w:val="24"/>
          <w:lang w:val="es-ES_tradnl"/>
        </w:rPr>
        <w:t>Desde la primera Convocatoria de Acciones del Decenio (n.º 01/2020) que solicitaba unas 250 contribuciones potenciales, se han puesto en marcha otras cuatro convocatorias de acciones del Decenio durante este periodo. La Convocatoria de Acciones del Decenio n.º 02/2021 comenzó en octubre de 2021 y se cerró el 31 de enero de 2022. En dicha convocatoria se solicitaban programas que contribuyeran a los desafíos del Decenio del Océano relacionados con la contaminación del mar, la gestión y restauración de los ecosistemas y el nexo entre el océano y el clima. En la tercera Convocatoria de Acciones del Decenio (n.º 03/2022), que se inició el 15 de abril de 2022 y se cerró el 30 de agosto de 2022, se solicitaban programas que contribuyeran a los desafíos del Decenio del Océano relacionados con la alimentación azul sostenible y la economía oceánica sostenible, así como proyectos para 16 programas aprobados del Decenio. Esta convocatoria también solicitaba contribuciones en especie o financieras para apoyar las acciones del Decenio en los pequeños Estados insulares en desarrollo (PEID) de África y el Pacífico. La Convocatoria de Acciones del Decenio n.º 04/2022 se abrió el 15 de octubre de 2022 y se cerró el 31 de enero, y solicitaba programas relacionados con el ecosistema oceánico digital y la resiliencia costera. La Convocatoria de Acciones del Decenio n.º 05/2023, que se abrió el 15 de abril de 2023 y se cerrará el 31 de agosto de 2023, solicita programas relacionados con la contaminación del mar, centrándose en los subtemas de la contaminación por plásticos y nutrientes, y programas relacionados con la gestión y restauración de ecosistemas, con especial atención a los mecanismos de gestión por áreas, la restauración de ecosistemas y los múltiples factores de perturbación oceánicos. En todas las convocatorias de acciones del Decenio también se solicitaron proyectos que se pudieran integrar en los programas del Decenio ya aprobados.</w:t>
      </w:r>
    </w:p>
    <w:p w14:paraId="693183D1" w14:textId="77777777"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800C71">
        <w:rPr>
          <w:rFonts w:ascii="Arial" w:eastAsia="Times New Roman" w:hAnsi="Arial" w:cs="Arial"/>
          <w:snapToGrid w:val="0"/>
          <w:szCs w:val="24"/>
          <w:lang w:val="es-ES_tradnl"/>
        </w:rPr>
        <w:t>Hasta mayo de 2023, las convocatorias de acciones del Decenio han dado lugar a la aprobación de 47 programas, 235 proyectos y 79 contribuciones. Se espera que en junio de 2023 se apruebe un conjunto adicional de acciones del Decenio que incluya un nuevo programa y más de 30 proyectos. La cartera de acciones del Decenio abarca todas las cuencas oceánicas y los 10 desafíos del Decenio. Representa el trabajo colectivo de miles de personas y cientos de instituciones, y es una muestra del interés significativo y mundial que sigue suscitando el Decenio del Océano.</w:t>
      </w:r>
    </w:p>
    <w:p w14:paraId="2B9AD6EC" w14:textId="77777777"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800C71">
        <w:rPr>
          <w:rFonts w:ascii="Arial" w:eastAsia="Times New Roman" w:hAnsi="Arial" w:cs="Arial"/>
          <w:snapToGrid w:val="0"/>
          <w:szCs w:val="24"/>
          <w:lang w:val="es-ES_tradnl"/>
        </w:rPr>
        <w:lastRenderedPageBreak/>
        <w:t>La primera iteración del marco de seguimiento y evaluación del Decenio del Océano se puso en marcha en enero de 2022 y en el momento de preparar este documento el 49 % de las acciones del Decenio habían completado sus informes y, a pesar de que no todas las acciones del Decenio informaron, los datos presentados permiten observar tendencias notables en una serie de cuestiones relacionadas con la ejecución del Decenio. Salvo que se indique lo contrario, los siguientes análisis se basan en los datos comunicados por este subconjunto de acciones del Decenio.</w:t>
      </w:r>
    </w:p>
    <w:p w14:paraId="6E33E815" w14:textId="77777777"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800C71">
        <w:rPr>
          <w:rFonts w:ascii="Arial" w:eastAsia="Times New Roman" w:hAnsi="Arial" w:cs="Arial"/>
          <w:snapToGrid w:val="0"/>
          <w:szCs w:val="24"/>
          <w:lang w:val="es-ES_tradnl"/>
        </w:rPr>
        <w:t>En cuanto al liderazgo de las acciones del Decenio, el 39 % están dirigidas por asociados norteamericanos, el 30 % por asociados europeos y el 14 % por asociados de Asia-Pacífico. Las principales instituciones que participan en las acciones del Decenio son sobre todo centros de investigación, seguidas de gobiernos y universidades. Se identificaron más de 3700 instituciones asociadas, que presentan características similares en cuanto a distribución geográfica y tipo de institución. Según los informes de las acciones del Decenio, el 57 % de las personas que participaban en ellas eran mujeres frente a un 43 % de hombres. Más de 4500 profesionales oceánicos en el inicio de sus carreras participan directamente en las actividades del Decenio.</w:t>
      </w:r>
    </w:p>
    <w:p w14:paraId="585B715A" w14:textId="77777777"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800C71">
        <w:rPr>
          <w:rFonts w:ascii="Arial" w:eastAsia="Times New Roman" w:hAnsi="Arial" w:cs="Arial"/>
          <w:snapToGrid w:val="0"/>
          <w:szCs w:val="24"/>
          <w:lang w:val="es-ES_tradnl"/>
        </w:rPr>
        <w:t>Persisten notables lagunas geográficas en la cartera de acciones del Decenio. La participación de los asociados en los PEID sigue siendo muy baja. Según los datos facilitados, sólo el 6 % de las acciones del Decenio se realizan en los PEID, y de éstas, menos de la mitad están dirigidas por asociados de los PEID. Y sólo el 4 % de las acciones del Decenio son dirigidas por asociados de África. Se han iniciado esfuerzos concertados y específicos para aumentar el compromiso en los PEID y en África, entre otras cosas mediante la elaboración y la puesta en marcha de la hoja de ruta para África del Decenio del Océano y la creación del grupo de trabajo para África del Decenio del Océano, así como la elaboración de un curso de formación para fomentar la concepción conjunta destinado a asociados africanos. Se ha completado un estudio preliminar y una evaluación de las necesidades de recursos para el establecimiento de una Oficina de Coordinación del Decenio en la oficina de la Subcomisión de la COI para África y Estados Insulares Adyacentes (IOCAFRICA), que se presentó en la séptima reunión de IOCAFRICA en marzo de 2023. Del mismo modo, se va a establecer un grupo de trabajo para las Américas Tropicales y el Caribe que supervisará la elaboración de una estrategia regional del Decenio del Océano para esta región, y se presentó un estudio preliminar para la creación de una oficina de coordinación del Decenio en la oficina de la Subcomisión de la COI para el Caribe y Regiones Adyacentes (IOCARIBE) en la 17ª reunión de IOCARIBE en mayo de 2023. Se sigue trabajando con asociados del Pacífico Sur para crear un centro de colaboración del Decenio. Se necesitarán recursos financieros y en especie adicionales para impulsar plenamente estas medidas en África y los PEID y garantizar un mayor compromiso de estos países en el Decenio.</w:t>
      </w:r>
    </w:p>
    <w:p w14:paraId="4718701F" w14:textId="77777777"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800C71">
        <w:rPr>
          <w:rFonts w:ascii="Arial" w:eastAsia="Times New Roman" w:hAnsi="Arial" w:cs="Arial"/>
          <w:snapToGrid w:val="0"/>
          <w:szCs w:val="24"/>
          <w:lang w:val="es-ES_tradnl"/>
        </w:rPr>
        <w:t>Según los informes, las acciones del Decenio generaron aproximadamente 25 000 productos del conocimiento, incluida literatura científica y una amplia gama de otros tipos de productos del conocimiento; la mayor parte de productos del conocimiento estaban relacionados con los desafíos 1 (contaminación del mar), 2 (gestión de los ecosistemas) y 9 (capacidades y conocimientos para todos los desafíos del Decenio del Océano). Las acciones del Decenio informaron de 21 000 casos de asimilación de conocimientos, que se plasmaron en citas científicas, o incorporaciones a la política, la gestión, la educación u otros usos. Los desafíos 9 (capacidades y conocimientos para todos), 5 (nexo océano-clima) y 1 (contaminación del mar) fueron los más citados en cuanto a integración de conocimientos.</w:t>
      </w:r>
    </w:p>
    <w:p w14:paraId="0F923AB8" w14:textId="77777777"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800C71">
        <w:rPr>
          <w:rFonts w:ascii="Arial" w:eastAsia="Times New Roman" w:hAnsi="Arial" w:cs="Arial"/>
          <w:snapToGrid w:val="0"/>
          <w:szCs w:val="24"/>
          <w:lang w:val="es-ES_tradnl"/>
        </w:rPr>
        <w:t>Según los datos proporcionados, las acciones del Decenio impulsaron casi 4000 iniciativas de desarrollo de capacidades, centradas en gran medida en los profesionales oceánicos en el inicio de sus carreras. El mecanismo de desarrollo de capacidades del Decenio del Océano, apoyado por el Gobierno de Flandes (Reino de Bélgica), será plenamente operativo en los próximos meses y proporcionará un marco para el desarrollo de capacidades como parte del Decenio del Océano.</w:t>
      </w:r>
    </w:p>
    <w:p w14:paraId="77E35612" w14:textId="77777777"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800C71">
        <w:rPr>
          <w:rFonts w:ascii="Arial" w:eastAsia="Times New Roman" w:hAnsi="Arial" w:cs="Arial"/>
          <w:snapToGrid w:val="0"/>
          <w:szCs w:val="24"/>
          <w:lang w:val="es-ES_tradnl"/>
        </w:rPr>
        <w:t xml:space="preserve">La Comisión Oceanográfica Intergubernamental (COI) dirige 16 programas y proyectos del Decenio sobre diversos temas y participa activamente en varios otros. La contribución de la COI al </w:t>
      </w:r>
      <w:r w:rsidRPr="00800C71">
        <w:rPr>
          <w:rFonts w:ascii="Arial" w:eastAsia="Times New Roman" w:hAnsi="Arial" w:cs="Arial"/>
          <w:snapToGrid w:val="0"/>
          <w:szCs w:val="24"/>
          <w:lang w:val="es-ES_tradnl"/>
        </w:rPr>
        <w:lastRenderedPageBreak/>
        <w:t>Decenio tiene un gran potencial de refuerzo en materia de recursos humanos y labor programática básica. Sin embargo, se necesitan recursos adicionales para garantizar la plena operatividad de estas iniciativas. El documento IOC/INF-1425 proporciona información adicional sobre la contribución de la COI al Decenio, así como un resumen de las necesidades de recursos. Además de las acciones del Decenio dirigidas por la COI, otras entidades de las Naciones Unidas, entre ellas la FAO y el PNUMA, coordinan un pequeño número de acciones. El documento IOC/INF-1428 presenta los resultados de un análisis y un plan de acción para canalizar el interés expresado por otras entidades de las Naciones Unidas de reforzar su participación en el Decenio del Océano.</w:t>
      </w:r>
    </w:p>
    <w:p w14:paraId="6769D757" w14:textId="26BD18C3" w:rsidR="005C58A5" w:rsidRPr="00800C71" w:rsidRDefault="005C58A5" w:rsidP="0005515E">
      <w:pPr>
        <w:keepNext/>
        <w:spacing w:after="160" w:line="259" w:lineRule="auto"/>
        <w:rPr>
          <w:rFonts w:ascii="Arial" w:eastAsia="Arial" w:hAnsi="Arial" w:cs="Arial"/>
          <w:b/>
          <w:bCs/>
          <w:color w:val="000000"/>
          <w:lang w:val="es-ES_tradnl" w:eastAsia="zh-CN"/>
        </w:rPr>
      </w:pPr>
      <w:r w:rsidRPr="00800C71">
        <w:rPr>
          <w:rFonts w:ascii="Arial" w:eastAsia="DengXian" w:hAnsi="Arial" w:cs="Arial"/>
          <w:b/>
          <w:bCs/>
          <w:lang w:val="es-ES_tradnl" w:eastAsia="zh-CN"/>
        </w:rPr>
        <w:t xml:space="preserve">Estructuras de gobernanza y coordinación y grupos de trabajo </w:t>
      </w:r>
      <w:r w:rsidR="00606E41" w:rsidRPr="00800C71">
        <w:rPr>
          <w:rFonts w:ascii="Arial" w:eastAsia="DengXian" w:hAnsi="Arial" w:cs="Arial"/>
          <w:b/>
          <w:bCs/>
          <w:lang w:val="es-ES_tradnl" w:eastAsia="zh-CN"/>
        </w:rPr>
        <w:t>oficiosos</w:t>
      </w:r>
    </w:p>
    <w:p w14:paraId="62770689" w14:textId="77777777"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800C71">
        <w:rPr>
          <w:rFonts w:ascii="Arial" w:eastAsia="Times New Roman" w:hAnsi="Arial" w:cs="Arial"/>
          <w:snapToGrid w:val="0"/>
          <w:szCs w:val="24"/>
          <w:lang w:val="es-ES_tradnl"/>
        </w:rPr>
        <w:t>Se celebraron dos reuniones de la Junta Asesora del Decenio provisional antes de que el grupo se disolviera a finales de 2021. La Junta Asesora del Decenio, que se constituyó en diciembre de 2021, celebró su sesión inicial en enero de 2022 y más adelante —marzo de 2022— su primera reunión operativa presencial. Siguieron tres sesiones en línea en 2022 y principios de 2023, y la segunda reunión presencial de la Junta se celebró en mayo de 2023. Durante sus reuniones, la Junta examinó recomendaciones relacionadas con la aprobación de programas del Decenio de las convocatorias de acciones del Decenio y debatió una serie de cuestiones estratégicas referentes a la evaluación de los progresos del Decenio, la movilización de recursos, la importancia de los conocimientos indígenas y locales para el Decenio y los medios para aumentar la participación de los pequeños Estados insulares en desarrollo y los países menos adelantados. En el documento IOC/INF-1426 se presenta un resumen de la labor de la Junta durante este periodo.</w:t>
      </w:r>
    </w:p>
    <w:p w14:paraId="0B429F1F" w14:textId="3DC7A8E1"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iCs/>
          <w:snapToGrid w:val="0"/>
          <w:color w:val="000000"/>
          <w:lang w:val="es-ES_tradnl"/>
        </w:rPr>
      </w:pPr>
      <w:r w:rsidRPr="00800C71">
        <w:rPr>
          <w:rFonts w:ascii="Arial" w:eastAsia="Times New Roman" w:hAnsi="Arial" w:cs="Arial"/>
          <w:snapToGrid w:val="0"/>
          <w:szCs w:val="24"/>
          <w:lang w:val="es-ES_tradnl"/>
        </w:rPr>
        <w:t>Durante este periodo, se crearon tres oficinas de coordinación del Decenio, seis centros de colaboración del Decenio y nueve asociaciones para la ejecución del Decenio. Las oficinas de coordinación del Decenio y los centros de colaboración del Decenio desempeñan un papel esencial de apoyo a la Unidad de Coordinación del Decenio para coordinar las acciones del Decenio, catalizar nuevas iniciativas, fomentar la participación de las partes interesadas, movilizar recursos e informar sobre el Decenio. La Comisión Oceanográfica Intergubernamental (COI) acoge las tres oficinas de coordinación del Decenio (Región del Pacífico Occidental - WESTPAC; intercambio de datos - IODE; y observaciones oceánicas - GOOS). El primero de ellos cuenta con el apoyo de Tailandia, pero se necesitan recursos adicionales para la plena operatividad las oficinas de coordinación del Decenio en materia de intercambio de datos y observación de los océanos. Los centros de colaboración del Decenio han sido creados por los asociados y cuentan con todos los recursos y financiación necesarios. El documento IOC/INF-1425 proporciona información sobre los centros de colaboración del Decenio existentes. En la actualidad se estudia la posibilidad de que las oficinas de coordinación del Decenio de IOCAFRICA e IOCARIBE desempeñen una función esencial de coordinación regional, y se debate con los asociados la creación de centros de colaboración del Decenio para las regiones del océano Antártico, el océano Ártico y el Pacífico Sur.</w:t>
      </w:r>
    </w:p>
    <w:p w14:paraId="15DF2A93" w14:textId="77777777"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800C71">
        <w:rPr>
          <w:rFonts w:ascii="Arial" w:eastAsia="Times New Roman" w:hAnsi="Arial" w:cs="Arial"/>
          <w:snapToGrid w:val="0"/>
          <w:szCs w:val="24"/>
          <w:lang w:val="es-ES_tradnl"/>
        </w:rPr>
        <w:t>Los centros de colaboración del Decenio indicaron que, desde el inicio de sus operaciones en el segundo semestre de 2022, han puesto en marcha un total de más de 350 iniciativas de desarrollo de capacidades dirigidas a más de 27 000 beneficiarios, de los cuales el 56 % eran mujeres y el 28 % eran profesionales oceánicos en el inicio de sus carreras. Informaron asimismo de que han impulsado el desarrollo de 13 nuevas acciones del Decenio.</w:t>
      </w:r>
    </w:p>
    <w:p w14:paraId="2D7119BA" w14:textId="77777777"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800C71">
        <w:rPr>
          <w:rFonts w:ascii="Arial" w:eastAsia="Times New Roman" w:hAnsi="Arial" w:cs="Arial"/>
          <w:snapToGrid w:val="0"/>
          <w:szCs w:val="24"/>
          <w:lang w:val="es-ES_tradnl"/>
        </w:rPr>
        <w:t xml:space="preserve">Se han creado 34 comités nacionales del Decenio que impulsan diversas iniciativas para catalizar el interés y los recursos nacionales en favor del Decenio, y proporcionan una plataforma para debatir las prioridades nacionales vinculadas con el Decenio. Existen importantes lagunas en la cobertura mundial de los comités nacionales del Decenio, especialmente en los PEID. De los 34 comités actuales, 14 informaron a la primera edición del marco de seguimiento y evaluación. Estos comités reagrupan en total a 597 miembros, con una media de 42 miembros por comité. Por término medio, el 12 % de los miembros de los comités son profesionales oceánicos en el inicio de sus carreras y el 36 % son mujeres. Los comités informaron de la realización de un total de más de 500 actividades relacionadas con el Decenio que, según sus estimaciones, habrían alcanzado a más de </w:t>
      </w:r>
      <w:r w:rsidRPr="00800C71">
        <w:rPr>
          <w:rFonts w:ascii="Arial" w:eastAsia="Times New Roman" w:hAnsi="Arial" w:cs="Arial"/>
          <w:snapToGrid w:val="0"/>
          <w:szCs w:val="24"/>
          <w:lang w:val="es-ES_tradnl"/>
        </w:rPr>
        <w:lastRenderedPageBreak/>
        <w:t>un millón de personas. El documento IOC/INF-1429 presenta una publicación reciente elaborada con el conjunto de comités nacionales del Decenio existentes.</w:t>
      </w:r>
    </w:p>
    <w:p w14:paraId="66F4C39E" w14:textId="77777777"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800C71">
        <w:rPr>
          <w:rFonts w:ascii="Arial" w:eastAsia="Times New Roman" w:hAnsi="Arial" w:cs="Arial"/>
          <w:snapToGrid w:val="0"/>
          <w:szCs w:val="24"/>
          <w:lang w:val="es-ES_tradnl"/>
        </w:rPr>
        <w:t>En diciembre de 2021 se creó un grupo de coordinación de datos para respaldar la formulación y la aplicación de la estrategia del Decenio en materia de datos, información y conocimientos. El documento IOC/INF-1427 presenta la estrategia en materia de datos, información y conocimientos elaborada por este grupo, que guiará el desarrollo del ecosistema digital interoperable previsto en el marco del Decenio. Se ha creado un grupo de datos corporativos para explorar y desarrollar acciones que faciliten el intercambio de datos entre el sector privado y la comunidad científica. El grupo de comunicación estratégica se ha renovado y está formado por 25 expertos en comunicación que asesoran a la Unidad de Coordinación del Decenio en materia de herramientas y enfoques de comunicación. Se estableció una lista de expertos del Decenio del Océano, que cuenta con más de 220 miembros, a fin de crear un grupo de expertos que ayude a la Secretaría de la COI a determinar los objetivos estratégicos de los desafíos del Decenio del Océano, examinar las propuestas de programas del Decenio y llevar a cabo los procesos periódicos de examen del Decenio.</w:t>
      </w:r>
    </w:p>
    <w:p w14:paraId="57017670" w14:textId="77777777" w:rsidR="005C58A5" w:rsidRPr="00800C71" w:rsidRDefault="005C58A5" w:rsidP="0005515E">
      <w:pPr>
        <w:keepNext/>
        <w:tabs>
          <w:tab w:val="left" w:pos="709"/>
        </w:tabs>
        <w:spacing w:after="240" w:line="240" w:lineRule="auto"/>
        <w:rPr>
          <w:rFonts w:ascii="Arial" w:eastAsia="Arial" w:hAnsi="Arial" w:cs="Arial"/>
          <w:b/>
          <w:bCs/>
          <w:color w:val="000000"/>
          <w:lang w:val="es-ES_tradnl" w:eastAsia="zh-CN"/>
        </w:rPr>
      </w:pPr>
      <w:r w:rsidRPr="00800C71">
        <w:rPr>
          <w:rFonts w:ascii="Arial" w:eastAsia="DengXian" w:hAnsi="Arial" w:cs="Arial"/>
          <w:b/>
          <w:bCs/>
          <w:lang w:val="es-ES_tradnl" w:eastAsia="zh-CN"/>
        </w:rPr>
        <w:t>Movilización de recursos</w:t>
      </w:r>
      <w:r w:rsidRPr="00800C71">
        <w:rPr>
          <w:rFonts w:ascii="Arial" w:eastAsia="DengXian" w:hAnsi="Arial" w:cs="Arial"/>
          <w:lang w:val="es-ES_tradnl" w:eastAsia="zh-CN"/>
        </w:rPr>
        <w:t xml:space="preserve"> </w:t>
      </w:r>
    </w:p>
    <w:p w14:paraId="6E29920F" w14:textId="77777777"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800C71">
        <w:rPr>
          <w:rFonts w:ascii="Arial" w:eastAsia="Times New Roman" w:hAnsi="Arial" w:cs="Arial"/>
          <w:snapToGrid w:val="0"/>
          <w:szCs w:val="24"/>
          <w:lang w:val="es-ES_tradnl"/>
        </w:rPr>
        <w:t>Los siguientes Estados Miembros y organizaciones han aportado contribuciones en especie o financieras específicas para respaldar las actividades de coordinación del Decenio durante este período: Bélgica (Gobierno de Flandes), el Canadá, el Consejo de Investigación de Noruega, Francia, Fugro, el Japón, Noruega, Portugal, la República de Corea, REV-Ocean y Suecia.</w:t>
      </w:r>
    </w:p>
    <w:p w14:paraId="4BD52E74" w14:textId="77777777"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800C71">
        <w:rPr>
          <w:rFonts w:ascii="Arial" w:eastAsia="Times New Roman" w:hAnsi="Arial" w:cs="Arial"/>
          <w:snapToGrid w:val="0"/>
          <w:szCs w:val="24"/>
          <w:lang w:val="es-ES_tradnl"/>
        </w:rPr>
        <w:t>La movilización de recursos en especie y financieros sigue siendo una cuestión fundamental para el éxito de la ejecución del Decenio. Se necesitan recursos para sufragar los costos de coordinación tanto a nivel central (es decir, la Unidad de Coordinación del Decenio) como a nivel descentralizado (en particular, las oficinas de coordinación del Decenio dirigidas por la COI), así como para las acciones aprobadas y futuras del Decenio. Según los datos comunicados por los 23 programas del Decenio en el marco de seguimiento y evaluación, para el próximo período de 12 meses se han conseguido aproximadamente 37 millones de dólares estadounidenses (aproximadamente el 20 % del total) cuando se necesitan 188 millones de dólares estadounidenses para la plena ejecución durante el período presupuestado. Las estructuras de coordinación descentralizadas informaron de que habían logrado la movilización de unos 11 millones de dólares estadounidenses en recursos en especie y financieros durante el último año.</w:t>
      </w:r>
    </w:p>
    <w:p w14:paraId="4C63EC49" w14:textId="77777777"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800C71">
        <w:rPr>
          <w:rFonts w:ascii="Arial" w:eastAsia="Times New Roman" w:hAnsi="Arial" w:cs="Arial"/>
          <w:snapToGrid w:val="0"/>
          <w:szCs w:val="24"/>
          <w:lang w:val="es-ES_tradnl"/>
        </w:rPr>
        <w:t>La Alianza para el Decenio del Océano ha crecido durante este período y ahora cuenta con 10 mecenas y 18 miembros institucionales. Los miembros de la Alianza han participado activamente en actos de alto nivel y han dado a conocer el Decenio del Océano entre sus electores. Se sigue colaborando con los miembros de la Alianza en la elaboración de iniciativas conjuntas de financiación o apoyo al Decenio. Se han concertado patrocinios de convocatorias de acciones del Decenio con AXA Research Fund, MeerWissen Initiatives, JPI Oceans y organismos nacionales de financiación del Canadá y Noruega. Hay conversaciones en curso con otros socios para reproducir y ampliar este modelo.</w:t>
      </w:r>
    </w:p>
    <w:p w14:paraId="306C85AF" w14:textId="77777777"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800C71">
        <w:rPr>
          <w:rFonts w:ascii="Arial" w:eastAsia="Times New Roman" w:hAnsi="Arial" w:cs="Arial"/>
          <w:snapToGrid w:val="0"/>
          <w:szCs w:val="24"/>
          <w:lang w:val="es-ES_tradnl"/>
        </w:rPr>
        <w:t>Durante este período se realizaron importantes esfuerzos para involucrar a las fundaciones filantrópicas. Del 1 al 3 de junio de 2022 se celebró una reunión presencial del Diálogo de Fundaciones en Rabat (Marruecos), organizada por la Fundación Mohamed VI para la Protección del Medio Ambiente, que dio lugar a la creación de nuevas asociaciones e iniciativas relacionadas con la concepción conjunta, las comunicaciones estratégicas y el desarrollo de capacidades. La próxima edición del Diálogo de Fundaciones, que reunirá a más de 30 fundaciones filantrópicas en Mónaco en junio de 2023, será organizada por la Fundación Príncipe Alberto II de Mónaco.</w:t>
      </w:r>
    </w:p>
    <w:p w14:paraId="4E516A42" w14:textId="77777777"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800C71">
        <w:rPr>
          <w:rFonts w:ascii="Arial" w:eastAsia="Times New Roman" w:hAnsi="Arial" w:cs="Arial"/>
          <w:snapToGrid w:val="0"/>
          <w:szCs w:val="24"/>
          <w:lang w:val="es-ES_tradnl"/>
        </w:rPr>
        <w:t>Las comisiones de servicio y los préstamos de personal de Francia, Japón y Fugro (asociado del sector privado) suponen un apoyo inestimable a la coordinación del Decenio. Se estableció un grupo de trabajo del sector privado para apoyar la elaboración de un enfoque estratégico de participación de los asociados de la industria.</w:t>
      </w:r>
    </w:p>
    <w:p w14:paraId="24663E18" w14:textId="77777777"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bookmarkStart w:id="0" w:name="_Hlk103078448"/>
      <w:r w:rsidRPr="00800C71">
        <w:rPr>
          <w:rFonts w:ascii="Arial" w:eastAsia="Times New Roman" w:hAnsi="Arial" w:cs="Arial"/>
          <w:snapToGrid w:val="0"/>
          <w:szCs w:val="24"/>
          <w:lang w:val="es-ES_tradnl"/>
        </w:rPr>
        <w:lastRenderedPageBreak/>
        <w:t>Para mantener el impulso y el nivel de actividad actuales se necesitan urgentemente recursos financieros o en especie adicionales que permitan garantizar la plena dotación de recursos de la Unidad de Coordinación del Decenio y su funcionamiento (IOC/INF-1425). También será indispensable una movilización de recursos significativa para apoyar las acciones del Decenio. El documento IOC/INF-1424 contiene una evaluación actualizada de las necesidades de recursos para las acciones del Decenio.</w:t>
      </w:r>
      <w:bookmarkEnd w:id="0"/>
    </w:p>
    <w:p w14:paraId="0168E994" w14:textId="77777777" w:rsidR="005C58A5" w:rsidRPr="00800C71" w:rsidRDefault="005C58A5" w:rsidP="0005515E">
      <w:pPr>
        <w:keepNext/>
        <w:tabs>
          <w:tab w:val="left" w:pos="709"/>
        </w:tabs>
        <w:spacing w:after="240" w:line="240" w:lineRule="auto"/>
        <w:rPr>
          <w:rFonts w:ascii="Arial" w:eastAsia="Arial" w:hAnsi="Arial" w:cs="Arial"/>
          <w:b/>
          <w:bCs/>
          <w:color w:val="000000"/>
          <w:lang w:val="es-ES_tradnl" w:eastAsia="zh-CN"/>
        </w:rPr>
      </w:pPr>
      <w:r w:rsidRPr="00800C71">
        <w:rPr>
          <w:rFonts w:ascii="Arial" w:eastAsia="DengXian" w:hAnsi="Arial" w:cs="Arial"/>
          <w:b/>
          <w:bCs/>
          <w:lang w:val="es-ES_tradnl" w:eastAsia="zh-CN"/>
        </w:rPr>
        <w:t>Participación y divulgación de los interesados</w:t>
      </w:r>
      <w:r w:rsidRPr="00800C71">
        <w:rPr>
          <w:rFonts w:ascii="Arial" w:eastAsia="DengXian" w:hAnsi="Arial" w:cs="Arial"/>
          <w:lang w:val="es-ES_tradnl" w:eastAsia="zh-CN"/>
        </w:rPr>
        <w:t xml:space="preserve"> </w:t>
      </w:r>
    </w:p>
    <w:p w14:paraId="30D5717D" w14:textId="54295FB4"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800C71">
        <w:rPr>
          <w:rFonts w:ascii="Arial" w:eastAsia="Times New Roman" w:hAnsi="Arial" w:cs="Arial"/>
          <w:snapToGrid w:val="0"/>
          <w:szCs w:val="24"/>
          <w:lang w:val="es-ES_tradnl"/>
        </w:rPr>
        <w:t>Durante este período</w:t>
      </w:r>
      <w:r w:rsidR="00A52171" w:rsidRPr="00800C71">
        <w:rPr>
          <w:rFonts w:ascii="Arial" w:eastAsia="Times New Roman" w:hAnsi="Arial" w:cs="Arial"/>
          <w:snapToGrid w:val="0"/>
          <w:szCs w:val="24"/>
          <w:lang w:val="es-ES_tradnl"/>
        </w:rPr>
        <w:t xml:space="preserve"> </w:t>
      </w:r>
      <w:r w:rsidR="009C050F" w:rsidRPr="00800C71">
        <w:rPr>
          <w:rFonts w:ascii="Arial" w:eastAsia="Times New Roman" w:hAnsi="Arial" w:cs="Arial"/>
          <w:snapToGrid w:val="0"/>
          <w:szCs w:val="24"/>
          <w:lang w:val="es-ES_tradnl"/>
        </w:rPr>
        <w:t>se realizaron</w:t>
      </w:r>
      <w:r w:rsidRPr="00800C71">
        <w:rPr>
          <w:rFonts w:ascii="Arial" w:eastAsia="Times New Roman" w:hAnsi="Arial" w:cs="Arial"/>
          <w:snapToGrid w:val="0"/>
          <w:szCs w:val="24"/>
          <w:lang w:val="es-ES_tradnl"/>
        </w:rPr>
        <w:t xml:space="preserve"> </w:t>
      </w:r>
      <w:r w:rsidR="009C050F" w:rsidRPr="00800C71">
        <w:rPr>
          <w:rFonts w:ascii="Arial" w:eastAsia="Times New Roman" w:hAnsi="Arial" w:cs="Arial"/>
          <w:snapToGrid w:val="0"/>
          <w:szCs w:val="24"/>
          <w:lang w:val="es-ES_tradnl"/>
        </w:rPr>
        <w:t xml:space="preserve">intensos esfuerzos para facilitar la sensibilización y la participación de </w:t>
      </w:r>
      <w:r w:rsidRPr="00800C71">
        <w:rPr>
          <w:rFonts w:ascii="Arial" w:eastAsia="Times New Roman" w:hAnsi="Arial" w:cs="Arial"/>
          <w:snapToGrid w:val="0"/>
          <w:szCs w:val="24"/>
          <w:lang w:val="es-ES_tradnl"/>
        </w:rPr>
        <w:t>las partes interesadas. Se celebraron actos presenciales o híbridos sobre diferentes aspectos del Decenio del Océano en el Congreso Mundial de la Naturaleza de la UICN (Marsella, septiembre de 2021), las COP 26 y 27 de la CMNUCC (Glasgow, noviembre de 2021, y Sharm el Sheij, noviembre de 2022), la Cumbre “Un Océano” (Brest, febrero de 2022), la Conferencia de las Naciones Unidas sobre los Océanos (Lisboa, junio de 2022), la COP 15 del CDB (Montreal, diciembre de 2022), la Conferencia “Nuestro Océano” (Panamá, marzo de 2023) y la Conferencia de las Naciones Unidas sobre el Agua (Nueva York, marzo de 2023). De estos acontecimientos, el más significativo fue la Conferencia sobre los Océanos por su amplia movilización. El Decenio del Océano coordinó un acto de alto nivel de la Alianza para el Decenio del Océano en el que participaron varios de sus mecenas, entre ellos los presidentes de Kenya, Portugal y Palau. El Decenio también organizó con gran éxito un acto con múltiples partes interesadas en el que se presentaron los logros y las asociaciones.</w:t>
      </w:r>
    </w:p>
    <w:p w14:paraId="076F8E06" w14:textId="64F36AC8" w:rsidR="005C58A5" w:rsidRPr="00800C71" w:rsidRDefault="009C050F"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800C71">
        <w:rPr>
          <w:rFonts w:ascii="Arial" w:eastAsia="Times New Roman" w:hAnsi="Arial" w:cs="Arial"/>
          <w:snapToGrid w:val="0"/>
          <w:szCs w:val="24"/>
          <w:lang w:val="es-ES_tradnl"/>
        </w:rPr>
        <w:t>La versión renovada del</w:t>
      </w:r>
      <w:r w:rsidR="005C58A5" w:rsidRPr="00800C71">
        <w:rPr>
          <w:rFonts w:ascii="Arial" w:eastAsia="Times New Roman" w:hAnsi="Arial" w:cs="Arial"/>
          <w:snapToGrid w:val="0"/>
          <w:szCs w:val="24"/>
          <w:lang w:val="es-ES_tradnl"/>
        </w:rPr>
        <w:t xml:space="preserve"> sitio web del Decenio del Océano se </w:t>
      </w:r>
      <w:r w:rsidRPr="00800C71">
        <w:rPr>
          <w:rFonts w:ascii="Arial" w:eastAsia="Times New Roman" w:hAnsi="Arial" w:cs="Arial"/>
          <w:snapToGrid w:val="0"/>
          <w:szCs w:val="24"/>
          <w:lang w:val="es-ES_tradnl"/>
        </w:rPr>
        <w:t xml:space="preserve">puso en marcha </w:t>
      </w:r>
      <w:r w:rsidR="005C58A5" w:rsidRPr="00800C71">
        <w:rPr>
          <w:rFonts w:ascii="Arial" w:eastAsia="Times New Roman" w:hAnsi="Arial" w:cs="Arial"/>
          <w:snapToGrid w:val="0"/>
          <w:szCs w:val="24"/>
          <w:lang w:val="es-ES_tradnl"/>
        </w:rPr>
        <w:t>en octubre de 2021 y sigue mejorándose. Este sitio incorpora la red del Decenio del Océano, una plataforma comunitaria en línea para el intercambio y la colaboración que cuenta con más de 6200 usuarios registrados, y es la plataforma digital de los diferentes grupos que trabajan en el marco del Decenio. GenOcean es la campaña de comunicación pública del Decenio, que se puso en marcha el 4 de abril de 2022, y cuyo objetivo es incitar al público en general a tomar medidas basadas en un mejor conocimiento de los océanos. Se ha llevado a cabo una revisión interna de esta campaña, que se volverá a poner en marcha a finales de 2023 para centrarse en iniciativas de ciencia ciudadana.</w:t>
      </w:r>
    </w:p>
    <w:p w14:paraId="5DA83157" w14:textId="77777777"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800C71">
        <w:rPr>
          <w:rFonts w:ascii="Arial" w:eastAsia="Times New Roman" w:hAnsi="Arial" w:cs="Arial"/>
          <w:snapToGrid w:val="0"/>
          <w:szCs w:val="24"/>
          <w:lang w:val="es-ES_tradnl"/>
        </w:rPr>
        <w:t>Las plataformas del Decenio del Océano han aumentado su número de seguidores en las redes sociales hasta alcanzar unos 45 000 aproximadamente. Según los informes presentados en la primera edición del marco de seguimiento y presentación de informes, el alcance combinado en las redes sociales de las acciones del Decenio y los mecanismos de coordinación del Decenio (las oficinas de coordinación, los centros de colaboración, los planes de ejecución, los comités nacionales) supera los 6 millones de seguidores.</w:t>
      </w:r>
    </w:p>
    <w:p w14:paraId="1879BECC" w14:textId="074A9FF4" w:rsidR="005C58A5" w:rsidRPr="00800C71" w:rsidRDefault="005C58A5" w:rsidP="0005515E">
      <w:pPr>
        <w:keepNext/>
        <w:tabs>
          <w:tab w:val="left" w:pos="709"/>
        </w:tabs>
        <w:spacing w:after="240" w:line="240" w:lineRule="auto"/>
        <w:rPr>
          <w:rFonts w:ascii="Arial" w:eastAsia="Arial" w:hAnsi="Arial" w:cs="Arial"/>
          <w:b/>
          <w:bCs/>
          <w:color w:val="000000"/>
          <w:lang w:val="es-ES_tradnl" w:eastAsia="zh-CN"/>
        </w:rPr>
      </w:pPr>
      <w:r w:rsidRPr="00800C71">
        <w:rPr>
          <w:rFonts w:ascii="Arial" w:eastAsia="DengXian" w:hAnsi="Arial" w:cs="Arial"/>
          <w:b/>
          <w:bCs/>
          <w:lang w:val="es-ES_tradnl" w:eastAsia="zh-CN"/>
        </w:rPr>
        <w:t>Perspectivas para el próximo período</w:t>
      </w:r>
    </w:p>
    <w:p w14:paraId="11994E5C" w14:textId="77777777"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800C71">
        <w:rPr>
          <w:rFonts w:ascii="Arial" w:eastAsia="Times New Roman" w:hAnsi="Arial" w:cs="Arial"/>
          <w:snapToGrid w:val="0"/>
          <w:szCs w:val="24"/>
          <w:lang w:val="es-ES_tradnl"/>
        </w:rPr>
        <w:t>El proceso Visión 2030 se ha puesto en marcha y estará operativo durante los próximos 12 meses a través de una serie de grupos de trabajo de expertos para establecer una ambición estratégica colectiva y cuantificable para cada uno de los desafíos del Decenio del Océano. Los resultados del proceso Visión 2030 se utilizarán en futuras convocatorias de acciones del Decenio para facilitar la solicitud de programas y proyectos que satisfagan las necesidades prioritarias identificadas para cada desafío, y en las gestiones con los proveedores de recursos para ajustar la movilización de medios a las necesidades más acuciantes del Decenio del Océano. Tras la validación de los resultados de este proceso en la Conferencia del Decenio del Océano 2024, se establecerá un marco operacional de control e información de los avances hacia la consecución del objetivo estratégico de cada desafío.</w:t>
      </w:r>
    </w:p>
    <w:p w14:paraId="415FE661" w14:textId="77777777" w:rsidR="005C58A5"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Arial" w:hAnsi="Arial" w:cs="Arial"/>
          <w:snapToGrid w:val="0"/>
          <w:color w:val="000000"/>
          <w:szCs w:val="24"/>
          <w:lang w:val="es-ES_tradnl"/>
        </w:rPr>
      </w:pPr>
      <w:r w:rsidRPr="00800C71">
        <w:rPr>
          <w:rFonts w:ascii="Arial" w:eastAsia="Times New Roman" w:hAnsi="Arial" w:cs="Arial"/>
          <w:snapToGrid w:val="0"/>
          <w:szCs w:val="24"/>
          <w:lang w:val="es-ES_tradnl"/>
        </w:rPr>
        <w:t xml:space="preserve">Ya está en marcha la planificación de la Conferencia del Decenio del Océano 2024, que organizará el Gobierno de España en Barcelona en abril de 2024. Este hito constituirá una importante plataforma para que la comunidad del Decenio del Océano celebre los logros del Decenio, presente soluciones innovadoras, comunique los resultados de las acciones del Decenio, </w:t>
      </w:r>
      <w:r w:rsidRPr="00800C71">
        <w:rPr>
          <w:rFonts w:ascii="Arial" w:eastAsia="Times New Roman" w:hAnsi="Arial" w:cs="Arial"/>
          <w:snapToGrid w:val="0"/>
          <w:szCs w:val="24"/>
          <w:lang w:val="es-ES_tradnl"/>
        </w:rPr>
        <w:lastRenderedPageBreak/>
        <w:t>y defina colectivamente una estrategia para los próximos años de aplicación del Decenio del Océano, en el marco de la presentación y el examen del proceso Visión 2030.</w:t>
      </w:r>
    </w:p>
    <w:p w14:paraId="1CBA05AE" w14:textId="2A793F13" w:rsidR="007C13AF" w:rsidRPr="00800C71" w:rsidRDefault="005C58A5" w:rsidP="0005515E">
      <w:pPr>
        <w:numPr>
          <w:ilvl w:val="0"/>
          <w:numId w:val="32"/>
        </w:numPr>
        <w:adjustRightInd w:val="0"/>
        <w:snapToGrid w:val="0"/>
        <w:spacing w:after="240" w:line="240" w:lineRule="auto"/>
        <w:ind w:left="0" w:firstLine="0"/>
        <w:jc w:val="both"/>
        <w:textAlignment w:val="baseline"/>
        <w:rPr>
          <w:rFonts w:ascii="Arial" w:eastAsia="Times New Roman" w:hAnsi="Arial" w:cs="Arial"/>
          <w:snapToGrid w:val="0"/>
          <w:szCs w:val="24"/>
          <w:lang w:val="es-ES_tradnl"/>
        </w:rPr>
      </w:pPr>
      <w:r w:rsidRPr="00800C71">
        <w:rPr>
          <w:rFonts w:ascii="Arial" w:eastAsia="DengXian" w:hAnsi="Arial" w:cs="Arial"/>
          <w:lang w:val="es-ES_tradnl" w:eastAsia="zh-CN"/>
        </w:rPr>
        <w:t>La Conferencia del Decenio del Océano 2024 se está preparando de manera que se articule perfectamente con otros eventos regionales e internacionales clave que tendrán lugar antes y después de la Conferencia, incluida la Cumbre sobre los Objetivos de Desarrollo Sostenible que se celebrará al margen de la Asamblea General de las Naciones Unidas (Nueva York, septiembre de 2023), la COP28 de la CMNUCC (Dubái, diciembre de 2023), la Conferencia preparatoria de las Naciones Unidas sobre los Océanos (Costa Rica, junio de 2024) y la cuarta Conferencia internacional de los PEID (Antigua y Barbuda, junio de 2024, por determinar). Se ha establecido una estrecha cooperación con los coorganizadores de la Conferencia de las Naciones Unidas sobre los Océanos de 2025 (Niza, junio de 2025) para garantizar la complementariedad con los resultados de la Conferencia del Decenio del Océano de 2024.</w:t>
      </w:r>
    </w:p>
    <w:sectPr w:rsidR="007C13AF" w:rsidRPr="00800C71" w:rsidSect="00270E93">
      <w:headerReference w:type="even" r:id="rId14"/>
      <w:headerReference w:type="default" r:id="rId15"/>
      <w:headerReference w:type="first" r:id="rId16"/>
      <w:type w:val="oddPage"/>
      <w:pgSz w:w="11906" w:h="16838" w:code="9"/>
      <w:pgMar w:top="1418" w:right="1134" w:bottom="1134" w:left="113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E4EA1" w14:textId="77777777" w:rsidR="005B54A0" w:rsidRDefault="005B54A0">
      <w:pPr>
        <w:spacing w:after="0" w:line="240" w:lineRule="auto"/>
      </w:pPr>
      <w:r>
        <w:separator/>
      </w:r>
    </w:p>
  </w:endnote>
  <w:endnote w:type="continuationSeparator" w:id="0">
    <w:p w14:paraId="550AD241" w14:textId="77777777" w:rsidR="005B54A0" w:rsidRDefault="005B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7400" w14:textId="77777777" w:rsidR="00800C71" w:rsidRDefault="00800C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E861" w14:textId="77777777" w:rsidR="00800C71" w:rsidRDefault="00800C7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D6F0" w14:textId="77777777" w:rsidR="00800C71" w:rsidRDefault="00800C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94B1" w14:textId="77777777" w:rsidR="005B54A0" w:rsidRDefault="005B54A0">
      <w:pPr>
        <w:spacing w:after="0" w:line="240" w:lineRule="auto"/>
      </w:pPr>
      <w:r>
        <w:separator/>
      </w:r>
    </w:p>
  </w:footnote>
  <w:footnote w:type="continuationSeparator" w:id="0">
    <w:p w14:paraId="3CD00A6F" w14:textId="77777777" w:rsidR="005B54A0" w:rsidRDefault="005B5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1C95" w14:textId="77777777" w:rsidR="00800C71" w:rsidRDefault="00800C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F9FB" w14:textId="04CC9603" w:rsidR="009A7585" w:rsidRPr="006B4B9F" w:rsidRDefault="00EA1C02" w:rsidP="00EA1C02">
    <w:pPr>
      <w:pStyle w:val="Encabezado"/>
      <w:jc w:val="right"/>
      <w:rPr>
        <w:rFonts w:asciiTheme="minorBidi" w:hAnsiTheme="minorBidi"/>
      </w:rPr>
    </w:pPr>
    <w:r w:rsidRPr="00EA1C02">
      <w:rPr>
        <w:rFonts w:asciiTheme="minorBidi" w:hAnsiTheme="minorBidi"/>
        <w:lang w:val="en-GB"/>
      </w:rPr>
      <w:t>IOC-32</w:t>
    </w:r>
    <w:r w:rsidR="009A7585" w:rsidRPr="006B4B9F">
      <w:rPr>
        <w:rFonts w:asciiTheme="minorBidi" w:hAnsiTheme="minorBidi"/>
        <w:lang w:val="es-ES"/>
      </w:rPr>
      <w:t>/</w:t>
    </w:r>
    <w:sdt>
      <w:sdtPr>
        <w:rPr>
          <w:rFonts w:asciiTheme="minorBidi" w:hAnsiTheme="minorBidi"/>
          <w:lang w:val="es-ES"/>
        </w:rPr>
        <w:alias w:val="SIGNATURA"/>
        <w:tag w:val=""/>
        <w:id w:val="-151837210"/>
        <w:temporary/>
        <w:dataBinding w:prefixMappings="xmlns:ns0='http://purl.org/dc/elements/1.1/' xmlns:ns1='http://schemas.openxmlformats.org/package/2006/metadata/core-properties' " w:xpath="/ns1:coreProperties[1]/ns1:keywords[1]" w:storeItemID="{6C3C8BC8-F283-45AE-878A-BAB7291924A1}"/>
        <w15:color w:val="000000"/>
        <w:text/>
      </w:sdtPr>
      <w:sdtEndPr/>
      <w:sdtContent>
        <w:r w:rsidR="005B54A0">
          <w:rPr>
            <w:rFonts w:asciiTheme="minorBidi" w:hAnsiTheme="minorBidi"/>
            <w:lang w:val="es-ES"/>
          </w:rPr>
          <w:t>4.12.Doc(1)</w:t>
        </w:r>
      </w:sdtContent>
    </w:sdt>
    <w:r w:rsidR="009A7585" w:rsidRPr="006B4B9F">
      <w:rPr>
        <w:rFonts w:asciiTheme="minorBidi" w:hAnsiTheme="minorBidi"/>
        <w:lang w:val="es-ES"/>
      </w:rPr>
      <w:t xml:space="preserve"> </w:t>
    </w:r>
    <w:r w:rsidR="009A7585" w:rsidRPr="007C361D">
      <w:rPr>
        <w:rFonts w:asciiTheme="minorBidi" w:hAnsiTheme="minorBidi"/>
        <w:lang w:val="es-ES"/>
      </w:rPr>
      <w:t>–</w:t>
    </w:r>
    <w:r w:rsidR="009A7585" w:rsidRPr="006B4B9F">
      <w:rPr>
        <w:rFonts w:asciiTheme="minorBidi" w:hAnsiTheme="minorBidi"/>
        <w:lang w:val="es-ES"/>
      </w:rPr>
      <w:t xml:space="preserve"> pág. </w:t>
    </w:r>
    <w:r w:rsidR="009A7585" w:rsidRPr="006B4B9F">
      <w:rPr>
        <w:rFonts w:asciiTheme="minorBidi" w:hAnsiTheme="minorBidi"/>
        <w:lang w:val="es-ES"/>
      </w:rPr>
      <w:fldChar w:fldCharType="begin"/>
    </w:r>
    <w:r w:rsidR="009A7585" w:rsidRPr="006B4B9F">
      <w:rPr>
        <w:rFonts w:asciiTheme="minorBidi" w:hAnsiTheme="minorBidi"/>
        <w:lang w:val="es-ES"/>
      </w:rPr>
      <w:instrText>PAGE   \* MERGEFORMAT</w:instrText>
    </w:r>
    <w:r w:rsidR="009A7585" w:rsidRPr="006B4B9F">
      <w:rPr>
        <w:rFonts w:asciiTheme="minorBidi" w:hAnsiTheme="minorBidi"/>
        <w:lang w:val="es-ES"/>
      </w:rPr>
      <w:fldChar w:fldCharType="separate"/>
    </w:r>
    <w:r w:rsidR="009A7585" w:rsidRPr="006B4B9F">
      <w:rPr>
        <w:rFonts w:asciiTheme="minorBidi" w:hAnsiTheme="minorBidi"/>
        <w:lang w:val="es-ES"/>
      </w:rPr>
      <w:t>2</w:t>
    </w:r>
    <w:r w:rsidR="009A7585" w:rsidRPr="006B4B9F">
      <w:rPr>
        <w:rFonts w:asciiTheme="minorBidi" w:hAnsiTheme="minorBidi"/>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842" w14:textId="4550DFCF" w:rsidR="00270E93" w:rsidRDefault="00A12059" w:rsidP="005B54A0">
    <w:pPr>
      <w:pStyle w:val="Encabezado"/>
      <w:tabs>
        <w:tab w:val="clear" w:pos="4536"/>
        <w:tab w:val="clear" w:pos="9072"/>
      </w:tabs>
      <w:spacing w:after="520"/>
      <w:ind w:left="6096"/>
      <w:rPr>
        <w:rFonts w:ascii="Arial" w:eastAsia="SimSun" w:hAnsi="Arial" w:cs="Arial"/>
        <w:snapToGrid w:val="0"/>
        <w:lang w:val="es-ES_tradnl" w:eastAsia="zh-CN"/>
      </w:rPr>
    </w:pPr>
    <w:r w:rsidRPr="000833BB">
      <w:rPr>
        <w:rFonts w:cs="Arial"/>
        <w:b/>
        <w:caps/>
        <w:noProof/>
        <w:lang w:eastAsia="fr-FR"/>
      </w:rPr>
      <w:drawing>
        <wp:anchor distT="0" distB="0" distL="114300" distR="114300" simplePos="0" relativeHeight="251662336" behindDoc="0" locked="0" layoutInCell="1" allowOverlap="1" wp14:anchorId="099866F2" wp14:editId="36B21979">
          <wp:simplePos x="0" y="0"/>
          <wp:positionH relativeFrom="column">
            <wp:posOffset>-4445</wp:posOffset>
          </wp:positionH>
          <wp:positionV relativeFrom="page">
            <wp:posOffset>711361</wp:posOffset>
          </wp:positionV>
          <wp:extent cx="1578610" cy="1047115"/>
          <wp:effectExtent l="0" t="0" r="2540" b="63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270E93" w:rsidRPr="000833BB">
      <w:rPr>
        <w:rFonts w:cs="Arial"/>
        <w:b/>
        <w:caps/>
        <w:noProof/>
        <w:lang w:eastAsia="fr-FR"/>
      </w:rPr>
      <mc:AlternateContent>
        <mc:Choice Requires="wps">
          <w:drawing>
            <wp:anchor distT="0" distB="0" distL="114300" distR="114300" simplePos="0" relativeHeight="251663360" behindDoc="0" locked="0" layoutInCell="1" allowOverlap="1" wp14:anchorId="6987FC57" wp14:editId="20E87717">
              <wp:simplePos x="0" y="0"/>
              <wp:positionH relativeFrom="column">
                <wp:posOffset>-4098</wp:posOffset>
              </wp:positionH>
              <wp:positionV relativeFrom="paragraph">
                <wp:posOffset>-22800</wp:posOffset>
              </wp:positionV>
              <wp:extent cx="1578610" cy="284672"/>
              <wp:effectExtent l="0" t="0" r="2540" b="1270"/>
              <wp:wrapNone/>
              <wp:docPr id="3" name="Text Box 3"/>
              <wp:cNvGraphicFramePr/>
              <a:graphic xmlns:a="http://schemas.openxmlformats.org/drawingml/2006/main">
                <a:graphicData uri="http://schemas.microsoft.com/office/word/2010/wordprocessingShape">
                  <wps:wsp>
                    <wps:cNvSpPr txBox="1"/>
                    <wps:spPr>
                      <a:xfrm>
                        <a:off x="0" y="0"/>
                        <a:ext cx="1578610" cy="284672"/>
                      </a:xfrm>
                      <a:prstGeom prst="rect">
                        <a:avLst/>
                      </a:prstGeom>
                      <a:solidFill>
                        <a:schemeClr val="lt1"/>
                      </a:solidFill>
                      <a:ln w="6350">
                        <a:noFill/>
                      </a:ln>
                    </wps:spPr>
                    <wps:txbx>
                      <w:txbxContent>
                        <w:p w14:paraId="112D6CE6" w14:textId="77777777" w:rsidR="00270E93" w:rsidRPr="00EA1C02" w:rsidRDefault="00270E93">
                          <w:pPr>
                            <w:rPr>
                              <w:lang w:val="es-ES"/>
                            </w:rPr>
                          </w:pPr>
                          <w:r w:rsidRPr="00EA1C02">
                            <w:rPr>
                              <w:rFonts w:ascii="Arial" w:hAnsi="Arial" w:cs="Arial"/>
                              <w:lang w:val="es-ES"/>
                            </w:rPr>
                            <w:t>Distribución limitada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87FC57" id="_x0000_t202" coordsize="21600,21600" o:spt="202" path="m,l,21600r21600,l21600,xe">
              <v:stroke joinstyle="miter"/>
              <v:path gradientshapeok="t" o:connecttype="rect"/>
            </v:shapetype>
            <v:shape id="Text Box 3" o:spid="_x0000_s1026" type="#_x0000_t202" style="position:absolute;left:0;text-align:left;margin-left:-.3pt;margin-top:-1.8pt;width:124.3pt;height:2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" fillcolor="white [3201]" stroked="f" strokeweight=".5pt">
              <v:textbox>
                <w:txbxContent>
                  <w:p w14:paraId="112D6CE6" w14:textId="77777777" w:rsidR="00270E93" w:rsidRPr="00EA1C02" w:rsidRDefault="00270E93">
                    <w:pPr>
                      <w:rPr>
                        <w:lang w:val="es-ES"/>
                      </w:rPr>
                    </w:pPr>
                    <w:r w:rsidRPr="00EA1C02">
                      <w:rPr>
                        <w:rFonts w:ascii="Arial" w:hAnsi="Arial" w:cs="Arial"/>
                        <w:lang w:val="es-ES"/>
                      </w:rPr>
                      <w:t>Distribución limitada</w:t>
                    </w:r>
                  </w:p>
                </w:txbxContent>
              </v:textbox>
            </v:shape>
          </w:pict>
        </mc:Fallback>
      </mc:AlternateContent>
    </w:r>
    <w:r w:rsidR="00270E93" w:rsidRPr="000833BB">
      <w:rPr>
        <w:rFonts w:ascii="Arial" w:hAnsi="Arial" w:cs="Arial"/>
        <w:b/>
        <w:bCs/>
        <w:caps/>
        <w:sz w:val="36"/>
        <w:szCs w:val="36"/>
        <w:lang w:val="es-ES"/>
      </w:rPr>
      <w:t>IOC</w:t>
    </w:r>
    <w:r w:rsidR="000833BB" w:rsidRPr="000833BB">
      <w:rPr>
        <w:rFonts w:ascii="Arial" w:hAnsi="Arial" w:cs="Arial"/>
        <w:b/>
        <w:bCs/>
        <w:caps/>
        <w:sz w:val="36"/>
        <w:szCs w:val="36"/>
        <w:lang w:val="es-ES"/>
      </w:rPr>
      <w:t>/A-</w:t>
    </w:r>
    <w:r w:rsidR="00270E93" w:rsidRPr="000833BB">
      <w:rPr>
        <w:rFonts w:ascii="Arial" w:hAnsi="Arial" w:cs="Arial"/>
        <w:b/>
        <w:bCs/>
        <w:caps/>
        <w:sz w:val="36"/>
        <w:szCs w:val="36"/>
        <w:lang w:val="es-ES"/>
      </w:rPr>
      <w:t>32/</w:t>
    </w:r>
    <w:sdt>
      <w:sdtPr>
        <w:rPr>
          <w:rFonts w:ascii="Arial" w:hAnsi="Arial" w:cs="Arial"/>
          <w:b/>
          <w:bCs/>
          <w:sz w:val="36"/>
          <w:szCs w:val="36"/>
          <w:lang w:val="es-ES"/>
        </w:rPr>
        <w:alias w:val="SIGNATURA"/>
        <w:tag w:val=""/>
        <w:id w:val="762264216"/>
        <w:dataBinding w:prefixMappings="xmlns:ns0='http://purl.org/dc/elements/1.1/' xmlns:ns1='http://schemas.openxmlformats.org/package/2006/metadata/core-properties' " w:xpath="/ns1:coreProperties[1]/ns1:keywords[1]" w:storeItemID="{6C3C8BC8-F283-45AE-878A-BAB7291924A1}"/>
        <w15:color w:val="FF0000"/>
        <w:text/>
      </w:sdtPr>
      <w:sdtEndPr/>
      <w:sdtContent>
        <w:r w:rsidR="005B54A0">
          <w:rPr>
            <w:rFonts w:ascii="Arial" w:hAnsi="Arial" w:cs="Arial"/>
            <w:b/>
            <w:bCs/>
            <w:sz w:val="36"/>
            <w:szCs w:val="36"/>
            <w:lang w:val="es-ES"/>
          </w:rPr>
          <w:t>4.12.Doc(1)</w:t>
        </w:r>
      </w:sdtContent>
    </w:sdt>
    <w:r w:rsidR="00270E93" w:rsidRPr="00EA1C02">
      <w:rPr>
        <w:rFonts w:asciiTheme="minorBidi" w:hAnsiTheme="minorBidi"/>
        <w:b/>
        <w:bCs/>
        <w:sz w:val="36"/>
        <w:szCs w:val="36"/>
        <w:lang w:val="es-ES"/>
      </w:rPr>
      <w:br/>
    </w:r>
    <w:r w:rsidR="00270E93" w:rsidRPr="00EA1C02">
      <w:rPr>
        <w:rFonts w:ascii="Arial" w:hAnsi="Arial" w:cs="Arial"/>
        <w:lang w:val="es-ES"/>
      </w:rPr>
      <w:t>París,</w:t>
    </w:r>
    <w:r w:rsidR="00270E93" w:rsidRPr="00EA1C02">
      <w:rPr>
        <w:rFonts w:ascii="Arial" w:eastAsia="Times New Roman" w:hAnsi="Arial" w:cs="Arial"/>
        <w:snapToGrid w:val="0"/>
        <w:lang w:val="es-ES_tradnl"/>
      </w:rPr>
      <w:t xml:space="preserve"> </w:t>
    </w:r>
    <w:r w:rsidR="00800C71">
      <w:rPr>
        <w:rFonts w:ascii="Arial" w:eastAsia="Times New Roman" w:hAnsi="Arial" w:cs="Arial"/>
        <w:snapToGrid w:val="0"/>
        <w:lang w:val="es-ES"/>
      </w:rPr>
      <w:t xml:space="preserve">29 de </w:t>
    </w:r>
    <w:r w:rsidR="00800C71">
      <w:rPr>
        <w:rFonts w:ascii="Arial" w:eastAsia="Times New Roman" w:hAnsi="Arial" w:cs="Arial"/>
        <w:snapToGrid w:val="0"/>
        <w:lang w:val="es-ES"/>
      </w:rPr>
      <w:t>mayo</w:t>
    </w:r>
    <w:r w:rsidR="005B54A0">
      <w:rPr>
        <w:rFonts w:ascii="Arial" w:eastAsia="Times New Roman" w:hAnsi="Arial" w:cs="Arial"/>
        <w:snapToGrid w:val="0"/>
        <w:lang w:val="es-ES"/>
      </w:rPr>
      <w:t xml:space="preserve"> de 2023</w:t>
    </w:r>
    <w:r w:rsidR="00270E93" w:rsidRPr="00EA1C02">
      <w:rPr>
        <w:rFonts w:ascii="Arial" w:eastAsia="Times New Roman" w:hAnsi="Arial" w:cs="Arial"/>
        <w:lang w:val="es-ES_tradnl"/>
      </w:rPr>
      <w:br/>
    </w:r>
    <w:r w:rsidR="00270E93" w:rsidRPr="00EA1C02">
      <w:rPr>
        <w:rFonts w:ascii="Arial" w:eastAsia="SimSun" w:hAnsi="Arial" w:cs="Arial"/>
        <w:snapToGrid w:val="0"/>
        <w:lang w:val="es-ES_tradnl" w:eastAsia="zh-CN"/>
      </w:rPr>
      <w:t xml:space="preserve">Original: </w:t>
    </w:r>
    <w:sdt>
      <w:sdtPr>
        <w:rPr>
          <w:rFonts w:ascii="Arial" w:eastAsia="SimSun" w:hAnsi="Arial" w:cs="Arial"/>
          <w:snapToGrid w:val="0"/>
          <w:lang w:val="es-ES_tradnl" w:eastAsia="zh-CN"/>
        </w:rPr>
        <w:alias w:val="idioma"/>
        <w:tag w:val="idioma"/>
        <w:id w:val="1756158435"/>
        <w:temporary/>
        <w15:color w:val="FF0000"/>
        <w:dropDownList>
          <w:listItem w:value="Choose an item."/>
          <w:listItem w:displayText="inglés" w:value="inglés"/>
          <w:listItem w:displayText="francés" w:value="francés"/>
          <w:listItem w:displayText="francés e inglés" w:value="francés e inglés"/>
        </w:dropDownList>
      </w:sdtPr>
      <w:sdtEndPr/>
      <w:sdtContent>
        <w:r w:rsidR="00270E93" w:rsidRPr="00EA1C02">
          <w:rPr>
            <w:rFonts w:ascii="Arial" w:eastAsia="SimSun" w:hAnsi="Arial" w:cs="Arial"/>
            <w:snapToGrid w:val="0"/>
            <w:lang w:val="es-ES_tradnl" w:eastAsia="zh-CN"/>
          </w:rPr>
          <w:t>inglés</w:t>
        </w:r>
      </w:sdtContent>
    </w:sdt>
  </w:p>
  <w:p w14:paraId="03FB55E6" w14:textId="77777777" w:rsidR="00270E93" w:rsidRPr="00334B9F" w:rsidRDefault="00270E93" w:rsidP="00A12059">
    <w:pPr>
      <w:tabs>
        <w:tab w:val="left" w:pos="-1440"/>
        <w:tab w:val="left" w:pos="-720"/>
      </w:tabs>
      <w:spacing w:before="1800" w:after="0" w:line="240" w:lineRule="auto"/>
      <w:jc w:val="center"/>
      <w:rPr>
        <w:rFonts w:ascii="Arial" w:hAnsi="Arial" w:cs="Arial"/>
        <w:b/>
        <w:lang w:val="es-ES"/>
      </w:rPr>
    </w:pPr>
    <w:r w:rsidRPr="00334B9F">
      <w:rPr>
        <w:rFonts w:ascii="Arial" w:hAnsi="Arial" w:cs="Arial"/>
        <w:b/>
        <w:bCs/>
        <w:lang w:val="es-ES"/>
      </w:rPr>
      <w:t>COMISIÓN OCEANOGRÁFICA INTERGUBERNAMENTAL</w:t>
    </w:r>
  </w:p>
  <w:p w14:paraId="5C1B1BB0" w14:textId="77777777" w:rsidR="00270E93" w:rsidRPr="00334B9F" w:rsidRDefault="00270E93" w:rsidP="00334B9F">
    <w:pPr>
      <w:tabs>
        <w:tab w:val="left" w:pos="-1440"/>
        <w:tab w:val="left" w:pos="-720"/>
      </w:tabs>
      <w:spacing w:after="0" w:line="240" w:lineRule="auto"/>
      <w:jc w:val="center"/>
      <w:rPr>
        <w:rFonts w:ascii="Arial" w:hAnsi="Arial" w:cs="Arial"/>
        <w:bCs/>
        <w:lang w:val="es-ES"/>
      </w:rPr>
    </w:pPr>
    <w:r w:rsidRPr="00334B9F">
      <w:rPr>
        <w:rFonts w:ascii="Arial" w:hAnsi="Arial" w:cs="Arial"/>
        <w:bCs/>
        <w:lang w:val="es-ES"/>
      </w:rPr>
      <w:t>(de la UNESCO)</w:t>
    </w:r>
  </w:p>
  <w:p w14:paraId="1702258D" w14:textId="77777777" w:rsidR="00270E93" w:rsidRPr="00334B9F" w:rsidRDefault="00270E93" w:rsidP="00334B9F">
    <w:pPr>
      <w:tabs>
        <w:tab w:val="left" w:pos="-1440"/>
        <w:tab w:val="left" w:pos="-720"/>
        <w:tab w:val="center" w:pos="4677"/>
      </w:tabs>
      <w:spacing w:before="240" w:after="600" w:line="240" w:lineRule="auto"/>
      <w:jc w:val="center"/>
      <w:rPr>
        <w:rFonts w:ascii="Arial" w:hAnsi="Arial" w:cs="Arial"/>
        <w:bCs/>
        <w:lang w:val="es-ES_tradnl"/>
      </w:rPr>
    </w:pPr>
    <w:r w:rsidRPr="00334B9F">
      <w:rPr>
        <w:rFonts w:ascii="Arial" w:hAnsi="Arial" w:cs="Arial"/>
        <w:b/>
        <w:bCs/>
        <w:lang w:val="es-ES"/>
      </w:rPr>
      <w:t>32ª reunión de la Asamblea</w:t>
    </w:r>
    <w:r w:rsidRPr="00334B9F">
      <w:rPr>
        <w:rFonts w:ascii="Arial" w:hAnsi="Arial" w:cs="Arial"/>
        <w:bCs/>
        <w:lang w:val="es-ES"/>
      </w:rPr>
      <w:br/>
      <w:t>UNESCO, 21-30 de junio de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97DB" w14:textId="1DBBEB87" w:rsidR="00270E93" w:rsidRPr="000833BB" w:rsidRDefault="000833BB" w:rsidP="000833BB">
    <w:pPr>
      <w:pStyle w:val="Encabezado"/>
    </w:pPr>
    <w:r w:rsidRPr="000833BB">
      <w:rPr>
        <w:rFonts w:ascii="Arial" w:hAnsi="Arial" w:cs="Arial"/>
        <w:caps/>
        <w:lang w:val="es-ES"/>
      </w:rPr>
      <w:t>IOC/A-32</w:t>
    </w:r>
    <w:r w:rsidR="00270E93" w:rsidRPr="000833BB">
      <w:rPr>
        <w:rFonts w:ascii="Arial" w:hAnsi="Arial" w:cs="Arial"/>
        <w:caps/>
        <w:lang w:val="es-ES"/>
      </w:rPr>
      <w:t>/</w:t>
    </w:r>
    <w:sdt>
      <w:sdtPr>
        <w:rPr>
          <w:rFonts w:ascii="Arial" w:hAnsi="Arial" w:cs="Arial"/>
          <w:lang w:val="es-ES"/>
        </w:rPr>
        <w:alias w:val="SIGNATURA"/>
        <w:tag w:val=""/>
        <w:id w:val="-1763675956"/>
        <w:dataBinding w:prefixMappings="xmlns:ns0='http://purl.org/dc/elements/1.1/' xmlns:ns1='http://schemas.openxmlformats.org/package/2006/metadata/core-properties' " w:xpath="/ns1:coreProperties[1]/ns1:keywords[1]" w:storeItemID="{6C3C8BC8-F283-45AE-878A-BAB7291924A1}"/>
        <w15:color w:val="FF0000"/>
        <w:text/>
      </w:sdtPr>
      <w:sdtEndPr/>
      <w:sdtContent>
        <w:r w:rsidR="005B54A0">
          <w:rPr>
            <w:rFonts w:ascii="Arial" w:hAnsi="Arial" w:cs="Arial"/>
            <w:lang w:val="es-ES"/>
          </w:rPr>
          <w:t>4.12.Doc(1)</w:t>
        </w:r>
      </w:sdtContent>
    </w:sdt>
    <w:r w:rsidR="00270E93" w:rsidRPr="000833BB">
      <w:rPr>
        <w:rFonts w:ascii="Arial" w:hAnsi="Arial" w:cs="Arial"/>
        <w:lang w:val="es-ES"/>
      </w:rPr>
      <w:t xml:space="preserve"> – pág. </w:t>
    </w:r>
    <w:r w:rsidR="00270E93" w:rsidRPr="000833BB">
      <w:rPr>
        <w:rFonts w:ascii="Arial" w:hAnsi="Arial" w:cs="Arial"/>
        <w:lang w:val="es-ES"/>
      </w:rPr>
      <w:fldChar w:fldCharType="begin"/>
    </w:r>
    <w:r w:rsidR="00270E93" w:rsidRPr="000833BB">
      <w:rPr>
        <w:rFonts w:ascii="Arial" w:hAnsi="Arial" w:cs="Arial"/>
        <w:lang w:val="es-ES"/>
      </w:rPr>
      <w:instrText>PAGE   \* MERGEFORMAT</w:instrText>
    </w:r>
    <w:r w:rsidR="00270E93" w:rsidRPr="000833BB">
      <w:rPr>
        <w:rFonts w:ascii="Arial" w:hAnsi="Arial" w:cs="Arial"/>
        <w:lang w:val="es-ES"/>
      </w:rPr>
      <w:fldChar w:fldCharType="separate"/>
    </w:r>
    <w:r w:rsidR="00270E93" w:rsidRPr="000833BB">
      <w:rPr>
        <w:rFonts w:ascii="Arial" w:hAnsi="Arial" w:cs="Arial"/>
        <w:lang w:val="es-ES"/>
      </w:rPr>
      <w:t>1</w:t>
    </w:r>
    <w:r w:rsidR="00270E93" w:rsidRPr="000833BB">
      <w:rPr>
        <w:rFonts w:ascii="Arial" w:hAnsi="Arial" w:cs="Arial"/>
        <w:lang w:val="es-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CEFD" w14:textId="47722B14" w:rsidR="000833BB" w:rsidRPr="00800C71" w:rsidRDefault="000833BB" w:rsidP="000833BB">
    <w:pPr>
      <w:pStyle w:val="Encabezado"/>
      <w:jc w:val="right"/>
      <w:rPr>
        <w:rFonts w:asciiTheme="minorBidi" w:hAnsiTheme="minorBidi"/>
      </w:rPr>
    </w:pPr>
    <w:r w:rsidRPr="00800C71">
      <w:rPr>
        <w:rFonts w:asciiTheme="minorBidi" w:hAnsiTheme="minorBidi"/>
        <w:caps/>
        <w:lang w:val="es-ES"/>
      </w:rPr>
      <w:t>IOC/A-32/</w:t>
    </w:r>
    <w:sdt>
      <w:sdtPr>
        <w:rPr>
          <w:rFonts w:asciiTheme="minorBidi" w:hAnsiTheme="minorBidi"/>
          <w:lang w:val="es-ES"/>
        </w:rPr>
        <w:alias w:val="SIGNATURA"/>
        <w:tag w:val=""/>
        <w:id w:val="191198000"/>
        <w:temporary/>
        <w:dataBinding w:prefixMappings="xmlns:ns0='http://purl.org/dc/elements/1.1/' xmlns:ns1='http://schemas.openxmlformats.org/package/2006/metadata/core-properties' " w:xpath="/ns1:coreProperties[1]/ns1:keywords[1]" w:storeItemID="{6C3C8BC8-F283-45AE-878A-BAB7291924A1}"/>
        <w15:color w:val="000000"/>
        <w:text/>
      </w:sdtPr>
      <w:sdtEndPr>
        <w:rPr>
          <w:lang w:val="fr-FR"/>
        </w:rPr>
      </w:sdtEndPr>
      <w:sdtContent>
        <w:r w:rsidR="005B54A0" w:rsidRPr="00800C71">
          <w:rPr>
            <w:rFonts w:asciiTheme="minorBidi" w:hAnsiTheme="minorBidi"/>
          </w:rPr>
          <w:t>4.12.Doc(1)</w:t>
        </w:r>
      </w:sdtContent>
    </w:sdt>
    <w:r w:rsidRPr="00800C71">
      <w:rPr>
        <w:rFonts w:asciiTheme="minorBidi" w:hAnsiTheme="minorBidi"/>
        <w:lang w:val="es-ES"/>
      </w:rPr>
      <w:t xml:space="preserve"> – pág. </w:t>
    </w:r>
    <w:r w:rsidRPr="00800C71">
      <w:rPr>
        <w:rFonts w:asciiTheme="minorBidi" w:hAnsiTheme="minorBidi"/>
        <w:lang w:val="es-ES"/>
      </w:rPr>
      <w:fldChar w:fldCharType="begin"/>
    </w:r>
    <w:r w:rsidRPr="00800C71">
      <w:rPr>
        <w:rFonts w:asciiTheme="minorBidi" w:hAnsiTheme="minorBidi"/>
        <w:lang w:val="es-ES"/>
      </w:rPr>
      <w:instrText>PAGE   \* MERGEFORMAT</w:instrText>
    </w:r>
    <w:r w:rsidRPr="00800C71">
      <w:rPr>
        <w:rFonts w:asciiTheme="minorBidi" w:hAnsiTheme="minorBidi"/>
        <w:lang w:val="es-ES"/>
      </w:rPr>
      <w:fldChar w:fldCharType="separate"/>
    </w:r>
    <w:r w:rsidRPr="00800C71">
      <w:rPr>
        <w:rFonts w:asciiTheme="minorBidi" w:hAnsiTheme="minorBidi"/>
        <w:lang w:val="es-ES"/>
      </w:rPr>
      <w:t>2</w:t>
    </w:r>
    <w:r w:rsidRPr="00800C71">
      <w:rPr>
        <w:rFonts w:asciiTheme="minorBidi" w:hAnsiTheme="minorBidi"/>
        <w:lang w:val="es-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E3F1" w14:textId="4093DF2E" w:rsidR="00270E93" w:rsidRPr="000833BB" w:rsidRDefault="000833BB" w:rsidP="000833BB">
    <w:pPr>
      <w:pStyle w:val="Encabezado"/>
      <w:jc w:val="right"/>
      <w:rPr>
        <w:rFonts w:ascii="Arial" w:hAnsi="Arial" w:cs="Arial"/>
        <w:caps/>
      </w:rPr>
    </w:pPr>
    <w:r w:rsidRPr="000833BB">
      <w:rPr>
        <w:rFonts w:ascii="Arial" w:hAnsi="Arial" w:cs="Arial"/>
        <w:caps/>
        <w:lang w:val="es-ES"/>
      </w:rPr>
      <w:t>IOC/A-32</w:t>
    </w:r>
    <w:r w:rsidR="00270E93" w:rsidRPr="000833BB">
      <w:rPr>
        <w:rFonts w:ascii="Arial" w:hAnsi="Arial" w:cs="Arial"/>
        <w:caps/>
        <w:lang w:val="es-ES"/>
      </w:rPr>
      <w:t>/</w:t>
    </w:r>
    <w:sdt>
      <w:sdtPr>
        <w:rPr>
          <w:rFonts w:ascii="Arial" w:hAnsi="Arial" w:cs="Arial"/>
          <w:lang w:val="es-ES"/>
        </w:rPr>
        <w:alias w:val="SIGNATURA"/>
        <w:tag w:val=""/>
        <w:id w:val="917984299"/>
        <w:dataBinding w:prefixMappings="xmlns:ns0='http://purl.org/dc/elements/1.1/' xmlns:ns1='http://schemas.openxmlformats.org/package/2006/metadata/core-properties' " w:xpath="/ns1:coreProperties[1]/ns1:keywords[1]" w:storeItemID="{6C3C8BC8-F283-45AE-878A-BAB7291924A1}"/>
        <w15:color w:val="FF0000"/>
        <w:text/>
      </w:sdtPr>
      <w:sdtEndPr/>
      <w:sdtContent>
        <w:r w:rsidR="005B54A0">
          <w:rPr>
            <w:rFonts w:ascii="Arial" w:hAnsi="Arial" w:cs="Arial"/>
            <w:lang w:val="es-ES"/>
          </w:rPr>
          <w:t>4.12.Doc(1)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600"/>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00077E"/>
    <w:multiLevelType w:val="hybridMultilevel"/>
    <w:tmpl w:val="1EA2961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B1693F"/>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37869"/>
    <w:multiLevelType w:val="hybridMultilevel"/>
    <w:tmpl w:val="DDA0E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54F4B"/>
    <w:multiLevelType w:val="hybridMultilevel"/>
    <w:tmpl w:val="745A204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0B3112D7"/>
    <w:multiLevelType w:val="multilevel"/>
    <w:tmpl w:val="4EF80814"/>
    <w:lvl w:ilvl="0">
      <w:start w:val="1"/>
      <w:numFmt w:val="decimal"/>
      <w:lvlText w:val="%1."/>
      <w:lvlJc w:val="left"/>
      <w:pPr>
        <w:ind w:left="930" w:hanging="570"/>
      </w:pPr>
      <w:rPr>
        <w:rFonts w:hint="default"/>
        <w:color w:val="auto"/>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BEF147E"/>
    <w:multiLevelType w:val="hybridMultilevel"/>
    <w:tmpl w:val="6AEEB90C"/>
    <w:lvl w:ilvl="0" w:tplc="BFDE339C">
      <w:start w:val="1"/>
      <w:numFmt w:val="bullet"/>
      <w:lvlText w:val=""/>
      <w:lvlJc w:val="left"/>
      <w:pPr>
        <w:ind w:left="720" w:hanging="360"/>
      </w:pPr>
      <w:rPr>
        <w:rFonts w:ascii="Symbol" w:hAnsi="Symbol"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AA652E"/>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6B7C8B"/>
    <w:multiLevelType w:val="multilevel"/>
    <w:tmpl w:val="4E963232"/>
    <w:lvl w:ilvl="0">
      <w:start w:val="2"/>
      <w:numFmt w:val="decimal"/>
      <w:lvlText w:val="%1."/>
      <w:lvlJc w:val="left"/>
      <w:pPr>
        <w:ind w:left="360" w:hanging="360"/>
      </w:pPr>
      <w:rPr>
        <w:rFonts w:hint="default"/>
        <w:color w:val="auto"/>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A12A32"/>
    <w:multiLevelType w:val="hybridMultilevel"/>
    <w:tmpl w:val="0F5A76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3D30F29"/>
    <w:multiLevelType w:val="multilevel"/>
    <w:tmpl w:val="800A875E"/>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2E08D7"/>
    <w:multiLevelType w:val="multilevel"/>
    <w:tmpl w:val="B9F2133A"/>
    <w:lvl w:ilvl="0">
      <w:start w:val="11"/>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A11900"/>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4B3376"/>
    <w:multiLevelType w:val="hybridMultilevel"/>
    <w:tmpl w:val="CE66DA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1182BBC"/>
    <w:multiLevelType w:val="multilevel"/>
    <w:tmpl w:val="2B584442"/>
    <w:lvl w:ilvl="0">
      <w:start w:val="3"/>
      <w:numFmt w:val="decimal"/>
      <w:lvlText w:val="%1"/>
      <w:lvlJc w:val="left"/>
      <w:pPr>
        <w:ind w:left="420" w:hanging="420"/>
      </w:pPr>
      <w:rPr>
        <w:rFonts w:eastAsia="Times New Roman" w:hint="default"/>
      </w:rPr>
    </w:lvl>
    <w:lvl w:ilvl="1">
      <w:start w:val="30"/>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38CD465B"/>
    <w:multiLevelType w:val="hybridMultilevel"/>
    <w:tmpl w:val="C73CD57A"/>
    <w:lvl w:ilvl="0" w:tplc="040C0001">
      <w:start w:val="1"/>
      <w:numFmt w:val="bullet"/>
      <w:lvlText w:val=""/>
      <w:lvlJc w:val="left"/>
      <w:pPr>
        <w:ind w:left="3554" w:hanging="360"/>
      </w:pPr>
      <w:rPr>
        <w:rFonts w:ascii="Symbol" w:hAnsi="Symbol" w:hint="default"/>
      </w:rPr>
    </w:lvl>
    <w:lvl w:ilvl="1" w:tplc="040C0003" w:tentative="1">
      <w:start w:val="1"/>
      <w:numFmt w:val="bullet"/>
      <w:lvlText w:val="o"/>
      <w:lvlJc w:val="left"/>
      <w:pPr>
        <w:ind w:left="4274" w:hanging="360"/>
      </w:pPr>
      <w:rPr>
        <w:rFonts w:ascii="Courier New" w:hAnsi="Courier New" w:cs="Courier New" w:hint="default"/>
      </w:rPr>
    </w:lvl>
    <w:lvl w:ilvl="2" w:tplc="040C0005" w:tentative="1">
      <w:start w:val="1"/>
      <w:numFmt w:val="bullet"/>
      <w:lvlText w:val=""/>
      <w:lvlJc w:val="left"/>
      <w:pPr>
        <w:ind w:left="4994" w:hanging="360"/>
      </w:pPr>
      <w:rPr>
        <w:rFonts w:ascii="Wingdings" w:hAnsi="Wingdings" w:hint="default"/>
      </w:rPr>
    </w:lvl>
    <w:lvl w:ilvl="3" w:tplc="040C0001" w:tentative="1">
      <w:start w:val="1"/>
      <w:numFmt w:val="bullet"/>
      <w:lvlText w:val=""/>
      <w:lvlJc w:val="left"/>
      <w:pPr>
        <w:ind w:left="5714" w:hanging="360"/>
      </w:pPr>
      <w:rPr>
        <w:rFonts w:ascii="Symbol" w:hAnsi="Symbol" w:hint="default"/>
      </w:rPr>
    </w:lvl>
    <w:lvl w:ilvl="4" w:tplc="040C0003" w:tentative="1">
      <w:start w:val="1"/>
      <w:numFmt w:val="bullet"/>
      <w:lvlText w:val="o"/>
      <w:lvlJc w:val="left"/>
      <w:pPr>
        <w:ind w:left="6434" w:hanging="360"/>
      </w:pPr>
      <w:rPr>
        <w:rFonts w:ascii="Courier New" w:hAnsi="Courier New" w:cs="Courier New" w:hint="default"/>
      </w:rPr>
    </w:lvl>
    <w:lvl w:ilvl="5" w:tplc="040C0005" w:tentative="1">
      <w:start w:val="1"/>
      <w:numFmt w:val="bullet"/>
      <w:lvlText w:val=""/>
      <w:lvlJc w:val="left"/>
      <w:pPr>
        <w:ind w:left="7154" w:hanging="360"/>
      </w:pPr>
      <w:rPr>
        <w:rFonts w:ascii="Wingdings" w:hAnsi="Wingdings" w:hint="default"/>
      </w:rPr>
    </w:lvl>
    <w:lvl w:ilvl="6" w:tplc="040C0001" w:tentative="1">
      <w:start w:val="1"/>
      <w:numFmt w:val="bullet"/>
      <w:lvlText w:val=""/>
      <w:lvlJc w:val="left"/>
      <w:pPr>
        <w:ind w:left="7874" w:hanging="360"/>
      </w:pPr>
      <w:rPr>
        <w:rFonts w:ascii="Symbol" w:hAnsi="Symbol" w:hint="default"/>
      </w:rPr>
    </w:lvl>
    <w:lvl w:ilvl="7" w:tplc="040C0003" w:tentative="1">
      <w:start w:val="1"/>
      <w:numFmt w:val="bullet"/>
      <w:lvlText w:val="o"/>
      <w:lvlJc w:val="left"/>
      <w:pPr>
        <w:ind w:left="8594" w:hanging="360"/>
      </w:pPr>
      <w:rPr>
        <w:rFonts w:ascii="Courier New" w:hAnsi="Courier New" w:cs="Courier New" w:hint="default"/>
      </w:rPr>
    </w:lvl>
    <w:lvl w:ilvl="8" w:tplc="040C0005" w:tentative="1">
      <w:start w:val="1"/>
      <w:numFmt w:val="bullet"/>
      <w:lvlText w:val=""/>
      <w:lvlJc w:val="left"/>
      <w:pPr>
        <w:ind w:left="9314" w:hanging="360"/>
      </w:pPr>
      <w:rPr>
        <w:rFonts w:ascii="Wingdings" w:hAnsi="Wingdings" w:hint="default"/>
      </w:rPr>
    </w:lvl>
  </w:abstractNum>
  <w:abstractNum w:abstractNumId="16" w15:restartNumberingAfterBreak="0">
    <w:nsid w:val="3A5D37FD"/>
    <w:multiLevelType w:val="hybridMultilevel"/>
    <w:tmpl w:val="3B8263C2"/>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3ACB4AD3"/>
    <w:multiLevelType w:val="multilevel"/>
    <w:tmpl w:val="9DF2F00E"/>
    <w:lvl w:ilvl="0">
      <w:start w:val="2"/>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3468FB"/>
    <w:multiLevelType w:val="hybridMultilevel"/>
    <w:tmpl w:val="4EF0E1F4"/>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43861B9D"/>
    <w:multiLevelType w:val="hybridMultilevel"/>
    <w:tmpl w:val="FF3406DC"/>
    <w:lvl w:ilvl="0" w:tplc="6D0824AA">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630337"/>
    <w:multiLevelType w:val="hybridMultilevel"/>
    <w:tmpl w:val="03C2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26216"/>
    <w:multiLevelType w:val="multilevel"/>
    <w:tmpl w:val="6B0284D4"/>
    <w:lvl w:ilvl="0">
      <w:start w:val="3"/>
      <w:numFmt w:val="decimal"/>
      <w:lvlText w:val="%1"/>
      <w:lvlJc w:val="left"/>
      <w:pPr>
        <w:ind w:left="420" w:hanging="420"/>
      </w:pPr>
      <w:rPr>
        <w:rFonts w:eastAsia="Times New Roman" w:hint="default"/>
      </w:rPr>
    </w:lvl>
    <w:lvl w:ilvl="1">
      <w:start w:val="45"/>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15:restartNumberingAfterBreak="0">
    <w:nsid w:val="57E235B9"/>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FD1B24"/>
    <w:multiLevelType w:val="hybridMultilevel"/>
    <w:tmpl w:val="8FA8CC8A"/>
    <w:lvl w:ilvl="0" w:tplc="1BF863B4">
      <w:start w:val="1"/>
      <w:numFmt w:val="decimal"/>
      <w:lvlText w:val="%1."/>
      <w:lvlJc w:val="left"/>
      <w:pPr>
        <w:ind w:left="8100" w:hanging="360"/>
      </w:pPr>
      <w:rPr>
        <w:rFonts w:ascii="Arial" w:hAnsi="Arial" w:cs="Arial" w:hint="default"/>
        <w:b w:val="0"/>
        <w:bCs w:val="0"/>
      </w:rPr>
    </w:lvl>
    <w:lvl w:ilvl="1" w:tplc="08090019" w:tentative="1">
      <w:start w:val="1"/>
      <w:numFmt w:val="lowerLetter"/>
      <w:lvlText w:val="%2."/>
      <w:lvlJc w:val="left"/>
      <w:pPr>
        <w:ind w:left="7110" w:hanging="360"/>
      </w:pPr>
    </w:lvl>
    <w:lvl w:ilvl="2" w:tplc="0809001B" w:tentative="1">
      <w:start w:val="1"/>
      <w:numFmt w:val="lowerRoman"/>
      <w:lvlText w:val="%3."/>
      <w:lvlJc w:val="right"/>
      <w:pPr>
        <w:ind w:left="7830" w:hanging="180"/>
      </w:pPr>
    </w:lvl>
    <w:lvl w:ilvl="3" w:tplc="0809000F" w:tentative="1">
      <w:start w:val="1"/>
      <w:numFmt w:val="decimal"/>
      <w:lvlText w:val="%4."/>
      <w:lvlJc w:val="left"/>
      <w:pPr>
        <w:ind w:left="8550" w:hanging="360"/>
      </w:pPr>
    </w:lvl>
    <w:lvl w:ilvl="4" w:tplc="08090019" w:tentative="1">
      <w:start w:val="1"/>
      <w:numFmt w:val="lowerLetter"/>
      <w:lvlText w:val="%5."/>
      <w:lvlJc w:val="left"/>
      <w:pPr>
        <w:ind w:left="9270" w:hanging="360"/>
      </w:pPr>
    </w:lvl>
    <w:lvl w:ilvl="5" w:tplc="0809001B" w:tentative="1">
      <w:start w:val="1"/>
      <w:numFmt w:val="lowerRoman"/>
      <w:lvlText w:val="%6."/>
      <w:lvlJc w:val="right"/>
      <w:pPr>
        <w:ind w:left="9990" w:hanging="180"/>
      </w:pPr>
    </w:lvl>
    <w:lvl w:ilvl="6" w:tplc="0809000F" w:tentative="1">
      <w:start w:val="1"/>
      <w:numFmt w:val="decimal"/>
      <w:lvlText w:val="%7."/>
      <w:lvlJc w:val="left"/>
      <w:pPr>
        <w:ind w:left="10710" w:hanging="360"/>
      </w:pPr>
    </w:lvl>
    <w:lvl w:ilvl="7" w:tplc="08090019" w:tentative="1">
      <w:start w:val="1"/>
      <w:numFmt w:val="lowerLetter"/>
      <w:lvlText w:val="%8."/>
      <w:lvlJc w:val="left"/>
      <w:pPr>
        <w:ind w:left="11430" w:hanging="360"/>
      </w:pPr>
    </w:lvl>
    <w:lvl w:ilvl="8" w:tplc="0809001B" w:tentative="1">
      <w:start w:val="1"/>
      <w:numFmt w:val="lowerRoman"/>
      <w:lvlText w:val="%9."/>
      <w:lvlJc w:val="right"/>
      <w:pPr>
        <w:ind w:left="12150" w:hanging="180"/>
      </w:pPr>
    </w:lvl>
  </w:abstractNum>
  <w:abstractNum w:abstractNumId="24" w15:restartNumberingAfterBreak="0">
    <w:nsid w:val="5CE03CAD"/>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B54B75"/>
    <w:multiLevelType w:val="multilevel"/>
    <w:tmpl w:val="2F7870B2"/>
    <w:lvl w:ilvl="0">
      <w:start w:val="11"/>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0E5AF9"/>
    <w:multiLevelType w:val="hybridMultilevel"/>
    <w:tmpl w:val="A28E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BD575A"/>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6126B5"/>
    <w:multiLevelType w:val="hybridMultilevel"/>
    <w:tmpl w:val="B9348754"/>
    <w:lvl w:ilvl="0" w:tplc="BFDE339C">
      <w:start w:val="1"/>
      <w:numFmt w:val="bullet"/>
      <w:lvlText w:val=""/>
      <w:lvlJc w:val="left"/>
      <w:pPr>
        <w:ind w:left="720" w:hanging="360"/>
      </w:pPr>
      <w:rPr>
        <w:rFonts w:ascii="Symbol" w:hAnsi="Symbol"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151662"/>
    <w:multiLevelType w:val="hybridMultilevel"/>
    <w:tmpl w:val="B6A44560"/>
    <w:lvl w:ilvl="0" w:tplc="040C0001">
      <w:start w:val="1"/>
      <w:numFmt w:val="bullet"/>
      <w:lvlText w:val=""/>
      <w:lvlJc w:val="left"/>
      <w:pPr>
        <w:ind w:left="3554" w:hanging="360"/>
      </w:pPr>
      <w:rPr>
        <w:rFonts w:ascii="Symbol" w:hAnsi="Symbol" w:hint="default"/>
      </w:rPr>
    </w:lvl>
    <w:lvl w:ilvl="1" w:tplc="040C0003">
      <w:start w:val="1"/>
      <w:numFmt w:val="bullet"/>
      <w:lvlText w:val="o"/>
      <w:lvlJc w:val="left"/>
      <w:pPr>
        <w:ind w:left="4274" w:hanging="360"/>
      </w:pPr>
      <w:rPr>
        <w:rFonts w:ascii="Courier New" w:hAnsi="Courier New" w:cs="Courier New" w:hint="default"/>
      </w:rPr>
    </w:lvl>
    <w:lvl w:ilvl="2" w:tplc="040C0005" w:tentative="1">
      <w:start w:val="1"/>
      <w:numFmt w:val="bullet"/>
      <w:lvlText w:val=""/>
      <w:lvlJc w:val="left"/>
      <w:pPr>
        <w:ind w:left="4994" w:hanging="360"/>
      </w:pPr>
      <w:rPr>
        <w:rFonts w:ascii="Wingdings" w:hAnsi="Wingdings" w:hint="default"/>
      </w:rPr>
    </w:lvl>
    <w:lvl w:ilvl="3" w:tplc="040C0001" w:tentative="1">
      <w:start w:val="1"/>
      <w:numFmt w:val="bullet"/>
      <w:lvlText w:val=""/>
      <w:lvlJc w:val="left"/>
      <w:pPr>
        <w:ind w:left="5714" w:hanging="360"/>
      </w:pPr>
      <w:rPr>
        <w:rFonts w:ascii="Symbol" w:hAnsi="Symbol" w:hint="default"/>
      </w:rPr>
    </w:lvl>
    <w:lvl w:ilvl="4" w:tplc="040C0003" w:tentative="1">
      <w:start w:val="1"/>
      <w:numFmt w:val="bullet"/>
      <w:lvlText w:val="o"/>
      <w:lvlJc w:val="left"/>
      <w:pPr>
        <w:ind w:left="6434" w:hanging="360"/>
      </w:pPr>
      <w:rPr>
        <w:rFonts w:ascii="Courier New" w:hAnsi="Courier New" w:cs="Courier New" w:hint="default"/>
      </w:rPr>
    </w:lvl>
    <w:lvl w:ilvl="5" w:tplc="040C0005" w:tentative="1">
      <w:start w:val="1"/>
      <w:numFmt w:val="bullet"/>
      <w:lvlText w:val=""/>
      <w:lvlJc w:val="left"/>
      <w:pPr>
        <w:ind w:left="7154" w:hanging="360"/>
      </w:pPr>
      <w:rPr>
        <w:rFonts w:ascii="Wingdings" w:hAnsi="Wingdings" w:hint="default"/>
      </w:rPr>
    </w:lvl>
    <w:lvl w:ilvl="6" w:tplc="040C0001" w:tentative="1">
      <w:start w:val="1"/>
      <w:numFmt w:val="bullet"/>
      <w:lvlText w:val=""/>
      <w:lvlJc w:val="left"/>
      <w:pPr>
        <w:ind w:left="7874" w:hanging="360"/>
      </w:pPr>
      <w:rPr>
        <w:rFonts w:ascii="Symbol" w:hAnsi="Symbol" w:hint="default"/>
      </w:rPr>
    </w:lvl>
    <w:lvl w:ilvl="7" w:tplc="040C0003" w:tentative="1">
      <w:start w:val="1"/>
      <w:numFmt w:val="bullet"/>
      <w:lvlText w:val="o"/>
      <w:lvlJc w:val="left"/>
      <w:pPr>
        <w:ind w:left="8594" w:hanging="360"/>
      </w:pPr>
      <w:rPr>
        <w:rFonts w:ascii="Courier New" w:hAnsi="Courier New" w:cs="Courier New" w:hint="default"/>
      </w:rPr>
    </w:lvl>
    <w:lvl w:ilvl="8" w:tplc="040C0005" w:tentative="1">
      <w:start w:val="1"/>
      <w:numFmt w:val="bullet"/>
      <w:lvlText w:val=""/>
      <w:lvlJc w:val="left"/>
      <w:pPr>
        <w:ind w:left="9314" w:hanging="360"/>
      </w:pPr>
      <w:rPr>
        <w:rFonts w:ascii="Wingdings" w:hAnsi="Wingdings" w:hint="default"/>
      </w:rPr>
    </w:lvl>
  </w:abstractNum>
  <w:abstractNum w:abstractNumId="30" w15:restartNumberingAfterBreak="0">
    <w:nsid w:val="7E414518"/>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FB33D0"/>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3101711">
    <w:abstractNumId w:val="5"/>
  </w:num>
  <w:num w:numId="2" w16cid:durableId="267583594">
    <w:abstractNumId w:val="31"/>
  </w:num>
  <w:num w:numId="3" w16cid:durableId="878198530">
    <w:abstractNumId w:val="6"/>
  </w:num>
  <w:num w:numId="4" w16cid:durableId="1787313475">
    <w:abstractNumId w:val="28"/>
  </w:num>
  <w:num w:numId="5" w16cid:durableId="86653882">
    <w:abstractNumId w:val="26"/>
  </w:num>
  <w:num w:numId="6" w16cid:durableId="1537502511">
    <w:abstractNumId w:val="3"/>
  </w:num>
  <w:num w:numId="7" w16cid:durableId="710149218">
    <w:abstractNumId w:val="1"/>
  </w:num>
  <w:num w:numId="8" w16cid:durableId="1730612573">
    <w:abstractNumId w:val="22"/>
  </w:num>
  <w:num w:numId="9" w16cid:durableId="1618222396">
    <w:abstractNumId w:val="29"/>
  </w:num>
  <w:num w:numId="10" w16cid:durableId="700936135">
    <w:abstractNumId w:val="15"/>
  </w:num>
  <w:num w:numId="11" w16cid:durableId="2067293719">
    <w:abstractNumId w:val="21"/>
  </w:num>
  <w:num w:numId="12" w16cid:durableId="1522205117">
    <w:abstractNumId w:val="14"/>
  </w:num>
  <w:num w:numId="13" w16cid:durableId="255600244">
    <w:abstractNumId w:val="10"/>
  </w:num>
  <w:num w:numId="14" w16cid:durableId="1993867633">
    <w:abstractNumId w:val="20"/>
  </w:num>
  <w:num w:numId="15" w16cid:durableId="1206527266">
    <w:abstractNumId w:val="16"/>
  </w:num>
  <w:num w:numId="16" w16cid:durableId="206839737">
    <w:abstractNumId w:val="18"/>
  </w:num>
  <w:num w:numId="17" w16cid:durableId="153648711">
    <w:abstractNumId w:val="9"/>
  </w:num>
  <w:num w:numId="18" w16cid:durableId="610089407">
    <w:abstractNumId w:val="13"/>
  </w:num>
  <w:num w:numId="19" w16cid:durableId="866407410">
    <w:abstractNumId w:val="4"/>
  </w:num>
  <w:num w:numId="20" w16cid:durableId="1816025921">
    <w:abstractNumId w:val="12"/>
  </w:num>
  <w:num w:numId="21" w16cid:durableId="658460240">
    <w:abstractNumId w:val="2"/>
  </w:num>
  <w:num w:numId="22" w16cid:durableId="17321873">
    <w:abstractNumId w:val="8"/>
  </w:num>
  <w:num w:numId="23" w16cid:durableId="640884953">
    <w:abstractNumId w:val="19"/>
  </w:num>
  <w:num w:numId="24" w16cid:durableId="1985117544">
    <w:abstractNumId w:val="24"/>
  </w:num>
  <w:num w:numId="25" w16cid:durableId="1124230968">
    <w:abstractNumId w:val="7"/>
  </w:num>
  <w:num w:numId="26" w16cid:durableId="1408725679">
    <w:abstractNumId w:val="0"/>
  </w:num>
  <w:num w:numId="27" w16cid:durableId="28381495">
    <w:abstractNumId w:val="30"/>
  </w:num>
  <w:num w:numId="28" w16cid:durableId="1799254483">
    <w:abstractNumId w:val="11"/>
  </w:num>
  <w:num w:numId="29" w16cid:durableId="119303775">
    <w:abstractNumId w:val="25"/>
  </w:num>
  <w:num w:numId="30" w16cid:durableId="245920030">
    <w:abstractNumId w:val="27"/>
  </w:num>
  <w:num w:numId="31" w16cid:durableId="1559516330">
    <w:abstractNumId w:val="17"/>
  </w:num>
  <w:num w:numId="32" w16cid:durableId="10987928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A0"/>
    <w:rsid w:val="00001124"/>
    <w:rsid w:val="00003B9C"/>
    <w:rsid w:val="00011FAE"/>
    <w:rsid w:val="00012EF5"/>
    <w:rsid w:val="00013C44"/>
    <w:rsid w:val="00014BFA"/>
    <w:rsid w:val="00026076"/>
    <w:rsid w:val="0002762D"/>
    <w:rsid w:val="00030B00"/>
    <w:rsid w:val="00030F5F"/>
    <w:rsid w:val="00031988"/>
    <w:rsid w:val="00043BE3"/>
    <w:rsid w:val="00047058"/>
    <w:rsid w:val="000510F9"/>
    <w:rsid w:val="00051DB3"/>
    <w:rsid w:val="00052718"/>
    <w:rsid w:val="00053057"/>
    <w:rsid w:val="0005515E"/>
    <w:rsid w:val="0005619B"/>
    <w:rsid w:val="000579C1"/>
    <w:rsid w:val="00061790"/>
    <w:rsid w:val="000654B5"/>
    <w:rsid w:val="00070E39"/>
    <w:rsid w:val="0007215D"/>
    <w:rsid w:val="00072EB8"/>
    <w:rsid w:val="00073A25"/>
    <w:rsid w:val="000749F6"/>
    <w:rsid w:val="00081CC1"/>
    <w:rsid w:val="000833BB"/>
    <w:rsid w:val="000940A3"/>
    <w:rsid w:val="000A02BF"/>
    <w:rsid w:val="000A470F"/>
    <w:rsid w:val="000A7DDB"/>
    <w:rsid w:val="000B5761"/>
    <w:rsid w:val="000C538E"/>
    <w:rsid w:val="000C6DAB"/>
    <w:rsid w:val="000D1F55"/>
    <w:rsid w:val="000D2A30"/>
    <w:rsid w:val="000D6D14"/>
    <w:rsid w:val="000E0B71"/>
    <w:rsid w:val="000F0829"/>
    <w:rsid w:val="000F4B74"/>
    <w:rsid w:val="00116936"/>
    <w:rsid w:val="00120BAB"/>
    <w:rsid w:val="0012211B"/>
    <w:rsid w:val="00123669"/>
    <w:rsid w:val="001239A7"/>
    <w:rsid w:val="00127F1F"/>
    <w:rsid w:val="00134AC2"/>
    <w:rsid w:val="001350A1"/>
    <w:rsid w:val="0014066D"/>
    <w:rsid w:val="0014069C"/>
    <w:rsid w:val="00141C6C"/>
    <w:rsid w:val="001433BF"/>
    <w:rsid w:val="00143417"/>
    <w:rsid w:val="00143A88"/>
    <w:rsid w:val="00145297"/>
    <w:rsid w:val="00150C0A"/>
    <w:rsid w:val="00150D2D"/>
    <w:rsid w:val="0015688A"/>
    <w:rsid w:val="001622B1"/>
    <w:rsid w:val="00165003"/>
    <w:rsid w:val="001705F1"/>
    <w:rsid w:val="001729AE"/>
    <w:rsid w:val="00194051"/>
    <w:rsid w:val="0019439C"/>
    <w:rsid w:val="0019554A"/>
    <w:rsid w:val="00197D0B"/>
    <w:rsid w:val="001A41ED"/>
    <w:rsid w:val="001B039D"/>
    <w:rsid w:val="001B49DB"/>
    <w:rsid w:val="001B5EA7"/>
    <w:rsid w:val="001C6BE2"/>
    <w:rsid w:val="001C78DF"/>
    <w:rsid w:val="001D1A62"/>
    <w:rsid w:val="001D2380"/>
    <w:rsid w:val="001E6937"/>
    <w:rsid w:val="001F1FB4"/>
    <w:rsid w:val="001F5749"/>
    <w:rsid w:val="0020213B"/>
    <w:rsid w:val="00202379"/>
    <w:rsid w:val="00204839"/>
    <w:rsid w:val="00204F05"/>
    <w:rsid w:val="002157AC"/>
    <w:rsid w:val="002178D7"/>
    <w:rsid w:val="002206D6"/>
    <w:rsid w:val="00224E63"/>
    <w:rsid w:val="002265A1"/>
    <w:rsid w:val="00233BBA"/>
    <w:rsid w:val="0025449D"/>
    <w:rsid w:val="00254B55"/>
    <w:rsid w:val="00255E52"/>
    <w:rsid w:val="00255F85"/>
    <w:rsid w:val="00261FAE"/>
    <w:rsid w:val="002626A8"/>
    <w:rsid w:val="00266A07"/>
    <w:rsid w:val="0026705C"/>
    <w:rsid w:val="00270E93"/>
    <w:rsid w:val="002711F4"/>
    <w:rsid w:val="002712C1"/>
    <w:rsid w:val="0027196C"/>
    <w:rsid w:val="00277F4D"/>
    <w:rsid w:val="00281171"/>
    <w:rsid w:val="00284946"/>
    <w:rsid w:val="002859BD"/>
    <w:rsid w:val="00286E69"/>
    <w:rsid w:val="0029100C"/>
    <w:rsid w:val="002948EB"/>
    <w:rsid w:val="00297A5B"/>
    <w:rsid w:val="002A7B0B"/>
    <w:rsid w:val="002B29F8"/>
    <w:rsid w:val="002B72C5"/>
    <w:rsid w:val="002B770D"/>
    <w:rsid w:val="002C0BC2"/>
    <w:rsid w:val="002D1160"/>
    <w:rsid w:val="002D3768"/>
    <w:rsid w:val="002D4E94"/>
    <w:rsid w:val="002D636B"/>
    <w:rsid w:val="002D65B4"/>
    <w:rsid w:val="002D70E7"/>
    <w:rsid w:val="002D7CB8"/>
    <w:rsid w:val="002E1324"/>
    <w:rsid w:val="002E2565"/>
    <w:rsid w:val="002E6ABC"/>
    <w:rsid w:val="002F5445"/>
    <w:rsid w:val="002F7AAC"/>
    <w:rsid w:val="003034C8"/>
    <w:rsid w:val="00306D56"/>
    <w:rsid w:val="00306F1A"/>
    <w:rsid w:val="00313A39"/>
    <w:rsid w:val="00314DB3"/>
    <w:rsid w:val="003203AD"/>
    <w:rsid w:val="00322F2B"/>
    <w:rsid w:val="00323A09"/>
    <w:rsid w:val="00327DFF"/>
    <w:rsid w:val="00334B9F"/>
    <w:rsid w:val="00344D12"/>
    <w:rsid w:val="003450BB"/>
    <w:rsid w:val="00345B0A"/>
    <w:rsid w:val="00347E12"/>
    <w:rsid w:val="0035159F"/>
    <w:rsid w:val="003550B6"/>
    <w:rsid w:val="003637B7"/>
    <w:rsid w:val="00364478"/>
    <w:rsid w:val="00365FF0"/>
    <w:rsid w:val="00367ECB"/>
    <w:rsid w:val="00376033"/>
    <w:rsid w:val="00384530"/>
    <w:rsid w:val="0038481A"/>
    <w:rsid w:val="003849FB"/>
    <w:rsid w:val="003B603D"/>
    <w:rsid w:val="003D2D9C"/>
    <w:rsid w:val="003D38D7"/>
    <w:rsid w:val="003E19E8"/>
    <w:rsid w:val="003F4FA5"/>
    <w:rsid w:val="00405F89"/>
    <w:rsid w:val="00410AE0"/>
    <w:rsid w:val="00420B86"/>
    <w:rsid w:val="00421184"/>
    <w:rsid w:val="0042210B"/>
    <w:rsid w:val="004249A4"/>
    <w:rsid w:val="004264A1"/>
    <w:rsid w:val="004274D9"/>
    <w:rsid w:val="0043784B"/>
    <w:rsid w:val="00437BC1"/>
    <w:rsid w:val="0044007E"/>
    <w:rsid w:val="0044331D"/>
    <w:rsid w:val="00443561"/>
    <w:rsid w:val="00445A68"/>
    <w:rsid w:val="00450AEF"/>
    <w:rsid w:val="0045729C"/>
    <w:rsid w:val="00460EF5"/>
    <w:rsid w:val="00465932"/>
    <w:rsid w:val="00466DC8"/>
    <w:rsid w:val="00467D31"/>
    <w:rsid w:val="00475C34"/>
    <w:rsid w:val="0048778E"/>
    <w:rsid w:val="00495349"/>
    <w:rsid w:val="004A0A53"/>
    <w:rsid w:val="004A5C3C"/>
    <w:rsid w:val="004A76DC"/>
    <w:rsid w:val="004B0DD3"/>
    <w:rsid w:val="004B12B7"/>
    <w:rsid w:val="004B2EB3"/>
    <w:rsid w:val="004B39C5"/>
    <w:rsid w:val="004B7C72"/>
    <w:rsid w:val="004C0FDD"/>
    <w:rsid w:val="004C2F3F"/>
    <w:rsid w:val="004C4896"/>
    <w:rsid w:val="004C68A9"/>
    <w:rsid w:val="004D3883"/>
    <w:rsid w:val="004E4896"/>
    <w:rsid w:val="004E6698"/>
    <w:rsid w:val="004F3539"/>
    <w:rsid w:val="00502D2E"/>
    <w:rsid w:val="00513B3B"/>
    <w:rsid w:val="005157B2"/>
    <w:rsid w:val="00520B54"/>
    <w:rsid w:val="00525FF3"/>
    <w:rsid w:val="00532970"/>
    <w:rsid w:val="0054578B"/>
    <w:rsid w:val="005530B7"/>
    <w:rsid w:val="00572A20"/>
    <w:rsid w:val="00577B72"/>
    <w:rsid w:val="00581E76"/>
    <w:rsid w:val="005919C0"/>
    <w:rsid w:val="005A5CD8"/>
    <w:rsid w:val="005B1954"/>
    <w:rsid w:val="005B4334"/>
    <w:rsid w:val="005B54A0"/>
    <w:rsid w:val="005C1238"/>
    <w:rsid w:val="005C58A5"/>
    <w:rsid w:val="005C5EDA"/>
    <w:rsid w:val="005D2590"/>
    <w:rsid w:val="005D32F9"/>
    <w:rsid w:val="005D37C6"/>
    <w:rsid w:val="005D3BD6"/>
    <w:rsid w:val="005E0976"/>
    <w:rsid w:val="005E1C29"/>
    <w:rsid w:val="005E1E61"/>
    <w:rsid w:val="005E3F02"/>
    <w:rsid w:val="005E4395"/>
    <w:rsid w:val="005E4A11"/>
    <w:rsid w:val="005E534C"/>
    <w:rsid w:val="005F1A2E"/>
    <w:rsid w:val="00602C73"/>
    <w:rsid w:val="00604E47"/>
    <w:rsid w:val="00606C59"/>
    <w:rsid w:val="00606D0A"/>
    <w:rsid w:val="00606E41"/>
    <w:rsid w:val="00610898"/>
    <w:rsid w:val="00617C8D"/>
    <w:rsid w:val="0062013D"/>
    <w:rsid w:val="006251BB"/>
    <w:rsid w:val="006316C7"/>
    <w:rsid w:val="00636A71"/>
    <w:rsid w:val="00636C3C"/>
    <w:rsid w:val="00651FC3"/>
    <w:rsid w:val="00653992"/>
    <w:rsid w:val="00653A18"/>
    <w:rsid w:val="00657ABB"/>
    <w:rsid w:val="0067576D"/>
    <w:rsid w:val="0067607D"/>
    <w:rsid w:val="00676A26"/>
    <w:rsid w:val="00681B52"/>
    <w:rsid w:val="0068784D"/>
    <w:rsid w:val="006932B7"/>
    <w:rsid w:val="00693F9D"/>
    <w:rsid w:val="0069405E"/>
    <w:rsid w:val="006A433F"/>
    <w:rsid w:val="006A7653"/>
    <w:rsid w:val="006B4B9F"/>
    <w:rsid w:val="006C125F"/>
    <w:rsid w:val="006D18BE"/>
    <w:rsid w:val="006D293A"/>
    <w:rsid w:val="006D7279"/>
    <w:rsid w:val="006F45EE"/>
    <w:rsid w:val="006F6140"/>
    <w:rsid w:val="006F70D0"/>
    <w:rsid w:val="00702FD6"/>
    <w:rsid w:val="00703FA3"/>
    <w:rsid w:val="00706E5E"/>
    <w:rsid w:val="007125AB"/>
    <w:rsid w:val="00715D11"/>
    <w:rsid w:val="007229F7"/>
    <w:rsid w:val="00723B7D"/>
    <w:rsid w:val="0072433F"/>
    <w:rsid w:val="00726845"/>
    <w:rsid w:val="00732A6C"/>
    <w:rsid w:val="007340C3"/>
    <w:rsid w:val="00740F0B"/>
    <w:rsid w:val="0075108B"/>
    <w:rsid w:val="00752E99"/>
    <w:rsid w:val="007548C8"/>
    <w:rsid w:val="007555FC"/>
    <w:rsid w:val="00760C5B"/>
    <w:rsid w:val="00771964"/>
    <w:rsid w:val="0077257B"/>
    <w:rsid w:val="007742AC"/>
    <w:rsid w:val="00776A7F"/>
    <w:rsid w:val="00783ADF"/>
    <w:rsid w:val="007870B6"/>
    <w:rsid w:val="007A0A94"/>
    <w:rsid w:val="007A4B03"/>
    <w:rsid w:val="007A5629"/>
    <w:rsid w:val="007A61E2"/>
    <w:rsid w:val="007A7D68"/>
    <w:rsid w:val="007C13AF"/>
    <w:rsid w:val="007C17D6"/>
    <w:rsid w:val="007C361D"/>
    <w:rsid w:val="007C54A0"/>
    <w:rsid w:val="007C633A"/>
    <w:rsid w:val="007D306C"/>
    <w:rsid w:val="007D7802"/>
    <w:rsid w:val="007E360D"/>
    <w:rsid w:val="00800C71"/>
    <w:rsid w:val="00801556"/>
    <w:rsid w:val="00802BA9"/>
    <w:rsid w:val="0080779E"/>
    <w:rsid w:val="00812CB9"/>
    <w:rsid w:val="00813385"/>
    <w:rsid w:val="008272AD"/>
    <w:rsid w:val="008402A4"/>
    <w:rsid w:val="008507B6"/>
    <w:rsid w:val="00866FCE"/>
    <w:rsid w:val="00874EBB"/>
    <w:rsid w:val="00882F3D"/>
    <w:rsid w:val="00886260"/>
    <w:rsid w:val="00887583"/>
    <w:rsid w:val="00896CE6"/>
    <w:rsid w:val="00896F8F"/>
    <w:rsid w:val="008A05FA"/>
    <w:rsid w:val="008A26F9"/>
    <w:rsid w:val="008B2A0F"/>
    <w:rsid w:val="008C717E"/>
    <w:rsid w:val="008D0811"/>
    <w:rsid w:val="008E1404"/>
    <w:rsid w:val="008F7946"/>
    <w:rsid w:val="00910AD1"/>
    <w:rsid w:val="00914A6C"/>
    <w:rsid w:val="0091655F"/>
    <w:rsid w:val="00916D06"/>
    <w:rsid w:val="00917D62"/>
    <w:rsid w:val="00920088"/>
    <w:rsid w:val="009265F1"/>
    <w:rsid w:val="00941800"/>
    <w:rsid w:val="00943E4A"/>
    <w:rsid w:val="00944170"/>
    <w:rsid w:val="009556BB"/>
    <w:rsid w:val="00961BD2"/>
    <w:rsid w:val="00965D7C"/>
    <w:rsid w:val="00966E6D"/>
    <w:rsid w:val="00967335"/>
    <w:rsid w:val="00967F10"/>
    <w:rsid w:val="0097217F"/>
    <w:rsid w:val="00973B58"/>
    <w:rsid w:val="00977AF6"/>
    <w:rsid w:val="009910CB"/>
    <w:rsid w:val="00996950"/>
    <w:rsid w:val="009A7585"/>
    <w:rsid w:val="009B2EE5"/>
    <w:rsid w:val="009B3153"/>
    <w:rsid w:val="009C050F"/>
    <w:rsid w:val="009C4DF3"/>
    <w:rsid w:val="009D64ED"/>
    <w:rsid w:val="009E649A"/>
    <w:rsid w:val="009F4778"/>
    <w:rsid w:val="009F4F33"/>
    <w:rsid w:val="00A00643"/>
    <w:rsid w:val="00A12059"/>
    <w:rsid w:val="00A179B5"/>
    <w:rsid w:val="00A17C67"/>
    <w:rsid w:val="00A2058F"/>
    <w:rsid w:val="00A205C0"/>
    <w:rsid w:val="00A219A0"/>
    <w:rsid w:val="00A26D04"/>
    <w:rsid w:val="00A27E58"/>
    <w:rsid w:val="00A3322E"/>
    <w:rsid w:val="00A45F32"/>
    <w:rsid w:val="00A52171"/>
    <w:rsid w:val="00A53889"/>
    <w:rsid w:val="00A55839"/>
    <w:rsid w:val="00A62288"/>
    <w:rsid w:val="00A70AF2"/>
    <w:rsid w:val="00A724AD"/>
    <w:rsid w:val="00A72E9D"/>
    <w:rsid w:val="00A74E52"/>
    <w:rsid w:val="00A75C53"/>
    <w:rsid w:val="00A77FEC"/>
    <w:rsid w:val="00A80786"/>
    <w:rsid w:val="00A8508E"/>
    <w:rsid w:val="00A86313"/>
    <w:rsid w:val="00A90DE6"/>
    <w:rsid w:val="00A92993"/>
    <w:rsid w:val="00A96C4A"/>
    <w:rsid w:val="00AA06AA"/>
    <w:rsid w:val="00AA0E2E"/>
    <w:rsid w:val="00AA4697"/>
    <w:rsid w:val="00AA5C17"/>
    <w:rsid w:val="00AB04F6"/>
    <w:rsid w:val="00AB7F8C"/>
    <w:rsid w:val="00AC630E"/>
    <w:rsid w:val="00AD267C"/>
    <w:rsid w:val="00AD3CFA"/>
    <w:rsid w:val="00AD57AF"/>
    <w:rsid w:val="00AD57D6"/>
    <w:rsid w:val="00AE0227"/>
    <w:rsid w:val="00AE32AB"/>
    <w:rsid w:val="00AE565F"/>
    <w:rsid w:val="00AE681E"/>
    <w:rsid w:val="00B001AA"/>
    <w:rsid w:val="00B00700"/>
    <w:rsid w:val="00B02BB6"/>
    <w:rsid w:val="00B1527D"/>
    <w:rsid w:val="00B1622A"/>
    <w:rsid w:val="00B17DDC"/>
    <w:rsid w:val="00B256F1"/>
    <w:rsid w:val="00B370E8"/>
    <w:rsid w:val="00B4031C"/>
    <w:rsid w:val="00B43948"/>
    <w:rsid w:val="00B52F96"/>
    <w:rsid w:val="00B5752F"/>
    <w:rsid w:val="00B61624"/>
    <w:rsid w:val="00B6340F"/>
    <w:rsid w:val="00B6356B"/>
    <w:rsid w:val="00B7427E"/>
    <w:rsid w:val="00B81F61"/>
    <w:rsid w:val="00B87471"/>
    <w:rsid w:val="00B87B7D"/>
    <w:rsid w:val="00B92E4C"/>
    <w:rsid w:val="00B92FEB"/>
    <w:rsid w:val="00BA01F8"/>
    <w:rsid w:val="00BA6958"/>
    <w:rsid w:val="00BB3BC0"/>
    <w:rsid w:val="00BB4A4E"/>
    <w:rsid w:val="00BC1101"/>
    <w:rsid w:val="00BC113B"/>
    <w:rsid w:val="00BC2DDD"/>
    <w:rsid w:val="00BC44C3"/>
    <w:rsid w:val="00BC4654"/>
    <w:rsid w:val="00BD08D7"/>
    <w:rsid w:val="00BD5360"/>
    <w:rsid w:val="00BE7E2B"/>
    <w:rsid w:val="00BF22FA"/>
    <w:rsid w:val="00BF3B76"/>
    <w:rsid w:val="00C03AB7"/>
    <w:rsid w:val="00C04E89"/>
    <w:rsid w:val="00C06866"/>
    <w:rsid w:val="00C07114"/>
    <w:rsid w:val="00C17AD1"/>
    <w:rsid w:val="00C258EF"/>
    <w:rsid w:val="00C319A2"/>
    <w:rsid w:val="00C32A7F"/>
    <w:rsid w:val="00C3549F"/>
    <w:rsid w:val="00C37485"/>
    <w:rsid w:val="00C40ABD"/>
    <w:rsid w:val="00C4782B"/>
    <w:rsid w:val="00C53D3C"/>
    <w:rsid w:val="00C54A92"/>
    <w:rsid w:val="00C567E8"/>
    <w:rsid w:val="00C623A9"/>
    <w:rsid w:val="00C6619B"/>
    <w:rsid w:val="00C7698D"/>
    <w:rsid w:val="00C76C09"/>
    <w:rsid w:val="00C83846"/>
    <w:rsid w:val="00C92BD2"/>
    <w:rsid w:val="00C94F69"/>
    <w:rsid w:val="00C96422"/>
    <w:rsid w:val="00C97229"/>
    <w:rsid w:val="00CA30DF"/>
    <w:rsid w:val="00CA3A8C"/>
    <w:rsid w:val="00CA5A49"/>
    <w:rsid w:val="00CA7A62"/>
    <w:rsid w:val="00CA7D04"/>
    <w:rsid w:val="00CB750C"/>
    <w:rsid w:val="00CC150C"/>
    <w:rsid w:val="00CC771B"/>
    <w:rsid w:val="00CD211A"/>
    <w:rsid w:val="00CD261E"/>
    <w:rsid w:val="00CD4C9D"/>
    <w:rsid w:val="00CE22EE"/>
    <w:rsid w:val="00CF2755"/>
    <w:rsid w:val="00CF37EE"/>
    <w:rsid w:val="00CF65BD"/>
    <w:rsid w:val="00CF6EBD"/>
    <w:rsid w:val="00D04509"/>
    <w:rsid w:val="00D16395"/>
    <w:rsid w:val="00D17316"/>
    <w:rsid w:val="00D1760D"/>
    <w:rsid w:val="00D21E0B"/>
    <w:rsid w:val="00D267FC"/>
    <w:rsid w:val="00D32645"/>
    <w:rsid w:val="00D32A85"/>
    <w:rsid w:val="00D36CE6"/>
    <w:rsid w:val="00D4294F"/>
    <w:rsid w:val="00D46FD1"/>
    <w:rsid w:val="00D504EA"/>
    <w:rsid w:val="00D62092"/>
    <w:rsid w:val="00D634B1"/>
    <w:rsid w:val="00D65CC9"/>
    <w:rsid w:val="00D71C7E"/>
    <w:rsid w:val="00D7270B"/>
    <w:rsid w:val="00D767B3"/>
    <w:rsid w:val="00D83DCA"/>
    <w:rsid w:val="00D916DA"/>
    <w:rsid w:val="00D97F2A"/>
    <w:rsid w:val="00DA05DC"/>
    <w:rsid w:val="00DA23EC"/>
    <w:rsid w:val="00DB15C8"/>
    <w:rsid w:val="00DB1AEF"/>
    <w:rsid w:val="00DC1CF3"/>
    <w:rsid w:val="00DC507A"/>
    <w:rsid w:val="00DC5A95"/>
    <w:rsid w:val="00DD066B"/>
    <w:rsid w:val="00DD6645"/>
    <w:rsid w:val="00DD702D"/>
    <w:rsid w:val="00DE23F2"/>
    <w:rsid w:val="00DF06A2"/>
    <w:rsid w:val="00E02A5C"/>
    <w:rsid w:val="00E043D4"/>
    <w:rsid w:val="00E063E4"/>
    <w:rsid w:val="00E0779E"/>
    <w:rsid w:val="00E119DC"/>
    <w:rsid w:val="00E12245"/>
    <w:rsid w:val="00E131F0"/>
    <w:rsid w:val="00E16F19"/>
    <w:rsid w:val="00E20898"/>
    <w:rsid w:val="00E2598B"/>
    <w:rsid w:val="00E32A62"/>
    <w:rsid w:val="00E345A8"/>
    <w:rsid w:val="00E44A86"/>
    <w:rsid w:val="00E44B85"/>
    <w:rsid w:val="00E44BD4"/>
    <w:rsid w:val="00E44DB0"/>
    <w:rsid w:val="00E522A5"/>
    <w:rsid w:val="00E5424A"/>
    <w:rsid w:val="00E579CC"/>
    <w:rsid w:val="00E65C8C"/>
    <w:rsid w:val="00E67938"/>
    <w:rsid w:val="00E7235D"/>
    <w:rsid w:val="00E73136"/>
    <w:rsid w:val="00E76283"/>
    <w:rsid w:val="00E80EB2"/>
    <w:rsid w:val="00E83E68"/>
    <w:rsid w:val="00E869C8"/>
    <w:rsid w:val="00E8712D"/>
    <w:rsid w:val="00E8714A"/>
    <w:rsid w:val="00E935D2"/>
    <w:rsid w:val="00E956F4"/>
    <w:rsid w:val="00EA0456"/>
    <w:rsid w:val="00EA1C02"/>
    <w:rsid w:val="00EA2AA2"/>
    <w:rsid w:val="00EA4B2A"/>
    <w:rsid w:val="00EA4BD0"/>
    <w:rsid w:val="00EA60D9"/>
    <w:rsid w:val="00EB7202"/>
    <w:rsid w:val="00EC0632"/>
    <w:rsid w:val="00EC3164"/>
    <w:rsid w:val="00EC402F"/>
    <w:rsid w:val="00ED0003"/>
    <w:rsid w:val="00ED5129"/>
    <w:rsid w:val="00ED707D"/>
    <w:rsid w:val="00EE25C5"/>
    <w:rsid w:val="00EE6C43"/>
    <w:rsid w:val="00EF168C"/>
    <w:rsid w:val="00EF4408"/>
    <w:rsid w:val="00EF6F4C"/>
    <w:rsid w:val="00EF7445"/>
    <w:rsid w:val="00F045F1"/>
    <w:rsid w:val="00F11431"/>
    <w:rsid w:val="00F1242E"/>
    <w:rsid w:val="00F227C5"/>
    <w:rsid w:val="00F30FD9"/>
    <w:rsid w:val="00F3218A"/>
    <w:rsid w:val="00F352B2"/>
    <w:rsid w:val="00F43693"/>
    <w:rsid w:val="00F45776"/>
    <w:rsid w:val="00F46CC0"/>
    <w:rsid w:val="00F51001"/>
    <w:rsid w:val="00F57FB2"/>
    <w:rsid w:val="00F60397"/>
    <w:rsid w:val="00F70B3C"/>
    <w:rsid w:val="00F70FB2"/>
    <w:rsid w:val="00F72A9C"/>
    <w:rsid w:val="00F77793"/>
    <w:rsid w:val="00F9022C"/>
    <w:rsid w:val="00F94591"/>
    <w:rsid w:val="00F94F77"/>
    <w:rsid w:val="00F9513F"/>
    <w:rsid w:val="00FA3F67"/>
    <w:rsid w:val="00FA581A"/>
    <w:rsid w:val="00FA69AB"/>
    <w:rsid w:val="00FA7938"/>
    <w:rsid w:val="00FC0F09"/>
    <w:rsid w:val="00FC181B"/>
    <w:rsid w:val="00FC5CE2"/>
    <w:rsid w:val="00FC679D"/>
    <w:rsid w:val="00FD2498"/>
    <w:rsid w:val="00FD3C60"/>
    <w:rsid w:val="00FD639A"/>
    <w:rsid w:val="00FE0802"/>
    <w:rsid w:val="00FE5FAA"/>
    <w:rsid w:val="00FF0CD9"/>
    <w:rsid w:val="00FF2770"/>
    <w:rsid w:val="00FF2929"/>
    <w:rsid w:val="00FF4A3C"/>
    <w:rsid w:val="00FF6C0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9D8201"/>
  <w15:docId w15:val="{2ABC4571-FBBB-44D4-A1BE-C7EF5770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9C"/>
    <w:rPr>
      <w:rFonts w:eastAsiaTheme="minorHAnsi"/>
      <w:lang w:eastAsia="en-US"/>
    </w:rPr>
  </w:style>
  <w:style w:type="paragraph" w:styleId="Ttulo1">
    <w:name w:val="heading 1"/>
    <w:basedOn w:val="Normal"/>
    <w:next w:val="Normal"/>
    <w:link w:val="Ttulo1Car"/>
    <w:qFormat/>
    <w:rsid w:val="00A62288"/>
    <w:pPr>
      <w:keepNext/>
      <w:keepLines/>
      <w:tabs>
        <w:tab w:val="left" w:pos="567"/>
      </w:tabs>
      <w:snapToGrid w:val="0"/>
      <w:spacing w:before="240" w:after="240" w:line="240" w:lineRule="auto"/>
      <w:jc w:val="center"/>
      <w:outlineLvl w:val="0"/>
    </w:pPr>
    <w:rPr>
      <w:rFonts w:ascii="Arial" w:eastAsia="Times New Roman" w:hAnsi="Arial" w:cs="Times New Roman"/>
      <w:b/>
      <w:bCs/>
      <w:snapToGrid w:val="0"/>
      <w:kern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2288"/>
    <w:rPr>
      <w:rFonts w:ascii="Arial" w:eastAsia="Times New Roman" w:hAnsi="Arial" w:cs="Times New Roman"/>
      <w:b/>
      <w:bCs/>
      <w:snapToGrid w:val="0"/>
      <w:kern w:val="28"/>
      <w:szCs w:val="24"/>
      <w:lang w:eastAsia="en-US"/>
    </w:rPr>
  </w:style>
  <w:style w:type="paragraph" w:styleId="Encabezado">
    <w:name w:val="header"/>
    <w:basedOn w:val="Normal"/>
    <w:link w:val="EncabezadoCar"/>
    <w:unhideWhenUsed/>
    <w:rsid w:val="00A62288"/>
    <w:pPr>
      <w:tabs>
        <w:tab w:val="center" w:pos="4536"/>
        <w:tab w:val="right" w:pos="9072"/>
      </w:tabs>
      <w:spacing w:after="0" w:line="240" w:lineRule="auto"/>
    </w:pPr>
  </w:style>
  <w:style w:type="character" w:customStyle="1" w:styleId="EncabezadoCar">
    <w:name w:val="Encabezado Car"/>
    <w:basedOn w:val="Fuentedeprrafopredeter"/>
    <w:link w:val="Encabezado"/>
    <w:rsid w:val="00A62288"/>
    <w:rPr>
      <w:rFonts w:eastAsiaTheme="minorHAnsi"/>
      <w:lang w:eastAsia="en-US"/>
    </w:rPr>
  </w:style>
  <w:style w:type="paragraph" w:customStyle="1" w:styleId="cote">
    <w:name w:val="cote"/>
    <w:basedOn w:val="Normal"/>
    <w:qFormat/>
    <w:rsid w:val="00A62288"/>
    <w:pPr>
      <w:tabs>
        <w:tab w:val="left" w:pos="567"/>
      </w:tabs>
      <w:snapToGrid w:val="0"/>
      <w:spacing w:after="0" w:line="240" w:lineRule="auto"/>
    </w:pPr>
    <w:rPr>
      <w:rFonts w:ascii="Arial" w:eastAsia="SimSun" w:hAnsi="Arial" w:cs="Times New Roman"/>
      <w:snapToGrid w:val="0"/>
      <w:szCs w:val="24"/>
      <w:lang w:eastAsia="zh-CN"/>
    </w:rPr>
  </w:style>
  <w:style w:type="paragraph" w:styleId="Prrafodelista">
    <w:name w:val="List Paragraph"/>
    <w:basedOn w:val="Normal"/>
    <w:uiPriority w:val="34"/>
    <w:qFormat/>
    <w:rsid w:val="00A62288"/>
    <w:pPr>
      <w:ind w:left="720"/>
      <w:contextualSpacing/>
    </w:pPr>
  </w:style>
  <w:style w:type="paragraph" w:styleId="Piedepgina">
    <w:name w:val="footer"/>
    <w:basedOn w:val="Normal"/>
    <w:link w:val="PiedepginaCar"/>
    <w:uiPriority w:val="99"/>
    <w:unhideWhenUsed/>
    <w:rsid w:val="00A62288"/>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A62288"/>
    <w:rPr>
      <w:rFonts w:eastAsiaTheme="minorHAnsi"/>
      <w:lang w:eastAsia="en-US"/>
    </w:rPr>
  </w:style>
  <w:style w:type="character" w:styleId="Refdecomentario">
    <w:name w:val="annotation reference"/>
    <w:basedOn w:val="Fuentedeprrafopredeter"/>
    <w:uiPriority w:val="99"/>
    <w:semiHidden/>
    <w:unhideWhenUsed/>
    <w:rsid w:val="00A62288"/>
    <w:rPr>
      <w:sz w:val="16"/>
      <w:szCs w:val="16"/>
    </w:rPr>
  </w:style>
  <w:style w:type="paragraph" w:styleId="Textocomentario">
    <w:name w:val="annotation text"/>
    <w:basedOn w:val="Normal"/>
    <w:link w:val="TextocomentarioCar"/>
    <w:uiPriority w:val="99"/>
    <w:semiHidden/>
    <w:unhideWhenUsed/>
    <w:rsid w:val="00A622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2288"/>
    <w:rPr>
      <w:rFonts w:eastAsiaTheme="minorHAnsi"/>
      <w:sz w:val="20"/>
      <w:szCs w:val="20"/>
      <w:lang w:eastAsia="en-US"/>
    </w:rPr>
  </w:style>
  <w:style w:type="paragraph" w:styleId="Textodeglobo">
    <w:name w:val="Balloon Text"/>
    <w:basedOn w:val="Normal"/>
    <w:link w:val="TextodegloboCar"/>
    <w:uiPriority w:val="99"/>
    <w:semiHidden/>
    <w:unhideWhenUsed/>
    <w:rsid w:val="00A622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2288"/>
    <w:rPr>
      <w:rFonts w:ascii="Segoe UI" w:eastAsiaTheme="minorHAnsi" w:hAnsi="Segoe UI" w:cs="Segoe UI"/>
      <w:sz w:val="18"/>
      <w:szCs w:val="18"/>
      <w:lang w:eastAsia="en-US"/>
    </w:rPr>
  </w:style>
  <w:style w:type="paragraph" w:styleId="Asuntodelcomentario">
    <w:name w:val="annotation subject"/>
    <w:basedOn w:val="Textocomentario"/>
    <w:next w:val="Textocomentario"/>
    <w:link w:val="AsuntodelcomentarioCar"/>
    <w:uiPriority w:val="99"/>
    <w:semiHidden/>
    <w:unhideWhenUsed/>
    <w:rsid w:val="00577B72"/>
    <w:rPr>
      <w:b/>
      <w:bCs/>
    </w:rPr>
  </w:style>
  <w:style w:type="character" w:customStyle="1" w:styleId="AsuntodelcomentarioCar">
    <w:name w:val="Asunto del comentario Car"/>
    <w:basedOn w:val="TextocomentarioCar"/>
    <w:link w:val="Asuntodelcomentario"/>
    <w:uiPriority w:val="99"/>
    <w:semiHidden/>
    <w:rsid w:val="00577B72"/>
    <w:rPr>
      <w:rFonts w:eastAsiaTheme="minorHAnsi"/>
      <w:b/>
      <w:bCs/>
      <w:sz w:val="20"/>
      <w:szCs w:val="20"/>
      <w:lang w:eastAsia="en-US"/>
    </w:rPr>
  </w:style>
  <w:style w:type="paragraph" w:customStyle="1" w:styleId="b">
    <w:name w:val="(b)"/>
    <w:basedOn w:val="Normal"/>
    <w:link w:val="bCar"/>
    <w:rsid w:val="005C5EDA"/>
    <w:pPr>
      <w:tabs>
        <w:tab w:val="left" w:pos="-737"/>
        <w:tab w:val="left" w:pos="1134"/>
      </w:tabs>
      <w:snapToGrid w:val="0"/>
      <w:spacing w:after="240" w:line="240" w:lineRule="auto"/>
      <w:ind w:left="1134" w:hanging="567"/>
      <w:jc w:val="both"/>
    </w:pPr>
    <w:rPr>
      <w:rFonts w:ascii="Arial" w:eastAsiaTheme="minorEastAsia" w:hAnsi="Arial" w:cs="Times New Roman"/>
      <w:snapToGrid w:val="0"/>
      <w:szCs w:val="24"/>
      <w:lang w:val="en-GB"/>
    </w:rPr>
  </w:style>
  <w:style w:type="character" w:customStyle="1" w:styleId="bCar">
    <w:name w:val="(b) Car"/>
    <w:link w:val="b"/>
    <w:locked/>
    <w:rsid w:val="005C5EDA"/>
    <w:rPr>
      <w:rFonts w:ascii="Arial" w:hAnsi="Arial" w:cs="Times New Roman"/>
      <w:snapToGrid w:val="0"/>
      <w:szCs w:val="24"/>
      <w:lang w:val="en-GB" w:eastAsia="en-US"/>
    </w:rPr>
  </w:style>
  <w:style w:type="paragraph" w:customStyle="1" w:styleId="Marge">
    <w:name w:val="Marge"/>
    <w:basedOn w:val="Normal"/>
    <w:link w:val="MargeCar"/>
    <w:rsid w:val="00313A39"/>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ar">
    <w:name w:val="Marge Car"/>
    <w:link w:val="Marge"/>
    <w:rsid w:val="00313A39"/>
    <w:rPr>
      <w:rFonts w:ascii="Arial" w:eastAsia="Times New Roman" w:hAnsi="Arial" w:cs="Times New Roman"/>
      <w:snapToGrid w:val="0"/>
      <w:szCs w:val="24"/>
      <w:lang w:eastAsia="en-US"/>
    </w:rPr>
  </w:style>
  <w:style w:type="paragraph" w:customStyle="1" w:styleId="ENTCG">
    <w:name w:val="ENTCG"/>
    <w:basedOn w:val="Normal"/>
    <w:rsid w:val="00313A39"/>
    <w:pPr>
      <w:tabs>
        <w:tab w:val="left" w:pos="567"/>
      </w:tabs>
      <w:snapToGrid w:val="0"/>
      <w:spacing w:after="0" w:line="240" w:lineRule="auto"/>
    </w:pPr>
    <w:rPr>
      <w:rFonts w:ascii="Times New Roman" w:eastAsia="SimSun" w:hAnsi="Times New Roman" w:cs="Times New Roman"/>
      <w:snapToGrid w:val="0"/>
      <w:sz w:val="34"/>
      <w:szCs w:val="20"/>
      <w:lang w:eastAsia="zh-CN"/>
    </w:rPr>
  </w:style>
  <w:style w:type="table" w:styleId="Tablaconcuadrcula">
    <w:name w:val="Table Grid"/>
    <w:basedOn w:val="Tablanormal"/>
    <w:rsid w:val="007C13A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Resumen">
    <w:name w:val="Texto_Resumen"/>
    <w:basedOn w:val="Normal"/>
    <w:qFormat/>
    <w:rsid w:val="007C13AF"/>
    <w:pPr>
      <w:keepNext/>
      <w:tabs>
        <w:tab w:val="left" w:pos="567"/>
      </w:tabs>
      <w:snapToGrid w:val="0"/>
      <w:spacing w:before="240" w:after="240" w:line="240" w:lineRule="auto"/>
      <w:jc w:val="both"/>
    </w:pPr>
    <w:rPr>
      <w:rFonts w:ascii="Arial" w:eastAsia="Times New Roman" w:hAnsi="Arial" w:cs="Times New Roman"/>
      <w:snapToGrid w:val="0"/>
      <w:szCs w:val="24"/>
      <w:lang w:val="es-ES"/>
    </w:rPr>
  </w:style>
  <w:style w:type="character" w:customStyle="1" w:styleId="MargeChar">
    <w:name w:val="Marge Char"/>
    <w:rsid w:val="007C13AF"/>
    <w:rPr>
      <w:rFonts w:ascii="Arial" w:hAnsi="Arial"/>
      <w:snapToGrid w:val="0"/>
      <w:sz w:val="22"/>
      <w:szCs w:val="24"/>
      <w:lang w:val="es-ES_tradnl" w:eastAsia="zh-CN"/>
    </w:rPr>
  </w:style>
  <w:style w:type="paragraph" w:customStyle="1" w:styleId="Ttulo10">
    <w:name w:val="Título1"/>
    <w:basedOn w:val="Normal"/>
    <w:qFormat/>
    <w:rsid w:val="007C13AF"/>
    <w:pPr>
      <w:tabs>
        <w:tab w:val="left" w:pos="567"/>
      </w:tabs>
      <w:snapToGrid w:val="0"/>
      <w:spacing w:before="240" w:after="240" w:line="240" w:lineRule="auto"/>
      <w:jc w:val="center"/>
    </w:pPr>
    <w:rPr>
      <w:rFonts w:ascii="Arial" w:eastAsia="SimSun" w:hAnsi="Arial" w:cs="Times New Roman"/>
      <w:b/>
      <w:bCs/>
      <w:caps/>
      <w:snapToGrid w:val="0"/>
      <w:szCs w:val="24"/>
      <w:lang w:val="es-ES" w:eastAsia="zh-CN"/>
    </w:rPr>
  </w:style>
  <w:style w:type="paragraph" w:styleId="Revisin">
    <w:name w:val="Revision"/>
    <w:hidden/>
    <w:uiPriority w:val="99"/>
    <w:semiHidden/>
    <w:rsid w:val="00606E41"/>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spanish\Pool\IOC\ASSEMBLEE\32a\.Modelo%20IOC-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F33D6-CB5D-49D0-9D66-2427DAAC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IOC-32.dotx</Template>
  <TotalTime>8</TotalTime>
  <Pages>8</Pages>
  <Words>3733</Words>
  <Characters>20536</Characters>
  <Application>Microsoft Office Word</Application>
  <DocSecurity>0</DocSecurity>
  <Lines>171</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32ª reunión de la Asamblea de la COI_x000d_
Información sobre la ejecución del Decenio de las Naciones Unidas de las Ciencias Oceánicas para el Desarrollo Sostenible y perspectivas para 2024</vt:lpstr>
      <vt:lpstr>32ª reunión de la Asamblea de la COI</vt:lpstr>
    </vt:vector>
  </TitlesOfParts>
  <Company>UNESCO</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32ª reunión de la Asamblea de la COI_x000d_
Información sobre la ejecución del Decenio de las Naciones Unidas de las Ciencias Oceánicas para el Desarrollo Sostenible y perspectivas para 2024</dc:title>
  <dc:subject>IOC/A-32/4.12.DOC(1)</dc:subject>
  <dc:creator>Burgos Pratx, Juan Pablo</dc:creator>
  <cp:keywords>4.12.Doc(1)</cp:keywords>
  <dc:description/>
  <cp:lastModifiedBy>Burgos Pratx, Juan Pablo</cp:lastModifiedBy>
  <cp:revision>2</cp:revision>
  <cp:lastPrinted>2019-10-31T08:57:00Z</cp:lastPrinted>
  <dcterms:created xsi:type="dcterms:W3CDTF">2023-06-16T13:27:00Z</dcterms:created>
  <dcterms:modified xsi:type="dcterms:W3CDTF">2023-06-16T13:27:00Z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202301788</vt:lpwstr>
  </property>
  <property fmtid="{D5CDD505-2E9C-101B-9397-08002B2CF9AE}" pid="3" name="Language">
    <vt:lpwstr>S</vt:lpwstr>
  </property>
</Properties>
</file>