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9ECC1" w14:textId="77777777" w:rsidR="00E75CF6" w:rsidRPr="00EC4FEA" w:rsidRDefault="00FD53B3">
      <w:pPr>
        <w:rPr>
          <w:lang w:val="ru-RU"/>
        </w:rPr>
      </w:pPr>
      <w:r w:rsidRPr="00EC4FEA">
        <w:rPr>
          <w:lang w:val="ru-RU"/>
        </w:rPr>
        <w:t xml:space="preserve">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92"/>
      </w:tblGrid>
      <w:tr w:rsidR="00B83068" w:rsidRPr="0091506F" w14:paraId="24F6EC64" w14:textId="77777777" w:rsidTr="00AA2CD5">
        <w:trPr>
          <w:jc w:val="center"/>
        </w:trPr>
        <w:tc>
          <w:tcPr>
            <w:tcW w:w="7792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2A3C83AD" w14:textId="77777777" w:rsidR="00467E3F" w:rsidRPr="005B70B4" w:rsidRDefault="00B83068" w:rsidP="00EC4FEA">
            <w:pPr>
              <w:pStyle w:val="Marge"/>
              <w:spacing w:after="200"/>
              <w:jc w:val="center"/>
              <w:rPr>
                <w:rFonts w:cs="Arial"/>
                <w:szCs w:val="22"/>
                <w:lang w:val="ru-RU"/>
              </w:rPr>
            </w:pPr>
            <w:r w:rsidRPr="005B70B4">
              <w:rPr>
                <w:u w:val="single"/>
                <w:lang w:val="ru-RU"/>
              </w:rPr>
              <w:t>Резюме</w:t>
            </w:r>
          </w:p>
          <w:p w14:paraId="6E945C56" w14:textId="2E7A8496" w:rsidR="00737A18" w:rsidRPr="005B70B4" w:rsidRDefault="00FD53B3" w:rsidP="00EC4FEA">
            <w:pPr>
              <w:pStyle w:val="Marge"/>
              <w:spacing w:after="200"/>
              <w:rPr>
                <w:rFonts w:cs="Arial"/>
                <w:szCs w:val="22"/>
                <w:lang w:val="ru-RU"/>
              </w:rPr>
            </w:pPr>
            <w:r w:rsidRPr="00854592">
              <w:rPr>
                <w:lang w:val="ru-RU"/>
              </w:rPr>
              <w:t xml:space="preserve">В соответствии со статьей </w:t>
            </w:r>
            <w:r w:rsidR="000D16AC" w:rsidRPr="005B70B4">
              <w:rPr>
                <w:lang w:val="ru-RU"/>
              </w:rPr>
              <w:t>3.2 Устава Межправительственной океанографической комиссии (</w:t>
            </w:r>
            <w:hyperlink r:id="rId8" w:history="1">
              <w:r w:rsidR="000D16AC" w:rsidRPr="005B70B4">
                <w:rPr>
                  <w:rStyle w:val="Hyperlink"/>
                  <w:lang w:val="ru-RU"/>
                </w:rPr>
                <w:t>IOC/INF/1148</w:t>
              </w:r>
            </w:hyperlink>
            <w:r w:rsidR="000D16AC" w:rsidRPr="005B70B4">
              <w:rPr>
                <w:lang w:val="ru-RU"/>
              </w:rPr>
              <w:t>) и статье</w:t>
            </w:r>
            <w:r w:rsidRPr="00EC4FEA">
              <w:rPr>
                <w:lang w:val="ru-RU"/>
              </w:rPr>
              <w:t>й</w:t>
            </w:r>
            <w:r w:rsidR="000D16AC" w:rsidRPr="005B70B4">
              <w:rPr>
                <w:lang w:val="ru-RU"/>
              </w:rPr>
              <w:t xml:space="preserve"> 49.2 Правил процедуры (</w:t>
            </w:r>
            <w:hyperlink r:id="rId9" w:history="1">
              <w:r w:rsidR="000D16AC" w:rsidRPr="005B70B4">
                <w:rPr>
                  <w:rStyle w:val="Hyperlink"/>
                  <w:lang w:val="ru-RU"/>
                </w:rPr>
                <w:t>IOC/INF/1166</w:t>
              </w:r>
            </w:hyperlink>
            <w:r w:rsidR="000D16AC" w:rsidRPr="005B70B4">
              <w:rPr>
                <w:lang w:val="ru-RU"/>
              </w:rPr>
              <w:t xml:space="preserve">), МОК подготавливает регулярные доклады о своей деятельности, которые представляются Генеральной конференции ЮНЕСКО. Настоящий доклад охватывает 2022-2023 гг. и посвящен основным результатам осуществления программы и бюджета МОК на 2022-2025 гг. в первый двухлетний период, которые вносят вклад в осуществление  </w:t>
            </w:r>
            <w:r w:rsidRPr="005B70B4">
              <w:rPr>
                <w:lang w:val="ru-RU"/>
              </w:rPr>
              <w:t>с</w:t>
            </w:r>
            <w:r w:rsidR="000D16AC" w:rsidRPr="005B70B4">
              <w:rPr>
                <w:lang w:val="ru-RU"/>
              </w:rPr>
              <w:t xml:space="preserve">реднесрочной стратегии МОК на 2022-2029 гг. и </w:t>
            </w:r>
            <w:r w:rsidRPr="005B70B4">
              <w:rPr>
                <w:lang w:val="ru-RU"/>
              </w:rPr>
              <w:t>с</w:t>
            </w:r>
            <w:r w:rsidR="000D16AC" w:rsidRPr="005B70B4">
              <w:rPr>
                <w:lang w:val="ru-RU"/>
              </w:rPr>
              <w:t xml:space="preserve">реднесрочной стратегии ЮНЕСКО на 2022-2029 гг. (документ 41 C/4), а именно в достижение стратегической цели 2 (Деятельность в интересах создания устойчивых обществ и охраны окружающей среды посредством популяризации науки, технологии, инноваций и природного наследия) и итогового результата 3 (Расширение знаний в поддержку деятельности, связанной с климатом, сохранения биоразнообразия, управления водными ресурсами и океаном и уменьшения опасности бедствий). </w:t>
            </w:r>
          </w:p>
          <w:p w14:paraId="4CA73CF0" w14:textId="77777777" w:rsidR="00515584" w:rsidRPr="005B70B4" w:rsidRDefault="00515584" w:rsidP="00EC4FEA">
            <w:pPr>
              <w:pStyle w:val="Marge"/>
              <w:spacing w:after="200"/>
              <w:rPr>
                <w:rFonts w:cs="Arial"/>
                <w:szCs w:val="22"/>
                <w:lang w:val="ru-RU"/>
              </w:rPr>
            </w:pPr>
            <w:r w:rsidRPr="005B70B4">
              <w:rPr>
                <w:lang w:val="ru-RU"/>
              </w:rPr>
              <w:t>После рассмотрения Ассамблеей доклад будет представлен 42-й сессии Генеральной конференции ЮНЕСКО в качестве документа 42 C/REP/9 с указанием, что более полная информация, включая анализ в разбивке по функциям МОК, содержится в докладе, представленном Исполнительным секретарем МОК 32-й сессии Ассамблеи МОК (</w:t>
            </w:r>
            <w:hyperlink r:id="rId10" w:history="1">
              <w:r w:rsidRPr="005B70B4">
                <w:rPr>
                  <w:rStyle w:val="Hyperlink"/>
                  <w:lang w:val="ru-RU"/>
                </w:rPr>
                <w:t>IOC/A-32/3.2.Doc(1)</w:t>
              </w:r>
            </w:hyperlink>
            <w:r w:rsidRPr="005B70B4">
              <w:rPr>
                <w:lang w:val="ru-RU"/>
              </w:rPr>
              <w:t xml:space="preserve"> и </w:t>
            </w:r>
            <w:hyperlink r:id="rId11" w:history="1">
              <w:r w:rsidRPr="005B70B4">
                <w:rPr>
                  <w:rStyle w:val="Hyperlink"/>
                  <w:lang w:val="ru-RU"/>
                </w:rPr>
                <w:t>добавление</w:t>
              </w:r>
            </w:hyperlink>
            <w:r w:rsidRPr="005B70B4">
              <w:rPr>
                <w:lang w:val="ru-RU"/>
              </w:rPr>
              <w:t xml:space="preserve">). Генеральной конференции на ее 42-й сессии также представляется отдельный доклад о проведении Десятилетия ООН, посвященного науке об океане в интересах устойчивого развития, в документе 42 C/REP/26. </w:t>
            </w:r>
          </w:p>
          <w:p w14:paraId="46D99A08" w14:textId="77777777" w:rsidR="00515584" w:rsidRPr="005B70B4" w:rsidRDefault="00515584" w:rsidP="00C008B0">
            <w:pPr>
              <w:pStyle w:val="Marge"/>
              <w:rPr>
                <w:rFonts w:cs="Arial"/>
                <w:szCs w:val="22"/>
                <w:lang w:val="ru-RU"/>
              </w:rPr>
            </w:pPr>
            <w:r w:rsidRPr="005B70B4">
              <w:rPr>
                <w:u w:val="single"/>
                <w:lang w:val="ru-RU"/>
              </w:rPr>
              <w:t>Предлагаемое решение (решения)</w:t>
            </w:r>
            <w:r w:rsidRPr="005B70B4">
              <w:rPr>
                <w:lang w:val="ru-RU"/>
              </w:rPr>
              <w:t xml:space="preserve"> содержится в предварительном документе о принятых и предлагаемых мерах (</w:t>
            </w:r>
            <w:hyperlink r:id="rId12" w:history="1">
              <w:r w:rsidRPr="005B70B4">
                <w:rPr>
                  <w:rStyle w:val="Hyperlink"/>
                  <w:lang w:val="ru-RU"/>
                </w:rPr>
                <w:t xml:space="preserve">IOC/A-32/AP </w:t>
              </w:r>
              <w:proofErr w:type="spellStart"/>
              <w:r w:rsidRPr="005B70B4">
                <w:rPr>
                  <w:rStyle w:val="Hyperlink"/>
                  <w:lang w:val="ru-RU"/>
                </w:rPr>
                <w:t>Rev</w:t>
              </w:r>
              <w:proofErr w:type="spellEnd"/>
            </w:hyperlink>
            <w:r w:rsidRPr="005B70B4">
              <w:rPr>
                <w:lang w:val="ru-RU"/>
              </w:rPr>
              <w:t>.) 32-й сессии Ассамблеи МОК в качестве решения A-32/3.5.</w:t>
            </w:r>
          </w:p>
        </w:tc>
      </w:tr>
    </w:tbl>
    <w:p w14:paraId="2FD776BF" w14:textId="77777777" w:rsidR="00746B89" w:rsidRPr="005B70B4" w:rsidRDefault="00746B89" w:rsidP="005C7A36">
      <w:pPr>
        <w:pStyle w:val="Heading3"/>
        <w:rPr>
          <w:lang w:val="ru-RU"/>
        </w:rPr>
        <w:sectPr w:rsidR="00746B89" w:rsidRPr="005B70B4" w:rsidSect="00EC4FEA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1906" w:h="16838" w:code="9"/>
          <w:pgMar w:top="1418" w:right="1134" w:bottom="1134" w:left="1134" w:header="709" w:footer="709" w:gutter="0"/>
          <w:pgNumType w:start="1"/>
          <w:cols w:space="708"/>
          <w:titlePg/>
          <w:docGrid w:linePitch="360"/>
        </w:sectPr>
      </w:pPr>
    </w:p>
    <w:p w14:paraId="77F33CA0" w14:textId="77777777" w:rsidR="00C008B0" w:rsidRPr="00EC4FEA" w:rsidRDefault="00C008B0" w:rsidP="00FC3532">
      <w:pPr>
        <w:spacing w:after="240"/>
        <w:jc w:val="both"/>
        <w:rPr>
          <w:b/>
          <w:bCs/>
          <w:lang w:val="ru-RU"/>
        </w:rPr>
      </w:pPr>
      <w:r w:rsidRPr="005B70B4">
        <w:rPr>
          <w:b/>
          <w:bCs/>
          <w:lang w:val="ru-RU"/>
        </w:rPr>
        <w:lastRenderedPageBreak/>
        <w:t>Основные достижения</w:t>
      </w:r>
      <w:r w:rsidRPr="005B70B4">
        <w:rPr>
          <w:lang w:val="ru-RU"/>
        </w:rPr>
        <w:t xml:space="preserve"> </w:t>
      </w:r>
    </w:p>
    <w:p w14:paraId="4969ABA7" w14:textId="38630D58" w:rsidR="00741CAA" w:rsidRPr="00EC4FEA" w:rsidRDefault="002E2D68" w:rsidP="00EC4FEA">
      <w:pPr>
        <w:pStyle w:val="EX4texte"/>
        <w:rPr>
          <w:lang w:val="ru-RU"/>
        </w:rPr>
      </w:pPr>
      <w:r w:rsidRPr="00EC4FEA">
        <w:rPr>
          <w:lang w:val="ru-RU"/>
        </w:rPr>
        <w:t>После того как Организация Объединенных Наций провозгласила Десятилетие, посвященное науке об океане в интересах устойчивого развития (2021-2030 гг.), роль ЮНЕСКО в руководстве работой, связанной с океаном, приобрела глобальн</w:t>
      </w:r>
      <w:r w:rsidR="0090730D" w:rsidRPr="00EC4FEA">
        <w:rPr>
          <w:lang w:val="ru-RU"/>
        </w:rPr>
        <w:t>ый характер</w:t>
      </w:r>
      <w:r w:rsidRPr="00EC4FEA">
        <w:rPr>
          <w:lang w:val="ru-RU"/>
        </w:rPr>
        <w:t xml:space="preserve">. В целях укрепления международного и регионального сотрудничества МОК ЮНЕСКО использовала возможности для создания альянсов и решения </w:t>
      </w:r>
      <w:r w:rsidR="0090730D" w:rsidRPr="00EC4FEA">
        <w:rPr>
          <w:lang w:val="ru-RU"/>
        </w:rPr>
        <w:t xml:space="preserve">задач </w:t>
      </w:r>
      <w:r w:rsidRPr="00EC4FEA">
        <w:rPr>
          <w:lang w:val="ru-RU"/>
        </w:rPr>
        <w:t xml:space="preserve">глобального управления. На прошедшем в Бресте саммите «Один океан» ЮНЕСКО объявила о </w:t>
      </w:r>
      <w:r w:rsidR="0090730D" w:rsidRPr="00EC4FEA">
        <w:rPr>
          <w:lang w:val="ru-RU"/>
        </w:rPr>
        <w:t xml:space="preserve">принятых в рамках Десятилетия океана </w:t>
      </w:r>
      <w:r w:rsidRPr="00EC4FEA">
        <w:rPr>
          <w:lang w:val="ru-RU"/>
        </w:rPr>
        <w:t xml:space="preserve">масштабных обязательствах в области картографирования океанов и повышения грамотности в связанных с океаном вопросах. На конференции «Наш океан» в Палау были приняты связанные с океаном обязательства в интересах и со стороны МОСРГ, а на Африканской конференции по определению приоритетов и развитию партнерств в Каире был представлен план действий по проведению </w:t>
      </w:r>
      <w:hyperlink r:id="rId19" w:anchor=":~:text=The%20Plan%20documents%20the%20Decade,capacity%20development%2C%20and%20behavior%20change." w:history="1">
        <w:r w:rsidRPr="00EC4FEA">
          <w:rPr>
            <w:rStyle w:val="Hyperlink"/>
            <w:lang w:val="ru-RU"/>
          </w:rPr>
          <w:t>Десятилетия океана для африканского континента</w:t>
        </w:r>
      </w:hyperlink>
      <w:r w:rsidRPr="00EC4FEA">
        <w:rPr>
          <w:lang w:val="ru-RU"/>
        </w:rPr>
        <w:t xml:space="preserve">. Конференция ООН по проблемам океана в Лиссабоне собрала глав 24 государств и правительств и более 6500 участников и завершилась принятием </w:t>
      </w:r>
      <w:hyperlink r:id="rId20" w:history="1">
        <w:r w:rsidRPr="00EC4FEA">
          <w:rPr>
            <w:rStyle w:val="Hyperlink"/>
            <w:lang w:val="ru-RU"/>
          </w:rPr>
          <w:t>Лиссабонской декларации</w:t>
        </w:r>
      </w:hyperlink>
      <w:r w:rsidRPr="00EC4FEA">
        <w:rPr>
          <w:lang w:val="ru-RU"/>
        </w:rPr>
        <w:t>, в которой непосредственно признается важность Десятилетия океана и роль МОК ЮНЕСКО в координации его проведения. Конференция Сторон Рамочной конвенции ООН об изменении климата 2022</w:t>
      </w:r>
      <w:r w:rsidR="00EC4FEA">
        <w:rPr>
          <w:lang w:val="en-US"/>
        </w:rPr>
        <w:t> </w:t>
      </w:r>
      <w:r w:rsidRPr="00EC4FEA">
        <w:rPr>
          <w:lang w:val="ru-RU"/>
        </w:rPr>
        <w:t xml:space="preserve">г. (КС-27 РКИКООН) внесла вклад в </w:t>
      </w:r>
      <w:r w:rsidR="0035045C" w:rsidRPr="00EC4FEA">
        <w:rPr>
          <w:lang w:val="ru-RU"/>
        </w:rPr>
        <w:t xml:space="preserve">подтверждение </w:t>
      </w:r>
      <w:r w:rsidRPr="00EC4FEA">
        <w:rPr>
          <w:lang w:val="ru-RU"/>
        </w:rPr>
        <w:t xml:space="preserve">взаимосвязи между океаном и климатом, придала импульс связанным с океаном мерам по защите климата и наметила четкий план действий по борьбе с изменением климата в Африке. На 15-м совещании Конференции сторон Конвенции о биологическом разнообразии (КС-15) была принята </w:t>
      </w:r>
      <w:proofErr w:type="spellStart"/>
      <w:r w:rsidRPr="00EC4FEA">
        <w:rPr>
          <w:lang w:val="ru-RU"/>
        </w:rPr>
        <w:t>Куньминско</w:t>
      </w:r>
      <w:proofErr w:type="spellEnd"/>
      <w:r w:rsidRPr="00EC4FEA">
        <w:rPr>
          <w:lang w:val="ru-RU"/>
        </w:rPr>
        <w:t xml:space="preserve">-Монреальская глобальная рамочная программа в области биоразнообразия (ГПБ), которая включает в себя касающиеся океана аспекты. Под руководством ЮНЕСКО было проведено флагманское мероприятие на тему океана, которое позволило значительно </w:t>
      </w:r>
      <w:r w:rsidR="0035045C" w:rsidRPr="00EC4FEA">
        <w:rPr>
          <w:lang w:val="ru-RU"/>
        </w:rPr>
        <w:t xml:space="preserve">повысить </w:t>
      </w:r>
      <w:r w:rsidRPr="00EC4FEA">
        <w:rPr>
          <w:lang w:val="ru-RU"/>
        </w:rPr>
        <w:t>внимание к проблемам морских и прибрежных районов, включая важн</w:t>
      </w:r>
      <w:r w:rsidR="0035045C" w:rsidRPr="00EC4FEA">
        <w:rPr>
          <w:lang w:val="ru-RU"/>
        </w:rPr>
        <w:t>ую</w:t>
      </w:r>
      <w:r w:rsidRPr="00EC4FEA">
        <w:rPr>
          <w:lang w:val="ru-RU"/>
        </w:rPr>
        <w:t xml:space="preserve"> </w:t>
      </w:r>
      <w:r w:rsidR="0035045C" w:rsidRPr="00EC4FEA">
        <w:rPr>
          <w:lang w:val="ru-RU"/>
        </w:rPr>
        <w:t xml:space="preserve">роль </w:t>
      </w:r>
      <w:r w:rsidRPr="00EC4FEA">
        <w:rPr>
          <w:lang w:val="ru-RU"/>
        </w:rPr>
        <w:t xml:space="preserve">наблюдений за океаном, а также позиционировать МОК в качестве одного из ведущих участников осуществления этой глобальной рамочной программы. В качестве курирующего учреждения по показателю 14.3.1 ЦУР, касающемуся закисления океана, ЮНЕСКО продолжала оказывать своим государствам-членам активную поддержку, результаты которой нашли отражение в </w:t>
      </w:r>
      <w:hyperlink r:id="rId21" w:history="1">
        <w:r w:rsidRPr="00EC4FEA">
          <w:rPr>
            <w:rStyle w:val="Hyperlink"/>
            <w:lang w:val="ru-RU"/>
          </w:rPr>
          <w:t>Докладе ООН о достижении целей в области устойчивого развития за 2022 г.</w:t>
        </w:r>
      </w:hyperlink>
      <w:r w:rsidRPr="00EC4FEA">
        <w:rPr>
          <w:lang w:val="ru-RU"/>
        </w:rPr>
        <w:t xml:space="preserve"> Благодаря выделенным ресурсам, подкрепленным финансовой поддержкой со стороны НОРАД, в рамках платформы Глобальной академии «Океан-инструктор» были организованы онлайновые учебные курсы, главным образом ориентированные на страны Африки. Еще одним направлением деятельности было укрепление устойчивости к связанным с океаном опасностям в МОСРГ Карибского и Тихоокеанского регионов.</w:t>
      </w:r>
    </w:p>
    <w:p w14:paraId="75EB044D" w14:textId="77777777" w:rsidR="00137BED" w:rsidRPr="00EC4FEA" w:rsidRDefault="00137BED" w:rsidP="00AA2CD5">
      <w:pPr>
        <w:spacing w:after="240"/>
        <w:jc w:val="both"/>
        <w:rPr>
          <w:b/>
          <w:bCs/>
          <w:lang w:val="ru-RU"/>
        </w:rPr>
      </w:pPr>
      <w:r w:rsidRPr="00EC4FEA">
        <w:rPr>
          <w:b/>
          <w:bCs/>
          <w:lang w:val="ru-RU"/>
        </w:rPr>
        <w:t>Основные достижения в рамках выполнения функций МОК</w:t>
      </w:r>
    </w:p>
    <w:p w14:paraId="5410E79F" w14:textId="41A00673" w:rsidR="002E09D1" w:rsidRPr="00EC4FEA" w:rsidRDefault="0053255C" w:rsidP="00EC4FEA">
      <w:pPr>
        <w:pStyle w:val="EX4texte"/>
        <w:rPr>
          <w:lang w:val="ru-RU"/>
        </w:rPr>
      </w:pPr>
      <w:r w:rsidRPr="00EC4FEA">
        <w:rPr>
          <w:lang w:val="ru-RU"/>
        </w:rPr>
        <w:t>В рамках инициативы по комплексным исследованиям океанического углерода (КИОУ) было подготовлено «Резюме исследований океанического углерода и концепция скоординированной научно-исследовательской деятельности и наблюдений за океаническим углеродом на следующее десятилетие» (</w:t>
      </w:r>
      <w:hyperlink r:id="rId22" w:history="1">
        <w:r w:rsidRPr="00EC4FEA">
          <w:rPr>
            <w:rStyle w:val="Hyperlink"/>
            <w:lang w:val="ru-RU"/>
          </w:rPr>
          <w:t>IOC/2021/TS/158</w:t>
        </w:r>
      </w:hyperlink>
      <w:r w:rsidRPr="00EC4FEA">
        <w:rPr>
          <w:lang w:val="ru-RU"/>
        </w:rPr>
        <w:t>). Глобальная система наблюдений за закислением океана в настоящее время насчитывает более 1100 членов из 98 стран (для сравнения в 2015 г. она охватывала 150 ученых и 31 страну) и продолжает развиваться. Девятнадцать</w:t>
      </w:r>
      <w:r w:rsidR="0091506F">
        <w:rPr>
          <w:lang w:val="en-US"/>
        </w:rPr>
        <w:t> </w:t>
      </w:r>
      <w:r w:rsidRPr="00EC4FEA">
        <w:rPr>
          <w:lang w:val="ru-RU"/>
        </w:rPr>
        <w:t>(19) МОСРГ и 22 африканские страны присоединились к системе благодаря проектам на тихоокеанских островах, в Карибском бассейне, на Ближнем Востоке и в Восточной Африке. В настоящее время МОК совместно с Австралией обеспечивает работу секретариата по координации Международного партнерства по голубому углероду (МПГУ). Для текущего руководства деятельностью партнерства были приняты пересмотренный стратегический план и комплексный план работы. Группа высок</w:t>
      </w:r>
      <w:r w:rsidR="003B4E36" w:rsidRPr="00EC4FEA">
        <w:rPr>
          <w:lang w:val="ru-RU"/>
        </w:rPr>
        <w:t>ого уровня по обязательствам</w:t>
      </w:r>
      <w:r w:rsidRPr="00EC4FEA">
        <w:rPr>
          <w:lang w:val="ru-RU"/>
        </w:rPr>
        <w:t xml:space="preserve">, координируемая Францией, Австралией и МОК, призвана обеспечить воплощение принятых на международных форумах обязательств в конкретные действия на местах. МОК продолжала участвовать в оказании спонсорской поддержки </w:t>
      </w:r>
      <w:r w:rsidR="003B4E36" w:rsidRPr="00EC4FEA">
        <w:rPr>
          <w:lang w:val="ru-RU"/>
        </w:rPr>
        <w:t>р</w:t>
      </w:r>
      <w:r w:rsidRPr="00EC4FEA">
        <w:rPr>
          <w:lang w:val="ru-RU"/>
        </w:rPr>
        <w:t xml:space="preserve">абочей группы 41 ГЕСАМП по </w:t>
      </w:r>
      <w:r w:rsidR="003B4E36" w:rsidRPr="00EC4FEA">
        <w:rPr>
          <w:lang w:val="ru-RU"/>
        </w:rPr>
        <w:t xml:space="preserve">океаническим </w:t>
      </w:r>
      <w:r w:rsidRPr="00EC4FEA">
        <w:rPr>
          <w:lang w:val="ru-RU"/>
        </w:rPr>
        <w:t xml:space="preserve">инициативам </w:t>
      </w:r>
      <w:r w:rsidR="003B4E36" w:rsidRPr="00EC4FEA">
        <w:rPr>
          <w:lang w:val="ru-RU"/>
        </w:rPr>
        <w:t xml:space="preserve"> для</w:t>
      </w:r>
      <w:r w:rsidRPr="00EC4FEA">
        <w:rPr>
          <w:lang w:val="ru-RU"/>
        </w:rPr>
        <w:t xml:space="preserve"> смягчения последствий изменения климата. Глобальная сеть по океаническому кислороду (ГСОК) представила предложение о провозглашении Всемирного десятилетия океанического кислорода (ВДОК) и внесла вклад в подготовку резюме доклада о системе </w:t>
      </w:r>
      <w:r w:rsidRPr="00EC4FEA">
        <w:rPr>
          <w:lang w:val="ru-RU"/>
        </w:rPr>
        <w:lastRenderedPageBreak/>
        <w:t xml:space="preserve">наблюдения за океаном за </w:t>
      </w:r>
      <w:hyperlink r:id="rId23" w:history="1">
        <w:r w:rsidRPr="00EC4FEA">
          <w:rPr>
            <w:rStyle w:val="Hyperlink"/>
            <w:lang w:val="ru-RU"/>
          </w:rPr>
          <w:t>2021</w:t>
        </w:r>
      </w:hyperlink>
      <w:r w:rsidRPr="00EC4FEA">
        <w:rPr>
          <w:lang w:val="ru-RU"/>
        </w:rPr>
        <w:t xml:space="preserve"> г., посвященного океаническому кислороду. В «Руководстве по учету знаний коренного и местного населения (ЗКМ) в программах МОК» </w:t>
      </w:r>
      <w:hyperlink r:id="rId24" w:history="1">
        <w:r w:rsidRPr="00EC4FEA">
          <w:rPr>
            <w:rStyle w:val="Hyperlink"/>
            <w:lang w:val="ru-RU"/>
          </w:rPr>
          <w:t>(IOC/INF-1430</w:t>
        </w:r>
      </w:hyperlink>
      <w:r w:rsidRPr="00EC4FEA">
        <w:rPr>
          <w:lang w:val="ru-RU"/>
        </w:rPr>
        <w:t xml:space="preserve">) обозначены возможные направления работы, которые заслуживают внимания в контексте проведения Десятилетия океана ООН. Были приложены значительные усилия для организации в октябре 2023 г. в Кигали, Руанда, </w:t>
      </w:r>
      <w:r w:rsidR="003B4E36" w:rsidRPr="00EC4FEA">
        <w:rPr>
          <w:lang w:val="ru-RU"/>
        </w:rPr>
        <w:t>к</w:t>
      </w:r>
      <w:r w:rsidRPr="00EC4FEA">
        <w:rPr>
          <w:lang w:val="ru-RU"/>
        </w:rPr>
        <w:t>онференции ВПИК по открытой науке 2023 г. на тему «Развитие климатологии в интересах устойчивого будущего».</w:t>
      </w:r>
    </w:p>
    <w:p w14:paraId="27929D19" w14:textId="5D678DF9" w:rsidR="004B7BD6" w:rsidRPr="00EC4FEA" w:rsidRDefault="004B7BD6" w:rsidP="00EC4FEA">
      <w:pPr>
        <w:pStyle w:val="EX4texte"/>
        <w:rPr>
          <w:lang w:val="ru-RU"/>
        </w:rPr>
      </w:pPr>
      <w:bookmarkStart w:id="0" w:name="_Hlk134772910"/>
      <w:r w:rsidRPr="00EC4FEA">
        <w:rPr>
          <w:lang w:val="ru-RU"/>
        </w:rPr>
        <w:t xml:space="preserve">В настоящее время Глобальная система наблюдений за океаном </w:t>
      </w:r>
      <w:proofErr w:type="spellStart"/>
      <w:r w:rsidRPr="00EC4FEA">
        <w:rPr>
          <w:lang w:val="ru-RU"/>
        </w:rPr>
        <w:t>in</w:t>
      </w:r>
      <w:proofErr w:type="spellEnd"/>
      <w:r w:rsidRPr="00EC4FEA">
        <w:rPr>
          <w:lang w:val="ru-RU"/>
        </w:rPr>
        <w:t xml:space="preserve"> </w:t>
      </w:r>
      <w:proofErr w:type="spellStart"/>
      <w:r w:rsidRPr="00EC4FEA">
        <w:rPr>
          <w:lang w:val="ru-RU"/>
        </w:rPr>
        <w:t>situ</w:t>
      </w:r>
      <w:proofErr w:type="spellEnd"/>
      <w:r w:rsidRPr="00EC4FEA">
        <w:rPr>
          <w:lang w:val="ru-RU"/>
        </w:rPr>
        <w:t xml:space="preserve"> насчитывает более 8600 платформ океанических наблюдений, развернутых в рамках 13 глобальных сетей наблюдения за океаном, участие в работе которых принимают 84 государства-члена (а также Европейский союз), в том числе 8 стран Африки и 8 МОСРГ. </w:t>
      </w:r>
      <w:r w:rsidR="003B4E36" w:rsidRPr="00EC4FEA">
        <w:rPr>
          <w:lang w:val="ru-RU"/>
        </w:rPr>
        <w:t>Сводки</w:t>
      </w:r>
      <w:r w:rsidRPr="00EC4FEA">
        <w:rPr>
          <w:lang w:val="ru-RU"/>
        </w:rPr>
        <w:t xml:space="preserve"> систем</w:t>
      </w:r>
      <w:r w:rsidR="003B4E36" w:rsidRPr="00EC4FEA">
        <w:rPr>
          <w:lang w:val="ru-RU"/>
        </w:rPr>
        <w:t>ы</w:t>
      </w:r>
      <w:r w:rsidRPr="00EC4FEA">
        <w:rPr>
          <w:lang w:val="ru-RU"/>
        </w:rPr>
        <w:t xml:space="preserve"> наблюдения за океаном по-прежнему счита</w:t>
      </w:r>
      <w:r w:rsidR="0091506F">
        <w:rPr>
          <w:lang w:val="ru-RU"/>
        </w:rPr>
        <w:t>ю</w:t>
      </w:r>
      <w:r w:rsidRPr="00EC4FEA">
        <w:rPr>
          <w:lang w:val="ru-RU"/>
        </w:rPr>
        <w:t>тся основным источником информации, охватывая в настоящее время 35 основных переменных параметров океана (ОППО). Университет Нью-Мексико, ОЭСР и ГСНО совместно подготовили документ, в котором представлена новая экономическая модель, использующая ОППО для снижения степени риска при оценке морски</w:t>
      </w:r>
      <w:r w:rsidR="003B4E36" w:rsidRPr="00EC4FEA">
        <w:rPr>
          <w:lang w:val="ru-RU"/>
        </w:rPr>
        <w:t>х</w:t>
      </w:r>
      <w:r w:rsidRPr="00EC4FEA">
        <w:rPr>
          <w:lang w:val="ru-RU"/>
        </w:rPr>
        <w:t xml:space="preserve"> ресурс</w:t>
      </w:r>
      <w:r w:rsidR="003B4E36" w:rsidRPr="00EC4FEA">
        <w:rPr>
          <w:lang w:val="ru-RU"/>
        </w:rPr>
        <w:t>ов</w:t>
      </w:r>
      <w:r w:rsidRPr="00EC4FEA">
        <w:rPr>
          <w:lang w:val="ru-RU"/>
        </w:rPr>
        <w:t xml:space="preserve"> или </w:t>
      </w:r>
      <w:r w:rsidR="003B4E36" w:rsidRPr="00EC4FEA">
        <w:rPr>
          <w:lang w:val="ru-RU"/>
        </w:rPr>
        <w:t xml:space="preserve">принятии решений по управлению </w:t>
      </w:r>
      <w:r w:rsidRPr="00EC4FEA">
        <w:rPr>
          <w:lang w:val="ru-RU"/>
        </w:rPr>
        <w:t>океаном. Была разработана стратегия в области данных группы по координации наблюдений ГСНО наряду с работой по картированию данных. В системе примеров передового опыта в области океанических исследований ГСНО-МООД в настоящее время зарегистрировано более 1750 примеров передового опыта, семь одобренных ГСНО примеров передового опыта, а еще большее число примеров находятся в стадии подготовки. Группа экспертов по оперативным системам прогнозирования состояния океана</w:t>
      </w:r>
      <w:r w:rsidR="003257CE">
        <w:rPr>
          <w:lang w:val="en-US"/>
        </w:rPr>
        <w:t> </w:t>
      </w:r>
      <w:r w:rsidRPr="00EC4FEA">
        <w:rPr>
          <w:lang w:val="ru-RU"/>
        </w:rPr>
        <w:t>(ГЭ-ОСПСО) завершила подготовку руководства по «Внедрению оперативных систем мониторинга и прогнозирования состояния океана», направленно</w:t>
      </w:r>
      <w:r w:rsidR="003B4E36" w:rsidRPr="00EC4FEA">
        <w:rPr>
          <w:lang w:val="ru-RU"/>
        </w:rPr>
        <w:t>го</w:t>
      </w:r>
      <w:r w:rsidRPr="00EC4FEA">
        <w:rPr>
          <w:lang w:val="ru-RU"/>
        </w:rPr>
        <w:t xml:space="preserve"> на улучшение качества, расширение возможностей и оперативной совместимости продуктов прогнозирования состояния океана. Для трех масштабных программ Десятилетия океана ООН </w:t>
      </w:r>
      <w:hyperlink r:id="rId25" w:history="1">
        <w:r w:rsidRPr="00EC4FEA">
          <w:rPr>
            <w:rStyle w:val="Hyperlink"/>
            <w:lang w:val="ru-RU"/>
          </w:rPr>
          <w:t>«Совместные наблюдения», «Прогнозирование в прибрежных районах» и «Совместное планирование наблюдений за океаном»</w:t>
        </w:r>
      </w:hyperlink>
      <w:r w:rsidRPr="00EC4FEA">
        <w:rPr>
          <w:lang w:val="ru-RU"/>
        </w:rPr>
        <w:t xml:space="preserve"> были разработаны четкие планы преобразования системы наблюдений за океаном, отвечающие </w:t>
      </w:r>
      <w:r w:rsidR="003B4E36" w:rsidRPr="00EC4FEA">
        <w:rPr>
          <w:lang w:val="ru-RU"/>
        </w:rPr>
        <w:t xml:space="preserve">ясно определенным </w:t>
      </w:r>
      <w:r w:rsidRPr="00EC4FEA">
        <w:rPr>
          <w:lang w:val="ru-RU"/>
        </w:rPr>
        <w:t xml:space="preserve">потребностям общества. В последние два года основное внимание также уделялось укреплению роли национальных координаторов ГСНО и региональных альянсов ГСНО (РАГ), а также активизации деятельности региональных альянсов для островов Тихого океана (ГСНО-ОТ) и Карибского бассейна (ГСНО-МОКАРИБ). Соглашение о размещении бюро по проектам Международного обмена океаническими данными и информацией (МООД) в Остенде было продлено до декабря 2026 г. Новые помещения будут располагаться на территории «Кампуса океанических инноваций». Бюро по проектам отвечает за проведение шести мероприятий Десятилетия, в нем также располагается бюро по координации проведения Десятилетия в </w:t>
      </w:r>
      <w:r w:rsidR="00E44A08" w:rsidRPr="00EC4FEA">
        <w:rPr>
          <w:lang w:val="ru-RU"/>
        </w:rPr>
        <w:t>области</w:t>
      </w:r>
      <w:r w:rsidRPr="00EC4FEA">
        <w:rPr>
          <w:lang w:val="ru-RU"/>
        </w:rPr>
        <w:t xml:space="preserve"> обмен</w:t>
      </w:r>
      <w:r w:rsidR="00E44A08" w:rsidRPr="00EC4FEA">
        <w:rPr>
          <w:lang w:val="ru-RU"/>
        </w:rPr>
        <w:t>а</w:t>
      </w:r>
      <w:r w:rsidRPr="00EC4FEA">
        <w:rPr>
          <w:lang w:val="ru-RU"/>
        </w:rPr>
        <w:t xml:space="preserve"> океанографическими данными. Целевая группа по системе передового опыта в области океанических исследований ГСНО-МООД (</w:t>
      </w:r>
      <w:hyperlink r:id="rId26" w:history="1">
        <w:r w:rsidRPr="00EC4FEA">
          <w:rPr>
            <w:rStyle w:val="Hyperlink"/>
            <w:lang w:val="ru-RU"/>
          </w:rPr>
          <w:t>http://www.oceanbestpractices.org</w:t>
        </w:r>
      </w:hyperlink>
      <w:r w:rsidRPr="00EC4FEA">
        <w:rPr>
          <w:lang w:val="ru-RU"/>
        </w:rPr>
        <w:t>) адаптировала примеры передового опыта для регионов с ограниченной инфраструктурой, уделив на первом этапе основное внимание Африке. На втором этапе, охватывающ</w:t>
      </w:r>
      <w:r w:rsidR="00E44A08" w:rsidRPr="00EC4FEA">
        <w:rPr>
          <w:lang w:val="ru-RU"/>
        </w:rPr>
        <w:t>е</w:t>
      </w:r>
      <w:r w:rsidRPr="00EC4FEA">
        <w:rPr>
          <w:lang w:val="ru-RU"/>
        </w:rPr>
        <w:t>м страны Карибского бассейна, обеспечена дополнительная поддержка НОРАД, а распространение системы на глобальном уровне было одобрено в качестве проекта в рамках Десятилетия океана. Информационная система по биоразнообразию океана (ОБИС) продолжает развиваться. В частности, началось осуществление двух новых проектов ЕС в рамках программы «Горизонт-2020». ОБИС также выполняет важнейшую роль в новом проекте «Экспедиции по сбору экологической ДНК на морских объектах всемирного наследия», финансируемом Фландрией и осуществляемом совместно с Центром всемирного наследия ЮНЕСКО. Центр данных по биоразнообразию «ОБИС-2030» для деятельности в рамках Десятилетия призван предоставлять стандартизированные, прошедшие контроль качества и регулируемые данные по биоразнообразию для информ</w:t>
      </w:r>
      <w:r w:rsidR="00AC66A1" w:rsidRPr="00EC4FEA">
        <w:rPr>
          <w:lang w:val="ru-RU"/>
        </w:rPr>
        <w:t xml:space="preserve">ирования </w:t>
      </w:r>
      <w:r w:rsidRPr="00EC4FEA">
        <w:rPr>
          <w:lang w:val="ru-RU"/>
        </w:rPr>
        <w:t xml:space="preserve">лиц, ответственных за принятие решений. Развивается система океанографических данных и информации МОК (ОДИС) в качестве основного </w:t>
      </w:r>
      <w:r w:rsidR="00AC66A1" w:rsidRPr="00EC4FEA">
        <w:rPr>
          <w:lang w:val="ru-RU"/>
        </w:rPr>
        <w:t>компонента  по данным в рамках</w:t>
      </w:r>
      <w:r w:rsidRPr="00EC4FEA">
        <w:rPr>
          <w:lang w:val="ru-RU"/>
        </w:rPr>
        <w:t xml:space="preserve"> плана проведения Десятилетия океана. Продолжается работа над повышением качества и совершенствованием услуг глобального поискового портала «</w:t>
      </w:r>
      <w:proofErr w:type="spellStart"/>
      <w:r w:rsidRPr="00EC4FEA">
        <w:rPr>
          <w:lang w:val="ru-RU"/>
        </w:rPr>
        <w:t>Инфоцентрокеан</w:t>
      </w:r>
      <w:proofErr w:type="spellEnd"/>
      <w:r w:rsidRPr="00EC4FEA">
        <w:rPr>
          <w:lang w:val="ru-RU"/>
        </w:rPr>
        <w:t>» (</w:t>
      </w:r>
      <w:hyperlink r:id="rId27" w:history="1">
        <w:r w:rsidRPr="00EC4FEA">
          <w:rPr>
            <w:rStyle w:val="Hyperlink"/>
            <w:lang w:val="ru-RU"/>
          </w:rPr>
          <w:t>https://oceaninfohub.org</w:t>
        </w:r>
      </w:hyperlink>
      <w:r w:rsidRPr="00EC4FEA">
        <w:rPr>
          <w:lang w:val="ru-RU"/>
        </w:rPr>
        <w:t xml:space="preserve">). Программа «Система океанографических данных и информации в поддержку Десятилетия ООН, посвященного науке об океане в интересах устойчивого развития (OceanData-2030)» будет играть </w:t>
      </w:r>
      <w:r w:rsidR="00544BF0" w:rsidRPr="00EC4FEA">
        <w:rPr>
          <w:lang w:val="ru-RU"/>
        </w:rPr>
        <w:t xml:space="preserve">ключевую </w:t>
      </w:r>
      <w:r w:rsidRPr="00EC4FEA">
        <w:rPr>
          <w:lang w:val="ru-RU"/>
        </w:rPr>
        <w:t xml:space="preserve">роль в содействии миссии Десятилетия океана по стимулированию </w:t>
      </w:r>
      <w:r w:rsidRPr="00EC4FEA">
        <w:rPr>
          <w:lang w:val="ru-RU"/>
        </w:rPr>
        <w:lastRenderedPageBreak/>
        <w:t xml:space="preserve">ориентированных на преобразования </w:t>
      </w:r>
      <w:r w:rsidR="00544BF0" w:rsidRPr="00EC4FEA">
        <w:rPr>
          <w:lang w:val="ru-RU"/>
        </w:rPr>
        <w:t xml:space="preserve">и выработанных с помощью науки об океане </w:t>
      </w:r>
      <w:r w:rsidRPr="00EC4FEA">
        <w:rPr>
          <w:lang w:val="ru-RU"/>
        </w:rPr>
        <w:t>решений в интересах устойчивого развития.</w:t>
      </w:r>
      <w:bookmarkStart w:id="1" w:name="_Hlk134773641"/>
      <w:bookmarkStart w:id="2" w:name="_Hlk134618450"/>
      <w:bookmarkStart w:id="3" w:name="_Hlk134618875"/>
      <w:bookmarkStart w:id="4" w:name="_Toc135768432"/>
      <w:bookmarkEnd w:id="0"/>
      <w:bookmarkEnd w:id="1"/>
      <w:bookmarkEnd w:id="2"/>
      <w:bookmarkEnd w:id="3"/>
      <w:bookmarkEnd w:id="4"/>
    </w:p>
    <w:p w14:paraId="3EA195DC" w14:textId="5237B8E6" w:rsidR="008B4C73" w:rsidRPr="00EC4FEA" w:rsidRDefault="008B4C73" w:rsidP="00EC4FEA">
      <w:pPr>
        <w:pStyle w:val="EX4texte"/>
        <w:rPr>
          <w:lang w:val="ru-RU"/>
        </w:rPr>
      </w:pPr>
      <w:r w:rsidRPr="00EC4FEA">
        <w:rPr>
          <w:lang w:val="ru-RU"/>
        </w:rPr>
        <w:t xml:space="preserve">В рамках программы по цунами приоритетное внимание по-прежнему уделялось развитию потенциала благодаря проведению регулярных учений и практических занятий по цунами для поддержания оперативной готовности ответственных за реагирование на чрезвычайные ситуации учреждений, проверке связи, пересмотру стандартных рабочих процедур и содействию повышению готовности к чрезвычайным ситуациям, которые проводились в бассейнах всех океанов с постоянным улучшением результатов. В качестве примера можно привести учения «Волна-2023» в Карибском бассейне, которые были отмечены значительным увеличением числа участников с ограниченными возможностями. </w:t>
      </w:r>
      <w:r w:rsidR="00544BF0" w:rsidRPr="00EC4FEA">
        <w:rPr>
          <w:lang w:val="ru-RU"/>
        </w:rPr>
        <w:t>Продолжает расширяться охват п</w:t>
      </w:r>
      <w:r w:rsidRPr="00EC4FEA">
        <w:rPr>
          <w:lang w:val="ru-RU"/>
        </w:rPr>
        <w:t>рограмм</w:t>
      </w:r>
      <w:r w:rsidR="00544BF0" w:rsidRPr="00EC4FEA">
        <w:rPr>
          <w:lang w:val="ru-RU"/>
        </w:rPr>
        <w:t>ы</w:t>
      </w:r>
      <w:r w:rsidRPr="00EC4FEA">
        <w:rPr>
          <w:lang w:val="ru-RU"/>
        </w:rPr>
        <w:t xml:space="preserve"> сертификации готовности к цунами, а НОРАД обеспечил</w:t>
      </w:r>
      <w:r w:rsidR="00107EAB" w:rsidRPr="00EC4FEA">
        <w:rPr>
          <w:lang w:val="ru-RU"/>
        </w:rPr>
        <w:t>о</w:t>
      </w:r>
      <w:r w:rsidRPr="00EC4FEA">
        <w:rPr>
          <w:lang w:val="ru-RU"/>
        </w:rPr>
        <w:t xml:space="preserve"> увеличение объема целевого финансирование для регионов Тихого океана и Карибского бассейна. В контексте пандемии COVID-19 на Международный центр информации о цунами (</w:t>
      </w:r>
      <w:r w:rsidR="00107EAB" w:rsidRPr="00EC4FEA">
        <w:rPr>
          <w:lang w:val="ru-RU"/>
        </w:rPr>
        <w:t>МЦИЦ</w:t>
      </w:r>
      <w:r w:rsidRPr="00EC4FEA">
        <w:rPr>
          <w:lang w:val="ru-RU"/>
        </w:rPr>
        <w:t xml:space="preserve">) и АМКГ Индонезии были возложены функции специализированных учебных центров ГАОИ. Они разработали серию учебных курсов в онлайновом или гибридном формате. Соглашение о партнерстве между МОК ЮНЕСКО и АМКГ в отношении </w:t>
      </w:r>
      <w:r w:rsidR="00107EAB" w:rsidRPr="00EC4FEA">
        <w:rPr>
          <w:lang w:val="ru-RU"/>
        </w:rPr>
        <w:t>ц</w:t>
      </w:r>
      <w:r w:rsidRPr="00EC4FEA">
        <w:rPr>
          <w:lang w:val="ru-RU"/>
        </w:rPr>
        <w:t>ентра информации о цунами в Индийском океане</w:t>
      </w:r>
      <w:r w:rsidR="003257CE">
        <w:rPr>
          <w:lang w:val="en-US"/>
        </w:rPr>
        <w:t> </w:t>
      </w:r>
      <w:r w:rsidRPr="00EC4FEA">
        <w:rPr>
          <w:lang w:val="ru-RU"/>
        </w:rPr>
        <w:t xml:space="preserve">(ЦИЦИО) было продлено на период 2022-2027 гг. </w:t>
      </w:r>
      <w:r w:rsidR="00107EAB" w:rsidRPr="00EC4FEA">
        <w:rPr>
          <w:lang w:val="ru-RU"/>
        </w:rPr>
        <w:t>И</w:t>
      </w:r>
      <w:r w:rsidRPr="00EC4FEA">
        <w:rPr>
          <w:lang w:val="ru-RU"/>
        </w:rPr>
        <w:t>звержени</w:t>
      </w:r>
      <w:r w:rsidR="00107EAB" w:rsidRPr="00EC4FEA">
        <w:rPr>
          <w:lang w:val="ru-RU"/>
        </w:rPr>
        <w:t>е</w:t>
      </w:r>
      <w:r w:rsidRPr="00EC4FEA">
        <w:rPr>
          <w:lang w:val="ru-RU"/>
        </w:rPr>
        <w:t xml:space="preserve"> вулкана </w:t>
      </w:r>
      <w:proofErr w:type="spellStart"/>
      <w:r w:rsidRPr="00EC4FEA">
        <w:rPr>
          <w:lang w:val="ru-RU"/>
        </w:rPr>
        <w:t>Хунга</w:t>
      </w:r>
      <w:proofErr w:type="spellEnd"/>
      <w:r w:rsidRPr="00EC4FEA">
        <w:rPr>
          <w:lang w:val="ru-RU"/>
        </w:rPr>
        <w:t>-Тонга-</w:t>
      </w:r>
      <w:proofErr w:type="spellStart"/>
      <w:r w:rsidRPr="00EC4FEA">
        <w:rPr>
          <w:lang w:val="ru-RU"/>
        </w:rPr>
        <w:t>Хунга</w:t>
      </w:r>
      <w:proofErr w:type="spellEnd"/>
      <w:r w:rsidRPr="00EC4FEA">
        <w:rPr>
          <w:lang w:val="ru-RU"/>
        </w:rPr>
        <w:t>-</w:t>
      </w:r>
      <w:proofErr w:type="spellStart"/>
      <w:r w:rsidRPr="00EC4FEA">
        <w:rPr>
          <w:lang w:val="ru-RU"/>
        </w:rPr>
        <w:t>Хаапай</w:t>
      </w:r>
      <w:proofErr w:type="spellEnd"/>
      <w:r w:rsidRPr="00EC4FEA">
        <w:rPr>
          <w:lang w:val="ru-RU"/>
        </w:rPr>
        <w:t xml:space="preserve"> 15 января 2022 г. </w:t>
      </w:r>
      <w:r w:rsidR="00107EAB" w:rsidRPr="00EC4FEA">
        <w:rPr>
          <w:lang w:val="ru-RU"/>
        </w:rPr>
        <w:t xml:space="preserve">заставило Тихоокеанский </w:t>
      </w:r>
      <w:r w:rsidRPr="00EC4FEA">
        <w:rPr>
          <w:lang w:val="ru-RU"/>
        </w:rPr>
        <w:t xml:space="preserve">центр предупреждения о цунами (ТЦПЦ) </w:t>
      </w:r>
      <w:r w:rsidR="00107EAB" w:rsidRPr="00EC4FEA">
        <w:rPr>
          <w:lang w:val="ru-RU"/>
        </w:rPr>
        <w:t xml:space="preserve">впервые </w:t>
      </w:r>
      <w:r w:rsidRPr="00EC4FEA">
        <w:rPr>
          <w:lang w:val="ru-RU"/>
        </w:rPr>
        <w:t xml:space="preserve">реагировать на явление подобного рода, поскольку его работа касается в первую очередь цунами, вызванных землетрясениями, на долю которых приходится почти 90% от общего числа всех известных случаев возникновения цунами. После того, как в ряде стран были зафиксированы волны амплитудой более 1 м, и распространено несколько </w:t>
      </w:r>
      <w:r w:rsidR="00107EAB" w:rsidRPr="00EC4FEA">
        <w:rPr>
          <w:lang w:val="ru-RU"/>
        </w:rPr>
        <w:t>опо</w:t>
      </w:r>
      <w:r w:rsidRPr="00EC4FEA">
        <w:rPr>
          <w:lang w:val="ru-RU"/>
        </w:rPr>
        <w:t>вещений и предупреждений о цунами, была проведена оценка ситуации после бедствия. Для 32-й сессии Ассамблеи МОК был разработан «План исследований, разработок и осуществления программы по цунами в рамках Десятилетия океана ООН» (</w:t>
      </w:r>
      <w:hyperlink r:id="rId28" w:history="1">
        <w:r w:rsidRPr="00EC4FEA">
          <w:rPr>
            <w:rStyle w:val="Hyperlink"/>
            <w:lang w:val="ru-RU"/>
          </w:rPr>
          <w:t>IOC/A-32/3.4.1.2.Doc(1)</w:t>
        </w:r>
      </w:hyperlink>
      <w:r w:rsidRPr="00EC4FEA">
        <w:rPr>
          <w:lang w:val="ru-RU"/>
        </w:rPr>
        <w:t xml:space="preserve">). МОК и ФАО совместно разработали и провели тестирование систем раннего предупреждения о вредоносном цветении водорослей (ВЦВ) в Африке. По результатам опроса африканских государств-членов Намибия и Марокко были выбраны для внедрения системы на экспериментальной основе при финансовой помощи НОРАД и экспертной поддержке целевой группы по раннему обнаружению, предупреждению и прогнозированию явлений вредоносного цветения водорослей </w:t>
      </w:r>
      <w:r w:rsidR="00107EAB" w:rsidRPr="00EC4FEA">
        <w:rPr>
          <w:lang w:val="ru-RU"/>
        </w:rPr>
        <w:t>м</w:t>
      </w:r>
      <w:r w:rsidRPr="00EC4FEA">
        <w:rPr>
          <w:lang w:val="ru-RU"/>
        </w:rPr>
        <w:t>ежправительственной группы МОК-ФАО по вредоносному цветению водорослей</w:t>
      </w:r>
      <w:r w:rsidR="003257CE">
        <w:rPr>
          <w:lang w:val="en-US"/>
        </w:rPr>
        <w:t> </w:t>
      </w:r>
      <w:r w:rsidRPr="00EC4FEA">
        <w:rPr>
          <w:lang w:val="ru-RU"/>
        </w:rPr>
        <w:t xml:space="preserve">(МГВЦВ). В рамках программы </w:t>
      </w:r>
      <w:proofErr w:type="spellStart"/>
      <w:r w:rsidRPr="00EC4FEA">
        <w:rPr>
          <w:lang w:val="ru-RU"/>
        </w:rPr>
        <w:t>ГлобалВЦВ</w:t>
      </w:r>
      <w:proofErr w:type="spellEnd"/>
      <w:r w:rsidRPr="00EC4FEA">
        <w:rPr>
          <w:lang w:val="ru-RU"/>
        </w:rPr>
        <w:t xml:space="preserve"> на основе передового опыта было разработано </w:t>
      </w:r>
      <w:hyperlink r:id="rId29" w:history="1">
        <w:r w:rsidRPr="00EC4FEA">
          <w:rPr>
            <w:rStyle w:val="Hyperlink"/>
            <w:lang w:val="ru-RU"/>
          </w:rPr>
          <w:t>руководство по изучению ВЦВ и изменени</w:t>
        </w:r>
        <w:r w:rsidR="003140F1" w:rsidRPr="00EC4FEA">
          <w:rPr>
            <w:rStyle w:val="Hyperlink"/>
            <w:lang w:val="ru-RU"/>
          </w:rPr>
          <w:t>ю</w:t>
        </w:r>
        <w:r w:rsidRPr="00EC4FEA">
          <w:rPr>
            <w:rStyle w:val="Hyperlink"/>
            <w:lang w:val="ru-RU"/>
          </w:rPr>
          <w:t xml:space="preserve"> климата</w:t>
        </w:r>
      </w:hyperlink>
      <w:r w:rsidRPr="00EC4FEA">
        <w:rPr>
          <w:lang w:val="ru-RU"/>
        </w:rPr>
        <w:t xml:space="preserve">, а также завершена подготовка первого </w:t>
      </w:r>
      <w:hyperlink r:id="rId30" w:history="1">
        <w:r w:rsidRPr="00EC4FEA">
          <w:rPr>
            <w:rStyle w:val="Hyperlink"/>
            <w:lang w:val="ru-RU"/>
          </w:rPr>
          <w:t>глобального доклада о положении дел в области ВЦВ</w:t>
        </w:r>
      </w:hyperlink>
      <w:r w:rsidRPr="00EC4FEA">
        <w:rPr>
          <w:lang w:val="ru-RU"/>
        </w:rPr>
        <w:t xml:space="preserve">. </w:t>
      </w:r>
      <w:r w:rsidR="00D910AB" w:rsidRPr="00EC4FEA">
        <w:rPr>
          <w:lang w:val="ru-RU"/>
        </w:rPr>
        <w:t>Действующая п</w:t>
      </w:r>
      <w:r w:rsidRPr="00EC4FEA">
        <w:rPr>
          <w:lang w:val="ru-RU"/>
        </w:rPr>
        <w:t>од руководством МОК рабочая группа ГЕСАМП по регулировани</w:t>
      </w:r>
      <w:r w:rsidR="00D910AB" w:rsidRPr="00EC4FEA">
        <w:rPr>
          <w:lang w:val="ru-RU"/>
        </w:rPr>
        <w:t>ю</w:t>
      </w:r>
      <w:r w:rsidRPr="00EC4FEA">
        <w:rPr>
          <w:lang w:val="ru-RU"/>
        </w:rPr>
        <w:t xml:space="preserve"> биообрастания (РГ 44) </w:t>
      </w:r>
      <w:r w:rsidR="00D910AB" w:rsidRPr="00EC4FEA">
        <w:rPr>
          <w:lang w:val="ru-RU"/>
        </w:rPr>
        <w:t xml:space="preserve">способствует </w:t>
      </w:r>
      <w:r w:rsidRPr="00EC4FEA">
        <w:rPr>
          <w:lang w:val="ru-RU"/>
        </w:rPr>
        <w:t>более широко</w:t>
      </w:r>
      <w:r w:rsidR="00D910AB" w:rsidRPr="00EC4FEA">
        <w:rPr>
          <w:lang w:val="ru-RU"/>
        </w:rPr>
        <w:t>му</w:t>
      </w:r>
      <w:r w:rsidRPr="00EC4FEA">
        <w:rPr>
          <w:lang w:val="ru-RU"/>
        </w:rPr>
        <w:t xml:space="preserve"> понимани</w:t>
      </w:r>
      <w:r w:rsidR="00D910AB" w:rsidRPr="00EC4FEA">
        <w:rPr>
          <w:lang w:val="ru-RU"/>
        </w:rPr>
        <w:t>ю</w:t>
      </w:r>
      <w:r w:rsidRPr="00EC4FEA">
        <w:rPr>
          <w:lang w:val="ru-RU"/>
        </w:rPr>
        <w:t xml:space="preserve"> проблем интродукции и распространени</w:t>
      </w:r>
      <w:r w:rsidR="003140F1" w:rsidRPr="00EC4FEA">
        <w:rPr>
          <w:lang w:val="ru-RU"/>
        </w:rPr>
        <w:t>я</w:t>
      </w:r>
      <w:r w:rsidRPr="00EC4FEA">
        <w:rPr>
          <w:lang w:val="ru-RU"/>
        </w:rPr>
        <w:t xml:space="preserve"> </w:t>
      </w:r>
      <w:proofErr w:type="spellStart"/>
      <w:r w:rsidRPr="00EC4FEA">
        <w:rPr>
          <w:lang w:val="ru-RU"/>
        </w:rPr>
        <w:t>неэндемичных</w:t>
      </w:r>
      <w:proofErr w:type="spellEnd"/>
      <w:r w:rsidRPr="00EC4FEA">
        <w:rPr>
          <w:lang w:val="ru-RU"/>
        </w:rPr>
        <w:t xml:space="preserve"> видов посредством биообрастания во всех отраслях морско</w:t>
      </w:r>
      <w:r w:rsidR="00A15996" w:rsidRPr="00EC4FEA">
        <w:rPr>
          <w:lang w:val="ru-RU"/>
        </w:rPr>
        <w:t>й</w:t>
      </w:r>
      <w:r w:rsidRPr="00EC4FEA">
        <w:rPr>
          <w:lang w:val="ru-RU"/>
        </w:rPr>
        <w:t xml:space="preserve"> </w:t>
      </w:r>
      <w:r w:rsidR="00A15996" w:rsidRPr="00EC4FEA">
        <w:rPr>
          <w:lang w:val="ru-RU"/>
        </w:rPr>
        <w:t>экономики</w:t>
      </w:r>
      <w:r w:rsidRPr="00EC4FEA">
        <w:rPr>
          <w:lang w:val="ru-RU"/>
        </w:rPr>
        <w:t xml:space="preserve">. Финансируемый правительством Фландрии проект «Сеть оповещения тихоокеанских островов о морском </w:t>
      </w:r>
      <w:proofErr w:type="spellStart"/>
      <w:r w:rsidRPr="00EC4FEA">
        <w:rPr>
          <w:lang w:val="ru-RU"/>
        </w:rPr>
        <w:t>биовторжении</w:t>
      </w:r>
      <w:proofErr w:type="spellEnd"/>
      <w:r w:rsidRPr="00EC4FEA">
        <w:rPr>
          <w:lang w:val="ru-RU"/>
        </w:rPr>
        <w:t xml:space="preserve">» посвящен разработке системы мониторинга для раннего обнаружения и раннего предупреждения о морских инвазивных видах на основе анализа экологической ДНК на Фиджи. В настоящее время принимаются меры по привлечению финансирования для распространения этого проекта на другие развивающиеся государства и МОСРГ. </w:t>
      </w:r>
      <w:bookmarkStart w:id="5" w:name="_Hlk67685588"/>
      <w:bookmarkEnd w:id="5"/>
    </w:p>
    <w:p w14:paraId="57FEE13A" w14:textId="4D42541C" w:rsidR="00EB52DB" w:rsidRPr="00EC4FEA" w:rsidRDefault="00CC419E" w:rsidP="00EC4FEA">
      <w:pPr>
        <w:pStyle w:val="EX4texte"/>
        <w:rPr>
          <w:lang w:val="ru-RU"/>
        </w:rPr>
      </w:pPr>
      <w:r w:rsidRPr="00EC4FEA">
        <w:rPr>
          <w:lang w:val="ru-RU"/>
        </w:rPr>
        <w:t xml:space="preserve">Продолжая выполнять курирующую функцию по двум задачам ЦУР 14, МОК добилась </w:t>
      </w:r>
      <w:proofErr w:type="gramStart"/>
      <w:r w:rsidRPr="00EC4FEA">
        <w:rPr>
          <w:lang w:val="ru-RU"/>
        </w:rPr>
        <w:t>значительных результатов</w:t>
      </w:r>
      <w:proofErr w:type="gramEnd"/>
      <w:r w:rsidRPr="00EC4FEA">
        <w:rPr>
          <w:lang w:val="ru-RU"/>
        </w:rPr>
        <w:t xml:space="preserve"> в сборе новых данных от государств-членов по показателям ЦУР</w:t>
      </w:r>
      <w:r w:rsidR="003257CE">
        <w:rPr>
          <w:lang w:val="en-US"/>
        </w:rPr>
        <w:t> </w:t>
      </w:r>
      <w:r w:rsidRPr="00EC4FEA">
        <w:rPr>
          <w:lang w:val="ru-RU"/>
        </w:rPr>
        <w:t xml:space="preserve">14.3.1 и 14.a.1 благодаря </w:t>
      </w:r>
      <w:r w:rsidR="00A15996" w:rsidRPr="00EC4FEA">
        <w:rPr>
          <w:lang w:val="ru-RU"/>
        </w:rPr>
        <w:t xml:space="preserve">размещенному в Остенде </w:t>
      </w:r>
      <w:r w:rsidRPr="00EC4FEA">
        <w:rPr>
          <w:lang w:val="ru-RU"/>
        </w:rPr>
        <w:t xml:space="preserve">порталу бюллетеня Глобального </w:t>
      </w:r>
      <w:r w:rsidR="006E7C43" w:rsidRPr="00EC4FEA">
        <w:rPr>
          <w:lang w:val="ru-RU"/>
        </w:rPr>
        <w:t xml:space="preserve">океанографического </w:t>
      </w:r>
      <w:r w:rsidRPr="00EC4FEA">
        <w:rPr>
          <w:lang w:val="ru-RU"/>
        </w:rPr>
        <w:t>доклада (Г</w:t>
      </w:r>
      <w:r w:rsidR="006E7C43" w:rsidRPr="00EC4FEA">
        <w:rPr>
          <w:lang w:val="ru-RU"/>
        </w:rPr>
        <w:t>О</w:t>
      </w:r>
      <w:r w:rsidRPr="00EC4FEA">
        <w:rPr>
          <w:lang w:val="ru-RU"/>
        </w:rPr>
        <w:t xml:space="preserve">Д). Обеспокоенность воздействием измененного поступления питательных веществ, азота, фосфора и кремния в прибрежные воды побудила ООН включить «Индекс потенциала эвтрофикации прибрежной зоны» (ИПЭП) в качестве показателя для цели ЦУР 14.1.1. При поддержке ЮНЕП и НОРАД МОК планирует завершить разработку методологии сбора данных для этого показателя в 2024 г. В ожидании очередного издания Глобального </w:t>
      </w:r>
      <w:r w:rsidR="006E7C43" w:rsidRPr="00EC4FEA">
        <w:rPr>
          <w:lang w:val="ru-RU"/>
        </w:rPr>
        <w:t xml:space="preserve">океанографического </w:t>
      </w:r>
      <w:r w:rsidRPr="00EC4FEA">
        <w:rPr>
          <w:lang w:val="ru-RU"/>
        </w:rPr>
        <w:t>доклада (Г</w:t>
      </w:r>
      <w:r w:rsidR="006E7C43" w:rsidRPr="00EC4FEA">
        <w:rPr>
          <w:lang w:val="ru-RU"/>
        </w:rPr>
        <w:t>О</w:t>
      </w:r>
      <w:r w:rsidRPr="00EC4FEA">
        <w:rPr>
          <w:lang w:val="ru-RU"/>
        </w:rPr>
        <w:t>Д) в 2025 г., в бюллетене Г</w:t>
      </w:r>
      <w:r w:rsidR="00BB2A35" w:rsidRPr="00EC4FEA">
        <w:rPr>
          <w:lang w:val="ru-RU"/>
        </w:rPr>
        <w:t>О</w:t>
      </w:r>
      <w:r w:rsidRPr="00EC4FEA">
        <w:rPr>
          <w:lang w:val="ru-RU"/>
        </w:rPr>
        <w:t>Д</w:t>
      </w:r>
      <w:r w:rsidR="00BB2A35" w:rsidRPr="00EC4FEA">
        <w:rPr>
          <w:lang w:val="ru-RU"/>
        </w:rPr>
        <w:t xml:space="preserve"> </w:t>
      </w:r>
      <w:r w:rsidRPr="00EC4FEA">
        <w:rPr>
          <w:lang w:val="ru-RU"/>
        </w:rPr>
        <w:t xml:space="preserve">представлены основные актуальные </w:t>
      </w:r>
      <w:r w:rsidR="00BB2A35" w:rsidRPr="00EC4FEA">
        <w:rPr>
          <w:lang w:val="ru-RU"/>
        </w:rPr>
        <w:t xml:space="preserve">количественные </w:t>
      </w:r>
      <w:r w:rsidRPr="00EC4FEA">
        <w:rPr>
          <w:lang w:val="ru-RU"/>
        </w:rPr>
        <w:t xml:space="preserve">данные, в частности касающиеся кадрового и технического потенциала, а также некоторые предварительные выводы в отношении последствий пандемии COVID-19 для океанографии. В контексте третьего цикла </w:t>
      </w:r>
      <w:r w:rsidR="00BB2A35" w:rsidRPr="00EC4FEA">
        <w:rPr>
          <w:lang w:val="ru-RU"/>
        </w:rPr>
        <w:t>о</w:t>
      </w:r>
      <w:r w:rsidRPr="00EC4FEA">
        <w:rPr>
          <w:lang w:val="ru-RU"/>
        </w:rPr>
        <w:t xml:space="preserve">ценки состояния </w:t>
      </w:r>
      <w:r w:rsidRPr="00EC4FEA">
        <w:rPr>
          <w:lang w:val="ru-RU"/>
        </w:rPr>
        <w:lastRenderedPageBreak/>
        <w:t xml:space="preserve">Мирового океана (ОМО) в 2021-2025 гг. в рамках регулярного процесса глобального освещения и оценки состояния морской среды, включая социально-экономические аспекты, МОК подготовила информационный документ, посвященный взаимодополняемости между регулярным процессом и Десятилетием океана, и будет оказывать поддержку ОВОМП ООН в разработке последовательной программы по созданию потенциала с целью укрепления взаимодействия  между океанографией и политикой в отношении океана на национальном, региональном и глобальном уровнях. Пилотное издание </w:t>
      </w:r>
      <w:r w:rsidR="00BB2A35" w:rsidRPr="00EC4FEA">
        <w:rPr>
          <w:lang w:val="ru-RU"/>
        </w:rPr>
        <w:t>д</w:t>
      </w:r>
      <w:r w:rsidRPr="00EC4FEA">
        <w:rPr>
          <w:lang w:val="ru-RU"/>
        </w:rPr>
        <w:t>оклада МОК о состоянии Мирового океана (ДСМО) был</w:t>
      </w:r>
      <w:r w:rsidR="00C323BB">
        <w:rPr>
          <w:lang w:val="ru-RU"/>
        </w:rPr>
        <w:t>о</w:t>
      </w:r>
      <w:r w:rsidRPr="00EC4FEA">
        <w:rPr>
          <w:lang w:val="ru-RU"/>
        </w:rPr>
        <w:t xml:space="preserve"> представлен</w:t>
      </w:r>
      <w:r w:rsidR="00C323BB">
        <w:rPr>
          <w:lang w:val="ru-RU"/>
        </w:rPr>
        <w:t>о</w:t>
      </w:r>
      <w:r w:rsidRPr="00EC4FEA">
        <w:rPr>
          <w:lang w:val="ru-RU"/>
        </w:rPr>
        <w:t xml:space="preserve"> широкой общественности на Конференции ООН по проблемам океана в Лиссабоне. После его обзора Ассамблеей МОК в 2023 г. этот ежегодный доклад будет использоваться для поддержки деятельности многочисленных заинтересованных сторон в контексте Десятилетия океана ООН, а также </w:t>
      </w:r>
      <w:r w:rsidR="00FE0F0E" w:rsidRPr="00EC4FEA">
        <w:rPr>
          <w:lang w:val="ru-RU"/>
        </w:rPr>
        <w:t>в качестве фактологической основы для</w:t>
      </w:r>
      <w:r w:rsidRPr="00EC4FEA">
        <w:rPr>
          <w:lang w:val="ru-RU"/>
        </w:rPr>
        <w:t xml:space="preserve"> ОМО. В рамках работы </w:t>
      </w:r>
      <w:r w:rsidR="00FE0F0E" w:rsidRPr="00EC4FEA">
        <w:rPr>
          <w:lang w:val="ru-RU"/>
        </w:rPr>
        <w:t xml:space="preserve">над </w:t>
      </w:r>
      <w:r w:rsidRPr="00EC4FEA">
        <w:rPr>
          <w:lang w:val="ru-RU"/>
        </w:rPr>
        <w:t>Генеральной батиметрической карт</w:t>
      </w:r>
      <w:r w:rsidR="00FE0F0E" w:rsidRPr="00EC4FEA">
        <w:rPr>
          <w:lang w:val="ru-RU"/>
        </w:rPr>
        <w:t>ой</w:t>
      </w:r>
      <w:r w:rsidRPr="00EC4FEA">
        <w:rPr>
          <w:lang w:val="ru-RU"/>
        </w:rPr>
        <w:t xml:space="preserve"> океанов (ГЕБКО) среди важных достижений отчетного периода можно отметить: (i) продолжение работы ГЕБКО</w:t>
      </w:r>
      <w:r w:rsidR="00FE0F0E" w:rsidRPr="00EC4FEA">
        <w:rPr>
          <w:lang w:val="ru-RU"/>
        </w:rPr>
        <w:t xml:space="preserve"> по</w:t>
      </w:r>
      <w:r w:rsidRPr="00EC4FEA">
        <w:rPr>
          <w:lang w:val="ru-RU"/>
        </w:rPr>
        <w:t xml:space="preserve"> картировани</w:t>
      </w:r>
      <w:r w:rsidR="00FE0F0E" w:rsidRPr="00EC4FEA">
        <w:rPr>
          <w:lang w:val="ru-RU"/>
        </w:rPr>
        <w:t>ю</w:t>
      </w:r>
      <w:r w:rsidRPr="00EC4FEA">
        <w:rPr>
          <w:lang w:val="ru-RU"/>
        </w:rPr>
        <w:t xml:space="preserve"> новых участков морского дна в рамках </w:t>
      </w:r>
      <w:r w:rsidR="004B38DC" w:rsidRPr="00EC4FEA">
        <w:rPr>
          <w:lang w:val="ru-RU"/>
        </w:rPr>
        <w:t xml:space="preserve">осуществляемого совместно с фондом «Ниппон» </w:t>
      </w:r>
      <w:r w:rsidRPr="00EC4FEA">
        <w:rPr>
          <w:lang w:val="ru-RU"/>
        </w:rPr>
        <w:t>проекта «Морское дно-2030», которая в настоящее время выполнена на 25%</w:t>
      </w:r>
      <w:r w:rsidR="004B38DC" w:rsidRPr="00EC4FEA">
        <w:rPr>
          <w:lang w:val="ru-RU"/>
        </w:rPr>
        <w:t>,</w:t>
      </w:r>
      <w:r w:rsidRPr="00EC4FEA">
        <w:rPr>
          <w:lang w:val="ru-RU"/>
        </w:rPr>
        <w:t xml:space="preserve"> (</w:t>
      </w:r>
      <w:proofErr w:type="spellStart"/>
      <w:r w:rsidRPr="00EC4FEA">
        <w:rPr>
          <w:lang w:val="ru-RU"/>
        </w:rPr>
        <w:t>ii</w:t>
      </w:r>
      <w:proofErr w:type="spellEnd"/>
      <w:r w:rsidRPr="00EC4FEA">
        <w:rPr>
          <w:lang w:val="ru-RU"/>
        </w:rPr>
        <w:t>)</w:t>
      </w:r>
      <w:r w:rsidR="00C323BB">
        <w:rPr>
          <w:lang w:val="ru-RU"/>
        </w:rPr>
        <w:t> </w:t>
      </w:r>
      <w:r w:rsidRPr="00EC4FEA">
        <w:rPr>
          <w:lang w:val="ru-RU"/>
        </w:rPr>
        <w:t>празднование 120-летия ГЕБКО в 2023 г.</w:t>
      </w:r>
      <w:r w:rsidR="004B38DC" w:rsidRPr="00EC4FEA">
        <w:rPr>
          <w:lang w:val="ru-RU"/>
        </w:rPr>
        <w:t>,</w:t>
      </w:r>
      <w:r w:rsidRPr="00EC4FEA">
        <w:rPr>
          <w:lang w:val="ru-RU"/>
        </w:rPr>
        <w:t xml:space="preserve"> (</w:t>
      </w:r>
      <w:proofErr w:type="spellStart"/>
      <w:r w:rsidRPr="00EC4FEA">
        <w:rPr>
          <w:lang w:val="ru-RU"/>
        </w:rPr>
        <w:t>iii</w:t>
      </w:r>
      <w:proofErr w:type="spellEnd"/>
      <w:r w:rsidRPr="00EC4FEA">
        <w:rPr>
          <w:lang w:val="ru-RU"/>
        </w:rPr>
        <w:t>) разработка хартии/кодекса поведения ГЕБКО для официального закрепления этических требований, предъявляемых ко всем участникам проектов ГЕБКО</w:t>
      </w:r>
      <w:r w:rsidR="004B38DC" w:rsidRPr="00EC4FEA">
        <w:rPr>
          <w:lang w:val="ru-RU"/>
        </w:rPr>
        <w:t>,</w:t>
      </w:r>
      <w:r w:rsidRPr="00EC4FEA">
        <w:rPr>
          <w:lang w:val="ru-RU"/>
        </w:rPr>
        <w:t xml:space="preserve"> (</w:t>
      </w:r>
      <w:proofErr w:type="spellStart"/>
      <w:r w:rsidRPr="00EC4FEA">
        <w:rPr>
          <w:lang w:val="ru-RU"/>
        </w:rPr>
        <w:t>iv</w:t>
      </w:r>
      <w:proofErr w:type="spellEnd"/>
      <w:r w:rsidRPr="00EC4FEA">
        <w:rPr>
          <w:lang w:val="ru-RU"/>
        </w:rPr>
        <w:t xml:space="preserve">) разработка среднесрочного стратегического плана ГЕБКО и (v) обзор управления ГЕБКО. </w:t>
      </w:r>
    </w:p>
    <w:p w14:paraId="681352C6" w14:textId="010CC1F1" w:rsidR="00BC2FD9" w:rsidRPr="00EC4FEA" w:rsidRDefault="00BC2FD9" w:rsidP="00EC4FEA">
      <w:pPr>
        <w:pStyle w:val="EX4texte"/>
        <w:rPr>
          <w:lang w:val="ru-RU"/>
        </w:rPr>
      </w:pPr>
      <w:r w:rsidRPr="00EC4FEA">
        <w:rPr>
          <w:lang w:val="ru-RU"/>
        </w:rPr>
        <w:t xml:space="preserve">МОК принимала активное участие в переговорном процессе, касающемся разработки международного юридически обязательного документа о сохранении и рациональном использовании морского биологического разнообразия в районах за пределами действия национальной юрисдикции (БПНЮ). В соглашении содержится ссылка на возможность сотрудничества с МОК ЮНЕСКО в вопросах внедрения информационно-координационного механизма, который предполагается разработать на базе нового международного договора. Ряд задач </w:t>
      </w:r>
      <w:proofErr w:type="spellStart"/>
      <w:r w:rsidRPr="00EC4FEA">
        <w:rPr>
          <w:lang w:val="ru-RU"/>
        </w:rPr>
        <w:t>Куньминско</w:t>
      </w:r>
      <w:proofErr w:type="spellEnd"/>
      <w:r w:rsidRPr="00EC4FEA">
        <w:rPr>
          <w:lang w:val="ru-RU"/>
        </w:rPr>
        <w:t>-Монреальской глобальной рамочной программы в области биоразнообразия име</w:t>
      </w:r>
      <w:r w:rsidR="004B38DC" w:rsidRPr="00EC4FEA">
        <w:rPr>
          <w:lang w:val="ru-RU"/>
        </w:rPr>
        <w:t>е</w:t>
      </w:r>
      <w:r w:rsidRPr="00EC4FEA">
        <w:rPr>
          <w:lang w:val="ru-RU"/>
        </w:rPr>
        <w:t xml:space="preserve">т непосредственное отношение к деятельности МОК и Десятилетию океана, в частности, в таких областях, как морские научные исследования, оценка состояния биоразнообразия, наблюдение за океаном, управление данными, морское пространственное планирование и развитие потенциала. </w:t>
      </w:r>
      <w:hyperlink r:id="rId31" w:history="1">
        <w:r w:rsidRPr="00EC4FEA">
          <w:rPr>
            <w:rStyle w:val="Hyperlink"/>
            <w:lang w:val="ru-RU"/>
          </w:rPr>
          <w:t>Пятый Международный форум по МПП</w:t>
        </w:r>
      </w:hyperlink>
      <w:r w:rsidRPr="00EC4FEA">
        <w:rPr>
          <w:lang w:val="ru-RU"/>
        </w:rPr>
        <w:t xml:space="preserve"> и третья Международная конференция по МПП ознаменовали начало осуществления </w:t>
      </w:r>
      <w:hyperlink r:id="rId32" w:history="1">
        <w:r w:rsidRPr="00EC4FEA">
          <w:rPr>
            <w:rStyle w:val="Hyperlink"/>
            <w:lang w:val="ru-RU"/>
          </w:rPr>
          <w:t>обновленной Дорожной карты в области МПП (2022-2027 гг.)</w:t>
        </w:r>
      </w:hyperlink>
      <w:r w:rsidRPr="00EC4FEA">
        <w:rPr>
          <w:lang w:val="ru-RU"/>
        </w:rPr>
        <w:t xml:space="preserve"> и новый этап сотрудничества МОК с Генеральным директоратом Европейской комиссии по вопросам морской политики и рыболовства в этой области. В ходе пятой фазы проекта ГЭФ в рамках тематической области «Международные воды» </w:t>
      </w:r>
      <w:r w:rsidR="006546AF" w:rsidRPr="00EC4FEA">
        <w:rPr>
          <w:lang w:val="ru-RU"/>
        </w:rPr>
        <w:t>(</w:t>
      </w:r>
      <w:r w:rsidRPr="00EC4FEA">
        <w:rPr>
          <w:lang w:val="ru-RU"/>
        </w:rPr>
        <w:t xml:space="preserve">Сеть по ресурсам и обмену знаниями в области международных вод: повышение эффективности управления трансграничными водами в рамках портфеля проектов ГЭФ по международным водам) МОК возглавит региональные мероприятия по созданию потенциала в области МПП для портфеля проектов ГЭФ по КМЭ. В тесном сотрудничестве с ПРООН и </w:t>
      </w:r>
      <w:proofErr w:type="spellStart"/>
      <w:r w:rsidRPr="00EC4FEA">
        <w:rPr>
          <w:lang w:val="ru-RU"/>
        </w:rPr>
        <w:t>Саргассовоморской</w:t>
      </w:r>
      <w:proofErr w:type="spellEnd"/>
      <w:r w:rsidRPr="00EC4FEA">
        <w:rPr>
          <w:lang w:val="ru-RU"/>
        </w:rPr>
        <w:t xml:space="preserve"> комиссией МОК проводит первый в истории диагностический анализ экосистем открытого моря в целях формирования технической основы </w:t>
      </w:r>
      <w:r w:rsidR="00C50D64" w:rsidRPr="00EC4FEA">
        <w:rPr>
          <w:lang w:val="ru-RU"/>
        </w:rPr>
        <w:t>с</w:t>
      </w:r>
      <w:r w:rsidRPr="00EC4FEA">
        <w:rPr>
          <w:lang w:val="ru-RU"/>
        </w:rPr>
        <w:t>тратегической программы действий (СПД) для будущего рационального управления ресурсами Саргассового моря, котор</w:t>
      </w:r>
      <w:r w:rsidR="00C50D64" w:rsidRPr="00EC4FEA">
        <w:rPr>
          <w:lang w:val="ru-RU"/>
        </w:rPr>
        <w:t>ую</w:t>
      </w:r>
      <w:r w:rsidRPr="00EC4FEA">
        <w:rPr>
          <w:lang w:val="ru-RU"/>
        </w:rPr>
        <w:t xml:space="preserve"> должн</w:t>
      </w:r>
      <w:r w:rsidR="00C50D64" w:rsidRPr="00EC4FEA">
        <w:rPr>
          <w:lang w:val="ru-RU"/>
        </w:rPr>
        <w:t xml:space="preserve">ы утвердить </w:t>
      </w:r>
      <w:r w:rsidRPr="00EC4FEA">
        <w:rPr>
          <w:lang w:val="ru-RU"/>
        </w:rPr>
        <w:t>заинтересованны</w:t>
      </w:r>
      <w:r w:rsidR="00C50D64" w:rsidRPr="00EC4FEA">
        <w:rPr>
          <w:lang w:val="ru-RU"/>
        </w:rPr>
        <w:t>е</w:t>
      </w:r>
      <w:r w:rsidRPr="00EC4FEA">
        <w:rPr>
          <w:lang w:val="ru-RU"/>
        </w:rPr>
        <w:t xml:space="preserve"> сторон</w:t>
      </w:r>
      <w:r w:rsidR="00C50D64" w:rsidRPr="00EC4FEA">
        <w:rPr>
          <w:lang w:val="ru-RU"/>
        </w:rPr>
        <w:t>ы</w:t>
      </w:r>
      <w:r w:rsidRPr="00EC4FEA">
        <w:rPr>
          <w:lang w:val="ru-RU"/>
        </w:rPr>
        <w:t>. В рамках коалиции «</w:t>
      </w:r>
      <w:hyperlink r:id="rId33" w:history="1">
        <w:r w:rsidRPr="00EC4FEA">
          <w:rPr>
            <w:rStyle w:val="Hyperlink"/>
            <w:lang w:val="ru-RU"/>
          </w:rPr>
          <w:t>Действия в интересах океана 2030</w:t>
        </w:r>
      </w:hyperlink>
      <w:r w:rsidRPr="00EC4FEA">
        <w:rPr>
          <w:lang w:val="ru-RU"/>
        </w:rPr>
        <w:t xml:space="preserve">», созданной для содействия разработке и осуществлению планов </w:t>
      </w:r>
      <w:r w:rsidR="00C50D64" w:rsidRPr="00EC4FEA">
        <w:rPr>
          <w:lang w:val="ru-RU"/>
        </w:rPr>
        <w:t>устойчивой океанической деятельности</w:t>
      </w:r>
      <w:r w:rsidRPr="00EC4FEA">
        <w:rPr>
          <w:lang w:val="ru-RU"/>
        </w:rPr>
        <w:t xml:space="preserve">, МОК разрабатывает программу Десятилетия океана </w:t>
      </w:r>
      <w:r w:rsidR="00C50D64" w:rsidRPr="00EC4FEA">
        <w:rPr>
          <w:lang w:val="ru-RU"/>
        </w:rPr>
        <w:t>по</w:t>
      </w:r>
      <w:r w:rsidRPr="00EC4FEA">
        <w:rPr>
          <w:lang w:val="ru-RU"/>
        </w:rPr>
        <w:t xml:space="preserve"> планировани</w:t>
      </w:r>
      <w:r w:rsidR="00C50D64" w:rsidRPr="00EC4FEA">
        <w:rPr>
          <w:lang w:val="ru-RU"/>
        </w:rPr>
        <w:t>ю такой деятельности</w:t>
      </w:r>
      <w:r w:rsidRPr="00EC4FEA">
        <w:rPr>
          <w:lang w:val="ru-RU"/>
        </w:rPr>
        <w:t xml:space="preserve">. Доклад о проведении Десятилетия в течение последних двух лет будет представлен Генеральной конференции в отдельном документе. Однако следует подчеркнуть важнейшую роль, которую выполняют региональные вспомогательные органы МОК в привлечении заинтересованных сторон и повышении наглядности, формировании солидного и обеспеченного поддержкой комплекса мероприятий в рамках Десятилетия и создании центральной и децентрализованной архитектуры управления и координации проведения Десятилетия. Принимаются согласованные и целенаправленные меры по активизации участия заинтересованных сторон в МОСРГ и странах Африки. Были проведены предварительное исследование и оценка потребностей в ресурсах для создания бюро по координации проведения Десятилетия в рамках подкомиссии МОКАФРИКА, а целевая группа по тропическим районам Америки и Карибского бассейна будет руководить разработкой региональной стратегии проведения Десятилетия </w:t>
      </w:r>
      <w:r w:rsidRPr="00EC4FEA">
        <w:rPr>
          <w:lang w:val="ru-RU"/>
        </w:rPr>
        <w:lastRenderedPageBreak/>
        <w:t xml:space="preserve">океана. Продолжается сотрудничество с партнерами из южной части Тихого океана по созданию центра сотрудничества в рамках Десятилетия. Ожидается, что новая </w:t>
      </w:r>
      <w:r w:rsidR="00C50D64" w:rsidRPr="00EC4FEA">
        <w:rPr>
          <w:lang w:val="ru-RU"/>
        </w:rPr>
        <w:t>п</w:t>
      </w:r>
      <w:r w:rsidRPr="00EC4FEA">
        <w:rPr>
          <w:lang w:val="ru-RU"/>
        </w:rPr>
        <w:t>одкомиссия МОК для центральной части Индийского океана (ИОСИНДИО) будет способствовать дальнейшему расширению взаимодействия в этом регионе.</w:t>
      </w:r>
    </w:p>
    <w:p w14:paraId="485B5490" w14:textId="761B1B2F" w:rsidR="00E27F5E" w:rsidRPr="00EC4FEA" w:rsidRDefault="00C253EF" w:rsidP="00EC4FEA">
      <w:pPr>
        <w:pStyle w:val="EX4texte"/>
        <w:rPr>
          <w:lang w:val="ru-RU"/>
        </w:rPr>
      </w:pPr>
      <w:r w:rsidRPr="00EC4FEA">
        <w:rPr>
          <w:lang w:val="ru-RU"/>
        </w:rPr>
        <w:t xml:space="preserve">Пересмотренная и обновленная </w:t>
      </w:r>
      <w:r w:rsidR="00C50D64" w:rsidRPr="00EC4FEA">
        <w:rPr>
          <w:lang w:val="ru-RU"/>
        </w:rPr>
        <w:t>с</w:t>
      </w:r>
      <w:r w:rsidRPr="00EC4FEA">
        <w:rPr>
          <w:lang w:val="ru-RU"/>
        </w:rPr>
        <w:t xml:space="preserve">тратегия развития потенциала МОК будет определять будущие направления деятельности, а недавно начавший функционировать центр по развитию потенциала в связанных с океаном вопросах расширит доступ к программам подготовки. </w:t>
      </w:r>
      <w:r w:rsidR="004B7E69" w:rsidRPr="00EC4FEA">
        <w:rPr>
          <w:lang w:val="ru-RU"/>
        </w:rPr>
        <w:t>Деятельность г</w:t>
      </w:r>
      <w:r w:rsidRPr="00EC4FEA">
        <w:rPr>
          <w:lang w:val="ru-RU"/>
        </w:rPr>
        <w:t>лобальн</w:t>
      </w:r>
      <w:r w:rsidR="004B7E69" w:rsidRPr="00EC4FEA">
        <w:rPr>
          <w:lang w:val="ru-RU"/>
        </w:rPr>
        <w:t>ой</w:t>
      </w:r>
      <w:r w:rsidRPr="00EC4FEA">
        <w:rPr>
          <w:lang w:val="ru-RU"/>
        </w:rPr>
        <w:t xml:space="preserve"> академи</w:t>
      </w:r>
      <w:r w:rsidR="004B7E69" w:rsidRPr="00EC4FEA">
        <w:rPr>
          <w:lang w:val="ru-RU"/>
        </w:rPr>
        <w:t>и</w:t>
      </w:r>
      <w:r w:rsidRPr="00EC4FEA">
        <w:rPr>
          <w:lang w:val="ru-RU"/>
        </w:rPr>
        <w:t xml:space="preserve"> «Океан-инструктор» (ГАОИ) продолжала развиваться, предлага</w:t>
      </w:r>
      <w:r w:rsidR="004B7E69" w:rsidRPr="00EC4FEA">
        <w:rPr>
          <w:lang w:val="ru-RU"/>
        </w:rPr>
        <w:t>лись</w:t>
      </w:r>
      <w:r w:rsidRPr="00EC4FEA">
        <w:rPr>
          <w:lang w:val="ru-RU"/>
        </w:rPr>
        <w:t xml:space="preserve"> онлайновые, очные и гибридные учебные курсы по широкому кругу тематических областей при поддержке глобальной сети региональных учебных центров (РУЦ) и специализированных учебных центров (СУЦ), обеспечивающих целевую подготовку экспертов и специалистов-практиков по вопросам океана. В настоящее время ГАОИ насчитывает 17</w:t>
      </w:r>
      <w:r w:rsidR="002B5B5A">
        <w:rPr>
          <w:lang w:val="en-US"/>
        </w:rPr>
        <w:t> </w:t>
      </w:r>
      <w:r w:rsidRPr="00EC4FEA">
        <w:rPr>
          <w:lang w:val="ru-RU"/>
        </w:rPr>
        <w:t>РУЦ/</w:t>
      </w:r>
      <w:r w:rsidR="002B5B5A">
        <w:rPr>
          <w:lang w:val="ru-RU"/>
        </w:rPr>
        <w:br/>
      </w:r>
      <w:r w:rsidRPr="00EC4FEA">
        <w:rPr>
          <w:lang w:val="ru-RU"/>
        </w:rPr>
        <w:t xml:space="preserve">СУЦ (Аргентина, Бельгия, Бразилия, Гана, Дания, Индия, Индонезия, Кения, Китай, Колумбия, Малайзия, Мозамбик, Норвегия, Португалия, США, Фиджи, Уругвай и Эквадор). Кроме того, </w:t>
      </w:r>
      <w:r w:rsidR="004B7E69" w:rsidRPr="00EC4FEA">
        <w:rPr>
          <w:lang w:val="ru-RU"/>
        </w:rPr>
        <w:t>н</w:t>
      </w:r>
      <w:r w:rsidRPr="00EC4FEA">
        <w:rPr>
          <w:lang w:val="ru-RU"/>
        </w:rPr>
        <w:t xml:space="preserve">аучно-информационный центр МОК по вредоносному цветению водорослей при </w:t>
      </w:r>
      <w:r w:rsidR="004B7E69" w:rsidRPr="00EC4FEA">
        <w:rPr>
          <w:lang w:val="ru-RU"/>
        </w:rPr>
        <w:t>у</w:t>
      </w:r>
      <w:r w:rsidRPr="00EC4FEA">
        <w:rPr>
          <w:lang w:val="ru-RU"/>
        </w:rPr>
        <w:t xml:space="preserve">ниверситете Копенгагена </w:t>
      </w:r>
      <w:r w:rsidR="004B7E69" w:rsidRPr="00EC4FEA">
        <w:rPr>
          <w:lang w:val="ru-RU"/>
        </w:rPr>
        <w:t xml:space="preserve">выполняет функцию </w:t>
      </w:r>
      <w:r w:rsidRPr="00EC4FEA">
        <w:rPr>
          <w:lang w:val="ru-RU"/>
        </w:rPr>
        <w:t>специализированн</w:t>
      </w:r>
      <w:r w:rsidR="004B7E69" w:rsidRPr="00EC4FEA">
        <w:rPr>
          <w:lang w:val="ru-RU"/>
        </w:rPr>
        <w:t>ого</w:t>
      </w:r>
      <w:r w:rsidRPr="00EC4FEA">
        <w:rPr>
          <w:lang w:val="ru-RU"/>
        </w:rPr>
        <w:t xml:space="preserve"> учебн</w:t>
      </w:r>
      <w:r w:rsidR="004B7E69" w:rsidRPr="00EC4FEA">
        <w:rPr>
          <w:lang w:val="ru-RU"/>
        </w:rPr>
        <w:t>ого</w:t>
      </w:r>
      <w:r w:rsidRPr="00EC4FEA">
        <w:rPr>
          <w:lang w:val="ru-RU"/>
        </w:rPr>
        <w:t xml:space="preserve"> центр</w:t>
      </w:r>
      <w:r w:rsidR="004B7E69" w:rsidRPr="00EC4FEA">
        <w:rPr>
          <w:lang w:val="ru-RU"/>
        </w:rPr>
        <w:t>а</w:t>
      </w:r>
      <w:r w:rsidRPr="00EC4FEA">
        <w:rPr>
          <w:lang w:val="ru-RU"/>
        </w:rPr>
        <w:t xml:space="preserve"> по ВЦВ. </w:t>
      </w:r>
      <w:r w:rsidR="004B7E69" w:rsidRPr="00EC4FEA">
        <w:rPr>
          <w:lang w:val="ru-RU"/>
        </w:rPr>
        <w:t>Размещающее ГАОИ б</w:t>
      </w:r>
      <w:r w:rsidRPr="00EC4FEA">
        <w:rPr>
          <w:lang w:val="ru-RU"/>
        </w:rPr>
        <w:t xml:space="preserve">юро МОК по проектам МООД получило обновленную сертификацию в соответствии с нормой ИСО 29990 в качестве поставщика образовательных услуг в сфере неформального образования и подготовки и было аккредитовано Бельгийским агентством по аккредитации как удовлетворяющее требованиям международного стандарта. Повышение уровня грамотности в связанных с океаном вопросах определено в качестве одного из направлений деятельности Десятилетия и включено в программу осуществления Десятилетия океана. В этих целях были установлены новые перспективные партнерства. Сеть региональных учебно-исследовательских центров </w:t>
      </w:r>
      <w:r w:rsidR="004B7E69" w:rsidRPr="00EC4FEA">
        <w:rPr>
          <w:lang w:val="ru-RU"/>
        </w:rPr>
        <w:t>п</w:t>
      </w:r>
      <w:r w:rsidRPr="00EC4FEA">
        <w:rPr>
          <w:lang w:val="ru-RU"/>
        </w:rPr>
        <w:t>одкомиссии ВЕСТПАК дополняет работу ГАОИ. Такие центры работают в Индонезии, Китае (2), Филиппинах, Вьетнаме, еще несколько центров находятся в процессе создания.</w:t>
      </w:r>
    </w:p>
    <w:p w14:paraId="72C801F5" w14:textId="0053C0CA" w:rsidR="00C253EF" w:rsidRPr="00EC4FEA" w:rsidRDefault="00C253EF" w:rsidP="00EC4FEA">
      <w:pPr>
        <w:pStyle w:val="EX4texte"/>
        <w:rPr>
          <w:lang w:val="ru-RU"/>
        </w:rPr>
      </w:pPr>
      <w:r w:rsidRPr="00EC4FEA">
        <w:rPr>
          <w:lang w:val="ru-RU"/>
        </w:rPr>
        <w:t xml:space="preserve">Региональные вспомогательные органы МОК по-прежнему играют решающую роль в осуществлении программ на местах. При поддержке НОРАД достигнут значительный прогресс в создании региональных отделений Центра океанической информации в Африке и Карибском бассейне. Еще одним приоритетным направлением деятельности является морское пространственное планирование, работа по которому ведется при поддержке Швеции. В своей деятельности по развитию потенциала ВЕСТПАК продолжала использовать давно зарекомендовавший себя подход на основе совместной разработки </w:t>
      </w:r>
      <w:r w:rsidR="004B7E69" w:rsidRPr="00EC4FEA">
        <w:rPr>
          <w:lang w:val="ru-RU"/>
        </w:rPr>
        <w:t xml:space="preserve">проектов </w:t>
      </w:r>
      <w:r w:rsidRPr="00EC4FEA">
        <w:rPr>
          <w:lang w:val="ru-RU"/>
        </w:rPr>
        <w:t>и ответственности</w:t>
      </w:r>
      <w:r w:rsidR="004B7E69" w:rsidRPr="00EC4FEA">
        <w:rPr>
          <w:lang w:val="ru-RU"/>
        </w:rPr>
        <w:t xml:space="preserve"> за них</w:t>
      </w:r>
      <w:r w:rsidRPr="00EC4FEA">
        <w:rPr>
          <w:lang w:val="ru-RU"/>
        </w:rPr>
        <w:t xml:space="preserve"> государств-членов, а также хорошо налаженной взаимопомощи и сотрудничества в регионе. ИОСИНДИО применяет подход, предусматривающий подготовку специалистов в ходе научных исследований, при поддержке двух центров ЮНЕСКО категории 2 в Индии и Исламской Республике Иран. </w:t>
      </w:r>
    </w:p>
    <w:p w14:paraId="7E00188C" w14:textId="77777777" w:rsidR="002E2D68" w:rsidRPr="00EC4FEA" w:rsidRDefault="002E2D68" w:rsidP="00AA2CD5">
      <w:pPr>
        <w:pStyle w:val="EX4subtitles"/>
        <w:spacing w:before="0" w:after="240" w:line="240" w:lineRule="auto"/>
        <w:rPr>
          <w:lang w:val="ru-RU"/>
        </w:rPr>
      </w:pPr>
      <w:r w:rsidRPr="00EC4FEA">
        <w:rPr>
          <w:lang w:val="ru-RU"/>
        </w:rPr>
        <w:t>Привлечение средств и установление партнерских отношений</w:t>
      </w:r>
    </w:p>
    <w:p w14:paraId="64BABF7F" w14:textId="4886902D" w:rsidR="002E2D68" w:rsidRPr="00EC4FEA" w:rsidRDefault="002E2D68" w:rsidP="00EC4FEA">
      <w:pPr>
        <w:pStyle w:val="EX4texte"/>
        <w:rPr>
          <w:rFonts w:eastAsia="MS Mincho"/>
          <w:lang w:val="ru-RU"/>
        </w:rPr>
      </w:pPr>
      <w:r w:rsidRPr="00EC4FEA">
        <w:rPr>
          <w:lang w:val="ru-RU"/>
        </w:rPr>
        <w:t>Обнадеживает тот факт, что финансовые взносы были предоставлены не только традиционными странами-донорами, но и фондами и научно-исследовательскими учреждениями, что свидетельствует о растущей заинтересованности различных партнеров связанны</w:t>
      </w:r>
      <w:r w:rsidR="00014521" w:rsidRPr="00EC4FEA">
        <w:rPr>
          <w:lang w:val="ru-RU"/>
        </w:rPr>
        <w:t>ми</w:t>
      </w:r>
      <w:r w:rsidRPr="00EC4FEA">
        <w:rPr>
          <w:lang w:val="ru-RU"/>
        </w:rPr>
        <w:t xml:space="preserve"> с океаном вопроса</w:t>
      </w:r>
      <w:r w:rsidR="00014521" w:rsidRPr="00EC4FEA">
        <w:rPr>
          <w:lang w:val="ru-RU"/>
        </w:rPr>
        <w:t>ми</w:t>
      </w:r>
      <w:r w:rsidRPr="00EC4FEA">
        <w:rPr>
          <w:lang w:val="ru-RU"/>
        </w:rPr>
        <w:t xml:space="preserve">. </w:t>
      </w:r>
      <w:hyperlink r:id="rId34" w:history="1">
        <w:r w:rsidRPr="00EC4FEA">
          <w:rPr>
            <w:rStyle w:val="Hyperlink"/>
            <w:lang w:val="ru-RU"/>
          </w:rPr>
          <w:t>Также были подписаны новые партнерские соглашения с Тихоокеанским сообществом</w:t>
        </w:r>
      </w:hyperlink>
      <w:r w:rsidRPr="00EC4FEA">
        <w:rPr>
          <w:lang w:val="ru-RU"/>
        </w:rPr>
        <w:t xml:space="preserve"> и Ассоциацией стран Индоокеанского кольца об активизации сотрудничества в области наук об океане и с </w:t>
      </w:r>
      <w:r w:rsidR="00014521" w:rsidRPr="00EC4FEA">
        <w:rPr>
          <w:lang w:val="ru-RU"/>
        </w:rPr>
        <w:t>А</w:t>
      </w:r>
      <w:r w:rsidRPr="00EC4FEA">
        <w:rPr>
          <w:lang w:val="ru-RU"/>
        </w:rPr>
        <w:t xml:space="preserve">ссоциацией яхт класса IMOCA о размещении океанографического оборудования в отдаленных районах и использовании международных соревнований по парусному спорту для распространения информации о важном значении наблюдений за океаном в целях получения данных и развития науки в интересах устойчивого развития. </w:t>
      </w:r>
    </w:p>
    <w:p w14:paraId="6B516917" w14:textId="77777777" w:rsidR="002E2D68" w:rsidRPr="00EC4FEA" w:rsidRDefault="002E2D68" w:rsidP="00C323BB">
      <w:pPr>
        <w:pStyle w:val="EX4subtitles"/>
        <w:keepNext/>
        <w:spacing w:before="0" w:after="240" w:line="240" w:lineRule="auto"/>
        <w:jc w:val="both"/>
        <w:rPr>
          <w:lang w:val="ru-RU"/>
        </w:rPr>
      </w:pPr>
      <w:r w:rsidRPr="00EC4FEA">
        <w:rPr>
          <w:lang w:val="ru-RU"/>
        </w:rPr>
        <w:t>Основные трудности в осуществлении программ и принятые меры по их преодолению</w:t>
      </w:r>
    </w:p>
    <w:p w14:paraId="2D397E29" w14:textId="3E461309" w:rsidR="002E2D68" w:rsidRPr="00EC4FEA" w:rsidRDefault="002E2D68" w:rsidP="002B5B5A">
      <w:pPr>
        <w:pStyle w:val="EX4texte"/>
        <w:keepNext/>
        <w:rPr>
          <w:lang w:val="ru-RU"/>
        </w:rPr>
      </w:pPr>
      <w:r w:rsidRPr="00EC4FEA">
        <w:rPr>
          <w:lang w:val="ru-RU"/>
        </w:rPr>
        <w:t>Во время перехода от планирования Десятилетия океана 2021</w:t>
      </w:r>
      <w:r w:rsidR="00E646A9" w:rsidRPr="0091506F">
        <w:rPr>
          <w:lang w:val="ru-RU"/>
        </w:rPr>
        <w:t>-</w:t>
      </w:r>
      <w:r w:rsidRPr="00EC4FEA">
        <w:rPr>
          <w:lang w:val="ru-RU"/>
        </w:rPr>
        <w:t xml:space="preserve">2030 гг. к конкретным действиям одной из главных задач в дополнение к осуществлению основных программ МОК </w:t>
      </w:r>
      <w:r w:rsidRPr="00EC4FEA">
        <w:rPr>
          <w:lang w:val="ru-RU"/>
        </w:rPr>
        <w:lastRenderedPageBreak/>
        <w:t>оставалось привлечение ресурсов на проведени</w:t>
      </w:r>
      <w:r w:rsidR="00014521" w:rsidRPr="00EC4FEA">
        <w:rPr>
          <w:lang w:val="ru-RU"/>
        </w:rPr>
        <w:t>е</w:t>
      </w:r>
      <w:r w:rsidRPr="00EC4FEA">
        <w:rPr>
          <w:lang w:val="ru-RU"/>
        </w:rPr>
        <w:t xml:space="preserve"> Десятилетия. </w:t>
      </w:r>
      <w:r w:rsidR="00014521" w:rsidRPr="00EC4FEA">
        <w:rPr>
          <w:lang w:val="ru-RU"/>
        </w:rPr>
        <w:t xml:space="preserve">В предлагаемом </w:t>
      </w:r>
      <w:r w:rsidR="007522C6">
        <w:rPr>
          <w:lang w:val="ru-RU"/>
        </w:rPr>
        <w:t xml:space="preserve">в </w:t>
      </w:r>
      <w:r w:rsidR="00014521" w:rsidRPr="00EC4FEA">
        <w:rPr>
          <w:lang w:val="ru-RU"/>
        </w:rPr>
        <w:t>проекте документа 42 С/5 базовом сценарии п</w:t>
      </w:r>
      <w:r w:rsidRPr="00EC4FEA">
        <w:rPr>
          <w:lang w:val="ru-RU"/>
        </w:rPr>
        <w:t>ризна</w:t>
      </w:r>
      <w:r w:rsidR="00014521" w:rsidRPr="00EC4FEA">
        <w:rPr>
          <w:lang w:val="ru-RU"/>
        </w:rPr>
        <w:t>ется</w:t>
      </w:r>
      <w:r w:rsidRPr="00EC4FEA">
        <w:rPr>
          <w:lang w:val="ru-RU"/>
        </w:rPr>
        <w:t xml:space="preserve">, что такая беспрецедентная глобальная инициатива требует адекватного и более устойчивого финансирования, </w:t>
      </w:r>
      <w:r w:rsidR="00014521" w:rsidRPr="00EC4FEA">
        <w:rPr>
          <w:lang w:val="ru-RU"/>
        </w:rPr>
        <w:t xml:space="preserve">и </w:t>
      </w:r>
      <w:r w:rsidRPr="00EC4FEA">
        <w:rPr>
          <w:lang w:val="ru-RU"/>
        </w:rPr>
        <w:t>предусматривает</w:t>
      </w:r>
      <w:r w:rsidR="00014521" w:rsidRPr="00EC4FEA">
        <w:rPr>
          <w:lang w:val="ru-RU"/>
        </w:rPr>
        <w:t>ся</w:t>
      </w:r>
      <w:r w:rsidRPr="00EC4FEA">
        <w:rPr>
          <w:lang w:val="ru-RU"/>
        </w:rPr>
        <w:t xml:space="preserve"> стратегическое увеличение объема ассигнований для МОК по линии обычного бюджета.</w:t>
      </w:r>
    </w:p>
    <w:p w14:paraId="11A9A677" w14:textId="77777777" w:rsidR="002E2D68" w:rsidRPr="00EC4FEA" w:rsidRDefault="002E2D68" w:rsidP="00EC4FEA">
      <w:pPr>
        <w:pStyle w:val="EX4texte"/>
        <w:rPr>
          <w:lang w:val="ru-RU"/>
        </w:rPr>
      </w:pPr>
      <w:r w:rsidRPr="00EC4FEA">
        <w:rPr>
          <w:lang w:val="ru-RU"/>
        </w:rPr>
        <w:t xml:space="preserve">Проведенная IOS оценка стратегического позиционирования МОК и соответствующий план действий, а также второй документ об устойчивом осуществлении и расширении деятельности МОК будут служить ориентирами для дальнейшей работы в этой сфере, включая насущную необходимость обеспечения более стабильного поступления основных добровольных взносов.  </w:t>
      </w:r>
    </w:p>
    <w:p w14:paraId="3463E638" w14:textId="77777777" w:rsidR="00C008B0" w:rsidRPr="00EC4FEA" w:rsidRDefault="00C008B0" w:rsidP="002E2D68">
      <w:pPr>
        <w:pStyle w:val="ListParagraph"/>
        <w:snapToGrid w:val="0"/>
        <w:spacing w:after="240"/>
        <w:ind w:left="0"/>
        <w:contextualSpacing w:val="0"/>
        <w:rPr>
          <w:rFonts w:asciiTheme="minorBidi" w:hAnsiTheme="minorBidi" w:cstheme="minorBidi"/>
          <w:szCs w:val="22"/>
          <w:lang w:val="ru-RU"/>
        </w:rPr>
      </w:pPr>
    </w:p>
    <w:sectPr w:rsidR="00C008B0" w:rsidRPr="00EC4FEA" w:rsidSect="003F7186">
      <w:headerReference w:type="even" r:id="rId35"/>
      <w:headerReference w:type="default" r:id="rId36"/>
      <w:headerReference w:type="first" r:id="rId37"/>
      <w:type w:val="oddPage"/>
      <w:pgSz w:w="11906" w:h="16838" w:code="9"/>
      <w:pgMar w:top="1418" w:right="1134" w:bottom="1134" w:left="1134" w:header="709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DC1B6" w14:textId="77777777" w:rsidR="009502FE" w:rsidRDefault="009502FE">
      <w:r>
        <w:separator/>
      </w:r>
    </w:p>
  </w:endnote>
  <w:endnote w:type="continuationSeparator" w:id="0">
    <w:p w14:paraId="245824EB" w14:textId="77777777" w:rsidR="009502FE" w:rsidRDefault="009502FE">
      <w:r>
        <w:continuationSeparator/>
      </w:r>
    </w:p>
  </w:endnote>
  <w:endnote w:type="continuationNotice" w:id="1">
    <w:p w14:paraId="106FD8A1" w14:textId="77777777" w:rsidR="009502FE" w:rsidRDefault="009502F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FF987" w14:textId="77777777" w:rsidR="00BD6952" w:rsidRDefault="00BD69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AB517" w14:textId="77777777" w:rsidR="00BD6952" w:rsidRDefault="00BD69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B3EB2" w14:textId="77777777" w:rsidR="00BD6952" w:rsidRDefault="00BD69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804CF" w14:textId="77777777" w:rsidR="009502FE" w:rsidRDefault="009502FE">
      <w:r>
        <w:separator/>
      </w:r>
    </w:p>
  </w:footnote>
  <w:footnote w:type="continuationSeparator" w:id="0">
    <w:p w14:paraId="5E0780A5" w14:textId="77777777" w:rsidR="009502FE" w:rsidRDefault="009502FE">
      <w:r>
        <w:continuationSeparator/>
      </w:r>
    </w:p>
  </w:footnote>
  <w:footnote w:type="continuationNotice" w:id="1">
    <w:p w14:paraId="6894CA76" w14:textId="77777777" w:rsidR="009502FE" w:rsidRDefault="009502F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BC354" w14:textId="77777777" w:rsidR="00441140" w:rsidRPr="00C962F0" w:rsidRDefault="00441140">
    <w:pPr>
      <w:pStyle w:val="Header"/>
      <w:rPr>
        <w:szCs w:val="22"/>
      </w:rPr>
    </w:pPr>
    <w:r w:rsidRPr="00C962F0">
      <w:rPr>
        <w:szCs w:val="22"/>
      </w:rPr>
      <w:t>ICG/CARIBE-EWS II/WD </w:t>
    </w:r>
    <w:r w:rsidRPr="00C962F0">
      <w:rPr>
        <w:szCs w:val="22"/>
        <w:highlight w:val="cyan"/>
      </w:rPr>
      <w:t>__</w:t>
    </w:r>
  </w:p>
  <w:p w14:paraId="1C313B98" w14:textId="77777777" w:rsidR="00441140" w:rsidRPr="00C962F0" w:rsidRDefault="00441140">
    <w:pPr>
      <w:pStyle w:val="Header"/>
      <w:rPr>
        <w:szCs w:val="22"/>
      </w:rPr>
    </w:pPr>
    <w:r w:rsidRPr="00C962F0">
      <w:rPr>
        <w:szCs w:val="22"/>
      </w:rPr>
      <w:t>Page </w:t>
    </w:r>
    <w:r w:rsidR="00103BF4" w:rsidRPr="00C962F0">
      <w:rPr>
        <w:rStyle w:val="PageNumber"/>
        <w:szCs w:val="22"/>
      </w:rPr>
      <w:fldChar w:fldCharType="begin"/>
    </w:r>
    <w:r w:rsidRPr="00C962F0">
      <w:rPr>
        <w:rStyle w:val="PageNumber"/>
        <w:szCs w:val="22"/>
      </w:rPr>
      <w:instrText xml:space="preserve"> PAGE </w:instrText>
    </w:r>
    <w:r w:rsidR="00103BF4" w:rsidRPr="00C962F0">
      <w:rPr>
        <w:rStyle w:val="PageNumber"/>
        <w:szCs w:val="22"/>
      </w:rPr>
      <w:fldChar w:fldCharType="separate"/>
    </w:r>
    <w:r w:rsidR="00FD53B3">
      <w:rPr>
        <w:rStyle w:val="PageNumber"/>
        <w:noProof/>
        <w:szCs w:val="22"/>
      </w:rPr>
      <w:t>2</w:t>
    </w:r>
    <w:r w:rsidR="00103BF4" w:rsidRPr="00C962F0">
      <w:rPr>
        <w:rStyle w:val="PageNumber"/>
        <w:szCs w:val="22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9D17D" w14:textId="77777777" w:rsidR="00441140" w:rsidRPr="00746B89" w:rsidRDefault="00441140" w:rsidP="00DF2FB9">
    <w:pPr>
      <w:pStyle w:val="Header"/>
      <w:tabs>
        <w:tab w:val="clear" w:pos="8306"/>
      </w:tabs>
      <w:rPr>
        <w:szCs w:val="22"/>
      </w:rPr>
    </w:pPr>
    <w:r>
      <w:rPr>
        <w:lang w:val="ru-RU"/>
      </w:rPr>
      <w:t xml:space="preserve">IOC-XXIV/2 </w:t>
    </w:r>
    <w:proofErr w:type="spellStart"/>
    <w:r>
      <w:rPr>
        <w:lang w:val="ru-RU"/>
      </w:rPr>
      <w:t>Annex</w:t>
    </w:r>
    <w:proofErr w:type="spellEnd"/>
    <w:r>
      <w:rPr>
        <w:lang w:val="ru-RU"/>
      </w:rPr>
      <w:t xml:space="preserve"> __</w:t>
    </w:r>
  </w:p>
  <w:p w14:paraId="7116888A" w14:textId="77777777" w:rsidR="00441140" w:rsidRPr="00746B89" w:rsidRDefault="00441140" w:rsidP="00DF2FB9">
    <w:pPr>
      <w:pStyle w:val="Header"/>
      <w:tabs>
        <w:tab w:val="clear" w:pos="8306"/>
      </w:tabs>
      <w:rPr>
        <w:szCs w:val="22"/>
      </w:rPr>
    </w:pPr>
    <w:r w:rsidRPr="00746B89">
      <w:rPr>
        <w:szCs w:val="22"/>
      </w:rPr>
      <w:t>Page </w:t>
    </w:r>
    <w:r w:rsidR="00103BF4" w:rsidRPr="00746B89">
      <w:rPr>
        <w:rStyle w:val="PageNumber"/>
        <w:szCs w:val="22"/>
      </w:rPr>
      <w:fldChar w:fldCharType="begin"/>
    </w:r>
    <w:r w:rsidRPr="00746B89">
      <w:rPr>
        <w:rStyle w:val="PageNumber"/>
        <w:szCs w:val="22"/>
      </w:rPr>
      <w:instrText xml:space="preserve"> PAGE </w:instrText>
    </w:r>
    <w:r w:rsidR="00103BF4" w:rsidRPr="00746B89">
      <w:rPr>
        <w:rStyle w:val="PageNumber"/>
        <w:szCs w:val="22"/>
      </w:rPr>
      <w:fldChar w:fldCharType="separate"/>
    </w:r>
    <w:r>
      <w:rPr>
        <w:rStyle w:val="PageNumber"/>
        <w:noProof/>
        <w:szCs w:val="22"/>
      </w:rPr>
      <w:t>3</w:t>
    </w:r>
    <w:r w:rsidR="00103BF4" w:rsidRPr="00746B89">
      <w:rPr>
        <w:rStyle w:val="PageNumber"/>
        <w:szCs w:val="22"/>
      </w:rPr>
      <w:fldChar w:fldCharType="end"/>
    </w:r>
  </w:p>
  <w:p w14:paraId="08811810" w14:textId="77777777" w:rsidR="00441140" w:rsidRPr="00DF2FB9" w:rsidRDefault="00441140" w:rsidP="00DF2FB9">
    <w:pPr>
      <w:pStyle w:val="Header"/>
      <w:rPr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FD7A1" w14:textId="4253774A" w:rsidR="00C12E5A" w:rsidRPr="00FD53B3" w:rsidRDefault="00EC4FEA" w:rsidP="00AA2CD5">
    <w:pPr>
      <w:pStyle w:val="Marge"/>
      <w:tabs>
        <w:tab w:val="left" w:pos="6096"/>
        <w:tab w:val="left" w:pos="7560"/>
      </w:tabs>
      <w:spacing w:after="0"/>
      <w:rPr>
        <w:rFonts w:cs="Arial"/>
        <w:b/>
        <w:szCs w:val="22"/>
        <w:lang w:val="ru-RU"/>
      </w:rPr>
    </w:pPr>
    <w:r w:rsidRPr="00EC4FEA">
      <w:rPr>
        <w:rFonts w:eastAsia="SimSun" w:cs="Arial"/>
        <w:sz w:val="24"/>
        <w:lang w:val="ru-RU" w:eastAsia="zh-CN"/>
      </w:rPr>
      <w:t>Рассылается по списку</w:t>
    </w:r>
    <w:r w:rsidR="00C12E5A">
      <w:rPr>
        <w:lang w:val="ru-RU"/>
      </w:rPr>
      <w:tab/>
    </w:r>
    <w:r w:rsidR="00C12E5A" w:rsidRPr="00034BD0">
      <w:rPr>
        <w:b/>
        <w:bCs/>
        <w:sz w:val="36"/>
        <w:szCs w:val="36"/>
        <w:lang w:val="ru-RU"/>
      </w:rPr>
      <w:t>IOC/A-32/3.5.Doc(1)</w:t>
    </w:r>
  </w:p>
  <w:p w14:paraId="736FE3B9" w14:textId="77777777" w:rsidR="00C12E5A" w:rsidRPr="00FD53B3" w:rsidRDefault="00C12E5A" w:rsidP="00AA2CD5">
    <w:pPr>
      <w:tabs>
        <w:tab w:val="left" w:pos="6096"/>
        <w:tab w:val="left" w:pos="7560"/>
      </w:tabs>
      <w:jc w:val="both"/>
      <w:rPr>
        <w:rFonts w:asciiTheme="minorBidi" w:hAnsiTheme="minorBidi"/>
        <w:lang w:val="ru-RU"/>
      </w:rPr>
    </w:pPr>
    <w:r>
      <w:rPr>
        <w:noProof/>
        <w:lang w:val="en-US"/>
      </w:rPr>
      <w:drawing>
        <wp:anchor distT="0" distB="0" distL="114300" distR="114300" simplePos="0" relativeHeight="251678720" behindDoc="0" locked="0" layoutInCell="1" allowOverlap="1" wp14:anchorId="62219419" wp14:editId="3D3B5D85">
          <wp:simplePos x="0" y="0"/>
          <wp:positionH relativeFrom="column">
            <wp:posOffset>-96875</wp:posOffset>
          </wp:positionH>
          <wp:positionV relativeFrom="paragraph">
            <wp:posOffset>101600</wp:posOffset>
          </wp:positionV>
          <wp:extent cx="1578610" cy="1047115"/>
          <wp:effectExtent l="0" t="0" r="2540" b="635"/>
          <wp:wrapSquare wrapText="bothSides"/>
          <wp:docPr id="4" name="Picture 4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8610" cy="1047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lang w:val="ru-RU"/>
      </w:rPr>
      <w:tab/>
      <w:t>Париж, 29 мая 2023 г.</w:t>
    </w:r>
  </w:p>
  <w:p w14:paraId="26801ECE" w14:textId="77777777" w:rsidR="00C12E5A" w:rsidRPr="00FD53B3" w:rsidRDefault="00C12E5A" w:rsidP="00AA2CD5">
    <w:pPr>
      <w:tabs>
        <w:tab w:val="left" w:pos="6096"/>
        <w:tab w:val="left" w:pos="7560"/>
      </w:tabs>
      <w:jc w:val="both"/>
      <w:rPr>
        <w:rFonts w:asciiTheme="minorBidi" w:hAnsiTheme="minorBidi"/>
        <w:lang w:val="ru-RU"/>
      </w:rPr>
    </w:pPr>
    <w:r>
      <w:rPr>
        <w:lang w:val="ru-RU"/>
      </w:rPr>
      <w:tab/>
      <w:t>Оригинал: английский</w:t>
    </w:r>
  </w:p>
  <w:p w14:paraId="1C2A7C36" w14:textId="77777777" w:rsidR="00C12E5A" w:rsidRPr="00FD53B3" w:rsidRDefault="00C12E5A" w:rsidP="00AA2CD5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245"/>
        <w:tab w:val="left" w:pos="5523"/>
        <w:tab w:val="left" w:pos="5670"/>
        <w:tab w:val="left" w:pos="5812"/>
        <w:tab w:val="left" w:pos="6096"/>
        <w:tab w:val="left" w:pos="7020"/>
        <w:tab w:val="left" w:pos="7088"/>
      </w:tabs>
      <w:jc w:val="both"/>
      <w:rPr>
        <w:rFonts w:asciiTheme="minorBidi" w:hAnsiTheme="minorBidi"/>
        <w:b/>
        <w:lang w:val="ru-RU"/>
      </w:rPr>
    </w:pPr>
  </w:p>
  <w:p w14:paraId="24EBE003" w14:textId="77777777" w:rsidR="00C12E5A" w:rsidRPr="00FD53B3" w:rsidRDefault="00C12E5A" w:rsidP="00C12E5A">
    <w:pPr>
      <w:tabs>
        <w:tab w:val="left" w:pos="-1440"/>
        <w:tab w:val="left" w:pos="-720"/>
        <w:tab w:val="left" w:pos="72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ind w:left="2772"/>
      <w:rPr>
        <w:rFonts w:asciiTheme="minorBidi" w:hAnsiTheme="minorBidi"/>
        <w:b/>
        <w:lang w:val="ru-RU"/>
      </w:rPr>
    </w:pPr>
  </w:p>
  <w:p w14:paraId="07FD9601" w14:textId="77777777" w:rsidR="00C12E5A" w:rsidRPr="00FD53B3" w:rsidRDefault="00C12E5A" w:rsidP="00C12E5A">
    <w:pPr>
      <w:tabs>
        <w:tab w:val="left" w:pos="-1440"/>
        <w:tab w:val="left" w:pos="-720"/>
        <w:tab w:val="left" w:pos="72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ind w:left="2772"/>
      <w:rPr>
        <w:rFonts w:asciiTheme="minorBidi" w:hAnsiTheme="minorBidi"/>
        <w:b/>
        <w:lang w:val="ru-RU"/>
      </w:rPr>
    </w:pPr>
  </w:p>
  <w:p w14:paraId="26705FB5" w14:textId="77777777" w:rsidR="00C12E5A" w:rsidRPr="00FD53B3" w:rsidRDefault="00C12E5A" w:rsidP="00C12E5A">
    <w:pPr>
      <w:tabs>
        <w:tab w:val="left" w:pos="-1440"/>
        <w:tab w:val="left" w:pos="-720"/>
        <w:tab w:val="left" w:pos="72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ind w:left="2772"/>
      <w:rPr>
        <w:rFonts w:asciiTheme="minorBidi" w:hAnsiTheme="minorBidi"/>
        <w:b/>
        <w:lang w:val="ru-RU"/>
      </w:rPr>
    </w:pPr>
  </w:p>
  <w:p w14:paraId="40147733" w14:textId="77777777" w:rsidR="00C12E5A" w:rsidRPr="00FD53B3" w:rsidRDefault="00C12E5A" w:rsidP="00C12E5A">
    <w:pPr>
      <w:tabs>
        <w:tab w:val="left" w:pos="-1440"/>
        <w:tab w:val="left" w:pos="-720"/>
        <w:tab w:val="left" w:pos="72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ind w:left="2772"/>
      <w:rPr>
        <w:rFonts w:asciiTheme="minorBidi" w:hAnsiTheme="minorBidi"/>
        <w:b/>
        <w:lang w:val="ru-RU"/>
      </w:rPr>
    </w:pPr>
  </w:p>
  <w:p w14:paraId="6C2DAE33" w14:textId="77777777" w:rsidR="00C12E5A" w:rsidRPr="00FD53B3" w:rsidRDefault="00C12E5A" w:rsidP="00C12E5A">
    <w:pPr>
      <w:tabs>
        <w:tab w:val="left" w:pos="-1440"/>
        <w:tab w:val="left" w:pos="-720"/>
        <w:tab w:val="left" w:pos="72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ind w:left="2772"/>
      <w:rPr>
        <w:rFonts w:asciiTheme="minorBidi" w:hAnsiTheme="minorBidi"/>
        <w:b/>
        <w:lang w:val="ru-RU"/>
      </w:rPr>
    </w:pPr>
  </w:p>
  <w:p w14:paraId="2F80D017" w14:textId="77777777" w:rsidR="00C12E5A" w:rsidRPr="00FD53B3" w:rsidRDefault="00C12E5A" w:rsidP="00C12E5A">
    <w:pPr>
      <w:tabs>
        <w:tab w:val="left" w:pos="-1440"/>
        <w:tab w:val="left" w:pos="-720"/>
        <w:tab w:val="left" w:pos="72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ind w:left="2772"/>
      <w:rPr>
        <w:rFonts w:asciiTheme="minorBidi" w:hAnsiTheme="minorBidi"/>
        <w:b/>
        <w:lang w:val="ru-RU"/>
      </w:rPr>
    </w:pPr>
  </w:p>
  <w:p w14:paraId="7BBBDC0B" w14:textId="77777777" w:rsidR="00C12E5A" w:rsidRPr="00FD53B3" w:rsidRDefault="00C12E5A" w:rsidP="00C12E5A">
    <w:pPr>
      <w:tabs>
        <w:tab w:val="left" w:pos="-1440"/>
        <w:tab w:val="left" w:pos="-720"/>
        <w:tab w:val="left" w:pos="72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jc w:val="center"/>
      <w:rPr>
        <w:rFonts w:asciiTheme="minorBidi" w:hAnsiTheme="minorBidi"/>
        <w:b/>
        <w:lang w:val="ru-RU"/>
      </w:rPr>
    </w:pPr>
    <w:r>
      <w:rPr>
        <w:b/>
        <w:bCs/>
        <w:lang w:val="ru-RU"/>
      </w:rPr>
      <w:t>МЕЖПРАВИТЕЛЬСТВЕННАЯ ОКЕАНОГРАФИЧЕСКАЯ КОМИССИЯ</w:t>
    </w:r>
  </w:p>
  <w:p w14:paraId="70F57C18" w14:textId="77777777" w:rsidR="00C12E5A" w:rsidRPr="00FD53B3" w:rsidRDefault="00C12E5A" w:rsidP="00C12E5A">
    <w:pPr>
      <w:tabs>
        <w:tab w:val="left" w:pos="-1440"/>
        <w:tab w:val="left" w:pos="-720"/>
        <w:tab w:val="left" w:pos="72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jc w:val="center"/>
      <w:rPr>
        <w:rFonts w:asciiTheme="minorBidi" w:hAnsiTheme="minorBidi"/>
        <w:bCs/>
        <w:lang w:val="ru-RU"/>
      </w:rPr>
    </w:pPr>
    <w:r>
      <w:rPr>
        <w:lang w:val="ru-RU"/>
      </w:rPr>
      <w:t>(ЮНЕСКО)</w:t>
    </w:r>
  </w:p>
  <w:p w14:paraId="14A6865A" w14:textId="77777777" w:rsidR="00C12E5A" w:rsidRPr="00FD53B3" w:rsidRDefault="00C12E5A" w:rsidP="00C12E5A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523"/>
        <w:tab w:val="left" w:pos="6480"/>
      </w:tabs>
      <w:jc w:val="center"/>
      <w:rPr>
        <w:rFonts w:asciiTheme="minorBidi" w:hAnsiTheme="minorBidi"/>
        <w:b/>
        <w:lang w:val="ru-RU"/>
      </w:rPr>
    </w:pPr>
  </w:p>
  <w:p w14:paraId="537CF83F" w14:textId="77777777" w:rsidR="00C12E5A" w:rsidRPr="00FD53B3" w:rsidRDefault="00C12E5A" w:rsidP="00C12E5A"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523"/>
        <w:tab w:val="left" w:pos="6480"/>
      </w:tabs>
      <w:jc w:val="center"/>
      <w:rPr>
        <w:rFonts w:asciiTheme="minorBidi" w:hAnsiTheme="minorBidi"/>
        <w:b/>
        <w:lang w:val="ru-RU"/>
      </w:rPr>
    </w:pPr>
    <w:r>
      <w:rPr>
        <w:b/>
        <w:bCs/>
        <w:lang w:val="ru-RU"/>
      </w:rPr>
      <w:t>Тридцать вторая сессия Ассамблеи</w:t>
    </w:r>
  </w:p>
  <w:p w14:paraId="7C4C62A6" w14:textId="77777777" w:rsidR="00C12E5A" w:rsidRPr="00FD53B3" w:rsidRDefault="00C12E5A" w:rsidP="00C12E5A"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523"/>
        <w:tab w:val="left" w:pos="6480"/>
      </w:tabs>
      <w:jc w:val="center"/>
      <w:rPr>
        <w:rFonts w:asciiTheme="minorBidi" w:hAnsiTheme="minorBidi"/>
        <w:lang w:val="ru-RU"/>
      </w:rPr>
    </w:pPr>
    <w:r>
      <w:rPr>
        <w:lang w:val="ru-RU"/>
      </w:rPr>
      <w:t>ЮНЕСКО, 21-30 июня 2023 г.</w:t>
    </w:r>
  </w:p>
  <w:p w14:paraId="19716B60" w14:textId="77777777" w:rsidR="00C12E5A" w:rsidRPr="00FD53B3" w:rsidRDefault="00C12E5A" w:rsidP="00C12E5A">
    <w:pPr>
      <w:tabs>
        <w:tab w:val="left" w:pos="-1440"/>
        <w:tab w:val="left" w:pos="-720"/>
        <w:tab w:val="left" w:pos="720"/>
        <w:tab w:val="left" w:pos="144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jc w:val="center"/>
      <w:rPr>
        <w:rFonts w:asciiTheme="minorBidi" w:hAnsiTheme="minorBidi"/>
        <w:bCs/>
        <w:lang w:val="ru-RU"/>
      </w:rPr>
    </w:pPr>
  </w:p>
  <w:p w14:paraId="624F5112" w14:textId="77777777" w:rsidR="00C12E5A" w:rsidRPr="00FD53B3" w:rsidRDefault="00C12E5A" w:rsidP="00C12E5A">
    <w:pPr>
      <w:jc w:val="center"/>
      <w:rPr>
        <w:rFonts w:asciiTheme="minorBidi" w:hAnsiTheme="minorBidi"/>
        <w:lang w:val="ru-RU"/>
      </w:rPr>
    </w:pPr>
  </w:p>
  <w:p w14:paraId="17E60080" w14:textId="77777777" w:rsidR="00C12E5A" w:rsidRPr="00FD53B3" w:rsidRDefault="00C12E5A" w:rsidP="00C12E5A">
    <w:pPr>
      <w:jc w:val="center"/>
      <w:rPr>
        <w:rFonts w:asciiTheme="minorBidi" w:hAnsiTheme="minorBidi"/>
        <w:lang w:val="ru-RU"/>
      </w:rPr>
    </w:pPr>
  </w:p>
  <w:p w14:paraId="6DADE39F" w14:textId="77777777" w:rsidR="000156E0" w:rsidRPr="00FD53B3" w:rsidRDefault="000156E0" w:rsidP="000156E0">
    <w:pPr>
      <w:jc w:val="center"/>
      <w:rPr>
        <w:rFonts w:cs="Arial"/>
        <w:szCs w:val="22"/>
        <w:lang w:val="ru-RU"/>
      </w:rPr>
    </w:pPr>
  </w:p>
  <w:p w14:paraId="430242A6" w14:textId="77777777" w:rsidR="000156E0" w:rsidRPr="00FD53B3" w:rsidRDefault="000156E0" w:rsidP="001370E4">
    <w:pPr>
      <w:pStyle w:val="Heading7"/>
      <w:tabs>
        <w:tab w:val="left" w:pos="6915"/>
      </w:tabs>
      <w:spacing w:line="240" w:lineRule="auto"/>
      <w:rPr>
        <w:rFonts w:cs="Arial"/>
        <w:sz w:val="24"/>
        <w:lang w:val="ru-RU"/>
      </w:rPr>
    </w:pPr>
    <w:r>
      <w:rPr>
        <w:lang w:val="ru-RU"/>
      </w:rPr>
      <w:t xml:space="preserve">Пункт </w:t>
    </w:r>
    <w:r>
      <w:rPr>
        <w:b/>
        <w:bCs/>
        <w:lang w:val="ru-RU"/>
      </w:rPr>
      <w:t>3.5</w:t>
    </w:r>
    <w:r>
      <w:rPr>
        <w:lang w:val="ru-RU"/>
      </w:rPr>
      <w:t xml:space="preserve"> предварительной повестки дня</w:t>
    </w:r>
  </w:p>
  <w:p w14:paraId="14BAD9F2" w14:textId="77777777" w:rsidR="00441140" w:rsidRPr="00FD53B3" w:rsidRDefault="00441140" w:rsidP="00DF2FB9">
    <w:pPr>
      <w:rPr>
        <w:rFonts w:cs="Arial"/>
        <w:szCs w:val="22"/>
        <w:lang w:val="ru-RU"/>
      </w:rPr>
    </w:pPr>
  </w:p>
  <w:p w14:paraId="5F47E3EA" w14:textId="1A55E5FF" w:rsidR="00441140" w:rsidRPr="00EC4FEA" w:rsidRDefault="00515584" w:rsidP="00515584">
    <w:pPr>
      <w:pStyle w:val="Docheading"/>
      <w:spacing w:after="0"/>
      <w:rPr>
        <w:color w:val="000000"/>
        <w:sz w:val="28"/>
        <w:szCs w:val="28"/>
        <w:lang w:val="ru-RU"/>
      </w:rPr>
    </w:pPr>
    <w:r w:rsidRPr="00EC4FEA">
      <w:rPr>
        <w:sz w:val="28"/>
        <w:szCs w:val="28"/>
        <w:lang w:val="ru-RU"/>
      </w:rPr>
      <w:t>Доклад о деятельности МОК в 2022-2023 гг. для 42-й сессии</w:t>
    </w:r>
    <w:r w:rsidR="00EC4FEA">
      <w:rPr>
        <w:sz w:val="28"/>
        <w:szCs w:val="28"/>
        <w:lang w:val="ru-RU"/>
      </w:rPr>
      <w:br/>
    </w:r>
    <w:r w:rsidRPr="00EC4FEA">
      <w:rPr>
        <w:sz w:val="28"/>
        <w:szCs w:val="28"/>
        <w:lang w:val="ru-RU"/>
      </w:rPr>
      <w:t>Генеральной конференции ЮНЕСКО</w:t>
    </w:r>
  </w:p>
  <w:p w14:paraId="63FF8164" w14:textId="77777777" w:rsidR="00441140" w:rsidRPr="00FD53B3" w:rsidRDefault="00441140" w:rsidP="00DF2FB9">
    <w:pPr>
      <w:pStyle w:val="Header"/>
      <w:rPr>
        <w:rFonts w:cs="Arial"/>
        <w:b/>
        <w:szCs w:val="22"/>
        <w:lang w:val="ru-RU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69235" w14:textId="77777777" w:rsidR="00441140" w:rsidRPr="006842FA" w:rsidRDefault="00242324" w:rsidP="00C12E5A">
    <w:pPr>
      <w:pStyle w:val="Header"/>
      <w:tabs>
        <w:tab w:val="clear" w:pos="8306"/>
      </w:tabs>
      <w:rPr>
        <w:rFonts w:cs="Arial"/>
        <w:sz w:val="20"/>
        <w:szCs w:val="20"/>
      </w:rPr>
    </w:pPr>
    <w:r w:rsidRPr="00242324">
      <w:rPr>
        <w:rFonts w:cs="Arial"/>
        <w:sz w:val="20"/>
        <w:szCs w:val="20"/>
      </w:rPr>
      <w:t>IOC/A-3</w:t>
    </w:r>
    <w:r w:rsidR="00CE1B68">
      <w:rPr>
        <w:rFonts w:cs="Arial"/>
        <w:sz w:val="20"/>
        <w:szCs w:val="20"/>
      </w:rPr>
      <w:t>2</w:t>
    </w:r>
    <w:r w:rsidRPr="00242324">
      <w:rPr>
        <w:rFonts w:cs="Arial"/>
        <w:sz w:val="20"/>
        <w:szCs w:val="20"/>
      </w:rPr>
      <w:t>/3.</w:t>
    </w:r>
    <w:proofErr w:type="gramStart"/>
    <w:r w:rsidR="00CE1B68">
      <w:rPr>
        <w:rFonts w:cs="Arial"/>
        <w:sz w:val="20"/>
        <w:szCs w:val="20"/>
      </w:rPr>
      <w:t>5</w:t>
    </w:r>
    <w:r w:rsidRPr="00242324">
      <w:rPr>
        <w:rFonts w:cs="Arial"/>
        <w:sz w:val="20"/>
        <w:szCs w:val="20"/>
      </w:rPr>
      <w:t>.Doc</w:t>
    </w:r>
    <w:proofErr w:type="gramEnd"/>
    <w:r w:rsidR="00C12E5A">
      <w:rPr>
        <w:rFonts w:cs="Arial"/>
        <w:sz w:val="20"/>
        <w:szCs w:val="20"/>
      </w:rPr>
      <w:t xml:space="preserve">(1) – </w:t>
    </w:r>
    <w:r w:rsidR="00441140">
      <w:rPr>
        <w:rFonts w:cs="Arial"/>
        <w:sz w:val="20"/>
        <w:szCs w:val="20"/>
      </w:rPr>
      <w:t>p</w:t>
    </w:r>
    <w:r w:rsidR="00441140" w:rsidRPr="006842FA">
      <w:rPr>
        <w:rFonts w:cs="Arial"/>
        <w:sz w:val="20"/>
        <w:szCs w:val="20"/>
      </w:rPr>
      <w:t>age </w:t>
    </w:r>
    <w:r w:rsidR="00103BF4" w:rsidRPr="006842FA">
      <w:rPr>
        <w:rStyle w:val="PageNumber"/>
        <w:rFonts w:cs="Arial"/>
        <w:sz w:val="20"/>
        <w:szCs w:val="20"/>
      </w:rPr>
      <w:fldChar w:fldCharType="begin"/>
    </w:r>
    <w:r w:rsidR="00441140" w:rsidRPr="006842FA">
      <w:rPr>
        <w:rStyle w:val="PageNumber"/>
        <w:rFonts w:cs="Arial"/>
        <w:sz w:val="20"/>
        <w:szCs w:val="20"/>
      </w:rPr>
      <w:instrText xml:space="preserve"> PAGE </w:instrText>
    </w:r>
    <w:r w:rsidR="00103BF4" w:rsidRPr="006842FA">
      <w:rPr>
        <w:rStyle w:val="PageNumber"/>
        <w:rFonts w:cs="Arial"/>
        <w:sz w:val="20"/>
        <w:szCs w:val="20"/>
      </w:rPr>
      <w:fldChar w:fldCharType="separate"/>
    </w:r>
    <w:r w:rsidR="0035045C">
      <w:rPr>
        <w:rStyle w:val="PageNumber"/>
        <w:rFonts w:cs="Arial"/>
        <w:noProof/>
        <w:sz w:val="20"/>
        <w:szCs w:val="20"/>
      </w:rPr>
      <w:t>2</w:t>
    </w:r>
    <w:r w:rsidR="00103BF4" w:rsidRPr="006842FA">
      <w:rPr>
        <w:rStyle w:val="PageNumber"/>
        <w:rFonts w:cs="Arial"/>
        <w:sz w:val="20"/>
        <w:szCs w:val="20"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1CE62" w14:textId="77777777" w:rsidR="0037249C" w:rsidRPr="006842FA" w:rsidRDefault="00EA6689" w:rsidP="00AA2CD5">
    <w:pPr>
      <w:pStyle w:val="Header"/>
      <w:tabs>
        <w:tab w:val="clear" w:pos="8306"/>
      </w:tabs>
      <w:ind w:firstLine="6804"/>
      <w:rPr>
        <w:rFonts w:cs="Arial"/>
        <w:sz w:val="20"/>
        <w:szCs w:val="20"/>
      </w:rPr>
    </w:pPr>
    <w:r w:rsidRPr="00242324">
      <w:rPr>
        <w:rFonts w:cs="Arial"/>
        <w:sz w:val="20"/>
        <w:szCs w:val="20"/>
      </w:rPr>
      <w:t>IOC/A-3</w:t>
    </w:r>
    <w:r w:rsidR="00CE1B68">
      <w:rPr>
        <w:rFonts w:cs="Arial"/>
        <w:sz w:val="20"/>
        <w:szCs w:val="20"/>
      </w:rPr>
      <w:t>2</w:t>
    </w:r>
    <w:r w:rsidRPr="00242324">
      <w:rPr>
        <w:rFonts w:cs="Arial"/>
        <w:sz w:val="20"/>
        <w:szCs w:val="20"/>
      </w:rPr>
      <w:t>/3.</w:t>
    </w:r>
    <w:proofErr w:type="gramStart"/>
    <w:r w:rsidR="00CE1B68">
      <w:rPr>
        <w:rFonts w:cs="Arial"/>
        <w:sz w:val="20"/>
        <w:szCs w:val="20"/>
      </w:rPr>
      <w:t>5</w:t>
    </w:r>
    <w:r w:rsidRPr="00242324">
      <w:rPr>
        <w:rFonts w:cs="Arial"/>
        <w:sz w:val="20"/>
        <w:szCs w:val="20"/>
      </w:rPr>
      <w:t>.Doc</w:t>
    </w:r>
    <w:proofErr w:type="gramEnd"/>
    <w:r w:rsidR="00C12E5A">
      <w:rPr>
        <w:rFonts w:cs="Arial"/>
        <w:sz w:val="20"/>
        <w:szCs w:val="20"/>
      </w:rPr>
      <w:t xml:space="preserve">(1) – </w:t>
    </w:r>
    <w:r w:rsidR="006F0C64">
      <w:rPr>
        <w:rFonts w:cs="Arial"/>
        <w:sz w:val="20"/>
        <w:szCs w:val="20"/>
      </w:rPr>
      <w:t>p</w:t>
    </w:r>
    <w:r w:rsidR="0037249C" w:rsidRPr="006842FA">
      <w:rPr>
        <w:rFonts w:cs="Arial"/>
        <w:sz w:val="20"/>
        <w:szCs w:val="20"/>
      </w:rPr>
      <w:t>age </w:t>
    </w:r>
    <w:r w:rsidR="00103BF4" w:rsidRPr="006842FA">
      <w:rPr>
        <w:rStyle w:val="PageNumber"/>
        <w:rFonts w:cs="Arial"/>
        <w:sz w:val="20"/>
        <w:szCs w:val="20"/>
      </w:rPr>
      <w:fldChar w:fldCharType="begin"/>
    </w:r>
    <w:r w:rsidR="0037249C" w:rsidRPr="006842FA">
      <w:rPr>
        <w:rStyle w:val="PageNumber"/>
        <w:rFonts w:cs="Arial"/>
        <w:sz w:val="20"/>
        <w:szCs w:val="20"/>
      </w:rPr>
      <w:instrText xml:space="preserve"> PAGE </w:instrText>
    </w:r>
    <w:r w:rsidR="00103BF4" w:rsidRPr="006842FA">
      <w:rPr>
        <w:rStyle w:val="PageNumber"/>
        <w:rFonts w:cs="Arial"/>
        <w:sz w:val="20"/>
        <w:szCs w:val="20"/>
      </w:rPr>
      <w:fldChar w:fldCharType="separate"/>
    </w:r>
    <w:r w:rsidR="0035045C">
      <w:rPr>
        <w:rStyle w:val="PageNumber"/>
        <w:rFonts w:cs="Arial"/>
        <w:noProof/>
        <w:sz w:val="20"/>
        <w:szCs w:val="20"/>
      </w:rPr>
      <w:t>5</w:t>
    </w:r>
    <w:r w:rsidR="00103BF4" w:rsidRPr="006842FA">
      <w:rPr>
        <w:rStyle w:val="PageNumber"/>
        <w:rFonts w:cs="Arial"/>
        <w:sz w:val="20"/>
        <w:szCs w:val="20"/>
      </w:rPr>
      <w:fldChar w:fldCharType="end"/>
    </w:r>
  </w:p>
  <w:p w14:paraId="0867515C" w14:textId="77777777" w:rsidR="00441140" w:rsidRPr="00424DE6" w:rsidRDefault="00441140" w:rsidP="00AA2CD5">
    <w:pPr>
      <w:pStyle w:val="Header"/>
      <w:ind w:left="8364" w:firstLine="6804"/>
      <w:rPr>
        <w:rFonts w:cs="Arial"/>
        <w:szCs w:val="2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E2627" w14:textId="3BCA07B5" w:rsidR="00307660" w:rsidRPr="006842FA" w:rsidRDefault="00242324" w:rsidP="00AA2CD5">
    <w:pPr>
      <w:pStyle w:val="Header"/>
      <w:tabs>
        <w:tab w:val="clear" w:pos="8306"/>
      </w:tabs>
      <w:ind w:right="119"/>
      <w:jc w:val="right"/>
      <w:rPr>
        <w:rFonts w:cs="Arial"/>
        <w:sz w:val="20"/>
        <w:szCs w:val="20"/>
      </w:rPr>
    </w:pPr>
    <w:r>
      <w:rPr>
        <w:lang w:val="ru-RU"/>
      </w:rPr>
      <w:t>IOC/A-32/3.5.Doc(1)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007E48FC"/>
    <w:lvl w:ilvl="0">
      <w:start w:val="1"/>
      <w:numFmt w:val="lowerRoman"/>
      <w:pStyle w:val="Listnumbered"/>
      <w:lvlText w:val="%1)"/>
      <w:lvlJc w:val="left"/>
      <w:pPr>
        <w:tabs>
          <w:tab w:val="num" w:pos="1021"/>
        </w:tabs>
        <w:ind w:left="1021" w:hanging="454"/>
      </w:pPr>
      <w:rPr>
        <w:rFonts w:hint="default"/>
      </w:rPr>
    </w:lvl>
  </w:abstractNum>
  <w:abstractNum w:abstractNumId="1" w15:restartNumberingAfterBreak="0">
    <w:nsid w:val="01D9043B"/>
    <w:multiLevelType w:val="hybridMultilevel"/>
    <w:tmpl w:val="D5547D96"/>
    <w:lvl w:ilvl="0" w:tplc="7FFA3178">
      <w:start w:val="1"/>
      <w:numFmt w:val="decimal"/>
      <w:pStyle w:val="EX4texte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263AC"/>
    <w:multiLevelType w:val="hybridMultilevel"/>
    <w:tmpl w:val="2506A2EE"/>
    <w:lvl w:ilvl="0" w:tplc="5410399A">
      <w:start w:val="1"/>
      <w:numFmt w:val="bullet"/>
      <w:pStyle w:val="ListBullet2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52973"/>
    <w:multiLevelType w:val="hybridMultilevel"/>
    <w:tmpl w:val="B5FC1906"/>
    <w:lvl w:ilvl="0" w:tplc="C362FA30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0B1C9C"/>
    <w:multiLevelType w:val="hybridMultilevel"/>
    <w:tmpl w:val="23A85EFA"/>
    <w:lvl w:ilvl="0" w:tplc="CFBCE88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157"/>
        </w:tabs>
        <w:ind w:left="115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hint="default"/>
      </w:rPr>
    </w:lvl>
  </w:abstractNum>
  <w:abstractNum w:abstractNumId="5" w15:restartNumberingAfterBreak="0">
    <w:nsid w:val="108B5D50"/>
    <w:multiLevelType w:val="hybridMultilevel"/>
    <w:tmpl w:val="72964D36"/>
    <w:lvl w:ilvl="0" w:tplc="6B565D42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A54160"/>
    <w:multiLevelType w:val="hybridMultilevel"/>
    <w:tmpl w:val="1F568C2A"/>
    <w:lvl w:ilvl="0" w:tplc="D04692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BB39E8"/>
    <w:multiLevelType w:val="hybridMultilevel"/>
    <w:tmpl w:val="62E8B2BC"/>
    <w:lvl w:ilvl="0" w:tplc="C0DC364A">
      <w:start w:val="1"/>
      <w:numFmt w:val="lowerRoman"/>
      <w:lvlText w:val="%1)"/>
      <w:lvlJc w:val="left"/>
      <w:pPr>
        <w:ind w:left="1069" w:hanging="360"/>
      </w:pPr>
      <w:rPr>
        <w:rFonts w:hint="default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84513F4"/>
    <w:multiLevelType w:val="hybridMultilevel"/>
    <w:tmpl w:val="C7FA78FE"/>
    <w:lvl w:ilvl="0" w:tplc="280A53C2">
      <w:start w:val="1"/>
      <w:numFmt w:val="decimal"/>
      <w:lvlText w:val="%1."/>
      <w:lvlJc w:val="left"/>
      <w:pPr>
        <w:ind w:left="79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18" w:hanging="360"/>
      </w:pPr>
    </w:lvl>
    <w:lvl w:ilvl="2" w:tplc="040C001B" w:tentative="1">
      <w:start w:val="1"/>
      <w:numFmt w:val="lowerRoman"/>
      <w:lvlText w:val="%3."/>
      <w:lvlJc w:val="right"/>
      <w:pPr>
        <w:ind w:left="2238" w:hanging="180"/>
      </w:pPr>
    </w:lvl>
    <w:lvl w:ilvl="3" w:tplc="040C000F" w:tentative="1">
      <w:start w:val="1"/>
      <w:numFmt w:val="decimal"/>
      <w:lvlText w:val="%4."/>
      <w:lvlJc w:val="left"/>
      <w:pPr>
        <w:ind w:left="2958" w:hanging="360"/>
      </w:pPr>
    </w:lvl>
    <w:lvl w:ilvl="4" w:tplc="040C0019" w:tentative="1">
      <w:start w:val="1"/>
      <w:numFmt w:val="lowerLetter"/>
      <w:lvlText w:val="%5."/>
      <w:lvlJc w:val="left"/>
      <w:pPr>
        <w:ind w:left="3678" w:hanging="360"/>
      </w:pPr>
    </w:lvl>
    <w:lvl w:ilvl="5" w:tplc="040C001B" w:tentative="1">
      <w:start w:val="1"/>
      <w:numFmt w:val="lowerRoman"/>
      <w:lvlText w:val="%6."/>
      <w:lvlJc w:val="right"/>
      <w:pPr>
        <w:ind w:left="4398" w:hanging="180"/>
      </w:pPr>
    </w:lvl>
    <w:lvl w:ilvl="6" w:tplc="040C000F" w:tentative="1">
      <w:start w:val="1"/>
      <w:numFmt w:val="decimal"/>
      <w:lvlText w:val="%7."/>
      <w:lvlJc w:val="left"/>
      <w:pPr>
        <w:ind w:left="5118" w:hanging="360"/>
      </w:pPr>
    </w:lvl>
    <w:lvl w:ilvl="7" w:tplc="040C0019" w:tentative="1">
      <w:start w:val="1"/>
      <w:numFmt w:val="lowerLetter"/>
      <w:lvlText w:val="%8."/>
      <w:lvlJc w:val="left"/>
      <w:pPr>
        <w:ind w:left="5838" w:hanging="360"/>
      </w:pPr>
    </w:lvl>
    <w:lvl w:ilvl="8" w:tplc="040C001B" w:tentative="1">
      <w:start w:val="1"/>
      <w:numFmt w:val="lowerRoman"/>
      <w:lvlText w:val="%9."/>
      <w:lvlJc w:val="right"/>
      <w:pPr>
        <w:ind w:left="6558" w:hanging="180"/>
      </w:pPr>
    </w:lvl>
  </w:abstractNum>
  <w:abstractNum w:abstractNumId="9" w15:restartNumberingAfterBreak="0">
    <w:nsid w:val="30CC4714"/>
    <w:multiLevelType w:val="multilevel"/>
    <w:tmpl w:val="3F98F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3B14D83"/>
    <w:multiLevelType w:val="singleLevel"/>
    <w:tmpl w:val="1E94858C"/>
    <w:lvl w:ilvl="0">
      <w:start w:val="1"/>
      <w:numFmt w:val="bullet"/>
      <w:pStyle w:val="TIRETbul1cm"/>
      <w:lvlText w:val=""/>
      <w:lvlJc w:val="left"/>
      <w:pPr>
        <w:tabs>
          <w:tab w:val="num" w:pos="644"/>
        </w:tabs>
        <w:ind w:left="284" w:firstLine="0"/>
      </w:pPr>
      <w:rPr>
        <w:rFonts w:ascii="Symbol" w:hAnsi="Symbol" w:hint="default"/>
      </w:rPr>
    </w:lvl>
  </w:abstractNum>
  <w:abstractNum w:abstractNumId="11" w15:restartNumberingAfterBreak="0">
    <w:nsid w:val="33D06747"/>
    <w:multiLevelType w:val="hybridMultilevel"/>
    <w:tmpl w:val="C4847498"/>
    <w:lvl w:ilvl="0" w:tplc="35405A98">
      <w:start w:val="5"/>
      <w:numFmt w:val="bullet"/>
      <w:lvlText w:val="-"/>
      <w:lvlJc w:val="left"/>
      <w:pPr>
        <w:ind w:left="1086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6" w:hanging="360"/>
      </w:pPr>
      <w:rPr>
        <w:rFonts w:ascii="Wingdings" w:hAnsi="Wingdings" w:hint="default"/>
      </w:rPr>
    </w:lvl>
  </w:abstractNum>
  <w:abstractNum w:abstractNumId="12" w15:restartNumberingAfterBreak="0">
    <w:nsid w:val="376F6CF5"/>
    <w:multiLevelType w:val="multilevel"/>
    <w:tmpl w:val="66C87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9ED7D0D"/>
    <w:multiLevelType w:val="multilevel"/>
    <w:tmpl w:val="5B40FBF6"/>
    <w:lvl w:ilvl="0">
      <w:start w:val="1"/>
      <w:numFmt w:val="decimal"/>
      <w:lvlText w:val="%1"/>
      <w:lvlJc w:val="left"/>
      <w:pPr>
        <w:tabs>
          <w:tab w:val="num" w:pos="720"/>
        </w:tabs>
        <w:ind w:left="0" w:firstLine="709"/>
      </w:pPr>
      <w:rPr>
        <w:b w:val="0"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A16202C"/>
    <w:multiLevelType w:val="hybridMultilevel"/>
    <w:tmpl w:val="5C465BE8"/>
    <w:lvl w:ilvl="0" w:tplc="6B842CB8">
      <w:start w:val="1"/>
      <w:numFmt w:val="upperLetter"/>
      <w:lvlText w:val="%1."/>
      <w:lvlJc w:val="left"/>
      <w:pPr>
        <w:ind w:left="644" w:hanging="360"/>
      </w:pPr>
      <w:rPr>
        <w:rFonts w:ascii="Arial" w:eastAsia="Arial Unicode MS" w:hAnsi="Arial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204C64"/>
    <w:multiLevelType w:val="hybridMultilevel"/>
    <w:tmpl w:val="56C4212A"/>
    <w:lvl w:ilvl="0" w:tplc="AB30E35C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2C768C1"/>
    <w:multiLevelType w:val="hybridMultilevel"/>
    <w:tmpl w:val="D3E809BA"/>
    <w:lvl w:ilvl="0" w:tplc="82E65492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71307C"/>
    <w:multiLevelType w:val="hybridMultilevel"/>
    <w:tmpl w:val="800A9C98"/>
    <w:lvl w:ilvl="0" w:tplc="E538536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FD1B24"/>
    <w:multiLevelType w:val="hybridMultilevel"/>
    <w:tmpl w:val="8FA8CC8A"/>
    <w:lvl w:ilvl="0" w:tplc="1BF863B4">
      <w:start w:val="1"/>
      <w:numFmt w:val="decimal"/>
      <w:lvlText w:val="%1."/>
      <w:lvlJc w:val="left"/>
      <w:pPr>
        <w:ind w:left="8100" w:hanging="360"/>
      </w:pPr>
      <w:rPr>
        <w:rFonts w:ascii="Arial" w:hAnsi="Arial" w:cs="Arial"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7110" w:hanging="360"/>
      </w:pPr>
    </w:lvl>
    <w:lvl w:ilvl="2" w:tplc="0809001B" w:tentative="1">
      <w:start w:val="1"/>
      <w:numFmt w:val="lowerRoman"/>
      <w:lvlText w:val="%3."/>
      <w:lvlJc w:val="right"/>
      <w:pPr>
        <w:ind w:left="7830" w:hanging="180"/>
      </w:pPr>
    </w:lvl>
    <w:lvl w:ilvl="3" w:tplc="0809000F" w:tentative="1">
      <w:start w:val="1"/>
      <w:numFmt w:val="decimal"/>
      <w:lvlText w:val="%4."/>
      <w:lvlJc w:val="left"/>
      <w:pPr>
        <w:ind w:left="8550" w:hanging="360"/>
      </w:pPr>
    </w:lvl>
    <w:lvl w:ilvl="4" w:tplc="08090019" w:tentative="1">
      <w:start w:val="1"/>
      <w:numFmt w:val="lowerLetter"/>
      <w:lvlText w:val="%5."/>
      <w:lvlJc w:val="left"/>
      <w:pPr>
        <w:ind w:left="9270" w:hanging="360"/>
      </w:pPr>
    </w:lvl>
    <w:lvl w:ilvl="5" w:tplc="0809001B" w:tentative="1">
      <w:start w:val="1"/>
      <w:numFmt w:val="lowerRoman"/>
      <w:lvlText w:val="%6."/>
      <w:lvlJc w:val="right"/>
      <w:pPr>
        <w:ind w:left="9990" w:hanging="180"/>
      </w:pPr>
    </w:lvl>
    <w:lvl w:ilvl="6" w:tplc="0809000F" w:tentative="1">
      <w:start w:val="1"/>
      <w:numFmt w:val="decimal"/>
      <w:lvlText w:val="%7."/>
      <w:lvlJc w:val="left"/>
      <w:pPr>
        <w:ind w:left="10710" w:hanging="360"/>
      </w:pPr>
    </w:lvl>
    <w:lvl w:ilvl="7" w:tplc="08090019" w:tentative="1">
      <w:start w:val="1"/>
      <w:numFmt w:val="lowerLetter"/>
      <w:lvlText w:val="%8."/>
      <w:lvlJc w:val="left"/>
      <w:pPr>
        <w:ind w:left="11430" w:hanging="360"/>
      </w:pPr>
    </w:lvl>
    <w:lvl w:ilvl="8" w:tplc="0809001B" w:tentative="1">
      <w:start w:val="1"/>
      <w:numFmt w:val="lowerRoman"/>
      <w:lvlText w:val="%9."/>
      <w:lvlJc w:val="right"/>
      <w:pPr>
        <w:ind w:left="12150" w:hanging="180"/>
      </w:pPr>
    </w:lvl>
  </w:abstractNum>
  <w:abstractNum w:abstractNumId="19" w15:restartNumberingAfterBreak="0">
    <w:nsid w:val="601432EB"/>
    <w:multiLevelType w:val="hybridMultilevel"/>
    <w:tmpl w:val="5F0E0364"/>
    <w:lvl w:ilvl="0" w:tplc="9574300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2F256B"/>
    <w:multiLevelType w:val="multilevel"/>
    <w:tmpl w:val="A8647BD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1" w15:restartNumberingAfterBreak="0">
    <w:nsid w:val="744B35C5"/>
    <w:multiLevelType w:val="hybridMultilevel"/>
    <w:tmpl w:val="256E4662"/>
    <w:lvl w:ilvl="0" w:tplc="1AA6A19C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A87526"/>
    <w:multiLevelType w:val="multilevel"/>
    <w:tmpl w:val="023AC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E776214"/>
    <w:multiLevelType w:val="multilevel"/>
    <w:tmpl w:val="5ECAF156"/>
    <w:lvl w:ilvl="0">
      <w:start w:val="1"/>
      <w:numFmt w:val="decimal"/>
      <w:lvlText w:val="%1."/>
      <w:lvlJc w:val="left"/>
      <w:pPr>
        <w:ind w:left="438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82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70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14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02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90" w:hanging="1584"/>
      </w:pPr>
      <w:rPr>
        <w:rFonts w:hint="default"/>
      </w:rPr>
    </w:lvl>
  </w:abstractNum>
  <w:num w:numId="1" w16cid:durableId="2102404783">
    <w:abstractNumId w:val="10"/>
  </w:num>
  <w:num w:numId="2" w16cid:durableId="722874709">
    <w:abstractNumId w:val="15"/>
  </w:num>
  <w:num w:numId="3" w16cid:durableId="1357199566">
    <w:abstractNumId w:val="0"/>
  </w:num>
  <w:num w:numId="4" w16cid:durableId="1031877180">
    <w:abstractNumId w:val="2"/>
  </w:num>
  <w:num w:numId="5" w16cid:durableId="842085627">
    <w:abstractNumId w:val="4"/>
  </w:num>
  <w:num w:numId="6" w16cid:durableId="1734429232">
    <w:abstractNumId w:val="15"/>
  </w:num>
  <w:num w:numId="7" w16cid:durableId="94788144">
    <w:abstractNumId w:val="15"/>
  </w:num>
  <w:num w:numId="8" w16cid:durableId="730352750">
    <w:abstractNumId w:val="22"/>
  </w:num>
  <w:num w:numId="9" w16cid:durableId="1449666929">
    <w:abstractNumId w:val="12"/>
  </w:num>
  <w:num w:numId="10" w16cid:durableId="379867302">
    <w:abstractNumId w:val="9"/>
  </w:num>
  <w:num w:numId="11" w16cid:durableId="940379649">
    <w:abstractNumId w:val="19"/>
  </w:num>
  <w:num w:numId="12" w16cid:durableId="708456283">
    <w:abstractNumId w:val="20"/>
  </w:num>
  <w:num w:numId="13" w16cid:durableId="417286109">
    <w:abstractNumId w:val="17"/>
  </w:num>
  <w:num w:numId="14" w16cid:durableId="1795438497">
    <w:abstractNumId w:val="14"/>
  </w:num>
  <w:num w:numId="15" w16cid:durableId="1457025869">
    <w:abstractNumId w:val="23"/>
  </w:num>
  <w:num w:numId="16" w16cid:durableId="781728471">
    <w:abstractNumId w:val="11"/>
  </w:num>
  <w:num w:numId="17" w16cid:durableId="222328299">
    <w:abstractNumId w:val="7"/>
  </w:num>
  <w:num w:numId="18" w16cid:durableId="709694714">
    <w:abstractNumId w:val="16"/>
  </w:num>
  <w:num w:numId="19" w16cid:durableId="17231405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47296602">
    <w:abstractNumId w:val="3"/>
  </w:num>
  <w:num w:numId="21" w16cid:durableId="1061251335">
    <w:abstractNumId w:val="15"/>
    <w:lvlOverride w:ilvl="0">
      <w:startOverride w:val="1"/>
    </w:lvlOverride>
  </w:num>
  <w:num w:numId="22" w16cid:durableId="1937060458">
    <w:abstractNumId w:val="15"/>
  </w:num>
  <w:num w:numId="23" w16cid:durableId="1674527929">
    <w:abstractNumId w:val="15"/>
  </w:num>
  <w:num w:numId="24" w16cid:durableId="1787429948">
    <w:abstractNumId w:val="8"/>
  </w:num>
  <w:num w:numId="25" w16cid:durableId="239608968">
    <w:abstractNumId w:val="21"/>
  </w:num>
  <w:num w:numId="26" w16cid:durableId="1983347644">
    <w:abstractNumId w:val="15"/>
  </w:num>
  <w:num w:numId="27" w16cid:durableId="539510162">
    <w:abstractNumId w:val="5"/>
  </w:num>
  <w:num w:numId="28" w16cid:durableId="804929488">
    <w:abstractNumId w:val="6"/>
  </w:num>
  <w:num w:numId="29" w16cid:durableId="665982882">
    <w:abstractNumId w:val="1"/>
  </w:num>
  <w:num w:numId="30" w16cid:durableId="1507551356">
    <w:abstractNumId w:val="1"/>
  </w:num>
  <w:num w:numId="31" w16cid:durableId="512962366">
    <w:abstractNumId w:val="1"/>
  </w:num>
  <w:num w:numId="32" w16cid:durableId="216818561">
    <w:abstractNumId w:val="1"/>
  </w:num>
  <w:num w:numId="33" w16cid:durableId="240262728">
    <w:abstractNumId w:val="1"/>
  </w:num>
  <w:num w:numId="34" w16cid:durableId="1766882749">
    <w:abstractNumId w:val="1"/>
  </w:num>
  <w:num w:numId="35" w16cid:durableId="1800952178">
    <w:abstractNumId w:val="1"/>
  </w:num>
  <w:num w:numId="36" w16cid:durableId="1180241695">
    <w:abstractNumId w:val="1"/>
  </w:num>
  <w:num w:numId="37" w16cid:durableId="1738438389">
    <w:abstractNumId w:val="1"/>
  </w:num>
  <w:num w:numId="38" w16cid:durableId="1283920926">
    <w:abstractNumId w:val="1"/>
  </w:num>
  <w:num w:numId="39" w16cid:durableId="729571821">
    <w:abstractNumId w:val="1"/>
  </w:num>
  <w:num w:numId="40" w16cid:durableId="1500192051">
    <w:abstractNumId w:val="1"/>
  </w:num>
  <w:num w:numId="41" w16cid:durableId="673259974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autoHyphenation/>
  <w:hyphenationZone w:val="425"/>
  <w:doNotHyphenateCaps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6AC"/>
    <w:rsid w:val="000021BC"/>
    <w:rsid w:val="00010BBB"/>
    <w:rsid w:val="00014521"/>
    <w:rsid w:val="000156E0"/>
    <w:rsid w:val="00020AA1"/>
    <w:rsid w:val="000278A0"/>
    <w:rsid w:val="00034BD0"/>
    <w:rsid w:val="00040227"/>
    <w:rsid w:val="000417CB"/>
    <w:rsid w:val="00062051"/>
    <w:rsid w:val="00076BD8"/>
    <w:rsid w:val="00084687"/>
    <w:rsid w:val="00085274"/>
    <w:rsid w:val="00085D6A"/>
    <w:rsid w:val="00085D85"/>
    <w:rsid w:val="000B276A"/>
    <w:rsid w:val="000B693C"/>
    <w:rsid w:val="000C2EE5"/>
    <w:rsid w:val="000C61A0"/>
    <w:rsid w:val="000C6E08"/>
    <w:rsid w:val="000D16AC"/>
    <w:rsid w:val="000D5B8F"/>
    <w:rsid w:val="000E0239"/>
    <w:rsid w:val="000E3E1A"/>
    <w:rsid w:val="000E6EE5"/>
    <w:rsid w:val="000E73F9"/>
    <w:rsid w:val="000F0254"/>
    <w:rsid w:val="00103BF4"/>
    <w:rsid w:val="00107EAB"/>
    <w:rsid w:val="001156AE"/>
    <w:rsid w:val="00123719"/>
    <w:rsid w:val="001241D7"/>
    <w:rsid w:val="0012479D"/>
    <w:rsid w:val="001370E4"/>
    <w:rsid w:val="00137BED"/>
    <w:rsid w:val="00137E97"/>
    <w:rsid w:val="001448C4"/>
    <w:rsid w:val="00152A1B"/>
    <w:rsid w:val="00155BA3"/>
    <w:rsid w:val="00163192"/>
    <w:rsid w:val="00166397"/>
    <w:rsid w:val="00167158"/>
    <w:rsid w:val="001732BA"/>
    <w:rsid w:val="001877F5"/>
    <w:rsid w:val="00196052"/>
    <w:rsid w:val="00196F31"/>
    <w:rsid w:val="001A037F"/>
    <w:rsid w:val="001A58AE"/>
    <w:rsid w:val="001A63A0"/>
    <w:rsid w:val="001B3B24"/>
    <w:rsid w:val="001C21FC"/>
    <w:rsid w:val="001C2C69"/>
    <w:rsid w:val="001C6455"/>
    <w:rsid w:val="001C7875"/>
    <w:rsid w:val="001D27FC"/>
    <w:rsid w:val="001D75DB"/>
    <w:rsid w:val="001F5E0D"/>
    <w:rsid w:val="00203217"/>
    <w:rsid w:val="00215F22"/>
    <w:rsid w:val="00217A3B"/>
    <w:rsid w:val="00217DF6"/>
    <w:rsid w:val="00220F3C"/>
    <w:rsid w:val="00223053"/>
    <w:rsid w:val="00242324"/>
    <w:rsid w:val="002579C2"/>
    <w:rsid w:val="002652F9"/>
    <w:rsid w:val="0027622C"/>
    <w:rsid w:val="002810CD"/>
    <w:rsid w:val="00285CF5"/>
    <w:rsid w:val="002A19EF"/>
    <w:rsid w:val="002B282C"/>
    <w:rsid w:val="002B5B5A"/>
    <w:rsid w:val="002B7A48"/>
    <w:rsid w:val="002C7DE3"/>
    <w:rsid w:val="002D441C"/>
    <w:rsid w:val="002D52FA"/>
    <w:rsid w:val="002E0859"/>
    <w:rsid w:val="002E09D1"/>
    <w:rsid w:val="002E2C57"/>
    <w:rsid w:val="002E2D68"/>
    <w:rsid w:val="002E6768"/>
    <w:rsid w:val="002E6D7F"/>
    <w:rsid w:val="00305778"/>
    <w:rsid w:val="00307660"/>
    <w:rsid w:val="0031161D"/>
    <w:rsid w:val="003140F1"/>
    <w:rsid w:val="003178E9"/>
    <w:rsid w:val="00317E5D"/>
    <w:rsid w:val="003257CE"/>
    <w:rsid w:val="003404ED"/>
    <w:rsid w:val="0034156B"/>
    <w:rsid w:val="00347E19"/>
    <w:rsid w:val="0035045C"/>
    <w:rsid w:val="00364C91"/>
    <w:rsid w:val="0037184C"/>
    <w:rsid w:val="0037249C"/>
    <w:rsid w:val="0038059E"/>
    <w:rsid w:val="003805F5"/>
    <w:rsid w:val="00387AE8"/>
    <w:rsid w:val="00393543"/>
    <w:rsid w:val="003A1612"/>
    <w:rsid w:val="003A561A"/>
    <w:rsid w:val="003A7860"/>
    <w:rsid w:val="003B4E36"/>
    <w:rsid w:val="003D3711"/>
    <w:rsid w:val="003F7186"/>
    <w:rsid w:val="004002D4"/>
    <w:rsid w:val="00413F17"/>
    <w:rsid w:val="00424DE6"/>
    <w:rsid w:val="0042717A"/>
    <w:rsid w:val="0043609D"/>
    <w:rsid w:val="00441140"/>
    <w:rsid w:val="00451B96"/>
    <w:rsid w:val="004529B8"/>
    <w:rsid w:val="004540C2"/>
    <w:rsid w:val="00454C74"/>
    <w:rsid w:val="00467E3F"/>
    <w:rsid w:val="004827E4"/>
    <w:rsid w:val="0048449B"/>
    <w:rsid w:val="0049221C"/>
    <w:rsid w:val="00497E20"/>
    <w:rsid w:val="004A135F"/>
    <w:rsid w:val="004A5784"/>
    <w:rsid w:val="004B38DC"/>
    <w:rsid w:val="004B4ECA"/>
    <w:rsid w:val="004B7BD6"/>
    <w:rsid w:val="004B7E69"/>
    <w:rsid w:val="004C1625"/>
    <w:rsid w:val="004D6679"/>
    <w:rsid w:val="004E0B15"/>
    <w:rsid w:val="004F397F"/>
    <w:rsid w:val="004F7D6C"/>
    <w:rsid w:val="0050245B"/>
    <w:rsid w:val="00515584"/>
    <w:rsid w:val="00525395"/>
    <w:rsid w:val="0053255C"/>
    <w:rsid w:val="00536148"/>
    <w:rsid w:val="005407B6"/>
    <w:rsid w:val="00544BF0"/>
    <w:rsid w:val="00547068"/>
    <w:rsid w:val="0058198C"/>
    <w:rsid w:val="00587137"/>
    <w:rsid w:val="005877E9"/>
    <w:rsid w:val="005B2FDF"/>
    <w:rsid w:val="005B57CA"/>
    <w:rsid w:val="005B5B97"/>
    <w:rsid w:val="005B70B4"/>
    <w:rsid w:val="005C4F4A"/>
    <w:rsid w:val="005C7A36"/>
    <w:rsid w:val="005C7D76"/>
    <w:rsid w:val="005D0ADD"/>
    <w:rsid w:val="005E1C99"/>
    <w:rsid w:val="005E316C"/>
    <w:rsid w:val="005E544C"/>
    <w:rsid w:val="005E6889"/>
    <w:rsid w:val="005F4D23"/>
    <w:rsid w:val="006110DA"/>
    <w:rsid w:val="0062678D"/>
    <w:rsid w:val="006308BD"/>
    <w:rsid w:val="00633EA5"/>
    <w:rsid w:val="00637672"/>
    <w:rsid w:val="006546AF"/>
    <w:rsid w:val="0067298D"/>
    <w:rsid w:val="00676F33"/>
    <w:rsid w:val="0068128E"/>
    <w:rsid w:val="006842FA"/>
    <w:rsid w:val="0068682C"/>
    <w:rsid w:val="00687541"/>
    <w:rsid w:val="00690A0C"/>
    <w:rsid w:val="00690FD2"/>
    <w:rsid w:val="00693199"/>
    <w:rsid w:val="00696079"/>
    <w:rsid w:val="006A761F"/>
    <w:rsid w:val="006B2FDD"/>
    <w:rsid w:val="006B4B95"/>
    <w:rsid w:val="006B51BA"/>
    <w:rsid w:val="006B59E2"/>
    <w:rsid w:val="006C18D9"/>
    <w:rsid w:val="006C1BDA"/>
    <w:rsid w:val="006C6449"/>
    <w:rsid w:val="006D1125"/>
    <w:rsid w:val="006D3998"/>
    <w:rsid w:val="006E1454"/>
    <w:rsid w:val="006E3870"/>
    <w:rsid w:val="006E692F"/>
    <w:rsid w:val="006E7073"/>
    <w:rsid w:val="006E7C43"/>
    <w:rsid w:val="006F0C64"/>
    <w:rsid w:val="006F1F38"/>
    <w:rsid w:val="006F72F9"/>
    <w:rsid w:val="00723A8F"/>
    <w:rsid w:val="00735830"/>
    <w:rsid w:val="007367B0"/>
    <w:rsid w:val="00737A18"/>
    <w:rsid w:val="00741CAA"/>
    <w:rsid w:val="00746B89"/>
    <w:rsid w:val="007471D6"/>
    <w:rsid w:val="007522C6"/>
    <w:rsid w:val="0075388B"/>
    <w:rsid w:val="00762C36"/>
    <w:rsid w:val="00785386"/>
    <w:rsid w:val="007870B1"/>
    <w:rsid w:val="0079212B"/>
    <w:rsid w:val="007C1458"/>
    <w:rsid w:val="007D3B71"/>
    <w:rsid w:val="007E4F92"/>
    <w:rsid w:val="00801754"/>
    <w:rsid w:val="008048D2"/>
    <w:rsid w:val="00806C60"/>
    <w:rsid w:val="00813CAF"/>
    <w:rsid w:val="008302D7"/>
    <w:rsid w:val="00831211"/>
    <w:rsid w:val="0084251A"/>
    <w:rsid w:val="00850CB1"/>
    <w:rsid w:val="00853565"/>
    <w:rsid w:val="00854DA0"/>
    <w:rsid w:val="00863113"/>
    <w:rsid w:val="00867FCD"/>
    <w:rsid w:val="00870CE7"/>
    <w:rsid w:val="008754BE"/>
    <w:rsid w:val="008849F0"/>
    <w:rsid w:val="0089077E"/>
    <w:rsid w:val="00891331"/>
    <w:rsid w:val="00893AD3"/>
    <w:rsid w:val="0089563B"/>
    <w:rsid w:val="008A4F60"/>
    <w:rsid w:val="008A6E5C"/>
    <w:rsid w:val="008B2DC6"/>
    <w:rsid w:val="008B384B"/>
    <w:rsid w:val="008B4705"/>
    <w:rsid w:val="008B4C73"/>
    <w:rsid w:val="008D2398"/>
    <w:rsid w:val="008E3DD1"/>
    <w:rsid w:val="008F0FBC"/>
    <w:rsid w:val="008F5B6C"/>
    <w:rsid w:val="008F6942"/>
    <w:rsid w:val="009026D3"/>
    <w:rsid w:val="00907195"/>
    <w:rsid w:val="0090730D"/>
    <w:rsid w:val="0091506F"/>
    <w:rsid w:val="00936C3F"/>
    <w:rsid w:val="00937EF7"/>
    <w:rsid w:val="0094763F"/>
    <w:rsid w:val="009502FE"/>
    <w:rsid w:val="00950A83"/>
    <w:rsid w:val="00952863"/>
    <w:rsid w:val="00961211"/>
    <w:rsid w:val="00966A0F"/>
    <w:rsid w:val="00980050"/>
    <w:rsid w:val="00980B08"/>
    <w:rsid w:val="0098763E"/>
    <w:rsid w:val="00987BBD"/>
    <w:rsid w:val="00993CA4"/>
    <w:rsid w:val="009A62A9"/>
    <w:rsid w:val="009B63AB"/>
    <w:rsid w:val="009C0A89"/>
    <w:rsid w:val="009C13EF"/>
    <w:rsid w:val="009C15B1"/>
    <w:rsid w:val="009E6A03"/>
    <w:rsid w:val="009E78BB"/>
    <w:rsid w:val="009F2FC0"/>
    <w:rsid w:val="009F7769"/>
    <w:rsid w:val="00A01A30"/>
    <w:rsid w:val="00A02F9F"/>
    <w:rsid w:val="00A11697"/>
    <w:rsid w:val="00A14093"/>
    <w:rsid w:val="00A15996"/>
    <w:rsid w:val="00A203FC"/>
    <w:rsid w:val="00A25BC8"/>
    <w:rsid w:val="00A43E9C"/>
    <w:rsid w:val="00A51715"/>
    <w:rsid w:val="00A66FC7"/>
    <w:rsid w:val="00A67718"/>
    <w:rsid w:val="00A73C74"/>
    <w:rsid w:val="00A759A6"/>
    <w:rsid w:val="00A92572"/>
    <w:rsid w:val="00A92893"/>
    <w:rsid w:val="00A931AA"/>
    <w:rsid w:val="00AA2B13"/>
    <w:rsid w:val="00AA2CD5"/>
    <w:rsid w:val="00AC66A1"/>
    <w:rsid w:val="00AC6BA4"/>
    <w:rsid w:val="00AC773C"/>
    <w:rsid w:val="00AD3D55"/>
    <w:rsid w:val="00AD494A"/>
    <w:rsid w:val="00AE329C"/>
    <w:rsid w:val="00B042BC"/>
    <w:rsid w:val="00B06427"/>
    <w:rsid w:val="00B13226"/>
    <w:rsid w:val="00B55C66"/>
    <w:rsid w:val="00B712D3"/>
    <w:rsid w:val="00B722DE"/>
    <w:rsid w:val="00B73F4F"/>
    <w:rsid w:val="00B818D2"/>
    <w:rsid w:val="00B83068"/>
    <w:rsid w:val="00B838FB"/>
    <w:rsid w:val="00BA76D9"/>
    <w:rsid w:val="00BB2A35"/>
    <w:rsid w:val="00BB5D00"/>
    <w:rsid w:val="00BC2FD9"/>
    <w:rsid w:val="00BD6603"/>
    <w:rsid w:val="00BD6952"/>
    <w:rsid w:val="00BE35BA"/>
    <w:rsid w:val="00BE4427"/>
    <w:rsid w:val="00BE68DC"/>
    <w:rsid w:val="00BF069C"/>
    <w:rsid w:val="00BF1838"/>
    <w:rsid w:val="00BF378D"/>
    <w:rsid w:val="00BF3835"/>
    <w:rsid w:val="00BF45BD"/>
    <w:rsid w:val="00BF6786"/>
    <w:rsid w:val="00BF67E7"/>
    <w:rsid w:val="00C008B0"/>
    <w:rsid w:val="00C05769"/>
    <w:rsid w:val="00C1002D"/>
    <w:rsid w:val="00C11C55"/>
    <w:rsid w:val="00C12E5A"/>
    <w:rsid w:val="00C14DD3"/>
    <w:rsid w:val="00C16294"/>
    <w:rsid w:val="00C253EF"/>
    <w:rsid w:val="00C2635E"/>
    <w:rsid w:val="00C31853"/>
    <w:rsid w:val="00C323BB"/>
    <w:rsid w:val="00C42FFB"/>
    <w:rsid w:val="00C50D64"/>
    <w:rsid w:val="00C51E62"/>
    <w:rsid w:val="00C6486C"/>
    <w:rsid w:val="00C648D3"/>
    <w:rsid w:val="00C6660D"/>
    <w:rsid w:val="00C674AF"/>
    <w:rsid w:val="00C73949"/>
    <w:rsid w:val="00C75B02"/>
    <w:rsid w:val="00C77DDE"/>
    <w:rsid w:val="00C86109"/>
    <w:rsid w:val="00C87727"/>
    <w:rsid w:val="00C962F0"/>
    <w:rsid w:val="00CB2684"/>
    <w:rsid w:val="00CC419E"/>
    <w:rsid w:val="00CC7056"/>
    <w:rsid w:val="00CD4A69"/>
    <w:rsid w:val="00CD6EF7"/>
    <w:rsid w:val="00CE1B68"/>
    <w:rsid w:val="00D013ED"/>
    <w:rsid w:val="00D0416A"/>
    <w:rsid w:val="00D06F71"/>
    <w:rsid w:val="00D166EE"/>
    <w:rsid w:val="00D2392E"/>
    <w:rsid w:val="00D265AD"/>
    <w:rsid w:val="00D27F78"/>
    <w:rsid w:val="00D36BDC"/>
    <w:rsid w:val="00D379A6"/>
    <w:rsid w:val="00D43CC7"/>
    <w:rsid w:val="00D448A1"/>
    <w:rsid w:val="00D5049E"/>
    <w:rsid w:val="00D55FEC"/>
    <w:rsid w:val="00D71125"/>
    <w:rsid w:val="00D859D0"/>
    <w:rsid w:val="00D910AB"/>
    <w:rsid w:val="00D91C09"/>
    <w:rsid w:val="00D92DD1"/>
    <w:rsid w:val="00D95CAD"/>
    <w:rsid w:val="00D96F5C"/>
    <w:rsid w:val="00DB1DFA"/>
    <w:rsid w:val="00DE35FF"/>
    <w:rsid w:val="00DE6237"/>
    <w:rsid w:val="00DF2FB9"/>
    <w:rsid w:val="00DF3AD0"/>
    <w:rsid w:val="00E22F1A"/>
    <w:rsid w:val="00E27F5E"/>
    <w:rsid w:val="00E354C3"/>
    <w:rsid w:val="00E44A08"/>
    <w:rsid w:val="00E454CD"/>
    <w:rsid w:val="00E55234"/>
    <w:rsid w:val="00E608A6"/>
    <w:rsid w:val="00E60CBC"/>
    <w:rsid w:val="00E63DEF"/>
    <w:rsid w:val="00E646A9"/>
    <w:rsid w:val="00E64936"/>
    <w:rsid w:val="00E71BD3"/>
    <w:rsid w:val="00E75CF6"/>
    <w:rsid w:val="00E825DD"/>
    <w:rsid w:val="00E86189"/>
    <w:rsid w:val="00EA168C"/>
    <w:rsid w:val="00EA6689"/>
    <w:rsid w:val="00EA6DDF"/>
    <w:rsid w:val="00EB52DB"/>
    <w:rsid w:val="00EC4FEA"/>
    <w:rsid w:val="00EC53C8"/>
    <w:rsid w:val="00EC753F"/>
    <w:rsid w:val="00EE0542"/>
    <w:rsid w:val="00EE11A0"/>
    <w:rsid w:val="00EE1502"/>
    <w:rsid w:val="00EF3957"/>
    <w:rsid w:val="00F10F21"/>
    <w:rsid w:val="00F13BAA"/>
    <w:rsid w:val="00F26226"/>
    <w:rsid w:val="00F269BB"/>
    <w:rsid w:val="00F271BF"/>
    <w:rsid w:val="00F463F2"/>
    <w:rsid w:val="00F474F9"/>
    <w:rsid w:val="00F47A40"/>
    <w:rsid w:val="00F50B8E"/>
    <w:rsid w:val="00F5447C"/>
    <w:rsid w:val="00F60A12"/>
    <w:rsid w:val="00F66E0A"/>
    <w:rsid w:val="00F7009F"/>
    <w:rsid w:val="00F70FD9"/>
    <w:rsid w:val="00F74494"/>
    <w:rsid w:val="00F8186D"/>
    <w:rsid w:val="00F8204B"/>
    <w:rsid w:val="00F82282"/>
    <w:rsid w:val="00FA7439"/>
    <w:rsid w:val="00FB3901"/>
    <w:rsid w:val="00FB4B68"/>
    <w:rsid w:val="00FB6A51"/>
    <w:rsid w:val="00FC0813"/>
    <w:rsid w:val="00FC3532"/>
    <w:rsid w:val="00FC54E1"/>
    <w:rsid w:val="00FD53B3"/>
    <w:rsid w:val="00FE0F0E"/>
    <w:rsid w:val="00FE2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F520D4C"/>
  <w15:docId w15:val="{67411184-28F2-4B96-BDD1-34AF8A50F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4DE6"/>
    <w:pPr>
      <w:tabs>
        <w:tab w:val="left" w:pos="567"/>
      </w:tabs>
      <w:snapToGrid w:val="0"/>
    </w:pPr>
    <w:rPr>
      <w:rFonts w:ascii="Arial" w:hAnsi="Arial"/>
      <w:snapToGrid w:val="0"/>
      <w:sz w:val="22"/>
      <w:szCs w:val="24"/>
      <w:lang w:val="en-GB" w:eastAsia="en-US"/>
    </w:rPr>
  </w:style>
  <w:style w:type="paragraph" w:styleId="Heading1">
    <w:name w:val="heading 1"/>
    <w:basedOn w:val="Normal"/>
    <w:next w:val="Marge"/>
    <w:qFormat/>
    <w:rsid w:val="00103BF4"/>
    <w:pPr>
      <w:keepNext/>
      <w:keepLines/>
      <w:spacing w:before="240" w:after="240"/>
      <w:jc w:val="center"/>
      <w:outlineLvl w:val="0"/>
    </w:pPr>
    <w:rPr>
      <w:b/>
      <w:bCs/>
      <w:kern w:val="28"/>
    </w:rPr>
  </w:style>
  <w:style w:type="paragraph" w:styleId="Heading2">
    <w:name w:val="heading 2"/>
    <w:basedOn w:val="Normal"/>
    <w:next w:val="Marge"/>
    <w:qFormat/>
    <w:rsid w:val="00103BF4"/>
    <w:pPr>
      <w:keepNext/>
      <w:keepLines/>
      <w:spacing w:before="480" w:after="240"/>
      <w:ind w:left="567" w:hanging="567"/>
      <w:outlineLvl w:val="1"/>
    </w:pPr>
    <w:rPr>
      <w:b/>
      <w:bCs/>
    </w:rPr>
  </w:style>
  <w:style w:type="paragraph" w:styleId="Heading3">
    <w:name w:val="heading 3"/>
    <w:basedOn w:val="Normal"/>
    <w:next w:val="Marge"/>
    <w:autoRedefine/>
    <w:qFormat/>
    <w:rsid w:val="005C7A36"/>
    <w:pPr>
      <w:keepNext/>
      <w:keepLines/>
      <w:spacing w:after="240"/>
      <w:outlineLvl w:val="2"/>
    </w:pPr>
    <w:rPr>
      <w:rFonts w:eastAsia="Arial Unicode MS"/>
      <w:b/>
      <w:bCs/>
      <w:szCs w:val="22"/>
    </w:rPr>
  </w:style>
  <w:style w:type="paragraph" w:styleId="Heading4">
    <w:name w:val="heading 4"/>
    <w:basedOn w:val="Normal"/>
    <w:next w:val="Marge"/>
    <w:qFormat/>
    <w:rsid w:val="00103BF4"/>
    <w:pPr>
      <w:keepNext/>
      <w:keepLines/>
      <w:spacing w:after="240"/>
      <w:outlineLvl w:val="3"/>
    </w:pPr>
    <w:rPr>
      <w:b/>
      <w:bCs/>
    </w:rPr>
  </w:style>
  <w:style w:type="paragraph" w:styleId="Heading5">
    <w:name w:val="heading 5"/>
    <w:basedOn w:val="Normal"/>
    <w:next w:val="Marge"/>
    <w:qFormat/>
    <w:rsid w:val="00103BF4"/>
    <w:pPr>
      <w:keepNext/>
      <w:keepLines/>
      <w:tabs>
        <w:tab w:val="clear" w:pos="567"/>
        <w:tab w:val="left" w:pos="1134"/>
      </w:tabs>
      <w:spacing w:after="240"/>
      <w:ind w:left="1134" w:hanging="567"/>
      <w:outlineLvl w:val="4"/>
    </w:pPr>
    <w:rPr>
      <w:b/>
      <w:bCs/>
    </w:rPr>
  </w:style>
  <w:style w:type="paragraph" w:styleId="Heading6">
    <w:name w:val="heading 6"/>
    <w:basedOn w:val="Normal"/>
    <w:next w:val="Marge"/>
    <w:qFormat/>
    <w:rsid w:val="00103BF4"/>
    <w:pPr>
      <w:keepNext/>
      <w:keepLines/>
      <w:tabs>
        <w:tab w:val="clear" w:pos="567"/>
        <w:tab w:val="left" w:pos="1134"/>
      </w:tabs>
      <w:spacing w:after="240"/>
      <w:ind w:left="567"/>
      <w:outlineLvl w:val="5"/>
    </w:pPr>
    <w:rPr>
      <w:b/>
      <w:iCs/>
      <w:szCs w:val="22"/>
    </w:rPr>
  </w:style>
  <w:style w:type="paragraph" w:styleId="Heading7">
    <w:name w:val="heading 7"/>
    <w:basedOn w:val="Normal"/>
    <w:next w:val="Normal"/>
    <w:qFormat/>
    <w:rsid w:val="00103BF4"/>
    <w:pPr>
      <w:keepNext/>
      <w:spacing w:line="360" w:lineRule="atLeast"/>
      <w:outlineLvl w:val="6"/>
    </w:pPr>
    <w:rPr>
      <w:u w:val="single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2E0859"/>
    <w:pPr>
      <w:spacing w:before="240" w:after="60"/>
      <w:outlineLvl w:val="8"/>
    </w:pPr>
    <w:rPr>
      <w:rFonts w:eastAsia="SimSun" w:cs="Arial"/>
      <w:b/>
      <w:bCs/>
      <w:i/>
      <w:iCs/>
      <w:sz w:val="18"/>
      <w:szCs w:val="18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rge">
    <w:name w:val="Marge"/>
    <w:basedOn w:val="Par"/>
    <w:link w:val="MargeChar"/>
    <w:uiPriority w:val="99"/>
    <w:rsid w:val="00103BF4"/>
    <w:pPr>
      <w:ind w:firstLine="0"/>
    </w:pPr>
  </w:style>
  <w:style w:type="paragraph" w:customStyle="1" w:styleId="Par">
    <w:name w:val="Par"/>
    <w:basedOn w:val="Normal"/>
    <w:link w:val="ParChar"/>
    <w:rsid w:val="00103BF4"/>
    <w:pPr>
      <w:spacing w:after="240"/>
      <w:ind w:firstLine="567"/>
      <w:jc w:val="both"/>
    </w:pPr>
  </w:style>
  <w:style w:type="paragraph" w:customStyle="1" w:styleId="a">
    <w:name w:val="(a)"/>
    <w:basedOn w:val="Normal"/>
    <w:rsid w:val="00103BF4"/>
    <w:pPr>
      <w:tabs>
        <w:tab w:val="left" w:pos="-737"/>
      </w:tabs>
      <w:spacing w:after="240"/>
      <w:ind w:left="567" w:hanging="567"/>
      <w:jc w:val="both"/>
    </w:pPr>
  </w:style>
  <w:style w:type="paragraph" w:customStyle="1" w:styleId="b">
    <w:name w:val="(b)"/>
    <w:basedOn w:val="a"/>
    <w:rsid w:val="00103BF4"/>
    <w:pPr>
      <w:tabs>
        <w:tab w:val="clear" w:pos="567"/>
        <w:tab w:val="left" w:pos="1134"/>
      </w:tabs>
      <w:ind w:left="1134"/>
    </w:pPr>
  </w:style>
  <w:style w:type="paragraph" w:customStyle="1" w:styleId="c">
    <w:name w:val="(c)"/>
    <w:basedOn w:val="Normal"/>
    <w:rsid w:val="00103BF4"/>
    <w:pPr>
      <w:tabs>
        <w:tab w:val="clear" w:pos="567"/>
        <w:tab w:val="left" w:pos="1701"/>
      </w:tabs>
      <w:spacing w:after="240"/>
      <w:ind w:left="1701" w:hanging="567"/>
      <w:jc w:val="both"/>
    </w:pPr>
  </w:style>
  <w:style w:type="paragraph" w:customStyle="1" w:styleId="alina">
    <w:name w:val="alinéa"/>
    <w:basedOn w:val="Normal"/>
    <w:rsid w:val="00103BF4"/>
    <w:pPr>
      <w:snapToGrid/>
      <w:spacing w:after="240"/>
      <w:ind w:left="567"/>
      <w:jc w:val="both"/>
    </w:pPr>
    <w:rPr>
      <w:snapToGrid/>
    </w:rPr>
  </w:style>
  <w:style w:type="character" w:styleId="FootnoteReference">
    <w:name w:val="footnote reference"/>
    <w:aliases w:val="16 Point,Superscript 6 Point,BVI fnr,nota pié di pagina,ftref,Footnote Refernece,Footnote Reference Number,Footnotes refss,Footnote Reference1, BVI fnr,FO,footnote ref,(NECG) Footnote Reference,Ref,de nota al pie,Footnote,note bp"/>
    <w:link w:val="CarattereCharCarattereCarattereCharCarattereCharCarattereCharCharCharCharChar"/>
    <w:qFormat/>
    <w:rsid w:val="00103BF4"/>
    <w:rPr>
      <w:vertAlign w:val="superscript"/>
    </w:rPr>
  </w:style>
  <w:style w:type="paragraph" w:styleId="Header">
    <w:name w:val="header"/>
    <w:basedOn w:val="Normal"/>
    <w:rsid w:val="00103BF4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link w:val="FootnoteTextChar"/>
    <w:uiPriority w:val="99"/>
    <w:rsid w:val="00103BF4"/>
    <w:pPr>
      <w:ind w:left="567" w:hanging="567"/>
    </w:pPr>
    <w:rPr>
      <w:sz w:val="20"/>
      <w:szCs w:val="20"/>
    </w:rPr>
  </w:style>
  <w:style w:type="paragraph" w:styleId="Footer">
    <w:name w:val="footer"/>
    <w:basedOn w:val="Normal"/>
    <w:rsid w:val="00103BF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103BF4"/>
  </w:style>
  <w:style w:type="paragraph" w:customStyle="1" w:styleId="TIRETbul1cm">
    <w:name w:val="TIRET bul 1cm"/>
    <w:basedOn w:val="Normal"/>
    <w:rsid w:val="00103BF4"/>
    <w:pPr>
      <w:numPr>
        <w:numId w:val="1"/>
      </w:numPr>
      <w:tabs>
        <w:tab w:val="clear" w:pos="567"/>
        <w:tab w:val="clear" w:pos="644"/>
        <w:tab w:val="num" w:pos="851"/>
      </w:tabs>
      <w:adjustRightInd w:val="0"/>
      <w:spacing w:after="240"/>
      <w:ind w:left="851" w:hanging="284"/>
      <w:jc w:val="both"/>
    </w:pPr>
  </w:style>
  <w:style w:type="paragraph" w:customStyle="1" w:styleId="Serre">
    <w:name w:val="Serre"/>
    <w:basedOn w:val="Normal"/>
    <w:rsid w:val="00103BF4"/>
    <w:pPr>
      <w:tabs>
        <w:tab w:val="clear" w:pos="567"/>
      </w:tabs>
      <w:suppressAutoHyphens/>
      <w:snapToGrid/>
      <w:jc w:val="both"/>
      <w:outlineLvl w:val="2"/>
    </w:pPr>
    <w:rPr>
      <w:snapToGrid/>
      <w:szCs w:val="20"/>
      <w:lang w:eastAsia="fr-FR"/>
    </w:rPr>
  </w:style>
  <w:style w:type="paragraph" w:customStyle="1" w:styleId="COI">
    <w:name w:val="COI"/>
    <w:basedOn w:val="Marge"/>
    <w:link w:val="COIChar"/>
    <w:autoRedefine/>
    <w:rsid w:val="0037249C"/>
    <w:pPr>
      <w:tabs>
        <w:tab w:val="clear" w:pos="567"/>
        <w:tab w:val="left" w:pos="709"/>
      </w:tabs>
    </w:pPr>
    <w:rPr>
      <w:rFonts w:eastAsia="Arial Unicode MS" w:cs="Arial"/>
      <w:szCs w:val="22"/>
      <w:u w:val="single"/>
    </w:rPr>
  </w:style>
  <w:style w:type="paragraph" w:styleId="BlockText">
    <w:name w:val="Block Text"/>
    <w:basedOn w:val="Normal"/>
    <w:rsid w:val="00103BF4"/>
    <w:pPr>
      <w:tabs>
        <w:tab w:val="clear" w:pos="567"/>
      </w:tabs>
      <w:snapToGrid/>
      <w:ind w:left="360" w:right="540"/>
      <w:jc w:val="both"/>
    </w:pPr>
    <w:rPr>
      <w:i/>
      <w:iCs/>
      <w:snapToGrid/>
      <w:lang w:val="en-US"/>
    </w:rPr>
  </w:style>
  <w:style w:type="paragraph" w:styleId="BodyText2">
    <w:name w:val="Body Text 2"/>
    <w:basedOn w:val="Normal"/>
    <w:rsid w:val="00103BF4"/>
    <w:pPr>
      <w:tabs>
        <w:tab w:val="clear" w:pos="567"/>
      </w:tabs>
      <w:snapToGrid/>
      <w:spacing w:before="100" w:beforeAutospacing="1" w:after="100" w:afterAutospacing="1" w:line="360" w:lineRule="auto"/>
    </w:pPr>
    <w:rPr>
      <w:rFonts w:eastAsia="MS Mincho" w:cs="Arial"/>
      <w:snapToGrid/>
      <w:color w:val="FF0000"/>
      <w:lang w:val="en-US" w:eastAsia="ja-JP"/>
    </w:rPr>
  </w:style>
  <w:style w:type="paragraph" w:styleId="BodyTextIndent">
    <w:name w:val="Body Text Indent"/>
    <w:aliases w:val="Quotation"/>
    <w:basedOn w:val="Normal"/>
    <w:rsid w:val="008D2398"/>
    <w:pPr>
      <w:tabs>
        <w:tab w:val="clear" w:pos="567"/>
      </w:tabs>
      <w:snapToGrid/>
      <w:spacing w:before="120" w:after="100" w:afterAutospacing="1"/>
      <w:ind w:left="1134" w:right="1134"/>
      <w:jc w:val="both"/>
    </w:pPr>
    <w:rPr>
      <w:i/>
      <w:snapToGrid/>
    </w:rPr>
  </w:style>
  <w:style w:type="paragraph" w:customStyle="1" w:styleId="Docheading">
    <w:name w:val="Doc. heading"/>
    <w:basedOn w:val="Header"/>
    <w:rsid w:val="009C15B1"/>
    <w:pPr>
      <w:spacing w:after="480"/>
      <w:jc w:val="center"/>
    </w:pPr>
    <w:rPr>
      <w:rFonts w:cs="Arial"/>
      <w:b/>
      <w:bCs/>
      <w:sz w:val="24"/>
    </w:rPr>
  </w:style>
  <w:style w:type="paragraph" w:styleId="BodyTextFirstIndent2">
    <w:name w:val="Body Text First Indent 2"/>
    <w:basedOn w:val="BodyTextIndent"/>
    <w:rsid w:val="008D2398"/>
    <w:pPr>
      <w:tabs>
        <w:tab w:val="left" w:pos="567"/>
      </w:tabs>
      <w:snapToGrid w:val="0"/>
      <w:spacing w:after="120"/>
      <w:ind w:left="283" w:firstLine="210"/>
      <w:jc w:val="left"/>
    </w:pPr>
    <w:rPr>
      <w:snapToGrid w:val="0"/>
    </w:rPr>
  </w:style>
  <w:style w:type="paragraph" w:customStyle="1" w:styleId="Listnumbered">
    <w:name w:val="List numbered"/>
    <w:basedOn w:val="ListBullet2"/>
    <w:autoRedefine/>
    <w:rsid w:val="00D013ED"/>
    <w:pPr>
      <w:numPr>
        <w:numId w:val="3"/>
      </w:numPr>
      <w:jc w:val="both"/>
    </w:pPr>
  </w:style>
  <w:style w:type="paragraph" w:customStyle="1" w:styleId="Style1">
    <w:name w:val="Style1"/>
    <w:basedOn w:val="Listnumbered"/>
    <w:autoRedefine/>
    <w:rsid w:val="006B4B95"/>
  </w:style>
  <w:style w:type="character" w:customStyle="1" w:styleId="ParChar">
    <w:name w:val="Par Char"/>
    <w:link w:val="Par"/>
    <w:rsid w:val="00690FD2"/>
    <w:rPr>
      <w:rFonts w:ascii="Arial" w:hAnsi="Arial"/>
      <w:snapToGrid w:val="0"/>
      <w:sz w:val="22"/>
      <w:szCs w:val="24"/>
      <w:lang w:val="en-GB" w:eastAsia="en-US" w:bidi="ar-SA"/>
    </w:rPr>
  </w:style>
  <w:style w:type="paragraph" w:styleId="ListBullet2">
    <w:name w:val="List Bullet 2"/>
    <w:basedOn w:val="Normal"/>
    <w:rsid w:val="006B4B95"/>
    <w:pPr>
      <w:numPr>
        <w:numId w:val="4"/>
      </w:numPr>
      <w:spacing w:after="240"/>
    </w:pPr>
  </w:style>
  <w:style w:type="character" w:customStyle="1" w:styleId="MargeChar">
    <w:name w:val="Marge Char"/>
    <w:basedOn w:val="ParChar"/>
    <w:link w:val="Marge"/>
    <w:uiPriority w:val="99"/>
    <w:rsid w:val="00690FD2"/>
    <w:rPr>
      <w:rFonts w:ascii="Arial" w:hAnsi="Arial"/>
      <w:snapToGrid w:val="0"/>
      <w:sz w:val="22"/>
      <w:szCs w:val="24"/>
      <w:lang w:val="en-GB" w:eastAsia="en-US" w:bidi="ar-SA"/>
    </w:rPr>
  </w:style>
  <w:style w:type="character" w:customStyle="1" w:styleId="COIChar">
    <w:name w:val="COI Char"/>
    <w:link w:val="COI"/>
    <w:rsid w:val="0037249C"/>
    <w:rPr>
      <w:rFonts w:ascii="Arial" w:eastAsia="Arial Unicode MS" w:hAnsi="Arial" w:cs="Arial"/>
      <w:snapToGrid w:val="0"/>
      <w:sz w:val="22"/>
      <w:szCs w:val="22"/>
      <w:u w:val="single"/>
      <w:lang w:val="en-GB" w:eastAsia="en-US"/>
    </w:rPr>
  </w:style>
  <w:style w:type="character" w:customStyle="1" w:styleId="Heading9Char">
    <w:name w:val="Heading 9 Char"/>
    <w:link w:val="Heading9"/>
    <w:semiHidden/>
    <w:locked/>
    <w:rsid w:val="002E0859"/>
    <w:rPr>
      <w:rFonts w:ascii="Arial" w:eastAsia="SimSun" w:hAnsi="Arial" w:cs="Arial"/>
      <w:b/>
      <w:bCs/>
      <w:i/>
      <w:iCs/>
      <w:snapToGrid w:val="0"/>
      <w:sz w:val="18"/>
      <w:szCs w:val="18"/>
      <w:u w:val="single"/>
      <w:lang w:val="en-GB" w:eastAsia="zh-CN" w:bidi="ar-SA"/>
    </w:rPr>
  </w:style>
  <w:style w:type="character" w:customStyle="1" w:styleId="Titre9Car1">
    <w:name w:val="Titre 9 Car1"/>
    <w:semiHidden/>
    <w:rsid w:val="002E0859"/>
    <w:rPr>
      <w:rFonts w:ascii="Cambria" w:eastAsia="Times New Roman" w:hAnsi="Cambria" w:cs="Times New Roman"/>
      <w:snapToGrid w:val="0"/>
      <w:sz w:val="22"/>
      <w:szCs w:val="22"/>
      <w:lang w:val="en-GB" w:eastAsia="en-US"/>
    </w:rPr>
  </w:style>
  <w:style w:type="character" w:styleId="Hyperlink">
    <w:name w:val="Hyperlink"/>
    <w:basedOn w:val="DefaultParagraphFont"/>
    <w:rsid w:val="00C2635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06C60"/>
    <w:pPr>
      <w:tabs>
        <w:tab w:val="clear" w:pos="567"/>
      </w:tabs>
      <w:snapToGrid/>
      <w:spacing w:before="100" w:beforeAutospacing="1" w:after="100" w:afterAutospacing="1"/>
    </w:pPr>
    <w:rPr>
      <w:rFonts w:ascii="Times New Roman" w:hAnsi="Times New Roman"/>
      <w:snapToGrid/>
      <w:sz w:val="24"/>
      <w:lang w:val="fr-FR" w:eastAsia="fr-FR"/>
    </w:rPr>
  </w:style>
  <w:style w:type="character" w:styleId="Emphasis">
    <w:name w:val="Emphasis"/>
    <w:basedOn w:val="DefaultParagraphFont"/>
    <w:uiPriority w:val="20"/>
    <w:qFormat/>
    <w:rsid w:val="00D95CAD"/>
    <w:rPr>
      <w:i/>
      <w:iCs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F2FC0"/>
    <w:rPr>
      <w:rFonts w:ascii="Arial" w:hAnsi="Arial"/>
      <w:snapToGrid w:val="0"/>
      <w:lang w:val="en-GB" w:eastAsia="en-US"/>
    </w:rPr>
  </w:style>
  <w:style w:type="paragraph" w:styleId="CommentText">
    <w:name w:val="annotation text"/>
    <w:basedOn w:val="Normal"/>
    <w:link w:val="CommentTextChar"/>
    <w:rsid w:val="009F2FC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F2FC0"/>
    <w:rPr>
      <w:rFonts w:ascii="Arial" w:hAnsi="Arial"/>
      <w:snapToGrid w:val="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9F2FC0"/>
    <w:pPr>
      <w:tabs>
        <w:tab w:val="clear" w:pos="567"/>
        <w:tab w:val="left" w:pos="709"/>
      </w:tabs>
    </w:pPr>
    <w:rPr>
      <w:rFonts w:ascii="Times New Roman" w:eastAsia="SimSun" w:hAnsi="Times New Roman"/>
      <w:b/>
      <w:bCs/>
      <w:lang w:val="fr-FR" w:eastAsia="zh-CN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9F2FC0"/>
    <w:rPr>
      <w:rFonts w:ascii="Arial" w:eastAsia="SimSun" w:hAnsi="Arial"/>
      <w:b/>
      <w:bCs/>
      <w:snapToGrid w:val="0"/>
      <w:lang w:val="en-GB" w:eastAsia="zh-CN"/>
    </w:rPr>
  </w:style>
  <w:style w:type="paragraph" w:styleId="BalloonText">
    <w:name w:val="Balloon Text"/>
    <w:basedOn w:val="Normal"/>
    <w:link w:val="BalloonTextChar"/>
    <w:rsid w:val="00E75C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75CF6"/>
    <w:rPr>
      <w:rFonts w:ascii="Tahoma" w:hAnsi="Tahoma" w:cs="Tahoma"/>
      <w:snapToGrid w:val="0"/>
      <w:sz w:val="16"/>
      <w:szCs w:val="16"/>
      <w:lang w:val="en-GB" w:eastAsia="en-US"/>
    </w:rPr>
  </w:style>
  <w:style w:type="paragraph" w:styleId="ListParagraph">
    <w:name w:val="List Paragraph"/>
    <w:aliases w:val="ADB List Paragraph,Dot pt,List Paragraph Char Char Char,Indicator Text,List Paragraph1,Numbered Para 1,List Paragraph12,Bullet Points,MAIN CONTENT,Bullet 1,Colorful List - Accent 11,Light Grid - Accent 31,References,Indent Paragraph"/>
    <w:basedOn w:val="Normal"/>
    <w:link w:val="ListParagraphChar"/>
    <w:uiPriority w:val="34"/>
    <w:qFormat/>
    <w:rsid w:val="00BE35BA"/>
    <w:pPr>
      <w:tabs>
        <w:tab w:val="clear" w:pos="567"/>
        <w:tab w:val="left" w:pos="709"/>
      </w:tabs>
      <w:snapToGrid/>
      <w:ind w:left="720"/>
      <w:contextualSpacing/>
      <w:jc w:val="both"/>
    </w:pPr>
    <w:rPr>
      <w:rFonts w:ascii="Times New Roman" w:hAnsi="Times New Roman"/>
      <w:snapToGrid/>
      <w:sz w:val="24"/>
      <w:szCs w:val="20"/>
    </w:rPr>
  </w:style>
  <w:style w:type="character" w:styleId="FollowedHyperlink">
    <w:name w:val="FollowedHyperlink"/>
    <w:basedOn w:val="DefaultParagraphFont"/>
    <w:semiHidden/>
    <w:unhideWhenUsed/>
    <w:rsid w:val="0089563B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6E1454"/>
    <w:rPr>
      <w:sz w:val="16"/>
      <w:szCs w:val="16"/>
    </w:rPr>
  </w:style>
  <w:style w:type="paragraph" w:styleId="Revision">
    <w:name w:val="Revision"/>
    <w:hidden/>
    <w:uiPriority w:val="99"/>
    <w:semiHidden/>
    <w:rsid w:val="006E1454"/>
    <w:rPr>
      <w:rFonts w:ascii="Arial" w:hAnsi="Arial"/>
      <w:snapToGrid w:val="0"/>
      <w:sz w:val="22"/>
      <w:szCs w:val="24"/>
      <w:lang w:val="en-GB" w:eastAsia="en-US"/>
    </w:rPr>
  </w:style>
  <w:style w:type="paragraph" w:customStyle="1" w:styleId="CarattereCharCarattereCarattereCharCarattereCharCarattereCharCharCharCharChar">
    <w:name w:val="Carattere Char Carattere Carattere Char Carattere Char Carattere Char Char Char Char Char"/>
    <w:aliases w:val="Footnote Reference Char Char Char Char Char Char Char Char Char Char Char Char Char Char Char Char Char,footnote number Char Char"/>
    <w:basedOn w:val="Normal"/>
    <w:link w:val="FootnoteReference"/>
    <w:rsid w:val="00C008B0"/>
    <w:pPr>
      <w:tabs>
        <w:tab w:val="clear" w:pos="567"/>
      </w:tabs>
      <w:snapToGrid/>
      <w:spacing w:before="120" w:after="160" w:line="240" w:lineRule="exact"/>
    </w:pPr>
    <w:rPr>
      <w:rFonts w:ascii="Times New Roman" w:hAnsi="Times New Roman"/>
      <w:snapToGrid/>
      <w:sz w:val="20"/>
      <w:szCs w:val="20"/>
      <w:vertAlign w:val="superscript"/>
      <w:lang w:val="fr-FR" w:eastAsia="fr-FR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42324"/>
    <w:rPr>
      <w:color w:val="605E5C"/>
      <w:shd w:val="clear" w:color="auto" w:fill="E1DFDD"/>
    </w:rPr>
  </w:style>
  <w:style w:type="paragraph" w:customStyle="1" w:styleId="EX4subtitles">
    <w:name w:val="EX4 sub titles"/>
    <w:basedOn w:val="Normal"/>
    <w:link w:val="EX4subtitlesChar"/>
    <w:qFormat/>
    <w:rsid w:val="002E2D68"/>
    <w:pPr>
      <w:tabs>
        <w:tab w:val="clear" w:pos="567"/>
      </w:tabs>
      <w:autoSpaceDE w:val="0"/>
      <w:autoSpaceDN w:val="0"/>
      <w:adjustRightInd w:val="0"/>
      <w:snapToGrid/>
      <w:spacing w:before="240" w:after="160" w:line="276" w:lineRule="auto"/>
    </w:pPr>
    <w:rPr>
      <w:rFonts w:asciiTheme="minorBidi" w:eastAsiaTheme="minorEastAsia" w:hAnsiTheme="minorBidi" w:cstheme="minorBidi"/>
      <w:b/>
      <w:bCs/>
      <w:snapToGrid/>
      <w:color w:val="000000"/>
      <w:szCs w:val="22"/>
      <w:lang w:val="en-US" w:eastAsia="zh-CN"/>
    </w:rPr>
  </w:style>
  <w:style w:type="character" w:customStyle="1" w:styleId="EX4subtitlesChar">
    <w:name w:val="EX4 sub titles Char"/>
    <w:basedOn w:val="DefaultParagraphFont"/>
    <w:link w:val="EX4subtitles"/>
    <w:rsid w:val="002E2D68"/>
    <w:rPr>
      <w:rFonts w:asciiTheme="minorBidi" w:eastAsiaTheme="minorEastAsia" w:hAnsiTheme="minorBidi" w:cstheme="minorBidi"/>
      <w:b/>
      <w:bCs/>
      <w:color w:val="000000"/>
      <w:sz w:val="22"/>
      <w:szCs w:val="22"/>
      <w:lang w:val="en-US" w:eastAsia="zh-CN"/>
    </w:rPr>
  </w:style>
  <w:style w:type="paragraph" w:customStyle="1" w:styleId="EX4texte">
    <w:name w:val="EX4 texte"/>
    <w:basedOn w:val="Normal"/>
    <w:link w:val="EX4texteChar"/>
    <w:autoRedefine/>
    <w:qFormat/>
    <w:rsid w:val="00EC4FEA"/>
    <w:pPr>
      <w:numPr>
        <w:numId w:val="29"/>
      </w:numPr>
      <w:spacing w:after="240"/>
      <w:ind w:left="0" w:firstLine="0"/>
      <w:jc w:val="both"/>
    </w:pPr>
    <w:rPr>
      <w:rFonts w:asciiTheme="minorBidi" w:eastAsia="SimSun" w:hAnsiTheme="minorBidi" w:cstheme="minorBidi"/>
      <w:shd w:val="clear" w:color="auto" w:fill="FFFFFF"/>
      <w:lang w:val="en-IN" w:eastAsia="zh-CN"/>
    </w:rPr>
  </w:style>
  <w:style w:type="character" w:customStyle="1" w:styleId="EX4texteChar">
    <w:name w:val="EX4 texte Char"/>
    <w:basedOn w:val="DefaultParagraphFont"/>
    <w:link w:val="EX4texte"/>
    <w:rsid w:val="00EC4FEA"/>
    <w:rPr>
      <w:rFonts w:asciiTheme="minorBidi" w:eastAsia="SimSun" w:hAnsiTheme="minorBidi" w:cstheme="minorBidi"/>
      <w:snapToGrid w:val="0"/>
      <w:sz w:val="22"/>
      <w:szCs w:val="24"/>
      <w:lang w:val="en-IN" w:eastAsia="zh-CN"/>
    </w:rPr>
  </w:style>
  <w:style w:type="character" w:customStyle="1" w:styleId="ListParagraphChar">
    <w:name w:val="List Paragraph Char"/>
    <w:aliases w:val="ADB List Paragraph Char,Dot pt Char,List Paragraph Char Char Char Char,Indicator Text Char,List Paragraph1 Char,Numbered Para 1 Char,List Paragraph12 Char,Bullet Points Char,MAIN CONTENT Char,Bullet 1 Char,Light Grid - Accent 31 Char"/>
    <w:basedOn w:val="DefaultParagraphFont"/>
    <w:link w:val="ListParagraph"/>
    <w:uiPriority w:val="34"/>
    <w:qFormat/>
    <w:locked/>
    <w:rsid w:val="00741CAA"/>
    <w:rPr>
      <w:sz w:val="24"/>
      <w:lang w:val="en-GB" w:eastAsia="en-US"/>
    </w:rPr>
  </w:style>
  <w:style w:type="character" w:customStyle="1" w:styleId="Mentionnonrsolue1">
    <w:name w:val="Mention non résolue1"/>
    <w:basedOn w:val="DefaultParagraphFont"/>
    <w:uiPriority w:val="99"/>
    <w:semiHidden/>
    <w:unhideWhenUsed/>
    <w:rsid w:val="00723A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92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1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14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43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46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585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864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548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691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758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4837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4" w:color="B6B6B6"/>
                                                <w:left w:val="single" w:sz="6" w:space="4" w:color="B6B6B6"/>
                                                <w:bottom w:val="single" w:sz="6" w:space="4" w:color="B6B6B6"/>
                                                <w:right w:val="single" w:sz="6" w:space="4" w:color="B6B6B6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esdoc.unesco.org/ark:/48223/pf0000124367.locale=fr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hyperlink" Target="http://www.oceanbestpractices.org/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unstats.un.org/sdgs/report/2022/" TargetMode="External"/><Relationship Id="rId34" Type="http://schemas.openxmlformats.org/officeDocument/2006/relationships/hyperlink" Target="https://www.oceandecade.org/news/new-agreement-boosts-vital-scientific-collaboration-in-the-pacific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oceanexpert.org/document/28075" TargetMode="External"/><Relationship Id="rId17" Type="http://schemas.openxmlformats.org/officeDocument/2006/relationships/header" Target="header3.xml"/><Relationship Id="rId25" Type="http://schemas.openxmlformats.org/officeDocument/2006/relationships/hyperlink" Target="https://www.goosocean.org/index.php?option=com_oe&amp;task=viewDocumentRecord&amp;docID=29420" TargetMode="External"/><Relationship Id="rId33" Type="http://schemas.openxmlformats.org/officeDocument/2006/relationships/hyperlink" Target="https://oceanpanel.org/action/ocean-action-2030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hyperlink" Target="https://www.un.org/sites/un2.un.org/files/2020/03/unoc_political_declaration_-_zero_draft.pdf" TargetMode="External"/><Relationship Id="rId29" Type="http://schemas.openxmlformats.org/officeDocument/2006/relationships/hyperlink" Target="https://unesdoc.unesco.org/ark:/48223/pf0000380344.locale=e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ceanexpert.org/document/28305" TargetMode="External"/><Relationship Id="rId24" Type="http://schemas.openxmlformats.org/officeDocument/2006/relationships/hyperlink" Target="https://oceanexpert.org/document/32324" TargetMode="External"/><Relationship Id="rId32" Type="http://schemas.openxmlformats.org/officeDocument/2006/relationships/hyperlink" Target="https://www.mspglobal2030.org/wp-content/uploads/2022/11/MSProadmap2022-2027.pdf" TargetMode="External"/><Relationship Id="rId37" Type="http://schemas.openxmlformats.org/officeDocument/2006/relationships/header" Target="header6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hyperlink" Target="https://unesdoc.unesco.org/ark:/48223/pf0000378653.locale=en" TargetMode="External"/><Relationship Id="rId28" Type="http://schemas.openxmlformats.org/officeDocument/2006/relationships/hyperlink" Target="https://oceanexpert.org/document/32536" TargetMode="External"/><Relationship Id="rId36" Type="http://schemas.openxmlformats.org/officeDocument/2006/relationships/header" Target="header5.xml"/><Relationship Id="rId10" Type="http://schemas.openxmlformats.org/officeDocument/2006/relationships/hyperlink" Target="https://oceanexpert.org/document/28078" TargetMode="External"/><Relationship Id="rId19" Type="http://schemas.openxmlformats.org/officeDocument/2006/relationships/hyperlink" Target="https://ioc.unesco.org/ocean-decade" TargetMode="External"/><Relationship Id="rId31" Type="http://schemas.openxmlformats.org/officeDocument/2006/relationships/hyperlink" Target="https://www.mspglobal2030.org/msp-forum/barcelon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nesdoc.unesco.org/ark:/48223/pf0000125186.locale=fr" TargetMode="External"/><Relationship Id="rId14" Type="http://schemas.openxmlformats.org/officeDocument/2006/relationships/header" Target="header2.xml"/><Relationship Id="rId22" Type="http://schemas.openxmlformats.org/officeDocument/2006/relationships/hyperlink" Target="https://unesdoc.unesco.org/ark:/48223/pf0000376708.locale=en" TargetMode="External"/><Relationship Id="rId27" Type="http://schemas.openxmlformats.org/officeDocument/2006/relationships/hyperlink" Target="https://oceaninfohub.org/" TargetMode="External"/><Relationship Id="rId30" Type="http://schemas.openxmlformats.org/officeDocument/2006/relationships/hyperlink" Target="https://unesdoc.unesco.org/ark:/48223/pf0000378691.locale=en" TargetMode="External"/><Relationship Id="rId35" Type="http://schemas.openxmlformats.org/officeDocument/2006/relationships/header" Target="header4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_boned\AppData\Local\Microsoft\Windows\Temporary%20Internet%20Files\Content.Outlook\U6GEGBZT\Template%20WD-IOC27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AAF15-2806-4302-B2F1-99D2321A9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WD-IOC27</Template>
  <TotalTime>1</TotalTime>
  <Pages>8</Pages>
  <Words>2978</Words>
  <Characters>22778</Characters>
  <Application>Microsoft Office Word</Application>
  <DocSecurity>4</DocSecurity>
  <Lines>189</Lines>
  <Paragraphs>51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The Road to the UN Year</vt:lpstr>
      <vt:lpstr>The Road to the UN Year</vt:lpstr>
    </vt:vector>
  </TitlesOfParts>
  <Company>UNESCO</Company>
  <LinksUpToDate>false</LinksUpToDate>
  <CharactersWithSpaces>25705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 о деятельности МОК в 2022-2023 гг. для 42-й сессии_x000d_
Генеральной конференции ЮНЕСКО</dc:title>
  <dc:subject>IOC/A-32/3.5.Doc(1)</dc:subject>
  <dc:creator>Boned, Patrice</dc:creator>
  <cp:keywords>0</cp:keywords>
  <dc:description/>
  <cp:lastModifiedBy>Boned, Patrice</cp:lastModifiedBy>
  <cp:revision>2</cp:revision>
  <cp:lastPrinted>2021-05-26T08:45:00Z</cp:lastPrinted>
  <dcterms:created xsi:type="dcterms:W3CDTF">2023-06-16T10:48:00Z</dcterms:created>
  <dcterms:modified xsi:type="dcterms:W3CDTF">2023-06-16T10:48:00Z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ranslatedWith">
    <vt:lpwstr>Mercury</vt:lpwstr>
  </property>
  <property fmtid="{D5CDD505-2E9C-101B-9397-08002B2CF9AE}" pid="3" name="GeneratedBy">
    <vt:lpwstr>a_zaytseva</vt:lpwstr>
  </property>
  <property fmtid="{D5CDD505-2E9C-101B-9397-08002B2CF9AE}" pid="4" name="GeneratedDate">
    <vt:lpwstr>06/07/2023 16:34:43</vt:lpwstr>
  </property>
  <property fmtid="{D5CDD505-2E9C-101B-9397-08002B2CF9AE}" pid="5" name="OriginalDocID">
    <vt:lpwstr>6f7266a2-14a6-4b62-9236-1372aa4360fb</vt:lpwstr>
  </property>
  <property fmtid="{D5CDD505-2E9C-101B-9397-08002B2CF9AE}" pid="6" name="JobDCPMS">
    <vt:lpwstr>2301871</vt:lpwstr>
  </property>
  <property fmtid="{D5CDD505-2E9C-101B-9397-08002B2CF9AE}" pid="7" name="Language">
    <vt:lpwstr>R</vt:lpwstr>
  </property>
</Properties>
</file>