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4"/>
      </w:tblGrid>
      <w:tr w:rsidR="00B83068" w:rsidRPr="00C64EE2" w14:paraId="3F5DC3AE" w14:textId="77777777">
        <w:trPr>
          <w:jc w:val="center"/>
        </w:trPr>
        <w:tc>
          <w:tcPr>
            <w:tcW w:w="7654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6181B4FE" w14:textId="77777777" w:rsidR="00467E3F" w:rsidRPr="00C14EB5" w:rsidRDefault="00B83068" w:rsidP="00853565">
            <w:pPr>
              <w:pStyle w:val="Marge"/>
              <w:jc w:val="center"/>
              <w:rPr>
                <w:rFonts w:cs="Arial"/>
                <w:sz w:val="20"/>
                <w:szCs w:val="20"/>
                <w:lang w:val="ru-RU"/>
              </w:rPr>
            </w:pPr>
            <w:r>
              <w:rPr>
                <w:u w:val="single"/>
                <w:lang w:val="ru-RU"/>
              </w:rPr>
              <w:t>Резюме</w:t>
            </w:r>
          </w:p>
          <w:p w14:paraId="3091F1CF" w14:textId="6BD26259" w:rsidR="000659D4" w:rsidRPr="00C14EB5" w:rsidRDefault="00BF7281" w:rsidP="00C14EB5">
            <w:pPr>
              <w:spacing w:after="200"/>
              <w:jc w:val="both"/>
              <w:rPr>
                <w:rFonts w:cs="Arial"/>
                <w:color w:val="000000"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Настоящий документ представляется во исполнение решения Ассамблеи МОК A-31/3.5.6 (июнь 2021 г.), которая постановила продолжить работу по созданию </w:t>
            </w:r>
            <w:r w:rsidR="00C14EB5">
              <w:rPr>
                <w:lang w:val="ru-RU"/>
              </w:rPr>
              <w:t>п</w:t>
            </w:r>
            <w:r>
              <w:rPr>
                <w:lang w:val="ru-RU"/>
              </w:rPr>
              <w:t xml:space="preserve">одкомиссии МОК для Индийского океана как рамочной структуры для улучшения координации деятельности государств – членов МОК в этом регионе и обеспечения осуществления программ МОК в Индийском океане. </w:t>
            </w:r>
          </w:p>
          <w:p w14:paraId="22E26562" w14:textId="5CFFA838" w:rsidR="00A34738" w:rsidRPr="00C14EB5" w:rsidRDefault="00A34738" w:rsidP="00205639">
            <w:pPr>
              <w:jc w:val="both"/>
              <w:rPr>
                <w:rFonts w:cs="Arial"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После принятия этого решения межсессионная рабочая группа открытого состава по статусу ИОСИНДИО представила Исполнительному совету на его 55-й сессии (июнь 2022 г.) доклад о ходе работы и продолжила консультации, в том числе с подкомиссиями МОК, с целью представления Ассамблее МОК рекомендации для рассмотрения на ее 32-й сессии.</w:t>
            </w:r>
          </w:p>
          <w:p w14:paraId="4DF1874D" w14:textId="77777777" w:rsidR="00C1314E" w:rsidRPr="00C14EB5" w:rsidRDefault="00C1314E" w:rsidP="00205639">
            <w:pPr>
              <w:jc w:val="both"/>
              <w:rPr>
                <w:rFonts w:cs="Arial"/>
                <w:iCs/>
                <w:sz w:val="20"/>
                <w:szCs w:val="20"/>
                <w:lang w:val="ru-RU"/>
              </w:rPr>
            </w:pPr>
          </w:p>
          <w:p w14:paraId="76734653" w14:textId="4417B176" w:rsidR="00737A18" w:rsidRPr="00864FC8" w:rsidRDefault="00C1314E" w:rsidP="00205639">
            <w:pPr>
              <w:jc w:val="both"/>
              <w:rPr>
                <w:rFonts w:cs="Arial"/>
                <w:iCs/>
                <w:sz w:val="20"/>
                <w:szCs w:val="20"/>
                <w:lang w:val="ru-RU"/>
              </w:rPr>
            </w:pPr>
            <w:r>
              <w:rPr>
                <w:u w:val="single"/>
                <w:lang w:val="ru-RU"/>
              </w:rPr>
              <w:t>Предлагаемое решение</w:t>
            </w:r>
            <w:r w:rsidRPr="00C64EE2">
              <w:rPr>
                <w:lang w:val="ru-RU"/>
              </w:rPr>
              <w:t>:</w:t>
            </w:r>
            <w:r>
              <w:rPr>
                <w:lang w:val="ru-RU"/>
              </w:rPr>
              <w:t xml:space="preserve"> Ассамблее предлагается рассмотреть рекомендацию рабочей группы в форме проекта резолюции, приведенного в документе о принятых и предлагаемых мерах (IOC</w:t>
            </w:r>
            <w:r w:rsidR="00C64EE2" w:rsidRPr="00C64EE2">
              <w:rPr>
                <w:lang w:val="ru-RU"/>
              </w:rPr>
              <w:t>/</w:t>
            </w:r>
            <w:r w:rsidR="00C64EE2">
              <w:rPr>
                <w:lang w:val="en-US"/>
              </w:rPr>
              <w:t>A</w:t>
            </w:r>
            <w:r>
              <w:rPr>
                <w:lang w:val="ru-RU"/>
              </w:rPr>
              <w:t>-32/AP Prov.) под номером A-32/[4.5].</w:t>
            </w:r>
          </w:p>
        </w:tc>
      </w:tr>
    </w:tbl>
    <w:p w14:paraId="0B28C8D9" w14:textId="77777777" w:rsidR="00746B89" w:rsidRPr="00864FC8" w:rsidRDefault="00746B89" w:rsidP="00182419">
      <w:pPr>
        <w:pStyle w:val="Heading3"/>
        <w:sectPr w:rsidR="00746B89" w:rsidRPr="00864FC8" w:rsidSect="0018241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DD4065B" w14:textId="2817DE6C" w:rsidR="005E0955" w:rsidRPr="00F616CB" w:rsidRDefault="005E0955" w:rsidP="00060604">
      <w:pPr>
        <w:pStyle w:val="Heading1"/>
        <w:jc w:val="left"/>
        <w:rPr>
          <w:lang w:val="ru-RU"/>
        </w:rPr>
      </w:pPr>
      <w:r>
        <w:rPr>
          <w:lang w:val="ru-RU"/>
        </w:rPr>
        <w:lastRenderedPageBreak/>
        <w:t>Введение</w:t>
      </w:r>
    </w:p>
    <w:p w14:paraId="75FC558C" w14:textId="26C94563" w:rsidR="00E3760A" w:rsidRPr="00C14EB5" w:rsidRDefault="00E3760A" w:rsidP="001A7FE1">
      <w:pPr>
        <w:pStyle w:val="COI"/>
        <w:tabs>
          <w:tab w:val="left" w:pos="567"/>
        </w:tabs>
        <w:rPr>
          <w:lang w:val="ru-RU"/>
        </w:rPr>
      </w:pPr>
      <w:r>
        <w:rPr>
          <w:lang w:val="ru-RU"/>
        </w:rPr>
        <w:t xml:space="preserve">Ассамблея на своей 31-й сессии также постановила принять остальные необходимые меры по преобразованию ИОСИНДИО в подкомиссию МОК в рамках межсессионной рабочей группы, с тем чтобы завершить работу над кругом ведения, географическим охватом, программой работы, предлагаемыми проектами  и определением финансовой поддержки, а также над механизмами координации взаимодействия с подкомиссиями сопредельных регионов, и просила Исполнительного секретаря учредить межсессионную рабочую группу открытого состава и предложить заинтересованным государствам-членам принять участие в ее работе; в тесном контакте с правительством Индии проработать соответствующие условия и порядок создания регионального секретариата будущей подкомиссии ИОСИНДИО и представить доклад о ходе работы Исполнительному совету на его 55-й сессии. </w:t>
      </w:r>
    </w:p>
    <w:p w14:paraId="3AB4CED8" w14:textId="0CF328BA" w:rsidR="00B0167E" w:rsidRPr="00C14EB5" w:rsidRDefault="003653E5" w:rsidP="001A7FE1">
      <w:pPr>
        <w:pStyle w:val="COI"/>
        <w:tabs>
          <w:tab w:val="left" w:pos="567"/>
        </w:tabs>
        <w:rPr>
          <w:lang w:val="ru-RU"/>
        </w:rPr>
      </w:pPr>
      <w:r>
        <w:rPr>
          <w:lang w:val="ru-RU"/>
        </w:rPr>
        <w:t>Настоящий заключительный доклад дополняет доклад о ходе работы межсессионной рабочей группы открытого состава по статусу ИОСИНДИО, представленный 55-й сессии Исполнительного совета МОК (</w:t>
      </w:r>
      <w:hyperlink r:id="rId14" w:history="1">
        <w:r w:rsidRPr="00C14EB5">
          <w:rPr>
            <w:rStyle w:val="Hyperlink"/>
            <w:lang w:val="ru-RU"/>
          </w:rPr>
          <w:t>документ IOC/EC-55/3.5.2.Doc(1)</w:t>
        </w:r>
      </w:hyperlink>
      <w:r>
        <w:rPr>
          <w:lang w:val="ru-RU"/>
        </w:rPr>
        <w:t>).</w:t>
      </w:r>
    </w:p>
    <w:p w14:paraId="38305757" w14:textId="418CA6AC" w:rsidR="00AF0C68" w:rsidRPr="00C14EB5" w:rsidRDefault="00B0167E" w:rsidP="00F616CB">
      <w:pPr>
        <w:pStyle w:val="Heading1"/>
        <w:jc w:val="both"/>
        <w:rPr>
          <w:lang w:val="ru-RU"/>
        </w:rPr>
      </w:pPr>
      <w:r>
        <w:rPr>
          <w:lang w:val="ru-RU"/>
        </w:rPr>
        <w:t>Межсессионная рабочая группа открытого состава по статусу ИОСИНДИО (2022-2023</w:t>
      </w:r>
      <w:r w:rsidR="00F616CB">
        <w:rPr>
          <w:lang w:val="en-US"/>
        </w:rPr>
        <w:t> </w:t>
      </w:r>
      <w:r>
        <w:rPr>
          <w:lang w:val="ru-RU"/>
        </w:rPr>
        <w:t>гг.)</w:t>
      </w:r>
    </w:p>
    <w:p w14:paraId="705060EB" w14:textId="5A553F51" w:rsidR="00F32454" w:rsidRPr="00C14EB5" w:rsidRDefault="00F32454" w:rsidP="00F616CB">
      <w:pPr>
        <w:pStyle w:val="COI"/>
        <w:tabs>
          <w:tab w:val="clear" w:pos="709"/>
          <w:tab w:val="left" w:pos="567"/>
        </w:tabs>
        <w:rPr>
          <w:lang w:val="ru-RU"/>
        </w:rPr>
      </w:pPr>
      <w:r>
        <w:rPr>
          <w:lang w:val="ru-RU"/>
        </w:rPr>
        <w:t>Рабочая группа под руководством председателя МОК капитана Ариэля Троиси и председателя ИОСИНДИО контр-адмирала (в отставке) Хуршеда Алама функционировала в период с января 2022 г. по апрель 2023 г. и провела семь консультативных совещаний в режиме онлайн. Региональный сотрудник МОК по связи Джастин Аханханзо, работающий по совместительству в качестве технического секретаря ИОСИНДИО, выполнял функции технического секретаря рабочей группы. Поддержку деятельности рабочей группы оказывал Исполнительный секретарь МОК Владимир Рябинин. В состав рабочей группы вошли следующие государства-члены и наблюдатели: Австралия, Бангладеш, Бенин, Демократическая Республика Индия, Индонезия, Исламская Республика Иран, Кения, Конго, Кот-д'Ивуар, Кувейт, Маврикий, Мадагаскар, Мальдивские Острова, Марокко, Объединенные Арабские Эмираты, Оман, Пакистан, Российская Федерация, Саудовская Аравия, Сейшельские Острова, Соединенное Королевство Великобритании и Северной Ирландии, Соединенные Штаты Америки, Танзания, Таиланд, Того, Филиппины, Франция и Экваториальная Гвинея, а также заместитель Председателя МОК от избирательной группы IV, председатели МОКАФРИКА и ВЕСТПАК, бывшие должностные лица ИОСИНДИО, представители Регионального центра по координации деятельности (РЦКД), размещающегося на Сейшельских Островах, и несколько независимых научных экспертов.</w:t>
      </w:r>
    </w:p>
    <w:p w14:paraId="2BB5244C" w14:textId="1CCE9ED3" w:rsidR="003653E5" w:rsidRPr="00C14EB5" w:rsidRDefault="004B0E5E" w:rsidP="00F616CB">
      <w:pPr>
        <w:pStyle w:val="COI"/>
        <w:tabs>
          <w:tab w:val="clear" w:pos="709"/>
          <w:tab w:val="left" w:pos="567"/>
        </w:tabs>
        <w:rPr>
          <w:lang w:val="ru-RU"/>
        </w:rPr>
      </w:pPr>
      <w:r>
        <w:rPr>
          <w:lang w:val="ru-RU"/>
        </w:rPr>
        <w:t xml:space="preserve">Следуя указаниям Исполнительного совета МОК, сформулированным на его 55-й сессии, рабочая группа вела интенсивные дискуссии, руководствуясь стремлением к консенсусу, и полностью выполнила свой мандат, завершив свою работу подготовкой проекта резолюции, который в настоящем документе представляется Ассамблее МОК на ее 32-й сессии. Проект резолюции посвящен созданию подкомиссии МОК для Индийского океана и включает ее предлагаемое название, круг ведения, определение географического охвата, программу работы, предлагаемые проекты  и определение финансовой поддержки, а также механизмы координации работы с подкомиссиями сопредельных регионов в географических районах, представляющих общий интерес, во избежание дублирования и в интересах соблюдения географических зон ответственности других подкомиссий. </w:t>
      </w:r>
    </w:p>
    <w:p w14:paraId="2367BB6A" w14:textId="2E75D7F1" w:rsidR="00E05AA7" w:rsidRPr="00864FC8" w:rsidRDefault="00702241" w:rsidP="00F616CB">
      <w:pPr>
        <w:pStyle w:val="COI"/>
        <w:tabs>
          <w:tab w:val="clear" w:pos="709"/>
          <w:tab w:val="left" w:pos="567"/>
        </w:tabs>
        <w:rPr>
          <w:lang w:val="ru-RU"/>
        </w:rPr>
      </w:pPr>
      <w:r>
        <w:rPr>
          <w:lang w:val="ru-RU"/>
        </w:rPr>
        <w:t xml:space="preserve">Следует отметить, что наиболее полезные рекомендации для рабочей группы, позволившие ей сгладить расхождения во мнениях, были сформулированы в решении EC-55/3.5.2, принятом по итогам интенсивных дискуссий, включавших 18 выступлений по докладу о ходе работы на 55-й сессии Исполнительного совета (июнь 2022 г.) и выявивших основной источник обеспокоенности государств-членов, в частности из регионов ВЕСТПАК и МОКАФРИКА, относительно географического района и возможного дублирования обязанностей. Проявленная на высоком уровне ответственность и консенсус, достигнутый в рамках рабочей группы, </w:t>
      </w:r>
      <w:r>
        <w:rPr>
          <w:lang w:val="ru-RU"/>
        </w:rPr>
        <w:lastRenderedPageBreak/>
        <w:t>укрепили взаимопонимание между государствами-членами, что создало условия для того, чтобы подкомиссии из сопредельных регионов выразили готовность к совместной работе.</w:t>
      </w:r>
    </w:p>
    <w:p w14:paraId="14F3DE95" w14:textId="2C4B1D1B" w:rsidR="003653E5" w:rsidRPr="00C14EB5" w:rsidRDefault="00544D68" w:rsidP="00F616CB">
      <w:pPr>
        <w:pStyle w:val="COI"/>
        <w:tabs>
          <w:tab w:val="clear" w:pos="709"/>
          <w:tab w:val="left" w:pos="567"/>
        </w:tabs>
        <w:rPr>
          <w:lang w:val="ru-RU"/>
        </w:rPr>
      </w:pPr>
      <w:r>
        <w:rPr>
          <w:lang w:val="ru-RU"/>
        </w:rPr>
        <w:t>Впоследствии рабочая группа пришла к консенсусу относительно того, что новая подкомиссия не должна вмешиваться, ставить под сомнение, недооценивать или умалять значение деятельности и/или сферы ответственности существующих подкомиссий МОК в сопредельных регионах. Члены рабочей группы договорились также о том, что подкомиссия ИОСИНДИО должна сохранить зону ответственности, определенную для регионального комитета и ограничивающуюся центральной частью Индийского океана. Создание подкомиссии ИОСИНДИО ни в коем случае не должно осуществляться в ущерб другим подкомиссиям. При ее создании следует обеспечить отсутствие дублирования с деятельностью МОКАФРИКА и ВЕСТПАК в географических и программных областях, а также в Индийском океане в целом. Эти усилия направлены на развитие синергетического взаимодействия между ИОСИНДИО, МОКАФРИКА и ВЕСТПАК в целях взаимного усиления в интересах всех государств-членов. Во избежание дублирования усилий предлагается наладить соответствующую координацию взаимодействия с подкомиссиями сопредельных регионов, сосредоточившись на распределении обязанностей, сотрудничестве, взаимодействии и согласовании взаимного участия в проектах МОК на благо всех регионов в интересах динамичного функционирования подкомиссии ИОСИНДИО.</w:t>
      </w:r>
    </w:p>
    <w:p w14:paraId="7EB9A33F" w14:textId="245E352D" w:rsidR="00F616CB" w:rsidRPr="00F616CB" w:rsidRDefault="004B1AD7" w:rsidP="00F616CB">
      <w:pPr>
        <w:pStyle w:val="COI"/>
        <w:tabs>
          <w:tab w:val="clear" w:pos="709"/>
          <w:tab w:val="left" w:pos="567"/>
        </w:tabs>
        <w:rPr>
          <w:lang w:val="ru-RU"/>
        </w:rPr>
      </w:pPr>
      <w:r>
        <w:rPr>
          <w:lang w:val="ru-RU"/>
        </w:rPr>
        <w:t xml:space="preserve">Рабочая группа успешно руководила двумя параллельными и взаимосвязанными процессами, направленными на создание подкомиссии МОК по Индийскому океану: </w:t>
      </w:r>
    </w:p>
    <w:p w14:paraId="78457F62" w14:textId="6148F910" w:rsidR="004B1AD7" w:rsidRPr="00C14EB5" w:rsidRDefault="00A93D6B" w:rsidP="00F616CB">
      <w:pPr>
        <w:pStyle w:val="COI"/>
        <w:numPr>
          <w:ilvl w:val="0"/>
          <w:numId w:val="17"/>
        </w:numPr>
        <w:tabs>
          <w:tab w:val="clear" w:pos="709"/>
        </w:tabs>
        <w:ind w:left="1134" w:hanging="567"/>
        <w:rPr>
          <w:lang w:val="ru-RU"/>
        </w:rPr>
      </w:pPr>
      <w:r>
        <w:rPr>
          <w:lang w:val="ru-RU"/>
        </w:rPr>
        <w:t>п</w:t>
      </w:r>
      <w:r w:rsidR="004B1AD7">
        <w:rPr>
          <w:lang w:val="ru-RU"/>
        </w:rPr>
        <w:t>ервый процесс касается определения официальной межправительственной структуры ИОСИНДИО: разработка круга ведения, подготовка проекта резолюции и процедуры ее одобрения и присоединения государств-членов</w:t>
      </w:r>
      <w:r w:rsidRPr="00A93D6B">
        <w:rPr>
          <w:lang w:val="ru-RU"/>
        </w:rPr>
        <w:t>;</w:t>
      </w:r>
      <w:r w:rsidR="004B1AD7">
        <w:rPr>
          <w:lang w:val="ru-RU"/>
        </w:rPr>
        <w:t xml:space="preserve"> </w:t>
      </w:r>
    </w:p>
    <w:p w14:paraId="7E88B445" w14:textId="40EA25A3" w:rsidR="004B1AD7" w:rsidRPr="004B1AD7" w:rsidRDefault="00F616CB" w:rsidP="00F616CB">
      <w:pPr>
        <w:pStyle w:val="COI"/>
        <w:numPr>
          <w:ilvl w:val="0"/>
          <w:numId w:val="0"/>
        </w:numPr>
        <w:tabs>
          <w:tab w:val="clear" w:pos="709"/>
        </w:tabs>
        <w:ind w:left="1134" w:hanging="567"/>
      </w:pPr>
      <w:r w:rsidRPr="00F616CB">
        <w:rPr>
          <w:lang w:val="ru-RU"/>
        </w:rPr>
        <w:t>(</w:t>
      </w:r>
      <w:r>
        <w:rPr>
          <w:lang w:val="en-US"/>
        </w:rPr>
        <w:t>ii</w:t>
      </w:r>
      <w:r w:rsidRPr="00F616CB">
        <w:rPr>
          <w:lang w:val="ru-RU"/>
        </w:rPr>
        <w:t>)</w:t>
      </w:r>
      <w:r w:rsidRPr="00F616CB">
        <w:rPr>
          <w:lang w:val="ru-RU"/>
        </w:rPr>
        <w:tab/>
      </w:r>
      <w:r w:rsidR="00A93D6B">
        <w:rPr>
          <w:lang w:val="ru-RU"/>
        </w:rPr>
        <w:t>в</w:t>
      </w:r>
      <w:r w:rsidR="004B1AD7">
        <w:rPr>
          <w:lang w:val="ru-RU"/>
        </w:rPr>
        <w:t xml:space="preserve">торой процесс связан с функциями ИОСИНДИО. Он включал определение вопросов и проблем, а также возможностей в Индийском океане, которые могли бы составить основу работы ИОСИНДИО, обеспечивая заинтересованность и искреннюю приверженность государств-членов. </w:t>
      </w:r>
    </w:p>
    <w:p w14:paraId="4E183902" w14:textId="578688FE" w:rsidR="003653E5" w:rsidRPr="00C14EB5" w:rsidRDefault="003653E5" w:rsidP="00F616CB">
      <w:pPr>
        <w:pStyle w:val="COI"/>
        <w:tabs>
          <w:tab w:val="clear" w:pos="709"/>
          <w:tab w:val="left" w:pos="567"/>
        </w:tabs>
        <w:rPr>
          <w:lang w:val="ru-RU"/>
        </w:rPr>
      </w:pPr>
      <w:r>
        <w:rPr>
          <w:lang w:val="ru-RU"/>
        </w:rPr>
        <w:t>Следует отметить, что рабочая группа функционировала как динамичный и активный механизм обмена информацией в интересах определения передового опыта и позволила государствам-членам обсудить и выразить в прозрачной форме свои опасения, что в значительной степени способствовало достижению консенсуса в отношении создания подкомиссии ИОСИНДИО на прочной основе взаимного доверия. Эти обсуждения были полезными и способствовали совместному формированию новой подкомиссии в духе твердого консенсуса и сопричастности.</w:t>
      </w:r>
    </w:p>
    <w:p w14:paraId="124FED67" w14:textId="6BF4267A" w:rsidR="003653E5" w:rsidRPr="00C14EB5" w:rsidRDefault="003653E5" w:rsidP="00F616CB">
      <w:pPr>
        <w:pStyle w:val="COI"/>
        <w:tabs>
          <w:tab w:val="clear" w:pos="709"/>
          <w:tab w:val="left" w:pos="567"/>
        </w:tabs>
        <w:rPr>
          <w:lang w:val="ru-RU"/>
        </w:rPr>
      </w:pPr>
      <w:r>
        <w:rPr>
          <w:lang w:val="ru-RU"/>
        </w:rPr>
        <w:t xml:space="preserve">По итогам своей деятельности рабочая группа единогласно поддержала предложение о преобразовании ИОСИНДИО в подкомиссию на основе установленных принципов и подготовила приведенный ниже проект резолюции и круга ведения для рассмотрения Ассамблеей МОК. </w:t>
      </w:r>
    </w:p>
    <w:p w14:paraId="61C28CBA" w14:textId="77777777" w:rsidR="00C14EB5" w:rsidRPr="003F6A01" w:rsidRDefault="00C14EB5" w:rsidP="00C14EB5">
      <w:pPr>
        <w:spacing w:after="240"/>
        <w:jc w:val="both"/>
        <w:rPr>
          <w:rFonts w:asciiTheme="minorBidi" w:hAnsiTheme="minorBidi" w:cstheme="minorBidi"/>
          <w:b/>
          <w:bCs/>
          <w:color w:val="000000"/>
          <w:sz w:val="20"/>
          <w:szCs w:val="20"/>
          <w:u w:val="single"/>
          <w:lang w:val="ru-RU"/>
        </w:rPr>
      </w:pPr>
      <w:r w:rsidRPr="003F6A01">
        <w:rPr>
          <w:rFonts w:asciiTheme="minorBidi" w:hAnsiTheme="minorBidi" w:cstheme="minorBidi"/>
          <w:b/>
          <w:bCs/>
          <w:color w:val="000000"/>
          <w:sz w:val="20"/>
          <w:szCs w:val="20"/>
          <w:u w:val="single"/>
          <w:lang w:val="ru-RU"/>
        </w:rPr>
        <w:t>Проект резолюции IOC-32/[4.5],</w:t>
      </w:r>
    </w:p>
    <w:p w14:paraId="7F9DB1BB" w14:textId="77777777" w:rsidR="00C14EB5" w:rsidRPr="003F6A01" w:rsidRDefault="00C14EB5" w:rsidP="003F6A01">
      <w:pPr>
        <w:spacing w:after="240"/>
        <w:jc w:val="both"/>
        <w:rPr>
          <w:rFonts w:asciiTheme="minorBidi" w:eastAsia="Calibri" w:hAnsiTheme="minorBidi" w:cstheme="minorBidi"/>
          <w:i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i/>
          <w:sz w:val="20"/>
          <w:szCs w:val="20"/>
          <w:lang w:val="ru-RU"/>
        </w:rPr>
        <w:t>представленный Бангладеш, Исламской Республикой Иран, Кенией, Кувейтом, Пакистаном и Объединенными Арабскими Эмиратами</w:t>
      </w:r>
    </w:p>
    <w:p w14:paraId="5FB83DEE" w14:textId="77777777" w:rsidR="00C14EB5" w:rsidRPr="003F6A01" w:rsidRDefault="00C14EB5" w:rsidP="003F6A01">
      <w:pPr>
        <w:spacing w:after="240"/>
        <w:jc w:val="both"/>
        <w:rPr>
          <w:rFonts w:asciiTheme="minorBidi" w:eastAsia="Calibri" w:hAnsiTheme="minorBidi" w:cstheme="minorBidi"/>
          <w:b/>
          <w:bCs/>
          <w:color w:val="000000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b/>
          <w:bCs/>
          <w:color w:val="000000"/>
          <w:sz w:val="20"/>
          <w:szCs w:val="20"/>
          <w:lang w:val="ru-RU"/>
        </w:rPr>
        <w:t>Создание Подкомиссии МОК для центральной части Индийского океана (ИОСИНДИО)</w:t>
      </w:r>
    </w:p>
    <w:p w14:paraId="3A2CBBFD" w14:textId="77777777" w:rsidR="00C14EB5" w:rsidRPr="003F6A01" w:rsidRDefault="00C14EB5" w:rsidP="003F6A01">
      <w:pPr>
        <w:tabs>
          <w:tab w:val="num" w:pos="1400"/>
        </w:tabs>
        <w:spacing w:after="240"/>
        <w:ind w:left="720" w:hanging="720"/>
        <w:jc w:val="both"/>
        <w:rPr>
          <w:rFonts w:asciiTheme="minorBidi" w:hAnsiTheme="minorBidi" w:cstheme="minorBidi"/>
          <w:iCs/>
          <w:color w:val="000000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iCs/>
          <w:color w:val="000000"/>
          <w:sz w:val="20"/>
          <w:szCs w:val="20"/>
          <w:lang w:val="ru-RU"/>
        </w:rPr>
        <w:t>Межправительственная океанографическая комиссия,</w:t>
      </w:r>
    </w:p>
    <w:p w14:paraId="61349B4C" w14:textId="77777777" w:rsidR="00C14EB5" w:rsidRPr="003F6A01" w:rsidRDefault="00C14EB5" w:rsidP="003F6A01">
      <w:pPr>
        <w:numPr>
          <w:ilvl w:val="0"/>
          <w:numId w:val="9"/>
        </w:numPr>
        <w:spacing w:after="240"/>
        <w:ind w:left="567" w:hanging="577"/>
        <w:jc w:val="both"/>
        <w:rPr>
          <w:rFonts w:asciiTheme="minorBidi" w:hAnsiTheme="minorBidi" w:cstheme="minorBidi"/>
          <w:color w:val="000000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b/>
          <w:sz w:val="20"/>
          <w:szCs w:val="20"/>
          <w:lang w:val="ru-RU"/>
        </w:rPr>
        <w:t>напоминая</w:t>
      </w:r>
      <w:r w:rsidRPr="003F6A01">
        <w:rPr>
          <w:rFonts w:asciiTheme="minorBidi" w:hAnsiTheme="minorBidi" w:cstheme="minorBidi"/>
          <w:sz w:val="20"/>
          <w:szCs w:val="20"/>
          <w:lang w:val="ru-RU"/>
        </w:rPr>
        <w:t xml:space="preserve"> о резолюции IOC/XX-14 под названием «Группа по программам МОК для центральной части Индийского океана» и о решениях A-31/3.5.6 и IOC/EC</w:t>
      </w:r>
      <w:r w:rsidRPr="003F6A01">
        <w:rPr>
          <w:rFonts w:asciiTheme="minorBidi" w:hAnsiTheme="minorBidi" w:cstheme="minorBidi"/>
          <w:sz w:val="20"/>
          <w:szCs w:val="20"/>
          <w:lang w:val="ru-RU"/>
        </w:rPr>
        <w:noBreakHyphen/>
        <w:t>55/3.5.2, касающихся статуса Регионального комитета МОК для центральной части Индийского океана,</w:t>
      </w:r>
    </w:p>
    <w:p w14:paraId="3A3689E7" w14:textId="77777777" w:rsidR="00C14EB5" w:rsidRPr="003F6A01" w:rsidRDefault="00C14EB5" w:rsidP="003F6A01">
      <w:pPr>
        <w:numPr>
          <w:ilvl w:val="0"/>
          <w:numId w:val="9"/>
        </w:numPr>
        <w:autoSpaceDE w:val="0"/>
        <w:autoSpaceDN w:val="0"/>
        <w:adjustRightInd w:val="0"/>
        <w:spacing w:after="240"/>
        <w:ind w:left="567" w:hanging="577"/>
        <w:jc w:val="both"/>
        <w:rPr>
          <w:rFonts w:asciiTheme="minorBidi" w:hAnsiTheme="minorBidi" w:cstheme="minorBidi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b/>
          <w:sz w:val="20"/>
          <w:szCs w:val="20"/>
          <w:lang w:val="ru-RU"/>
        </w:rPr>
        <w:lastRenderedPageBreak/>
        <w:t>учитывая</w:t>
      </w:r>
      <w:r w:rsidRPr="003F6A01">
        <w:rPr>
          <w:rFonts w:asciiTheme="minorBidi" w:hAnsiTheme="minorBidi" w:cstheme="minorBidi"/>
          <w:sz w:val="20"/>
          <w:szCs w:val="20"/>
          <w:lang w:val="ru-RU"/>
        </w:rPr>
        <w:t>, что центральная часть Индийского океана оказывает существенное влияние среди прочего на региональный и глобальный климат, в том числе на формирование муссонов и возникновение феномена Эль-Ниньо – Южное колебание, на количество осадков и снега в Евразии, на погоду и возникновение экстремальных погодных явлений,</w:t>
      </w:r>
    </w:p>
    <w:p w14:paraId="59552DD8" w14:textId="5A098317" w:rsidR="00C14EB5" w:rsidRPr="003F6A01" w:rsidRDefault="00C14EB5" w:rsidP="003F6A01">
      <w:pPr>
        <w:numPr>
          <w:ilvl w:val="0"/>
          <w:numId w:val="9"/>
        </w:numPr>
        <w:autoSpaceDE w:val="0"/>
        <w:autoSpaceDN w:val="0"/>
        <w:adjustRightInd w:val="0"/>
        <w:spacing w:after="240"/>
        <w:ind w:left="567" w:hanging="577"/>
        <w:jc w:val="both"/>
        <w:rPr>
          <w:rFonts w:asciiTheme="minorBidi" w:hAnsiTheme="minorBidi" w:cstheme="minorBidi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b/>
          <w:sz w:val="20"/>
          <w:szCs w:val="20"/>
          <w:lang w:val="ru-RU"/>
        </w:rPr>
        <w:t>учитывая также</w:t>
      </w:r>
      <w:r w:rsidRPr="003F6A01">
        <w:rPr>
          <w:rFonts w:asciiTheme="minorBidi" w:hAnsiTheme="minorBidi" w:cstheme="minorBidi"/>
          <w:sz w:val="20"/>
          <w:szCs w:val="20"/>
          <w:lang w:val="ru-RU"/>
        </w:rPr>
        <w:t>, что за более чем три десятилетия своей деятельности ИОСИНДИО накопил бесценный опыт и практические знания, а также внедрил передовые методы и подходы, что сыграло важную роль в ходе обсуждения межсессионной рабочей группой открытого состава</w:t>
      </w:r>
      <w:r w:rsidR="003F6A01">
        <w:rPr>
          <w:rFonts w:asciiTheme="minorBidi" w:hAnsiTheme="minorBidi" w:cstheme="minorBidi"/>
          <w:sz w:val="20"/>
          <w:szCs w:val="20"/>
          <w:lang w:val="en-US"/>
        </w:rPr>
        <w:t> </w:t>
      </w:r>
      <w:r w:rsidRPr="003F6A01">
        <w:rPr>
          <w:rFonts w:asciiTheme="minorBidi" w:hAnsiTheme="minorBidi" w:cstheme="minorBidi"/>
          <w:sz w:val="20"/>
          <w:szCs w:val="20"/>
          <w:lang w:val="ru-RU"/>
        </w:rPr>
        <w:t>(МРГОС) вопроса о преобразовании ИОСИНДИО в подкомиссию МОК,</w:t>
      </w:r>
    </w:p>
    <w:p w14:paraId="33CCA9E3" w14:textId="77777777" w:rsidR="00C14EB5" w:rsidRPr="003F6A01" w:rsidRDefault="00C14EB5" w:rsidP="003F6A01">
      <w:pPr>
        <w:numPr>
          <w:ilvl w:val="0"/>
          <w:numId w:val="9"/>
        </w:numPr>
        <w:autoSpaceDE w:val="0"/>
        <w:autoSpaceDN w:val="0"/>
        <w:adjustRightInd w:val="0"/>
        <w:spacing w:after="240"/>
        <w:ind w:left="567" w:hanging="577"/>
        <w:jc w:val="both"/>
        <w:rPr>
          <w:rFonts w:asciiTheme="minorBidi" w:hAnsiTheme="minorBidi" w:cstheme="minorBidi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b/>
          <w:sz w:val="20"/>
          <w:szCs w:val="20"/>
          <w:lang w:val="ru-RU"/>
        </w:rPr>
        <w:t>принимая к сведению с удовлетворением</w:t>
      </w:r>
      <w:r w:rsidRPr="003F6A01">
        <w:rPr>
          <w:rFonts w:asciiTheme="minorBidi" w:hAnsiTheme="minorBidi" w:cstheme="minorBidi"/>
          <w:sz w:val="20"/>
          <w:szCs w:val="20"/>
          <w:lang w:val="ru-RU"/>
        </w:rPr>
        <w:t xml:space="preserve"> большой интерес, проявленный во многих государствах – членах ИОСИНДИО к совместной работе по созданию подкомиссии, активизации осуществления программ МОК в регионе, решению задач, предусмотренных в рамках Десятилетия ООН, посвященного науке об океане в интересах устойчивого развития (2021-2030 гг.), а также по наращиванию потенциала государств</w:t>
      </w:r>
      <w:r w:rsidRPr="003F6A01">
        <w:rPr>
          <w:rFonts w:asciiTheme="minorBidi" w:hAnsiTheme="minorBidi" w:cstheme="minorBidi"/>
          <w:sz w:val="20"/>
          <w:szCs w:val="20"/>
          <w:lang w:val="en-US"/>
        </w:rPr>
        <w:t> </w:t>
      </w:r>
      <w:r w:rsidRPr="003F6A01">
        <w:rPr>
          <w:rFonts w:asciiTheme="minorBidi" w:hAnsiTheme="minorBidi" w:cstheme="minorBidi"/>
          <w:sz w:val="20"/>
          <w:szCs w:val="20"/>
          <w:lang w:val="ru-RU"/>
        </w:rPr>
        <w:t>– членов ИОСИНДИО в области морских научных исследований и ответственной эксплуатации морских ресурсов,</w:t>
      </w:r>
    </w:p>
    <w:p w14:paraId="4D9E2AF4" w14:textId="77777777" w:rsidR="00C14EB5" w:rsidRPr="003F6A01" w:rsidRDefault="00C14EB5" w:rsidP="003F6A01">
      <w:pPr>
        <w:numPr>
          <w:ilvl w:val="0"/>
          <w:numId w:val="9"/>
        </w:numPr>
        <w:autoSpaceDE w:val="0"/>
        <w:autoSpaceDN w:val="0"/>
        <w:adjustRightInd w:val="0"/>
        <w:spacing w:after="240"/>
        <w:ind w:left="567" w:hanging="577"/>
        <w:jc w:val="both"/>
        <w:rPr>
          <w:rFonts w:asciiTheme="minorBidi" w:hAnsiTheme="minorBidi" w:cstheme="minorBidi"/>
          <w:color w:val="000000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b/>
          <w:sz w:val="20"/>
          <w:szCs w:val="20"/>
          <w:lang w:val="ru-RU"/>
        </w:rPr>
        <w:t xml:space="preserve">принимая к сведению </w:t>
      </w:r>
      <w:proofErr w:type="gramStart"/>
      <w:r w:rsidRPr="003F6A01">
        <w:rPr>
          <w:rFonts w:asciiTheme="minorBidi" w:hAnsiTheme="minorBidi" w:cstheme="minorBidi"/>
          <w:b/>
          <w:sz w:val="20"/>
          <w:szCs w:val="20"/>
          <w:lang w:val="ru-RU"/>
        </w:rPr>
        <w:t>также</w:t>
      </w:r>
      <w:r w:rsidRPr="003F6A01">
        <w:rPr>
          <w:rFonts w:asciiTheme="minorBidi" w:hAnsiTheme="minorBidi" w:cstheme="minorBidi"/>
          <w:sz w:val="20"/>
          <w:szCs w:val="20"/>
          <w:lang w:val="ru-RU"/>
        </w:rPr>
        <w:t xml:space="preserve"> практикуемый МОК</w:t>
      </w:r>
      <w:proofErr w:type="gramEnd"/>
      <w:r w:rsidRPr="003F6A01">
        <w:rPr>
          <w:rFonts w:asciiTheme="minorBidi" w:hAnsiTheme="minorBidi" w:cstheme="minorBidi"/>
          <w:sz w:val="20"/>
          <w:szCs w:val="20"/>
          <w:lang w:val="ru-RU"/>
        </w:rPr>
        <w:t xml:space="preserve"> подход приглашать все государства-члены участвовать в деятельности Комиссии и ее региональных вспомогательных органов,</w:t>
      </w:r>
    </w:p>
    <w:p w14:paraId="47E2A30A" w14:textId="77777777" w:rsidR="00C14EB5" w:rsidRPr="003F6A01" w:rsidRDefault="00C14EB5" w:rsidP="003F6A01">
      <w:pPr>
        <w:numPr>
          <w:ilvl w:val="0"/>
          <w:numId w:val="9"/>
        </w:numPr>
        <w:autoSpaceDE w:val="0"/>
        <w:autoSpaceDN w:val="0"/>
        <w:adjustRightInd w:val="0"/>
        <w:spacing w:after="240"/>
        <w:ind w:left="567" w:hanging="577"/>
        <w:jc w:val="both"/>
        <w:rPr>
          <w:rFonts w:asciiTheme="minorBidi" w:hAnsiTheme="minorBidi" w:cstheme="minorBidi"/>
          <w:color w:val="000000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b/>
          <w:sz w:val="20"/>
          <w:szCs w:val="20"/>
          <w:lang w:val="ru-RU"/>
        </w:rPr>
        <w:t>выражает благодарность и признательность</w:t>
      </w:r>
      <w:r w:rsidRPr="003F6A01">
        <w:rPr>
          <w:rFonts w:asciiTheme="minorBidi" w:hAnsiTheme="minorBidi" w:cstheme="minorBidi"/>
          <w:sz w:val="20"/>
          <w:szCs w:val="20"/>
          <w:lang w:val="ru-RU"/>
        </w:rPr>
        <w:t xml:space="preserve"> государствам-членам, принявшим участие в работе МРГОС и внесшим вклад в состоявшиеся дискуссии;</w:t>
      </w:r>
    </w:p>
    <w:p w14:paraId="5C958CA6" w14:textId="77777777" w:rsidR="00C14EB5" w:rsidRPr="003F6A01" w:rsidRDefault="00C14EB5" w:rsidP="003F6A01">
      <w:pPr>
        <w:numPr>
          <w:ilvl w:val="0"/>
          <w:numId w:val="9"/>
        </w:numPr>
        <w:spacing w:after="240"/>
        <w:ind w:left="567" w:hanging="577"/>
        <w:jc w:val="both"/>
        <w:rPr>
          <w:rFonts w:asciiTheme="minorBidi" w:hAnsiTheme="minorBidi" w:cstheme="minorBidi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b/>
          <w:sz w:val="20"/>
          <w:szCs w:val="20"/>
          <w:lang w:val="ru-RU"/>
        </w:rPr>
        <w:t>отмечает</w:t>
      </w:r>
      <w:r w:rsidRPr="003F6A01">
        <w:rPr>
          <w:rFonts w:asciiTheme="minorBidi" w:hAnsiTheme="minorBidi" w:cstheme="minorBidi"/>
          <w:sz w:val="20"/>
          <w:szCs w:val="20"/>
          <w:lang w:val="ru-RU"/>
        </w:rPr>
        <w:t xml:space="preserve"> умелое руководство и </w:t>
      </w:r>
      <w:r w:rsidRPr="003F6A01">
        <w:rPr>
          <w:rFonts w:asciiTheme="minorBidi" w:hAnsiTheme="minorBidi" w:cstheme="minorBidi"/>
          <w:b/>
          <w:sz w:val="20"/>
          <w:szCs w:val="20"/>
          <w:lang w:val="ru-RU"/>
        </w:rPr>
        <w:t>высоко оценивает</w:t>
      </w:r>
      <w:r w:rsidRPr="003F6A01">
        <w:rPr>
          <w:rFonts w:asciiTheme="minorBidi" w:hAnsiTheme="minorBidi" w:cstheme="minorBidi"/>
          <w:sz w:val="20"/>
          <w:szCs w:val="20"/>
          <w:lang w:val="ru-RU"/>
        </w:rPr>
        <w:t xml:space="preserve"> целенаправленные усилия Председателя МОК и председателя ИОСИНДИО, выполнявших функции сопредседателей МРГОС;</w:t>
      </w:r>
    </w:p>
    <w:p w14:paraId="7041AA39" w14:textId="23CAFCAC" w:rsidR="00C14EB5" w:rsidRPr="003F6A01" w:rsidRDefault="00C14EB5" w:rsidP="003F6A01">
      <w:pPr>
        <w:numPr>
          <w:ilvl w:val="0"/>
          <w:numId w:val="9"/>
        </w:numPr>
        <w:spacing w:after="240"/>
        <w:ind w:left="567" w:hanging="577"/>
        <w:jc w:val="both"/>
        <w:rPr>
          <w:rFonts w:asciiTheme="minorBidi" w:hAnsiTheme="minorBidi" w:cstheme="minorBidi"/>
          <w:color w:val="000000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b/>
          <w:sz w:val="20"/>
          <w:szCs w:val="20"/>
          <w:lang w:val="ru-RU"/>
        </w:rPr>
        <w:t>выражает признательность</w:t>
      </w:r>
      <w:r w:rsidRPr="003F6A01">
        <w:rPr>
          <w:rFonts w:asciiTheme="minorBidi" w:hAnsiTheme="minorBidi" w:cstheme="minorBidi"/>
          <w:sz w:val="20"/>
          <w:szCs w:val="20"/>
          <w:lang w:val="ru-RU"/>
        </w:rPr>
        <w:t xml:space="preserve"> заместителю Председателя МОК от избирательной группы IV, председателям подкомиссии МОК для Африки и прилегающих островных государств (МОКАФРИКА) и подкомиссии МОК для западной части Тихого океана</w:t>
      </w:r>
      <w:r w:rsidR="00F11026" w:rsidRPr="003F6A01">
        <w:rPr>
          <w:rFonts w:asciiTheme="minorBidi" w:hAnsiTheme="minorBidi" w:cstheme="minorBidi"/>
          <w:sz w:val="20"/>
          <w:szCs w:val="20"/>
          <w:lang w:val="en-US"/>
        </w:rPr>
        <w:t> </w:t>
      </w:r>
      <w:r w:rsidRPr="003F6A01">
        <w:rPr>
          <w:rFonts w:asciiTheme="minorBidi" w:hAnsiTheme="minorBidi" w:cstheme="minorBidi"/>
          <w:sz w:val="20"/>
          <w:szCs w:val="20"/>
          <w:lang w:val="ru-RU"/>
        </w:rPr>
        <w:t>(ВЕСТПАК) за их вклад в работу МРГОС, а также Исполнительному секретарю МОК и техническому секретарю ИОСИНДИО за оказанную поддержку;</w:t>
      </w:r>
    </w:p>
    <w:p w14:paraId="222C3875" w14:textId="77777777" w:rsidR="00C14EB5" w:rsidRPr="003F6A01" w:rsidRDefault="00C14EB5" w:rsidP="003F6A01">
      <w:pPr>
        <w:numPr>
          <w:ilvl w:val="0"/>
          <w:numId w:val="9"/>
        </w:numPr>
        <w:spacing w:after="240"/>
        <w:ind w:left="567" w:hanging="577"/>
        <w:jc w:val="both"/>
        <w:rPr>
          <w:rFonts w:asciiTheme="minorBidi" w:eastAsia="DengXian" w:hAnsiTheme="minorBidi" w:cstheme="minorBidi"/>
          <w:b/>
          <w:bCs/>
          <w:color w:val="000000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b/>
          <w:color w:val="000000"/>
          <w:sz w:val="20"/>
          <w:szCs w:val="20"/>
          <w:lang w:val="ru-RU"/>
        </w:rPr>
        <w:t>постановляет</w:t>
      </w:r>
      <w:r w:rsidRPr="003F6A01">
        <w:rPr>
          <w:rFonts w:asciiTheme="minorBidi" w:hAnsiTheme="minorBidi" w:cstheme="minorBidi"/>
          <w:color w:val="000000"/>
          <w:sz w:val="20"/>
          <w:szCs w:val="20"/>
          <w:lang w:val="ru-RU"/>
        </w:rPr>
        <w:t>:</w:t>
      </w:r>
    </w:p>
    <w:p w14:paraId="157E9BC6" w14:textId="00BD59EC" w:rsidR="00C14EB5" w:rsidRPr="003F6A01" w:rsidRDefault="00C14EB5" w:rsidP="003F6A01">
      <w:pPr>
        <w:numPr>
          <w:ilvl w:val="0"/>
          <w:numId w:val="10"/>
        </w:numPr>
        <w:spacing w:after="240"/>
        <w:ind w:left="1134" w:hanging="567"/>
        <w:jc w:val="both"/>
        <w:rPr>
          <w:rFonts w:asciiTheme="minorBidi" w:eastAsia="DengXian" w:hAnsiTheme="minorBidi" w:cstheme="minorBidi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color w:val="000000"/>
          <w:sz w:val="20"/>
          <w:szCs w:val="20"/>
          <w:lang w:val="ru-RU"/>
        </w:rPr>
        <w:t>учредить Подкомиссию МОК для центральной части Индийского океана</w:t>
      </w:r>
      <w:r w:rsidR="003F6A01" w:rsidRPr="003F6A01">
        <w:rPr>
          <w:rFonts w:asciiTheme="minorBidi" w:hAnsiTheme="minorBidi" w:cstheme="minorBidi"/>
          <w:color w:val="000000"/>
          <w:sz w:val="20"/>
          <w:szCs w:val="20"/>
          <w:lang w:val="en-US"/>
        </w:rPr>
        <w:t> </w:t>
      </w:r>
      <w:r w:rsidRPr="003F6A01">
        <w:rPr>
          <w:rFonts w:asciiTheme="minorBidi" w:hAnsiTheme="minorBidi" w:cstheme="minorBidi"/>
          <w:color w:val="000000"/>
          <w:sz w:val="20"/>
          <w:szCs w:val="20"/>
          <w:lang w:val="ru-RU"/>
        </w:rPr>
        <w:t>(ИОСИНДИО), круг ведения которой представлен в приложении к настоящей резолюции;</w:t>
      </w:r>
    </w:p>
    <w:p w14:paraId="352AC868" w14:textId="77777777" w:rsidR="00C14EB5" w:rsidRPr="003F6A01" w:rsidRDefault="00C14EB5" w:rsidP="003F6A01">
      <w:pPr>
        <w:numPr>
          <w:ilvl w:val="0"/>
          <w:numId w:val="10"/>
        </w:numPr>
        <w:spacing w:after="240"/>
        <w:ind w:left="1134" w:hanging="567"/>
        <w:jc w:val="both"/>
        <w:rPr>
          <w:rFonts w:asciiTheme="minorBidi" w:eastAsia="DengXian" w:hAnsiTheme="minorBidi" w:cstheme="minorBidi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sz w:val="20"/>
          <w:szCs w:val="20"/>
          <w:lang w:val="ru-RU"/>
        </w:rPr>
        <w:t>что решение о создании ИОСИНДИО в качестве Подкомиссии МОК вступит в силу после получения Исполнительным секретарем МОК девяти (9) официальных писем о присоединении от уполномоченных национальных координаторов государств – членов МОК;</w:t>
      </w:r>
    </w:p>
    <w:p w14:paraId="45571094" w14:textId="77777777" w:rsidR="00C14EB5" w:rsidRPr="003F6A01" w:rsidRDefault="00C14EB5" w:rsidP="003F6A01">
      <w:pPr>
        <w:numPr>
          <w:ilvl w:val="0"/>
          <w:numId w:val="10"/>
        </w:numPr>
        <w:spacing w:after="240"/>
        <w:ind w:left="1134" w:hanging="567"/>
        <w:jc w:val="both"/>
        <w:rPr>
          <w:rFonts w:asciiTheme="minorBidi" w:eastAsia="DengXian" w:hAnsiTheme="minorBidi" w:cstheme="minorBidi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sz w:val="20"/>
          <w:szCs w:val="20"/>
          <w:lang w:val="ru-RU"/>
        </w:rPr>
        <w:t>что ИОСИНДИО как Региональный комитет МОК будет распущен в начале первого совещания ИОСИНДИО в качестве Подкомиссии МОК;</w:t>
      </w:r>
    </w:p>
    <w:p w14:paraId="3823CC97" w14:textId="77777777" w:rsidR="00C14EB5" w:rsidRPr="003F6A01" w:rsidRDefault="00C14EB5" w:rsidP="003F6A01">
      <w:pPr>
        <w:numPr>
          <w:ilvl w:val="0"/>
          <w:numId w:val="9"/>
        </w:numPr>
        <w:spacing w:after="240"/>
        <w:ind w:left="567" w:hanging="567"/>
        <w:jc w:val="both"/>
        <w:rPr>
          <w:rFonts w:asciiTheme="minorBidi" w:eastAsia="DengXian" w:hAnsiTheme="minorBidi" w:cstheme="minorBidi"/>
          <w:b/>
          <w:bCs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b/>
          <w:sz w:val="20"/>
          <w:szCs w:val="20"/>
          <w:lang w:val="ru-RU"/>
        </w:rPr>
        <w:t>просит</w:t>
      </w:r>
      <w:r w:rsidRPr="003F6A01">
        <w:rPr>
          <w:rFonts w:asciiTheme="minorBidi" w:hAnsiTheme="minorBidi" w:cstheme="minorBidi"/>
          <w:sz w:val="20"/>
          <w:szCs w:val="20"/>
          <w:lang w:val="ru-RU"/>
        </w:rPr>
        <w:t xml:space="preserve"> Исполнительного секретаря:</w:t>
      </w:r>
    </w:p>
    <w:p w14:paraId="506C99FE" w14:textId="77777777" w:rsidR="00C14EB5" w:rsidRPr="003F6A01" w:rsidRDefault="00C14EB5" w:rsidP="003F6A01">
      <w:pPr>
        <w:numPr>
          <w:ilvl w:val="0"/>
          <w:numId w:val="11"/>
        </w:numPr>
        <w:tabs>
          <w:tab w:val="clear" w:pos="567"/>
        </w:tabs>
        <w:spacing w:after="240"/>
        <w:ind w:left="1134" w:hanging="567"/>
        <w:jc w:val="both"/>
        <w:rPr>
          <w:rFonts w:asciiTheme="minorBidi" w:eastAsia="DengXian" w:hAnsiTheme="minorBidi" w:cstheme="minorBidi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sz w:val="20"/>
          <w:szCs w:val="20"/>
          <w:lang w:val="ru-RU"/>
        </w:rPr>
        <w:t>направить в течение четырех (4) месяцев после принятия настоящей резолюции циркулярное письмо с предложением государствам-членам адресовать Подкомиссии ИОСИНДИО официальное уведомление о присоединении;</w:t>
      </w:r>
    </w:p>
    <w:p w14:paraId="715C76A5" w14:textId="77777777" w:rsidR="00C14EB5" w:rsidRPr="003F6A01" w:rsidRDefault="00C14EB5" w:rsidP="003F6A01">
      <w:pPr>
        <w:numPr>
          <w:ilvl w:val="0"/>
          <w:numId w:val="11"/>
        </w:numPr>
        <w:tabs>
          <w:tab w:val="clear" w:pos="567"/>
        </w:tabs>
        <w:spacing w:after="240"/>
        <w:ind w:left="1134" w:hanging="567"/>
        <w:jc w:val="both"/>
        <w:rPr>
          <w:rFonts w:asciiTheme="minorBidi" w:eastAsia="DengXian" w:hAnsiTheme="minorBidi" w:cstheme="minorBidi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sz w:val="20"/>
          <w:szCs w:val="20"/>
          <w:lang w:val="ru-RU"/>
        </w:rPr>
        <w:t>после вступления в силу настоящей резолюции об учреждении ИОСИНДИО в качестве Подкомиссии МОК созвать первую сессию Подкомиссии, на которой будут избраны ее должностные лица.</w:t>
      </w:r>
    </w:p>
    <w:p w14:paraId="5BDB0612" w14:textId="7437B40D" w:rsidR="00C14EB5" w:rsidRPr="003F6A01" w:rsidRDefault="00C14EB5" w:rsidP="003F6A01">
      <w:pPr>
        <w:spacing w:after="240"/>
        <w:jc w:val="center"/>
        <w:rPr>
          <w:rFonts w:asciiTheme="minorBidi" w:hAnsiTheme="minorBidi" w:cstheme="minorBidi"/>
          <w:b/>
          <w:bCs/>
          <w:sz w:val="20"/>
          <w:szCs w:val="20"/>
          <w:lang w:val="en-US"/>
        </w:rPr>
      </w:pPr>
      <w:r w:rsidRPr="003F6A01">
        <w:rPr>
          <w:rFonts w:asciiTheme="minorBidi" w:hAnsiTheme="minorBidi" w:cstheme="minorBidi"/>
          <w:b/>
          <w:bCs/>
          <w:sz w:val="20"/>
          <w:szCs w:val="20"/>
          <w:u w:val="single"/>
          <w:lang w:val="ru-RU"/>
        </w:rPr>
        <w:t>Приложение к проекту резолюции IOC-32/[4.5]</w:t>
      </w:r>
    </w:p>
    <w:p w14:paraId="7C84D820" w14:textId="53D4F487" w:rsidR="00C14EB5" w:rsidRPr="003F6A01" w:rsidRDefault="00C14EB5" w:rsidP="003F6A01">
      <w:pPr>
        <w:autoSpaceDE w:val="0"/>
        <w:autoSpaceDN w:val="0"/>
        <w:adjustRightInd w:val="0"/>
        <w:spacing w:after="240"/>
        <w:jc w:val="center"/>
        <w:rPr>
          <w:rFonts w:asciiTheme="minorBidi" w:hAnsiTheme="minorBidi" w:cstheme="minorBidi"/>
          <w:b/>
          <w:bCs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b/>
          <w:bCs/>
          <w:sz w:val="20"/>
          <w:szCs w:val="20"/>
          <w:lang w:val="ru-RU"/>
        </w:rPr>
        <w:t>Круг ведения</w:t>
      </w:r>
      <w:r w:rsidR="003F6A01" w:rsidRPr="003F6A01">
        <w:rPr>
          <w:rFonts w:asciiTheme="minorBidi" w:hAnsiTheme="minorBidi" w:cstheme="minorBidi"/>
          <w:b/>
          <w:bCs/>
          <w:sz w:val="20"/>
          <w:szCs w:val="20"/>
          <w:lang w:val="ru-RU"/>
        </w:rPr>
        <w:t xml:space="preserve"> </w:t>
      </w:r>
      <w:r w:rsidRPr="003F6A01">
        <w:rPr>
          <w:rFonts w:asciiTheme="minorBidi" w:hAnsiTheme="minorBidi" w:cstheme="minorBidi"/>
          <w:b/>
          <w:bCs/>
          <w:sz w:val="20"/>
          <w:szCs w:val="20"/>
          <w:lang w:val="ru-RU"/>
        </w:rPr>
        <w:t>Подкомиссии МОК для центральной части Индийского океана (ИОСИНДИО)</w:t>
      </w:r>
    </w:p>
    <w:p w14:paraId="11A82F14" w14:textId="77777777" w:rsidR="00C14EB5" w:rsidRPr="003F6A01" w:rsidRDefault="00C14EB5" w:rsidP="003F6A01">
      <w:pPr>
        <w:keepNext/>
        <w:numPr>
          <w:ilvl w:val="0"/>
          <w:numId w:val="8"/>
        </w:numPr>
        <w:tabs>
          <w:tab w:val="clear" w:pos="567"/>
        </w:tabs>
        <w:autoSpaceDE w:val="0"/>
        <w:autoSpaceDN w:val="0"/>
        <w:adjustRightInd w:val="0"/>
        <w:spacing w:after="240"/>
        <w:ind w:left="567" w:hanging="567"/>
        <w:jc w:val="both"/>
        <w:rPr>
          <w:rFonts w:asciiTheme="minorBidi" w:hAnsiTheme="minorBidi" w:cstheme="minorBidi"/>
          <w:b/>
          <w:bCs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b/>
          <w:bCs/>
          <w:sz w:val="20"/>
          <w:szCs w:val="20"/>
          <w:lang w:val="ru-RU"/>
        </w:rPr>
        <w:t>Наименование</w:t>
      </w:r>
    </w:p>
    <w:p w14:paraId="7C22C42A" w14:textId="77777777" w:rsidR="00C14EB5" w:rsidRPr="003F6A01" w:rsidRDefault="00C14EB5" w:rsidP="003F6A01">
      <w:pPr>
        <w:autoSpaceDE w:val="0"/>
        <w:autoSpaceDN w:val="0"/>
        <w:adjustRightInd w:val="0"/>
        <w:spacing w:after="240"/>
        <w:jc w:val="both"/>
        <w:rPr>
          <w:rFonts w:asciiTheme="minorBidi" w:hAnsiTheme="minorBidi" w:cstheme="minorBidi"/>
          <w:bCs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bCs/>
          <w:sz w:val="20"/>
          <w:szCs w:val="20"/>
          <w:lang w:val="ru-RU"/>
        </w:rPr>
        <w:t>Подкомиссия МОК для центральной части Индийского океана (ИОСИНДИО)</w:t>
      </w:r>
    </w:p>
    <w:p w14:paraId="2C1A656D" w14:textId="77777777" w:rsidR="00C14EB5" w:rsidRPr="003F6A01" w:rsidRDefault="00C14EB5" w:rsidP="003F6A01">
      <w:pPr>
        <w:keepNext/>
        <w:numPr>
          <w:ilvl w:val="0"/>
          <w:numId w:val="8"/>
        </w:numPr>
        <w:tabs>
          <w:tab w:val="clear" w:pos="567"/>
        </w:tabs>
        <w:autoSpaceDE w:val="0"/>
        <w:autoSpaceDN w:val="0"/>
        <w:adjustRightInd w:val="0"/>
        <w:spacing w:after="240"/>
        <w:ind w:left="567" w:hanging="567"/>
        <w:jc w:val="both"/>
        <w:rPr>
          <w:rFonts w:asciiTheme="minorBidi" w:hAnsiTheme="minorBidi" w:cstheme="minorBidi"/>
          <w:b/>
          <w:bCs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b/>
          <w:bCs/>
          <w:sz w:val="20"/>
          <w:szCs w:val="20"/>
          <w:lang w:val="ru-RU"/>
        </w:rPr>
        <w:lastRenderedPageBreak/>
        <w:t>Цель</w:t>
      </w:r>
    </w:p>
    <w:p w14:paraId="0BB1D3ED" w14:textId="77777777" w:rsidR="00C14EB5" w:rsidRPr="003F6A01" w:rsidRDefault="00C14EB5" w:rsidP="003F6A01">
      <w:pPr>
        <w:spacing w:after="240"/>
        <w:jc w:val="both"/>
        <w:rPr>
          <w:rFonts w:asciiTheme="minorBidi" w:hAnsiTheme="minorBidi" w:cstheme="minorBidi"/>
          <w:i/>
          <w:iCs/>
          <w:color w:val="000000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iCs/>
          <w:color w:val="000000"/>
          <w:sz w:val="20"/>
          <w:szCs w:val="20"/>
          <w:lang w:val="ru-RU"/>
        </w:rPr>
        <w:t>Подкомиссия МОК для центральной части Индийского океана (ИОСИНДИО) является основным межправительственным вспомогательным органом Межправительственной океанографической комиссии ЮНЕСКО в данном регионе. В зону ее ответственности входит центральная часть Индийского океана</w:t>
      </w:r>
      <w:r w:rsidRPr="003F6A01">
        <w:rPr>
          <w:rFonts w:asciiTheme="minorBidi" w:hAnsiTheme="minorBidi" w:cstheme="minorBidi"/>
          <w:iCs/>
          <w:color w:val="000000"/>
          <w:sz w:val="20"/>
          <w:szCs w:val="20"/>
          <w:vertAlign w:val="superscript"/>
          <w:lang w:val="ru-RU"/>
        </w:rPr>
        <w:footnoteReference w:id="1"/>
      </w:r>
      <w:r w:rsidRPr="003F6A01">
        <w:rPr>
          <w:rFonts w:asciiTheme="minorBidi" w:hAnsiTheme="minorBidi" w:cstheme="minorBidi"/>
          <w:iCs/>
          <w:color w:val="000000"/>
          <w:sz w:val="20"/>
          <w:szCs w:val="20"/>
          <w:lang w:val="ru-RU"/>
        </w:rPr>
        <w:t>, а цель ее создания состоит в том, чтобы содействовать международному сотрудничеству и координировать осуществление программ в области научных исследований, океанографического обслуживания и развития потенциала в интересах расширения знаний о состоянии и естественных богатствах океана и его прибрежных районов, а также применять полученные знания для более рационального управления имеющимися ресурсами, обеспечения устойчивого развития, защиты морских экосистем и содействия процессам принятия решений в ее государствах-членах.</w:t>
      </w:r>
    </w:p>
    <w:p w14:paraId="0AD16113" w14:textId="77777777" w:rsidR="00C14EB5" w:rsidRPr="003F6A01" w:rsidRDefault="00C14EB5" w:rsidP="003F6A01">
      <w:pPr>
        <w:keepNext/>
        <w:numPr>
          <w:ilvl w:val="0"/>
          <w:numId w:val="8"/>
        </w:numPr>
        <w:tabs>
          <w:tab w:val="clear" w:pos="567"/>
        </w:tabs>
        <w:autoSpaceDE w:val="0"/>
        <w:autoSpaceDN w:val="0"/>
        <w:adjustRightInd w:val="0"/>
        <w:spacing w:after="240"/>
        <w:ind w:left="567" w:hanging="567"/>
        <w:jc w:val="both"/>
        <w:rPr>
          <w:rFonts w:asciiTheme="minorBidi" w:hAnsiTheme="minorBidi" w:cstheme="minorBidi"/>
          <w:b/>
          <w:bCs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b/>
          <w:bCs/>
          <w:sz w:val="20"/>
          <w:szCs w:val="20"/>
          <w:lang w:val="ru-RU"/>
        </w:rPr>
        <w:t>Задачи</w:t>
      </w:r>
    </w:p>
    <w:p w14:paraId="1D85CBEE" w14:textId="77777777" w:rsidR="00C14EB5" w:rsidRPr="003F6A01" w:rsidRDefault="00C14EB5" w:rsidP="003F6A01">
      <w:pPr>
        <w:autoSpaceDE w:val="0"/>
        <w:autoSpaceDN w:val="0"/>
        <w:adjustRightInd w:val="0"/>
        <w:spacing w:after="240"/>
        <w:jc w:val="both"/>
        <w:rPr>
          <w:rFonts w:asciiTheme="minorBidi" w:hAnsiTheme="minorBidi" w:cstheme="minorBidi"/>
          <w:color w:val="000000"/>
          <w:sz w:val="20"/>
          <w:szCs w:val="20"/>
          <w:lang w:val="ru-RU"/>
        </w:rPr>
      </w:pPr>
      <w:bookmarkStart w:id="0" w:name="_Hlk131101299"/>
      <w:r w:rsidRPr="003F6A01">
        <w:rPr>
          <w:rFonts w:asciiTheme="minorBidi" w:hAnsiTheme="minorBidi" w:cstheme="minorBidi"/>
          <w:color w:val="000000"/>
          <w:sz w:val="20"/>
          <w:szCs w:val="20"/>
          <w:lang w:val="ru-RU"/>
        </w:rPr>
        <w:t>На Подкомиссию возлагаются следующие задачи:</w:t>
      </w:r>
    </w:p>
    <w:p w14:paraId="30ED1B84" w14:textId="77097DA2" w:rsidR="00C14EB5" w:rsidRPr="003F6A01" w:rsidRDefault="00C14EB5" w:rsidP="003F6A01">
      <w:pPr>
        <w:numPr>
          <w:ilvl w:val="0"/>
          <w:numId w:val="12"/>
        </w:numPr>
        <w:autoSpaceDE w:val="0"/>
        <w:autoSpaceDN w:val="0"/>
        <w:adjustRightInd w:val="0"/>
        <w:spacing w:after="240"/>
        <w:ind w:left="1134" w:hanging="567"/>
        <w:jc w:val="both"/>
        <w:rPr>
          <w:rFonts w:asciiTheme="minorBidi" w:hAnsiTheme="minorBidi" w:cstheme="minorBidi"/>
          <w:color w:val="000000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color w:val="000000"/>
          <w:sz w:val="20"/>
          <w:szCs w:val="20"/>
          <w:lang w:val="ru-RU"/>
        </w:rPr>
        <w:t>содействие международному сотрудничеству и координация осуществления мероприятий, утвержденных руководящими органами Межправительственной океанографической комиссии ЮНЕСКО;</w:t>
      </w:r>
    </w:p>
    <w:p w14:paraId="13455752" w14:textId="77777777" w:rsidR="00C14EB5" w:rsidRPr="003F6A01" w:rsidRDefault="00C14EB5" w:rsidP="003F6A01">
      <w:pPr>
        <w:numPr>
          <w:ilvl w:val="0"/>
          <w:numId w:val="12"/>
        </w:numPr>
        <w:autoSpaceDE w:val="0"/>
        <w:autoSpaceDN w:val="0"/>
        <w:adjustRightInd w:val="0"/>
        <w:spacing w:after="240"/>
        <w:ind w:left="1134" w:hanging="567"/>
        <w:jc w:val="both"/>
        <w:rPr>
          <w:rFonts w:asciiTheme="minorBidi" w:hAnsiTheme="minorBidi" w:cstheme="minorBidi"/>
          <w:color w:val="000000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color w:val="000000"/>
          <w:sz w:val="20"/>
          <w:szCs w:val="20"/>
          <w:lang w:val="ru-RU"/>
        </w:rPr>
        <w:t>подготовка рекомендаций для Межправительственной океанографической комиссии ЮНЕСКО по проблемным аспектам и вопросам, относящимся к компетенции Подкомиссии;</w:t>
      </w:r>
    </w:p>
    <w:p w14:paraId="66339963" w14:textId="77777777" w:rsidR="00C14EB5" w:rsidRPr="003F6A01" w:rsidRDefault="00C14EB5" w:rsidP="003F6A01">
      <w:pPr>
        <w:numPr>
          <w:ilvl w:val="0"/>
          <w:numId w:val="12"/>
        </w:numPr>
        <w:autoSpaceDE w:val="0"/>
        <w:autoSpaceDN w:val="0"/>
        <w:adjustRightInd w:val="0"/>
        <w:spacing w:after="240"/>
        <w:ind w:left="1134" w:hanging="567"/>
        <w:jc w:val="both"/>
        <w:rPr>
          <w:rFonts w:asciiTheme="minorBidi" w:hAnsiTheme="minorBidi" w:cstheme="minorBidi"/>
          <w:color w:val="000000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color w:val="000000"/>
          <w:sz w:val="20"/>
          <w:szCs w:val="20"/>
          <w:lang w:val="ru-RU"/>
        </w:rPr>
        <w:t>подготовка плана реализации согласованных мероприятий;</w:t>
      </w:r>
    </w:p>
    <w:p w14:paraId="6490586F" w14:textId="77777777" w:rsidR="00C14EB5" w:rsidRPr="003F6A01" w:rsidRDefault="00C14EB5" w:rsidP="003F6A01">
      <w:pPr>
        <w:numPr>
          <w:ilvl w:val="0"/>
          <w:numId w:val="12"/>
        </w:numPr>
        <w:autoSpaceDE w:val="0"/>
        <w:autoSpaceDN w:val="0"/>
        <w:adjustRightInd w:val="0"/>
        <w:spacing w:after="240"/>
        <w:ind w:left="1134" w:hanging="567"/>
        <w:jc w:val="both"/>
        <w:rPr>
          <w:rFonts w:asciiTheme="minorBidi" w:hAnsiTheme="minorBidi" w:cstheme="minorBidi"/>
          <w:color w:val="000000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color w:val="000000"/>
          <w:sz w:val="20"/>
          <w:szCs w:val="20"/>
          <w:lang w:val="ru-RU"/>
        </w:rPr>
        <w:t>выполнение функции дискуссионной платформы для выявления актуальных для региона проблем и поиска вариантов решений на принципах международного сотрудничества;</w:t>
      </w:r>
    </w:p>
    <w:p w14:paraId="109D82A1" w14:textId="77777777" w:rsidR="00C14EB5" w:rsidRPr="003F6A01" w:rsidRDefault="00C14EB5" w:rsidP="003F6A01">
      <w:pPr>
        <w:numPr>
          <w:ilvl w:val="0"/>
          <w:numId w:val="12"/>
        </w:numPr>
        <w:autoSpaceDE w:val="0"/>
        <w:autoSpaceDN w:val="0"/>
        <w:adjustRightInd w:val="0"/>
        <w:spacing w:after="240"/>
        <w:ind w:left="1134" w:hanging="567"/>
        <w:jc w:val="both"/>
        <w:rPr>
          <w:rFonts w:asciiTheme="minorBidi" w:hAnsiTheme="minorBidi" w:cstheme="minorBidi"/>
          <w:color w:val="000000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color w:val="000000"/>
          <w:sz w:val="20"/>
          <w:szCs w:val="20"/>
          <w:lang w:val="ru-RU"/>
        </w:rPr>
        <w:t>взаимодействие с соответствующими организациями, ведомствами и учреждениями;</w:t>
      </w:r>
    </w:p>
    <w:p w14:paraId="05A907F9" w14:textId="77777777" w:rsidR="00C14EB5" w:rsidRPr="003F6A01" w:rsidRDefault="00C14EB5" w:rsidP="003F6A01">
      <w:pPr>
        <w:numPr>
          <w:ilvl w:val="0"/>
          <w:numId w:val="12"/>
        </w:numPr>
        <w:autoSpaceDE w:val="0"/>
        <w:autoSpaceDN w:val="0"/>
        <w:adjustRightInd w:val="0"/>
        <w:spacing w:after="240"/>
        <w:ind w:left="1134" w:hanging="567"/>
        <w:jc w:val="both"/>
        <w:rPr>
          <w:rFonts w:asciiTheme="minorBidi" w:hAnsiTheme="minorBidi" w:cstheme="minorBidi"/>
          <w:color w:val="000000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color w:val="000000"/>
          <w:sz w:val="20"/>
          <w:szCs w:val="20"/>
          <w:lang w:val="ru-RU"/>
        </w:rPr>
        <w:t>взаимодействие с другими вспомогательными органами и программами Межправительственной океанографической комиссии ЮНЕСКО по вопросам, представляющим общий интерес, в частности, с подкомиссиями сопредельных регионов – МОКАФРИКА и ВЕСТПАК.</w:t>
      </w:r>
      <w:bookmarkEnd w:id="0"/>
    </w:p>
    <w:p w14:paraId="40A398C0" w14:textId="77777777" w:rsidR="00C14EB5" w:rsidRPr="003F6A01" w:rsidRDefault="00C14EB5" w:rsidP="00307A79">
      <w:pPr>
        <w:keepNext/>
        <w:numPr>
          <w:ilvl w:val="0"/>
          <w:numId w:val="8"/>
        </w:numPr>
        <w:tabs>
          <w:tab w:val="clear" w:pos="567"/>
        </w:tabs>
        <w:autoSpaceDE w:val="0"/>
        <w:autoSpaceDN w:val="0"/>
        <w:adjustRightInd w:val="0"/>
        <w:spacing w:after="240"/>
        <w:ind w:left="567" w:hanging="567"/>
        <w:jc w:val="both"/>
        <w:rPr>
          <w:rFonts w:asciiTheme="minorBidi" w:hAnsiTheme="minorBidi" w:cstheme="minorBidi"/>
          <w:b/>
          <w:bCs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b/>
          <w:bCs/>
          <w:sz w:val="20"/>
          <w:szCs w:val="20"/>
          <w:lang w:val="ru-RU"/>
        </w:rPr>
        <w:t>Структура</w:t>
      </w:r>
    </w:p>
    <w:p w14:paraId="5F27C78E" w14:textId="77777777" w:rsidR="00C14EB5" w:rsidRPr="003F6A01" w:rsidRDefault="00C14EB5" w:rsidP="009D0A53">
      <w:pPr>
        <w:autoSpaceDE w:val="0"/>
        <w:autoSpaceDN w:val="0"/>
        <w:adjustRightInd w:val="0"/>
        <w:spacing w:after="240"/>
        <w:jc w:val="both"/>
        <w:rPr>
          <w:rFonts w:asciiTheme="minorBidi" w:hAnsiTheme="minorBidi" w:cstheme="minorBidi"/>
          <w:color w:val="000000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color w:val="000000"/>
          <w:sz w:val="20"/>
          <w:szCs w:val="20"/>
          <w:lang w:val="ru-RU"/>
        </w:rPr>
        <w:t>В структуру Подкомиссии входят:</w:t>
      </w:r>
    </w:p>
    <w:p w14:paraId="141F6935" w14:textId="3C12602F" w:rsidR="00C14EB5" w:rsidRPr="003F6A01" w:rsidRDefault="00C14EB5" w:rsidP="009D0A53">
      <w:pPr>
        <w:tabs>
          <w:tab w:val="clear" w:pos="567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Theme="minorBidi" w:hAnsiTheme="minorBidi" w:cstheme="minorBidi"/>
          <w:color w:val="000000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color w:val="000000"/>
          <w:sz w:val="20"/>
          <w:szCs w:val="20"/>
          <w:lang w:val="ru-RU"/>
        </w:rPr>
        <w:t xml:space="preserve">• </w:t>
      </w:r>
      <w:r w:rsidR="009D0A53">
        <w:rPr>
          <w:rFonts w:asciiTheme="minorBidi" w:hAnsiTheme="minorBidi" w:cstheme="minorBidi"/>
          <w:color w:val="000000"/>
          <w:sz w:val="20"/>
          <w:szCs w:val="20"/>
          <w:lang w:val="ru-RU"/>
        </w:rPr>
        <w:tab/>
      </w:r>
      <w:r w:rsidRPr="003F6A01">
        <w:rPr>
          <w:rFonts w:asciiTheme="minorBidi" w:hAnsiTheme="minorBidi" w:cstheme="minorBidi"/>
          <w:color w:val="000000"/>
          <w:sz w:val="20"/>
          <w:szCs w:val="20"/>
          <w:lang w:val="ru-RU"/>
        </w:rPr>
        <w:t>государства-члены</w:t>
      </w:r>
    </w:p>
    <w:p w14:paraId="1413C8D5" w14:textId="2800BCD3" w:rsidR="00C14EB5" w:rsidRPr="003F6A01" w:rsidRDefault="00C14EB5" w:rsidP="009D0A53">
      <w:pPr>
        <w:tabs>
          <w:tab w:val="clear" w:pos="567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Theme="minorBidi" w:hAnsiTheme="minorBidi" w:cstheme="minorBidi"/>
          <w:color w:val="000000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color w:val="000000"/>
          <w:sz w:val="20"/>
          <w:szCs w:val="20"/>
          <w:lang w:val="ru-RU"/>
        </w:rPr>
        <w:t xml:space="preserve">• </w:t>
      </w:r>
      <w:r w:rsidR="009D0A53">
        <w:rPr>
          <w:rFonts w:asciiTheme="minorBidi" w:hAnsiTheme="minorBidi" w:cstheme="minorBidi"/>
          <w:color w:val="000000"/>
          <w:sz w:val="20"/>
          <w:szCs w:val="20"/>
          <w:lang w:val="ru-RU"/>
        </w:rPr>
        <w:tab/>
      </w:r>
      <w:r w:rsidRPr="003F6A01">
        <w:rPr>
          <w:rFonts w:asciiTheme="minorBidi" w:hAnsiTheme="minorBidi" w:cstheme="minorBidi"/>
          <w:color w:val="000000"/>
          <w:sz w:val="20"/>
          <w:szCs w:val="20"/>
          <w:lang w:val="ru-RU"/>
        </w:rPr>
        <w:t>должностные лица</w:t>
      </w:r>
    </w:p>
    <w:p w14:paraId="560C5E28" w14:textId="1751C60A" w:rsidR="00C14EB5" w:rsidRPr="003F6A01" w:rsidRDefault="00C14EB5" w:rsidP="009D0A53">
      <w:pPr>
        <w:tabs>
          <w:tab w:val="clear" w:pos="567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Theme="minorBidi" w:hAnsiTheme="minorBidi" w:cstheme="minorBidi"/>
          <w:color w:val="000000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color w:val="000000"/>
          <w:sz w:val="20"/>
          <w:szCs w:val="20"/>
          <w:lang w:val="ru-RU"/>
        </w:rPr>
        <w:t xml:space="preserve">• </w:t>
      </w:r>
      <w:r w:rsidR="009D0A53">
        <w:rPr>
          <w:rFonts w:asciiTheme="minorBidi" w:hAnsiTheme="minorBidi" w:cstheme="minorBidi"/>
          <w:color w:val="000000"/>
          <w:sz w:val="20"/>
          <w:szCs w:val="20"/>
          <w:lang w:val="ru-RU"/>
        </w:rPr>
        <w:tab/>
      </w:r>
      <w:r w:rsidRPr="003F6A01">
        <w:rPr>
          <w:rFonts w:asciiTheme="minorBidi" w:hAnsiTheme="minorBidi" w:cstheme="minorBidi"/>
          <w:color w:val="000000"/>
          <w:sz w:val="20"/>
          <w:szCs w:val="20"/>
          <w:lang w:val="ru-RU"/>
        </w:rPr>
        <w:t>тематические или субрегиональные рабочие или целевые группы (по необходимости)</w:t>
      </w:r>
    </w:p>
    <w:p w14:paraId="33850903" w14:textId="46B13E69" w:rsidR="00C14EB5" w:rsidRPr="003F6A01" w:rsidRDefault="00C14EB5" w:rsidP="009D0A53">
      <w:pPr>
        <w:tabs>
          <w:tab w:val="clear" w:pos="567"/>
        </w:tabs>
        <w:autoSpaceDE w:val="0"/>
        <w:autoSpaceDN w:val="0"/>
        <w:adjustRightInd w:val="0"/>
        <w:spacing w:after="240"/>
        <w:ind w:left="284" w:hanging="284"/>
        <w:jc w:val="both"/>
        <w:rPr>
          <w:rFonts w:asciiTheme="minorBidi" w:hAnsiTheme="minorBidi" w:cstheme="minorBidi"/>
          <w:color w:val="000000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color w:val="000000"/>
          <w:sz w:val="20"/>
          <w:szCs w:val="20"/>
          <w:lang w:val="ru-RU"/>
        </w:rPr>
        <w:t xml:space="preserve">• </w:t>
      </w:r>
      <w:r w:rsidR="009D0A53">
        <w:rPr>
          <w:rFonts w:asciiTheme="minorBidi" w:hAnsiTheme="minorBidi" w:cstheme="minorBidi"/>
          <w:color w:val="000000"/>
          <w:sz w:val="20"/>
          <w:szCs w:val="20"/>
          <w:lang w:val="ru-RU"/>
        </w:rPr>
        <w:tab/>
      </w:r>
      <w:r w:rsidRPr="003F6A01">
        <w:rPr>
          <w:rFonts w:asciiTheme="minorBidi" w:hAnsiTheme="minorBidi" w:cstheme="minorBidi"/>
          <w:color w:val="000000"/>
          <w:sz w:val="20"/>
          <w:szCs w:val="20"/>
          <w:lang w:val="ru-RU"/>
        </w:rPr>
        <w:t>секретариат.</w:t>
      </w:r>
    </w:p>
    <w:p w14:paraId="47FC24F0" w14:textId="77777777" w:rsidR="00C14EB5" w:rsidRPr="003F6A01" w:rsidRDefault="00C14EB5" w:rsidP="009D0A53">
      <w:pPr>
        <w:keepNext/>
        <w:numPr>
          <w:ilvl w:val="0"/>
          <w:numId w:val="8"/>
        </w:numPr>
        <w:tabs>
          <w:tab w:val="clear" w:pos="567"/>
        </w:tabs>
        <w:autoSpaceDE w:val="0"/>
        <w:autoSpaceDN w:val="0"/>
        <w:adjustRightInd w:val="0"/>
        <w:spacing w:after="240"/>
        <w:ind w:left="567" w:hanging="567"/>
        <w:jc w:val="both"/>
        <w:rPr>
          <w:rFonts w:asciiTheme="minorBidi" w:hAnsiTheme="minorBidi" w:cstheme="minorBidi"/>
          <w:b/>
          <w:bCs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b/>
          <w:bCs/>
          <w:sz w:val="20"/>
          <w:szCs w:val="20"/>
          <w:lang w:val="ru-RU"/>
        </w:rPr>
        <w:t>Государства-члены</w:t>
      </w:r>
    </w:p>
    <w:p w14:paraId="2F21E840" w14:textId="77777777" w:rsidR="00C14EB5" w:rsidRPr="003F6A01" w:rsidRDefault="00C14EB5" w:rsidP="003F6A01">
      <w:pPr>
        <w:autoSpaceDE w:val="0"/>
        <w:autoSpaceDN w:val="0"/>
        <w:adjustRightInd w:val="0"/>
        <w:spacing w:after="240"/>
        <w:jc w:val="both"/>
        <w:rPr>
          <w:rFonts w:asciiTheme="minorBidi" w:hAnsiTheme="minorBidi" w:cstheme="minorBidi"/>
          <w:color w:val="000000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color w:val="000000"/>
          <w:sz w:val="20"/>
          <w:szCs w:val="20"/>
          <w:lang w:val="ru-RU"/>
        </w:rPr>
        <w:t>В состав Подкомиссии входят государства – члены МОК, которые надлежащим образом уведомили Исполнительного секретаря МОК о своем присоединении к Подкомиссии. Членский состав ИОСИНДИО не ограничивается государствами-членами, географически связанными с Индийским океаном. Национальные координаторы МОК в государствах – членах ИОСИНДИО остаются теми же, что и для МОК.</w:t>
      </w:r>
    </w:p>
    <w:p w14:paraId="669453AB" w14:textId="77777777" w:rsidR="00C14EB5" w:rsidRPr="003F6A01" w:rsidRDefault="00C14EB5" w:rsidP="009D0A53">
      <w:pPr>
        <w:keepNext/>
        <w:numPr>
          <w:ilvl w:val="0"/>
          <w:numId w:val="8"/>
        </w:numPr>
        <w:tabs>
          <w:tab w:val="clear" w:pos="567"/>
        </w:tabs>
        <w:autoSpaceDE w:val="0"/>
        <w:autoSpaceDN w:val="0"/>
        <w:adjustRightInd w:val="0"/>
        <w:spacing w:after="240"/>
        <w:ind w:left="567" w:hanging="567"/>
        <w:jc w:val="both"/>
        <w:rPr>
          <w:rFonts w:asciiTheme="minorBidi" w:hAnsiTheme="minorBidi" w:cstheme="minorBidi"/>
          <w:b/>
          <w:bCs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b/>
          <w:bCs/>
          <w:sz w:val="20"/>
          <w:szCs w:val="20"/>
          <w:lang w:val="ru-RU"/>
        </w:rPr>
        <w:lastRenderedPageBreak/>
        <w:t>Должностные лица</w:t>
      </w:r>
    </w:p>
    <w:p w14:paraId="635AA574" w14:textId="77777777" w:rsidR="00C14EB5" w:rsidRPr="003F6A01" w:rsidRDefault="00C14EB5" w:rsidP="003F6A01">
      <w:pPr>
        <w:autoSpaceDE w:val="0"/>
        <w:autoSpaceDN w:val="0"/>
        <w:adjustRightInd w:val="0"/>
        <w:spacing w:after="240"/>
        <w:jc w:val="both"/>
        <w:rPr>
          <w:rFonts w:asciiTheme="minorBidi" w:hAnsiTheme="minorBidi" w:cstheme="minorBidi"/>
          <w:color w:val="000000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color w:val="000000"/>
          <w:sz w:val="20"/>
          <w:szCs w:val="20"/>
          <w:lang w:val="ru-RU"/>
        </w:rPr>
        <w:t>В совет должностных лиц Подкомиссии входят председатель и два заместителя председателя, избираемые государствами-членами. Работа Совета организуется в соответствии с «Руководящими принципами в отношении структуры и круга ведения вспомогательных органов МОК».</w:t>
      </w:r>
    </w:p>
    <w:p w14:paraId="7EDD5D75" w14:textId="77777777" w:rsidR="00C14EB5" w:rsidRPr="003F6A01" w:rsidRDefault="00C14EB5" w:rsidP="009D0A53">
      <w:pPr>
        <w:keepNext/>
        <w:numPr>
          <w:ilvl w:val="0"/>
          <w:numId w:val="8"/>
        </w:numPr>
        <w:tabs>
          <w:tab w:val="clear" w:pos="567"/>
        </w:tabs>
        <w:autoSpaceDE w:val="0"/>
        <w:autoSpaceDN w:val="0"/>
        <w:adjustRightInd w:val="0"/>
        <w:spacing w:after="240"/>
        <w:ind w:left="567" w:hanging="567"/>
        <w:jc w:val="both"/>
        <w:rPr>
          <w:rFonts w:asciiTheme="minorBidi" w:hAnsiTheme="minorBidi" w:cstheme="minorBidi"/>
          <w:b/>
          <w:bCs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b/>
          <w:bCs/>
          <w:sz w:val="20"/>
          <w:szCs w:val="20"/>
          <w:lang w:val="ru-RU"/>
        </w:rPr>
        <w:t>Рабочие и целевые группы</w:t>
      </w:r>
    </w:p>
    <w:p w14:paraId="0D575C93" w14:textId="77777777" w:rsidR="00C14EB5" w:rsidRPr="003F6A01" w:rsidRDefault="00C14EB5" w:rsidP="003F6A01">
      <w:pPr>
        <w:autoSpaceDE w:val="0"/>
        <w:autoSpaceDN w:val="0"/>
        <w:adjustRightInd w:val="0"/>
        <w:spacing w:after="240"/>
        <w:jc w:val="both"/>
        <w:rPr>
          <w:rFonts w:asciiTheme="minorBidi" w:hAnsiTheme="minorBidi" w:cstheme="minorBidi"/>
          <w:color w:val="000000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color w:val="000000"/>
          <w:sz w:val="20"/>
          <w:szCs w:val="20"/>
          <w:lang w:val="ru-RU"/>
        </w:rPr>
        <w:t>При необходимости Подкомиссия может учреждать собственные вспомогательные рабочие органы с соблюдением «Руководящих принципов в отношении структуры и круга ведения вспомогательных органов МОК». Возможно также учреждение совместных вспомогательных рабочих органов, в частности с подкомиссиями МОКАФРИКА и ВЕСТПАК.</w:t>
      </w:r>
    </w:p>
    <w:p w14:paraId="3BA34F22" w14:textId="77777777" w:rsidR="00C14EB5" w:rsidRPr="003F6A01" w:rsidRDefault="00C14EB5" w:rsidP="009D0A53">
      <w:pPr>
        <w:keepNext/>
        <w:numPr>
          <w:ilvl w:val="0"/>
          <w:numId w:val="8"/>
        </w:numPr>
        <w:tabs>
          <w:tab w:val="clear" w:pos="567"/>
        </w:tabs>
        <w:autoSpaceDE w:val="0"/>
        <w:autoSpaceDN w:val="0"/>
        <w:adjustRightInd w:val="0"/>
        <w:spacing w:after="240"/>
        <w:ind w:left="567" w:hanging="567"/>
        <w:jc w:val="both"/>
        <w:rPr>
          <w:rFonts w:asciiTheme="minorBidi" w:hAnsiTheme="minorBidi" w:cstheme="minorBidi"/>
          <w:b/>
          <w:bCs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b/>
          <w:bCs/>
          <w:sz w:val="20"/>
          <w:szCs w:val="20"/>
          <w:lang w:val="ru-RU"/>
        </w:rPr>
        <w:t>Секретариат</w:t>
      </w:r>
    </w:p>
    <w:p w14:paraId="031FA9B1" w14:textId="77777777" w:rsidR="00C14EB5" w:rsidRPr="003F6A01" w:rsidRDefault="00C14EB5" w:rsidP="003F6A01">
      <w:pPr>
        <w:autoSpaceDE w:val="0"/>
        <w:autoSpaceDN w:val="0"/>
        <w:adjustRightInd w:val="0"/>
        <w:spacing w:after="240"/>
        <w:jc w:val="both"/>
        <w:rPr>
          <w:rFonts w:asciiTheme="minorBidi" w:hAnsiTheme="minorBidi" w:cstheme="minorBidi"/>
          <w:color w:val="000000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color w:val="000000"/>
          <w:sz w:val="20"/>
          <w:szCs w:val="20"/>
          <w:lang w:val="ru-RU"/>
        </w:rPr>
        <w:t>Секретариат ИОСИНДИО функционирует как часть секретариата МОК под руководством Исполнительного секретаря МОК.</w:t>
      </w:r>
    </w:p>
    <w:p w14:paraId="33B23ECA" w14:textId="77777777" w:rsidR="00C14EB5" w:rsidRPr="003F6A01" w:rsidRDefault="00C14EB5" w:rsidP="009D0A53">
      <w:pPr>
        <w:keepNext/>
        <w:numPr>
          <w:ilvl w:val="0"/>
          <w:numId w:val="8"/>
        </w:numPr>
        <w:tabs>
          <w:tab w:val="clear" w:pos="567"/>
        </w:tabs>
        <w:autoSpaceDE w:val="0"/>
        <w:autoSpaceDN w:val="0"/>
        <w:adjustRightInd w:val="0"/>
        <w:spacing w:after="240"/>
        <w:ind w:left="567" w:hanging="567"/>
        <w:jc w:val="both"/>
        <w:rPr>
          <w:rFonts w:asciiTheme="minorBidi" w:hAnsiTheme="minorBidi" w:cstheme="minorBidi"/>
          <w:b/>
          <w:bCs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b/>
          <w:bCs/>
          <w:sz w:val="20"/>
          <w:szCs w:val="20"/>
          <w:lang w:val="ru-RU"/>
        </w:rPr>
        <w:t>Совещания</w:t>
      </w:r>
    </w:p>
    <w:p w14:paraId="581FA0BA" w14:textId="77598055" w:rsidR="00C14EB5" w:rsidRPr="003F6A01" w:rsidRDefault="00C14EB5" w:rsidP="003F6A01">
      <w:pPr>
        <w:autoSpaceDE w:val="0"/>
        <w:autoSpaceDN w:val="0"/>
        <w:adjustRightInd w:val="0"/>
        <w:spacing w:after="240"/>
        <w:jc w:val="both"/>
        <w:rPr>
          <w:rFonts w:asciiTheme="minorBidi" w:hAnsiTheme="minorBidi" w:cstheme="minorBidi"/>
          <w:color w:val="000000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color w:val="000000"/>
          <w:sz w:val="20"/>
          <w:szCs w:val="20"/>
          <w:lang w:val="ru-RU"/>
        </w:rPr>
        <w:t xml:space="preserve">Государства – члены ИОСИНДИО собираются регулярно </w:t>
      </w:r>
      <w:r w:rsidR="009D0A53" w:rsidRPr="003F6A01">
        <w:rPr>
          <w:rFonts w:asciiTheme="minorBidi" w:hAnsiTheme="minorBidi" w:cstheme="minorBidi"/>
          <w:color w:val="000000"/>
          <w:sz w:val="20"/>
          <w:szCs w:val="20"/>
          <w:lang w:val="ru-RU"/>
        </w:rPr>
        <w:t xml:space="preserve">на </w:t>
      </w:r>
      <w:r w:rsidRPr="003F6A01">
        <w:rPr>
          <w:rFonts w:asciiTheme="minorBidi" w:hAnsiTheme="minorBidi" w:cstheme="minorBidi"/>
          <w:color w:val="000000"/>
          <w:sz w:val="20"/>
          <w:szCs w:val="20"/>
          <w:lang w:val="ru-RU"/>
        </w:rPr>
        <w:t>межправительственные совещания, проводимые не реже одного раза в два года, предпочтительно в первой половине года проведения сессии Ассамблеи МОК и заблаговременно до ее начала, с тем чтобы обеспечить возможность качественной подготовки докладов, предусмотренных регламентирующими документами.</w:t>
      </w:r>
    </w:p>
    <w:p w14:paraId="6DAE8A2F" w14:textId="77777777" w:rsidR="00C14EB5" w:rsidRPr="003F6A01" w:rsidRDefault="00C14EB5" w:rsidP="009D0A53">
      <w:pPr>
        <w:keepNext/>
        <w:numPr>
          <w:ilvl w:val="0"/>
          <w:numId w:val="8"/>
        </w:numPr>
        <w:tabs>
          <w:tab w:val="clear" w:pos="567"/>
        </w:tabs>
        <w:autoSpaceDE w:val="0"/>
        <w:autoSpaceDN w:val="0"/>
        <w:adjustRightInd w:val="0"/>
        <w:spacing w:after="240"/>
        <w:ind w:left="567" w:hanging="567"/>
        <w:jc w:val="both"/>
        <w:rPr>
          <w:rFonts w:asciiTheme="minorBidi" w:hAnsiTheme="minorBidi" w:cstheme="minorBidi"/>
          <w:b/>
          <w:bCs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b/>
          <w:bCs/>
          <w:sz w:val="20"/>
          <w:szCs w:val="20"/>
          <w:lang w:val="ru-RU"/>
        </w:rPr>
        <w:t>Бюджетные ресурсы</w:t>
      </w:r>
    </w:p>
    <w:p w14:paraId="5BF8318C" w14:textId="4DCCE770" w:rsidR="00C14EB5" w:rsidRPr="009D0A53" w:rsidRDefault="00C14EB5" w:rsidP="003F6A01">
      <w:pPr>
        <w:autoSpaceDE w:val="0"/>
        <w:autoSpaceDN w:val="0"/>
        <w:adjustRightInd w:val="0"/>
        <w:spacing w:after="240"/>
        <w:jc w:val="both"/>
        <w:rPr>
          <w:rFonts w:asciiTheme="minorBidi" w:hAnsiTheme="minorBidi" w:cstheme="minorBidi"/>
          <w:color w:val="000000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color w:val="000000"/>
          <w:sz w:val="20"/>
          <w:szCs w:val="20"/>
          <w:lang w:val="ru-RU"/>
        </w:rPr>
        <w:t>Подкомиссия МОК для центральной части Индийского океана финансируется за счет средств обычного бюджета МОК и внебюджетных взносов. Подкомиссия активно прорабатывает возможности привлечения дополнительных ресурсов на цели реализации своих программ</w:t>
      </w:r>
      <w:r w:rsidR="009D0A53" w:rsidRPr="009D0A53">
        <w:rPr>
          <w:rFonts w:asciiTheme="minorBidi" w:hAnsiTheme="minorBidi" w:cstheme="minorBidi"/>
          <w:color w:val="000000"/>
          <w:sz w:val="20"/>
          <w:szCs w:val="20"/>
          <w:lang w:val="ru-RU"/>
        </w:rPr>
        <w:t>.</w:t>
      </w:r>
    </w:p>
    <w:p w14:paraId="7DC41862" w14:textId="77777777" w:rsidR="00C14EB5" w:rsidRPr="003F6A01" w:rsidRDefault="00C14EB5" w:rsidP="009D0A53">
      <w:pPr>
        <w:keepNext/>
        <w:numPr>
          <w:ilvl w:val="0"/>
          <w:numId w:val="8"/>
        </w:numPr>
        <w:tabs>
          <w:tab w:val="clear" w:pos="567"/>
        </w:tabs>
        <w:autoSpaceDE w:val="0"/>
        <w:autoSpaceDN w:val="0"/>
        <w:adjustRightInd w:val="0"/>
        <w:spacing w:after="240"/>
        <w:ind w:left="567" w:hanging="567"/>
        <w:jc w:val="both"/>
        <w:rPr>
          <w:rFonts w:asciiTheme="minorBidi" w:hAnsiTheme="minorBidi" w:cstheme="minorBidi"/>
          <w:b/>
          <w:bCs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b/>
          <w:bCs/>
          <w:sz w:val="20"/>
          <w:szCs w:val="20"/>
          <w:lang w:val="ru-RU"/>
        </w:rPr>
        <w:t>Механизмы координации взаимодействия с подкомиссиями сопредельных регионов</w:t>
      </w:r>
    </w:p>
    <w:p w14:paraId="138E1831" w14:textId="2F67C946" w:rsidR="00BF7281" w:rsidRPr="003F6A01" w:rsidRDefault="00C14EB5" w:rsidP="003F6A01">
      <w:pPr>
        <w:pStyle w:val="COI"/>
        <w:numPr>
          <w:ilvl w:val="0"/>
          <w:numId w:val="0"/>
        </w:numPr>
        <w:rPr>
          <w:rFonts w:asciiTheme="minorBidi" w:hAnsiTheme="minorBidi" w:cstheme="minorBidi"/>
          <w:sz w:val="20"/>
          <w:szCs w:val="20"/>
          <w:lang w:val="ru-RU"/>
        </w:rPr>
      </w:pPr>
      <w:r w:rsidRPr="003F6A01">
        <w:rPr>
          <w:rFonts w:asciiTheme="minorBidi" w:hAnsiTheme="minorBidi" w:cstheme="minorBidi"/>
          <w:sz w:val="20"/>
          <w:szCs w:val="20"/>
          <w:lang w:val="ru-RU"/>
        </w:rPr>
        <w:t>Принципиальный подход заключается в том, чтобы обеспечить максимальную практическую полезность совместной работы сопредельных подкомиссий МОК по вопросам, представляющим общий интерес, а также исключить дублирование усилий и какое-либо вмешательство в методы руководства вспомогательных органов МОК, в том числе сопредельных органов. Поощряется сотрудничество по вопросам, представляющим общий интерес, и использование потенциальных возможностей сопредельных региональных вспомогательных органов в области развития потенциала. Всячески приветствуется скоординированный вклад региональных вспомогательных органов в осуществление глобальных программ МОК. Предполагается проведение на регулярной основе консультаций между председателями, советами должностных лиц и секретариатами подкомиссий по вопросам совместного планирования, совместной разработки и совместного осуществления проектов. Деятельность, связанная с разработкой норм и стандартов, обеспечивается на уровне МОК единообразным и применимым ко всем ее органам образом. Их применение на региональном уровне должно осуществляться в соответствии с общими для всех органов стандартами и способствовать совершенствованию общих передовых методов и подходов с учетом в необходимых случаях региональные различий и условий.</w:t>
      </w:r>
    </w:p>
    <w:sectPr w:rsidR="00BF7281" w:rsidRPr="003F6A01" w:rsidSect="001A7FE1">
      <w:headerReference w:type="even" r:id="rId15"/>
      <w:headerReference w:type="default" r:id="rId16"/>
      <w:headerReference w:type="first" r:id="rId17"/>
      <w:type w:val="oddPage"/>
      <w:pgSz w:w="11906" w:h="16838" w:code="9"/>
      <w:pgMar w:top="1418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B73C6" w14:textId="77777777" w:rsidR="00D5474B" w:rsidRDefault="00D5474B">
      <w:r>
        <w:separator/>
      </w:r>
    </w:p>
  </w:endnote>
  <w:endnote w:type="continuationSeparator" w:id="0">
    <w:p w14:paraId="4A23844F" w14:textId="77777777" w:rsidR="00D5474B" w:rsidRDefault="00D5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57628" w14:textId="77777777" w:rsidR="00C537C4" w:rsidRDefault="00C537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473B0" w14:textId="77777777" w:rsidR="00C537C4" w:rsidRDefault="00C537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7D7B3" w14:textId="77777777" w:rsidR="00C537C4" w:rsidRDefault="00C53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CF38A" w14:textId="77777777" w:rsidR="00D5474B" w:rsidRDefault="00D5474B">
      <w:r>
        <w:separator/>
      </w:r>
    </w:p>
  </w:footnote>
  <w:footnote w:type="continuationSeparator" w:id="0">
    <w:p w14:paraId="297CE056" w14:textId="77777777" w:rsidR="00D5474B" w:rsidRDefault="00D5474B">
      <w:r>
        <w:continuationSeparator/>
      </w:r>
    </w:p>
  </w:footnote>
  <w:footnote w:id="1">
    <w:p w14:paraId="7E58CAC4" w14:textId="77777777" w:rsidR="00C14EB5" w:rsidRPr="009D0A53" w:rsidRDefault="00C14EB5" w:rsidP="00C14EB5">
      <w:pPr>
        <w:pStyle w:val="FootnoteText"/>
        <w:jc w:val="both"/>
        <w:rPr>
          <w:rFonts w:cs="Arial"/>
          <w:sz w:val="18"/>
          <w:szCs w:val="18"/>
          <w:lang w:val="ru-RU"/>
        </w:rPr>
      </w:pPr>
      <w:r w:rsidRPr="009D0A53">
        <w:rPr>
          <w:rStyle w:val="FootnoteReference"/>
          <w:sz w:val="18"/>
          <w:szCs w:val="18"/>
        </w:rPr>
        <w:footnoteRef/>
      </w:r>
      <w:r w:rsidRPr="009D0A53">
        <w:rPr>
          <w:sz w:val="18"/>
          <w:szCs w:val="18"/>
          <w:lang w:val="ru-RU"/>
        </w:rPr>
        <w:t xml:space="preserve"> </w:t>
      </w:r>
      <w:r w:rsidRPr="009D0A53">
        <w:rPr>
          <w:sz w:val="18"/>
          <w:szCs w:val="18"/>
          <w:lang w:val="ru-RU"/>
        </w:rPr>
        <w:tab/>
        <w:t xml:space="preserve">«Центральная часть Индийского океана», являющаяся зоной ответственности ИОСИНДИО, примыкает на западе к зоне ответственности МОКАФРИКА, а на востоке – к зоне ответственности ВЕСТПАК.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3F74C" w14:textId="3318F8EB" w:rsidR="00020AA1" w:rsidRPr="00C962F0" w:rsidRDefault="005E0955" w:rsidP="005E0955">
    <w:pPr>
      <w:pStyle w:val="Header"/>
      <w:rPr>
        <w:szCs w:val="22"/>
      </w:rPr>
    </w:pPr>
    <w:r w:rsidRPr="005E0955">
      <w:rPr>
        <w:szCs w:val="22"/>
      </w:rPr>
      <w:t>IOC/A-32/4.</w:t>
    </w:r>
    <w:proofErr w:type="gramStart"/>
    <w:r w:rsidRPr="005E0955">
      <w:rPr>
        <w:szCs w:val="22"/>
      </w:rPr>
      <w:t>5.Doc</w:t>
    </w:r>
    <w:proofErr w:type="gramEnd"/>
    <w:r w:rsidRPr="005E0955">
      <w:rPr>
        <w:szCs w:val="22"/>
      </w:rPr>
      <w:t xml:space="preserve">(1) </w:t>
    </w:r>
    <w:r>
      <w:rPr>
        <w:szCs w:val="22"/>
      </w:rPr>
      <w:t>– p</w:t>
    </w:r>
    <w:r w:rsidR="00020AA1" w:rsidRPr="00C962F0">
      <w:rPr>
        <w:szCs w:val="22"/>
      </w:rPr>
      <w:t>age </w:t>
    </w:r>
    <w:r w:rsidR="00020AA1" w:rsidRPr="00C962F0">
      <w:rPr>
        <w:rStyle w:val="PageNumber"/>
        <w:szCs w:val="22"/>
      </w:rPr>
      <w:fldChar w:fldCharType="begin"/>
    </w:r>
    <w:r w:rsidR="00020AA1" w:rsidRPr="00C962F0">
      <w:rPr>
        <w:rStyle w:val="PageNumber"/>
        <w:szCs w:val="22"/>
      </w:rPr>
      <w:instrText xml:space="preserve"> PAGE </w:instrText>
    </w:r>
    <w:r w:rsidR="00020AA1" w:rsidRPr="00C962F0">
      <w:rPr>
        <w:rStyle w:val="PageNumber"/>
        <w:szCs w:val="22"/>
      </w:rPr>
      <w:fldChar w:fldCharType="separate"/>
    </w:r>
    <w:r w:rsidR="00020AA1">
      <w:rPr>
        <w:rStyle w:val="PageNumber"/>
        <w:noProof/>
        <w:szCs w:val="22"/>
      </w:rPr>
      <w:t>2</w:t>
    </w:r>
    <w:r w:rsidR="00020AA1" w:rsidRPr="00C962F0">
      <w:rPr>
        <w:rStyle w:val="PageNumber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A1705" w14:textId="77777777" w:rsidR="00020AA1" w:rsidRPr="00746B89" w:rsidRDefault="00020AA1" w:rsidP="00DF2FB9">
    <w:pPr>
      <w:pStyle w:val="Header"/>
      <w:tabs>
        <w:tab w:val="clear" w:pos="8306"/>
      </w:tabs>
      <w:rPr>
        <w:szCs w:val="22"/>
      </w:rPr>
    </w:pPr>
    <w:r>
      <w:rPr>
        <w:lang w:val="ru-RU"/>
      </w:rPr>
      <w:t>IOC-XXIV/2 Annex __</w:t>
    </w:r>
  </w:p>
  <w:p w14:paraId="22E204FE" w14:textId="77777777" w:rsidR="00020AA1" w:rsidRPr="00746B89" w:rsidRDefault="00020AA1" w:rsidP="00DF2FB9">
    <w:pPr>
      <w:pStyle w:val="Header"/>
      <w:tabs>
        <w:tab w:val="clear" w:pos="8306"/>
      </w:tabs>
      <w:rPr>
        <w:szCs w:val="22"/>
      </w:rPr>
    </w:pPr>
    <w:r w:rsidRPr="00746B89">
      <w:rPr>
        <w:szCs w:val="22"/>
      </w:rPr>
      <w:t>Page </w:t>
    </w:r>
    <w:r w:rsidRPr="00746B89">
      <w:rPr>
        <w:rStyle w:val="PageNumber"/>
        <w:szCs w:val="22"/>
      </w:rPr>
      <w:fldChar w:fldCharType="begin"/>
    </w:r>
    <w:r w:rsidRPr="00746B89">
      <w:rPr>
        <w:rStyle w:val="PageNumber"/>
        <w:szCs w:val="22"/>
      </w:rPr>
      <w:instrText xml:space="preserve"> PAGE </w:instrText>
    </w:r>
    <w:r w:rsidRPr="00746B89">
      <w:rPr>
        <w:rStyle w:val="PageNumber"/>
        <w:szCs w:val="22"/>
      </w:rPr>
      <w:fldChar w:fldCharType="separate"/>
    </w:r>
    <w:r>
      <w:rPr>
        <w:rStyle w:val="PageNumber"/>
        <w:noProof/>
        <w:szCs w:val="22"/>
      </w:rPr>
      <w:t>3</w:t>
    </w:r>
    <w:r w:rsidRPr="00746B89">
      <w:rPr>
        <w:rStyle w:val="PageNumber"/>
        <w:szCs w:val="22"/>
      </w:rPr>
      <w:fldChar w:fldCharType="end"/>
    </w:r>
  </w:p>
  <w:p w14:paraId="53E64682" w14:textId="77777777" w:rsidR="00020AA1" w:rsidRPr="00DF2FB9" w:rsidRDefault="00020AA1" w:rsidP="00DF2FB9">
    <w:pPr>
      <w:pStyle w:val="Header"/>
      <w:rPr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8F15" w14:textId="60122A42" w:rsidR="00B8392A" w:rsidRPr="00864FC8" w:rsidRDefault="00B8392A" w:rsidP="00060604">
    <w:pPr>
      <w:pStyle w:val="Marge"/>
      <w:tabs>
        <w:tab w:val="left" w:pos="6237"/>
        <w:tab w:val="left" w:pos="7560"/>
      </w:tabs>
      <w:spacing w:after="0"/>
      <w:rPr>
        <w:rFonts w:cs="Arial"/>
        <w:b/>
        <w:szCs w:val="22"/>
        <w:lang w:val="ru-RU"/>
      </w:rPr>
    </w:pPr>
    <w:r>
      <w:rPr>
        <w:lang w:val="ru-RU"/>
      </w:rPr>
      <w:t>Рассылается по списку</w:t>
    </w:r>
    <w:r>
      <w:rPr>
        <w:lang w:val="ru-RU"/>
      </w:rPr>
      <w:tab/>
    </w:r>
    <w:r w:rsidRPr="00182419">
      <w:rPr>
        <w:b/>
        <w:bCs/>
        <w:sz w:val="36"/>
        <w:szCs w:val="36"/>
        <w:lang w:val="ru-RU"/>
      </w:rPr>
      <w:t>IOC/A-32/4.5.Doc(1)</w:t>
    </w:r>
    <w:r w:rsidRPr="00182419">
      <w:rPr>
        <w:sz w:val="36"/>
        <w:szCs w:val="36"/>
        <w:lang w:val="ru-RU"/>
      </w:rPr>
      <w:t xml:space="preserve"> </w:t>
    </w:r>
  </w:p>
  <w:p w14:paraId="52340A4B" w14:textId="36DCEBEF" w:rsidR="00B8392A" w:rsidRPr="00C14EB5" w:rsidRDefault="00B8392A" w:rsidP="00060604">
    <w:pPr>
      <w:tabs>
        <w:tab w:val="clear" w:pos="567"/>
        <w:tab w:val="left" w:pos="6237"/>
        <w:tab w:val="left" w:pos="7560"/>
      </w:tabs>
      <w:jc w:val="both"/>
      <w:rPr>
        <w:rFonts w:cs="Arial"/>
        <w:szCs w:val="22"/>
        <w:lang w:val="ru-RU"/>
      </w:rPr>
    </w:pPr>
    <w:r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7E099623" wp14:editId="0EBB7C4C">
          <wp:simplePos x="0" y="0"/>
          <wp:positionH relativeFrom="column">
            <wp:posOffset>-114935</wp:posOffset>
          </wp:positionH>
          <wp:positionV relativeFrom="paragraph">
            <wp:posOffset>50800</wp:posOffset>
          </wp:positionV>
          <wp:extent cx="1578610" cy="1047115"/>
          <wp:effectExtent l="0" t="0" r="2540" b="63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61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ru-RU"/>
      </w:rPr>
      <w:tab/>
      <w:t>Париж, 29 мая 2023 г.</w:t>
    </w:r>
  </w:p>
  <w:p w14:paraId="317BCE24" w14:textId="77777777" w:rsidR="00B8392A" w:rsidRPr="00C14EB5" w:rsidRDefault="00B8392A" w:rsidP="00060604">
    <w:pPr>
      <w:tabs>
        <w:tab w:val="clear" w:pos="567"/>
        <w:tab w:val="left" w:pos="6237"/>
        <w:tab w:val="left" w:pos="7560"/>
      </w:tabs>
      <w:jc w:val="both"/>
      <w:rPr>
        <w:rFonts w:cs="Arial"/>
        <w:szCs w:val="22"/>
        <w:lang w:val="ru-RU"/>
      </w:rPr>
    </w:pPr>
    <w:r>
      <w:rPr>
        <w:lang w:val="ru-RU"/>
      </w:rPr>
      <w:tab/>
      <w:t>Оригинал: английский</w:t>
    </w:r>
  </w:p>
  <w:p w14:paraId="75A00E52" w14:textId="77777777" w:rsidR="00B8392A" w:rsidRPr="00C14EB5" w:rsidRDefault="00B8392A" w:rsidP="00B8392A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45"/>
        <w:tab w:val="left" w:pos="5523"/>
        <w:tab w:val="left" w:pos="5812"/>
        <w:tab w:val="left" w:pos="7020"/>
        <w:tab w:val="left" w:pos="7088"/>
      </w:tabs>
      <w:jc w:val="both"/>
      <w:rPr>
        <w:rFonts w:cs="Arial"/>
        <w:b/>
        <w:szCs w:val="22"/>
        <w:lang w:val="ru-RU"/>
      </w:rPr>
    </w:pPr>
  </w:p>
  <w:p w14:paraId="1852586D" w14:textId="77777777" w:rsidR="00B8392A" w:rsidRPr="00C14EB5" w:rsidRDefault="00B8392A" w:rsidP="00B8392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  <w:lang w:val="ru-RU"/>
      </w:rPr>
    </w:pPr>
  </w:p>
  <w:p w14:paraId="2A171229" w14:textId="77777777" w:rsidR="00B8392A" w:rsidRPr="00C14EB5" w:rsidRDefault="00B8392A" w:rsidP="00B8392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  <w:lang w:val="ru-RU"/>
      </w:rPr>
    </w:pPr>
  </w:p>
  <w:p w14:paraId="52206A16" w14:textId="77777777" w:rsidR="00B8392A" w:rsidRPr="00C14EB5" w:rsidRDefault="00B8392A" w:rsidP="00B8392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  <w:lang w:val="ru-RU"/>
      </w:rPr>
    </w:pPr>
  </w:p>
  <w:p w14:paraId="4092BADD" w14:textId="77777777" w:rsidR="00B8392A" w:rsidRPr="00C14EB5" w:rsidRDefault="00B8392A" w:rsidP="00B8392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  <w:lang w:val="ru-RU"/>
      </w:rPr>
    </w:pPr>
  </w:p>
  <w:p w14:paraId="58178733" w14:textId="77777777" w:rsidR="00B8392A" w:rsidRPr="00C14EB5" w:rsidRDefault="00B8392A" w:rsidP="00B8392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ind w:left="2772"/>
      <w:rPr>
        <w:rFonts w:cs="Arial"/>
        <w:b/>
        <w:szCs w:val="22"/>
        <w:lang w:val="ru-RU"/>
      </w:rPr>
    </w:pPr>
  </w:p>
  <w:p w14:paraId="19AAA458" w14:textId="41374F35" w:rsidR="00B8392A" w:rsidRPr="00C14EB5" w:rsidRDefault="00182419" w:rsidP="00B8392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  <w:szCs w:val="22"/>
        <w:lang w:val="ru-RU"/>
      </w:rPr>
    </w:pPr>
    <w:r>
      <w:rPr>
        <w:b/>
        <w:bCs/>
        <w:lang w:val="ru-RU"/>
      </w:rPr>
      <w:t>МЕЖПРАВИТЕЛЬСТВЕННАЯ ОКЕАНОГРАФИЧЕСКАЯ КОМИССИЯ</w:t>
    </w:r>
  </w:p>
  <w:p w14:paraId="426F7E43" w14:textId="77777777" w:rsidR="00B8392A" w:rsidRPr="00C14EB5" w:rsidRDefault="00B8392A" w:rsidP="00B8392A">
    <w:pPr>
      <w:tabs>
        <w:tab w:val="left" w:pos="-1440"/>
        <w:tab w:val="left" w:pos="-720"/>
        <w:tab w:val="left" w:pos="72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  <w:lang w:val="ru-RU"/>
      </w:rPr>
    </w:pPr>
    <w:r>
      <w:rPr>
        <w:lang w:val="ru-RU"/>
      </w:rPr>
      <w:t>(ЮНЕСКО)</w:t>
    </w:r>
  </w:p>
  <w:p w14:paraId="4A4BB651" w14:textId="77777777" w:rsidR="00B8392A" w:rsidRPr="00C14EB5" w:rsidRDefault="00B8392A" w:rsidP="00B8392A"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  <w:szCs w:val="22"/>
        <w:lang w:val="ru-RU"/>
      </w:rPr>
    </w:pPr>
  </w:p>
  <w:p w14:paraId="559E236E" w14:textId="77777777" w:rsidR="00B8392A" w:rsidRPr="00C14EB5" w:rsidRDefault="00B8392A" w:rsidP="00B8392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/>
        <w:lang w:val="ru-RU"/>
      </w:rPr>
    </w:pPr>
    <w:r>
      <w:rPr>
        <w:b/>
        <w:bCs/>
        <w:lang w:val="ru-RU"/>
      </w:rPr>
      <w:t>Тридцать вторая сессия Ассамблеи</w:t>
    </w:r>
  </w:p>
  <w:p w14:paraId="2EC22348" w14:textId="77777777" w:rsidR="00B8392A" w:rsidRPr="00C14EB5" w:rsidRDefault="00B8392A" w:rsidP="00B8392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szCs w:val="22"/>
        <w:lang w:val="ru-RU"/>
      </w:rPr>
    </w:pPr>
    <w:r>
      <w:rPr>
        <w:lang w:val="ru-RU"/>
      </w:rPr>
      <w:t>ЮНЕСКО, 21-30 июня 2023 г.</w:t>
    </w:r>
  </w:p>
  <w:p w14:paraId="68D03F58" w14:textId="77777777" w:rsidR="00B8392A" w:rsidRPr="00C14EB5" w:rsidRDefault="00B8392A" w:rsidP="00B8392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  <w:lang w:val="ru-RU"/>
      </w:rPr>
    </w:pPr>
  </w:p>
  <w:p w14:paraId="16E0B8AB" w14:textId="77777777" w:rsidR="005325C8" w:rsidRPr="00C14EB5" w:rsidRDefault="005325C8" w:rsidP="00B8392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  <w:lang w:val="ru-RU"/>
      </w:rPr>
    </w:pPr>
  </w:p>
  <w:p w14:paraId="60C40836" w14:textId="77777777" w:rsidR="005325C8" w:rsidRPr="00C14EB5" w:rsidRDefault="005325C8" w:rsidP="00B8392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  <w:lang w:val="ru-RU"/>
      </w:rPr>
    </w:pPr>
  </w:p>
  <w:p w14:paraId="0237CD58" w14:textId="77777777" w:rsidR="005E0955" w:rsidRPr="00C14EB5" w:rsidRDefault="005E0955" w:rsidP="00B8392A">
    <w:pPr>
      <w:tabs>
        <w:tab w:val="left" w:pos="-1440"/>
        <w:tab w:val="left" w:pos="-720"/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523"/>
        <w:tab w:val="left" w:pos="6480"/>
      </w:tabs>
      <w:jc w:val="center"/>
      <w:rPr>
        <w:rFonts w:cs="Arial"/>
        <w:bCs/>
        <w:szCs w:val="22"/>
        <w:lang w:val="ru-RU"/>
      </w:rPr>
    </w:pPr>
  </w:p>
  <w:p w14:paraId="43AD2227" w14:textId="46974E90" w:rsidR="00B8392A" w:rsidRPr="00C14EB5" w:rsidRDefault="00B8392A" w:rsidP="00B8392A">
    <w:pPr>
      <w:pStyle w:val="Heading7"/>
      <w:tabs>
        <w:tab w:val="clear" w:pos="567"/>
        <w:tab w:val="right" w:pos="9540"/>
      </w:tabs>
      <w:rPr>
        <w:rFonts w:asciiTheme="minorBidi" w:hAnsiTheme="minorBidi" w:cstheme="minorBidi"/>
        <w:szCs w:val="22"/>
        <w:lang w:val="ru-RU"/>
      </w:rPr>
    </w:pPr>
    <w:r>
      <w:rPr>
        <w:lang w:val="ru-RU"/>
      </w:rPr>
      <w:t xml:space="preserve">Пункт </w:t>
    </w:r>
    <w:r>
      <w:rPr>
        <w:b/>
        <w:bCs/>
        <w:lang w:val="ru-RU"/>
      </w:rPr>
      <w:t>4.5</w:t>
    </w:r>
    <w:r>
      <w:rPr>
        <w:lang w:val="ru-RU"/>
      </w:rPr>
      <w:t xml:space="preserve"> предварительной повестки дня</w:t>
    </w:r>
  </w:p>
  <w:p w14:paraId="640414B2" w14:textId="77777777" w:rsidR="00B8392A" w:rsidRPr="00C14EB5" w:rsidRDefault="00B8392A" w:rsidP="00B8392A">
    <w:pPr>
      <w:rPr>
        <w:rFonts w:cs="Arial"/>
        <w:szCs w:val="22"/>
        <w:lang w:val="ru-RU"/>
      </w:rPr>
    </w:pPr>
  </w:p>
  <w:p w14:paraId="410D1328" w14:textId="77777777" w:rsidR="005E0955" w:rsidRPr="00C14EB5" w:rsidRDefault="005E0955" w:rsidP="00B8392A">
    <w:pPr>
      <w:rPr>
        <w:rFonts w:cs="Arial"/>
        <w:szCs w:val="22"/>
        <w:lang w:val="ru-RU"/>
      </w:rPr>
    </w:pPr>
  </w:p>
  <w:p w14:paraId="5BB23CAD" w14:textId="77777777" w:rsidR="005E0955" w:rsidRPr="00C14EB5" w:rsidRDefault="005E0955" w:rsidP="00B8392A">
    <w:pPr>
      <w:rPr>
        <w:rFonts w:cs="Arial"/>
        <w:szCs w:val="22"/>
        <w:lang w:val="ru-RU"/>
      </w:rPr>
    </w:pPr>
  </w:p>
  <w:p w14:paraId="19DE40F6" w14:textId="6EDE2D38" w:rsidR="005E0955" w:rsidRPr="00182419" w:rsidRDefault="005E0955" w:rsidP="00182419">
    <w:pPr>
      <w:pStyle w:val="Heading3"/>
      <w:ind w:left="0" w:firstLine="0"/>
    </w:pPr>
    <w:r w:rsidRPr="00182419">
      <w:t>Заключительный доклад межсессионной рабочей группы</w:t>
    </w:r>
    <w:r w:rsidR="00182419">
      <w:br/>
    </w:r>
    <w:r w:rsidRPr="00182419">
      <w:t>открытого состава по статусу Регионального комитета МОК для центральной части Индийского океана (ИОСИНДИО) за 2022-2023 гг.</w:t>
    </w:r>
  </w:p>
  <w:p w14:paraId="7691A439" w14:textId="5BB6B802" w:rsidR="001870C1" w:rsidRPr="00C14EB5" w:rsidRDefault="00182419" w:rsidP="00182419">
    <w:pPr>
      <w:pStyle w:val="Heading3"/>
      <w:ind w:left="0" w:firstLine="0"/>
    </w:pPr>
    <w:r>
      <w:t>Предложение о создании подкомиссии МОК для центральной части Индийского океана (ИОСИНДИО)</w:t>
    </w:r>
  </w:p>
  <w:p w14:paraId="6FDD5F28" w14:textId="77777777" w:rsidR="00020AA1" w:rsidRPr="00C14EB5" w:rsidRDefault="00020AA1" w:rsidP="00B8392A">
    <w:pPr>
      <w:pStyle w:val="Header"/>
      <w:rPr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DC63A" w14:textId="1E467F54" w:rsidR="00020AA1" w:rsidRPr="00B8392A" w:rsidRDefault="005E0955" w:rsidP="00746B89">
    <w:pPr>
      <w:pStyle w:val="Header"/>
      <w:tabs>
        <w:tab w:val="clear" w:pos="8306"/>
      </w:tabs>
      <w:rPr>
        <w:rFonts w:cs="Arial"/>
        <w:sz w:val="20"/>
        <w:szCs w:val="20"/>
        <w:lang w:val="pt-PT"/>
      </w:rPr>
    </w:pPr>
    <w:r w:rsidRPr="005E0955">
      <w:rPr>
        <w:szCs w:val="22"/>
      </w:rPr>
      <w:t>IOC/A-32/4.</w:t>
    </w:r>
    <w:proofErr w:type="gramStart"/>
    <w:r w:rsidRPr="005E0955">
      <w:rPr>
        <w:szCs w:val="22"/>
      </w:rPr>
      <w:t>5.Doc</w:t>
    </w:r>
    <w:proofErr w:type="gramEnd"/>
    <w:r w:rsidRPr="005E0955">
      <w:rPr>
        <w:szCs w:val="22"/>
      </w:rPr>
      <w:t xml:space="preserve">(1) </w:t>
    </w:r>
    <w:r>
      <w:rPr>
        <w:szCs w:val="22"/>
      </w:rPr>
      <w:t>– p</w:t>
    </w:r>
    <w:r w:rsidRPr="00C962F0">
      <w:rPr>
        <w:szCs w:val="22"/>
      </w:rPr>
      <w:t>age </w:t>
    </w:r>
    <w:r w:rsidRPr="00C962F0">
      <w:rPr>
        <w:rStyle w:val="PageNumber"/>
        <w:szCs w:val="22"/>
      </w:rPr>
      <w:fldChar w:fldCharType="begin"/>
    </w:r>
    <w:r w:rsidRPr="00C962F0">
      <w:rPr>
        <w:rStyle w:val="PageNumber"/>
        <w:szCs w:val="22"/>
      </w:rPr>
      <w:instrText xml:space="preserve"> PAGE </w:instrText>
    </w:r>
    <w:r w:rsidRPr="00C962F0">
      <w:rPr>
        <w:rStyle w:val="PageNumber"/>
        <w:szCs w:val="22"/>
      </w:rPr>
      <w:fldChar w:fldCharType="separate"/>
    </w:r>
    <w:r>
      <w:rPr>
        <w:rStyle w:val="PageNumber"/>
        <w:szCs w:val="22"/>
      </w:rPr>
      <w:t>2</w:t>
    </w:r>
    <w:r w:rsidRPr="00C962F0">
      <w:rPr>
        <w:rStyle w:val="PageNumber"/>
        <w:szCs w:val="22"/>
      </w:rPr>
      <w:fldChar w:fldCharType="end"/>
    </w:r>
    <w:r w:rsidR="00020AA1" w:rsidRPr="006842FA">
      <w:rPr>
        <w:rStyle w:val="PageNumber"/>
        <w:rFonts w:cs="Arial"/>
        <w:sz w:val="20"/>
        <w:szCs w:val="20"/>
      </w:rPr>
      <w:fldChar w:fldCharType="begin"/>
    </w:r>
    <w:r w:rsidR="00020AA1" w:rsidRPr="00B8392A">
      <w:rPr>
        <w:rStyle w:val="PageNumber"/>
        <w:rFonts w:cs="Arial"/>
        <w:sz w:val="20"/>
        <w:szCs w:val="20"/>
        <w:lang w:val="pt-PT"/>
      </w:rPr>
      <w:instrText xml:space="preserve"> PAGE </w:instrText>
    </w:r>
    <w:r w:rsidR="00020AA1" w:rsidRPr="006842FA">
      <w:rPr>
        <w:rStyle w:val="PageNumber"/>
        <w:rFonts w:cs="Arial"/>
        <w:sz w:val="20"/>
        <w:szCs w:val="20"/>
      </w:rPr>
      <w:fldChar w:fldCharType="separate"/>
    </w:r>
    <w:r w:rsidR="00056F67" w:rsidRPr="00B8392A">
      <w:rPr>
        <w:rStyle w:val="PageNumber"/>
        <w:rFonts w:cs="Arial"/>
        <w:noProof/>
        <w:sz w:val="20"/>
        <w:szCs w:val="20"/>
        <w:lang w:val="pt-PT"/>
      </w:rPr>
      <w:t>2</w:t>
    </w:r>
    <w:r w:rsidR="00020AA1" w:rsidRPr="006842FA">
      <w:rPr>
        <w:rStyle w:val="PageNumber"/>
        <w:rFonts w:cs="Arial"/>
        <w:sz w:val="20"/>
        <w:szCs w:val="20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CB546" w14:textId="6DF01F3D" w:rsidR="00020AA1" w:rsidRPr="00003B31" w:rsidRDefault="005E0955" w:rsidP="00060604">
    <w:pPr>
      <w:pStyle w:val="Header"/>
      <w:ind w:left="6663"/>
      <w:rPr>
        <w:rFonts w:cs="Arial"/>
        <w:szCs w:val="22"/>
        <w:lang w:val="fr-FR"/>
      </w:rPr>
    </w:pPr>
    <w:r w:rsidRPr="005E0955">
      <w:rPr>
        <w:szCs w:val="22"/>
      </w:rPr>
      <w:t>IOC/A-32/4.</w:t>
    </w:r>
    <w:proofErr w:type="gramStart"/>
    <w:r w:rsidRPr="005E0955">
      <w:rPr>
        <w:szCs w:val="22"/>
      </w:rPr>
      <w:t>5.Doc</w:t>
    </w:r>
    <w:proofErr w:type="gramEnd"/>
    <w:r w:rsidRPr="005E0955">
      <w:rPr>
        <w:szCs w:val="22"/>
      </w:rPr>
      <w:t xml:space="preserve">(1) </w:t>
    </w:r>
    <w:r>
      <w:rPr>
        <w:szCs w:val="22"/>
      </w:rPr>
      <w:t>– p</w:t>
    </w:r>
    <w:r w:rsidRPr="00C962F0">
      <w:rPr>
        <w:szCs w:val="22"/>
      </w:rPr>
      <w:t>age </w:t>
    </w:r>
    <w:r w:rsidRPr="00C962F0">
      <w:rPr>
        <w:rStyle w:val="PageNumber"/>
        <w:szCs w:val="22"/>
      </w:rPr>
      <w:fldChar w:fldCharType="begin"/>
    </w:r>
    <w:r w:rsidRPr="00C962F0">
      <w:rPr>
        <w:rStyle w:val="PageNumber"/>
        <w:szCs w:val="22"/>
      </w:rPr>
      <w:instrText xml:space="preserve"> PAGE </w:instrText>
    </w:r>
    <w:r w:rsidRPr="00C962F0">
      <w:rPr>
        <w:rStyle w:val="PageNumber"/>
        <w:szCs w:val="22"/>
      </w:rPr>
      <w:fldChar w:fldCharType="separate"/>
    </w:r>
    <w:r>
      <w:rPr>
        <w:rStyle w:val="PageNumber"/>
        <w:szCs w:val="22"/>
      </w:rPr>
      <w:t>2</w:t>
    </w:r>
    <w:r w:rsidRPr="00C962F0">
      <w:rPr>
        <w:rStyle w:val="PageNumber"/>
        <w:szCs w:val="22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7A33" w14:textId="2212E14E" w:rsidR="00020AA1" w:rsidRPr="00B8392A" w:rsidRDefault="005E0955" w:rsidP="00294AD5">
    <w:pPr>
      <w:pStyle w:val="Header"/>
      <w:jc w:val="right"/>
      <w:rPr>
        <w:rFonts w:cs="Arial"/>
        <w:sz w:val="20"/>
        <w:szCs w:val="20"/>
        <w:lang w:val="pt-PT"/>
      </w:rPr>
    </w:pPr>
    <w:r w:rsidRPr="005E0955">
      <w:rPr>
        <w:szCs w:val="22"/>
      </w:rPr>
      <w:t>IOC/A-32/4.</w:t>
    </w:r>
    <w:proofErr w:type="gramStart"/>
    <w:r w:rsidRPr="005E0955">
      <w:rPr>
        <w:szCs w:val="22"/>
      </w:rPr>
      <w:t>5.Doc</w:t>
    </w:r>
    <w:proofErr w:type="gramEnd"/>
    <w:r w:rsidRPr="005E0955">
      <w:rPr>
        <w:szCs w:val="22"/>
      </w:rPr>
      <w:t>(1)</w:t>
    </w:r>
    <w:r w:rsidR="001A7FE1" w:rsidRPr="00B8392A">
      <w:rPr>
        <w:rFonts w:cs="Arial"/>
        <w:sz w:val="20"/>
        <w:szCs w:val="20"/>
        <w:lang w:val="pt-P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07E48FC"/>
    <w:lvl w:ilvl="0">
      <w:start w:val="1"/>
      <w:numFmt w:val="lowerRoman"/>
      <w:pStyle w:val="Listnumbered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</w:abstractNum>
  <w:abstractNum w:abstractNumId="1" w15:restartNumberingAfterBreak="0">
    <w:nsid w:val="00E05284"/>
    <w:multiLevelType w:val="hybridMultilevel"/>
    <w:tmpl w:val="678A88A8"/>
    <w:lvl w:ilvl="0" w:tplc="DE62F300">
      <w:start w:val="1"/>
      <w:numFmt w:val="lowerRoman"/>
      <w:lvlText w:val="(%1)"/>
      <w:lvlJc w:val="left"/>
      <w:pPr>
        <w:ind w:left="24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0CF263AC"/>
    <w:multiLevelType w:val="hybridMultilevel"/>
    <w:tmpl w:val="2506A2EE"/>
    <w:lvl w:ilvl="0" w:tplc="5410399A">
      <w:start w:val="1"/>
      <w:numFmt w:val="bullet"/>
      <w:pStyle w:val="ListBullet2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67DE"/>
    <w:multiLevelType w:val="hybridMultilevel"/>
    <w:tmpl w:val="01EE51E4"/>
    <w:lvl w:ilvl="0" w:tplc="DE62F300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00B1C9C"/>
    <w:multiLevelType w:val="hybridMultilevel"/>
    <w:tmpl w:val="23A85EFA"/>
    <w:lvl w:ilvl="0" w:tplc="CFBCE88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14937280"/>
    <w:multiLevelType w:val="hybridMultilevel"/>
    <w:tmpl w:val="199AA0B4"/>
    <w:lvl w:ilvl="0" w:tplc="DE62F3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778E7"/>
    <w:multiLevelType w:val="hybridMultilevel"/>
    <w:tmpl w:val="936ABD88"/>
    <w:lvl w:ilvl="0" w:tplc="846A4D78">
      <w:start w:val="1"/>
      <w:numFmt w:val="decimal"/>
      <w:lvlText w:val="%1."/>
      <w:lvlJc w:val="left"/>
      <w:pPr>
        <w:ind w:left="19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14D83"/>
    <w:multiLevelType w:val="singleLevel"/>
    <w:tmpl w:val="1E94858C"/>
    <w:lvl w:ilvl="0">
      <w:start w:val="1"/>
      <w:numFmt w:val="bullet"/>
      <w:pStyle w:val="TIRETbul1cm"/>
      <w:lvlText w:val=""/>
      <w:lvlJc w:val="left"/>
      <w:pPr>
        <w:tabs>
          <w:tab w:val="num" w:pos="644"/>
        </w:tabs>
        <w:ind w:left="284" w:firstLine="0"/>
      </w:pPr>
      <w:rPr>
        <w:rFonts w:ascii="Symbol" w:hAnsi="Symbol" w:hint="default"/>
      </w:rPr>
    </w:lvl>
  </w:abstractNum>
  <w:abstractNum w:abstractNumId="8" w15:restartNumberingAfterBreak="0">
    <w:nsid w:val="368B1ED5"/>
    <w:multiLevelType w:val="hybridMultilevel"/>
    <w:tmpl w:val="B4767FD8"/>
    <w:lvl w:ilvl="0" w:tplc="1ED68020">
      <w:start w:val="1"/>
      <w:numFmt w:val="lowerRoman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04C64"/>
    <w:multiLevelType w:val="hybridMultilevel"/>
    <w:tmpl w:val="BE2E72B4"/>
    <w:lvl w:ilvl="0" w:tplc="BCA6AA7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301CBE"/>
    <w:multiLevelType w:val="hybridMultilevel"/>
    <w:tmpl w:val="18188E14"/>
    <w:lvl w:ilvl="0" w:tplc="3BC2E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E3098D"/>
    <w:multiLevelType w:val="hybridMultilevel"/>
    <w:tmpl w:val="30E669A2"/>
    <w:lvl w:ilvl="0" w:tplc="DAC42986">
      <w:start w:val="1"/>
      <w:numFmt w:val="decimal"/>
      <w:pStyle w:val="COI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6D7C69"/>
    <w:multiLevelType w:val="hybridMultilevel"/>
    <w:tmpl w:val="9A2ADFF8"/>
    <w:lvl w:ilvl="0" w:tplc="1ED68020">
      <w:start w:val="1"/>
      <w:numFmt w:val="lowerRoman"/>
      <w:lvlText w:val="(%1)"/>
      <w:lvlJc w:val="left"/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521240">
    <w:abstractNumId w:val="7"/>
  </w:num>
  <w:num w:numId="2" w16cid:durableId="1650400057">
    <w:abstractNumId w:val="9"/>
  </w:num>
  <w:num w:numId="3" w16cid:durableId="1612126248">
    <w:abstractNumId w:val="0"/>
  </w:num>
  <w:num w:numId="4" w16cid:durableId="45305583">
    <w:abstractNumId w:val="2"/>
  </w:num>
  <w:num w:numId="5" w16cid:durableId="389113237">
    <w:abstractNumId w:val="4"/>
  </w:num>
  <w:num w:numId="6" w16cid:durableId="283928511">
    <w:abstractNumId w:val="9"/>
  </w:num>
  <w:num w:numId="7" w16cid:durableId="216667034">
    <w:abstractNumId w:val="9"/>
  </w:num>
  <w:num w:numId="8" w16cid:durableId="310063922">
    <w:abstractNumId w:val="6"/>
  </w:num>
  <w:num w:numId="9" w16cid:durableId="257981055">
    <w:abstractNumId w:val="10"/>
  </w:num>
  <w:num w:numId="10" w16cid:durableId="963729030">
    <w:abstractNumId w:val="12"/>
  </w:num>
  <w:num w:numId="11" w16cid:durableId="940183587">
    <w:abstractNumId w:val="1"/>
  </w:num>
  <w:num w:numId="12" w16cid:durableId="1899127467">
    <w:abstractNumId w:val="5"/>
  </w:num>
  <w:num w:numId="13" w16cid:durableId="300383407">
    <w:abstractNumId w:val="11"/>
  </w:num>
  <w:num w:numId="14" w16cid:durableId="1763842127">
    <w:abstractNumId w:val="11"/>
  </w:num>
  <w:num w:numId="15" w16cid:durableId="432287313">
    <w:abstractNumId w:val="11"/>
  </w:num>
  <w:num w:numId="16" w16cid:durableId="2041776363">
    <w:abstractNumId w:val="8"/>
  </w:num>
  <w:num w:numId="17" w16cid:durableId="103071699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autoHyphenation/>
  <w:hyphenationZone w:val="425"/>
  <w:doNotHyphenateCaps/>
  <w:evenAndOddHeaders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C1"/>
    <w:rsid w:val="00003B31"/>
    <w:rsid w:val="00005A98"/>
    <w:rsid w:val="00010BBB"/>
    <w:rsid w:val="00020AA1"/>
    <w:rsid w:val="00037B5E"/>
    <w:rsid w:val="00056F67"/>
    <w:rsid w:val="00060604"/>
    <w:rsid w:val="000659D4"/>
    <w:rsid w:val="00082CBB"/>
    <w:rsid w:val="00085D6A"/>
    <w:rsid w:val="000F0254"/>
    <w:rsid w:val="0010142F"/>
    <w:rsid w:val="00123719"/>
    <w:rsid w:val="001241D7"/>
    <w:rsid w:val="00137E97"/>
    <w:rsid w:val="001448C4"/>
    <w:rsid w:val="00155393"/>
    <w:rsid w:val="001572C7"/>
    <w:rsid w:val="00167158"/>
    <w:rsid w:val="00182419"/>
    <w:rsid w:val="001870C1"/>
    <w:rsid w:val="00192BBB"/>
    <w:rsid w:val="00196052"/>
    <w:rsid w:val="001A7FE1"/>
    <w:rsid w:val="001B2763"/>
    <w:rsid w:val="001B3B24"/>
    <w:rsid w:val="001C6455"/>
    <w:rsid w:val="001E6D3B"/>
    <w:rsid w:val="00204FB1"/>
    <w:rsid w:val="00205639"/>
    <w:rsid w:val="0021210D"/>
    <w:rsid w:val="00294AD5"/>
    <w:rsid w:val="002C7DE3"/>
    <w:rsid w:val="002E0859"/>
    <w:rsid w:val="002E77D6"/>
    <w:rsid w:val="00307A79"/>
    <w:rsid w:val="0034156B"/>
    <w:rsid w:val="003561BE"/>
    <w:rsid w:val="003653E5"/>
    <w:rsid w:val="003805F5"/>
    <w:rsid w:val="003A7860"/>
    <w:rsid w:val="003D3711"/>
    <w:rsid w:val="003F55CF"/>
    <w:rsid w:val="003F6A01"/>
    <w:rsid w:val="003F7186"/>
    <w:rsid w:val="004031FB"/>
    <w:rsid w:val="00413F17"/>
    <w:rsid w:val="00414B92"/>
    <w:rsid w:val="00424DE6"/>
    <w:rsid w:val="004529B8"/>
    <w:rsid w:val="00467E3F"/>
    <w:rsid w:val="00477D35"/>
    <w:rsid w:val="004A0851"/>
    <w:rsid w:val="004A135F"/>
    <w:rsid w:val="004B0E5E"/>
    <w:rsid w:val="004B1AD7"/>
    <w:rsid w:val="004C1625"/>
    <w:rsid w:val="004F7D6C"/>
    <w:rsid w:val="0051303B"/>
    <w:rsid w:val="005325C8"/>
    <w:rsid w:val="00544D68"/>
    <w:rsid w:val="00576270"/>
    <w:rsid w:val="005B515F"/>
    <w:rsid w:val="005C7A36"/>
    <w:rsid w:val="005C7D76"/>
    <w:rsid w:val="005E0955"/>
    <w:rsid w:val="005E5280"/>
    <w:rsid w:val="005E544C"/>
    <w:rsid w:val="006110DA"/>
    <w:rsid w:val="00633EA5"/>
    <w:rsid w:val="00640DE8"/>
    <w:rsid w:val="00650056"/>
    <w:rsid w:val="006842FA"/>
    <w:rsid w:val="0068682C"/>
    <w:rsid w:val="00690A0C"/>
    <w:rsid w:val="00690FD2"/>
    <w:rsid w:val="00693199"/>
    <w:rsid w:val="006B4B95"/>
    <w:rsid w:val="006C18D9"/>
    <w:rsid w:val="006C6449"/>
    <w:rsid w:val="00702241"/>
    <w:rsid w:val="007068B5"/>
    <w:rsid w:val="00737A18"/>
    <w:rsid w:val="00746B89"/>
    <w:rsid w:val="0079212B"/>
    <w:rsid w:val="00796DF4"/>
    <w:rsid w:val="008033B4"/>
    <w:rsid w:val="008048D2"/>
    <w:rsid w:val="0081004E"/>
    <w:rsid w:val="008269C4"/>
    <w:rsid w:val="00834C0C"/>
    <w:rsid w:val="00853565"/>
    <w:rsid w:val="00864FC8"/>
    <w:rsid w:val="008A6E5C"/>
    <w:rsid w:val="008B384B"/>
    <w:rsid w:val="008C627D"/>
    <w:rsid w:val="008D2398"/>
    <w:rsid w:val="008F6942"/>
    <w:rsid w:val="009026D3"/>
    <w:rsid w:val="0094221F"/>
    <w:rsid w:val="00972A32"/>
    <w:rsid w:val="00976DE6"/>
    <w:rsid w:val="00993CA4"/>
    <w:rsid w:val="009B63AB"/>
    <w:rsid w:val="009C0A89"/>
    <w:rsid w:val="009C15B1"/>
    <w:rsid w:val="009D0A53"/>
    <w:rsid w:val="009E6A03"/>
    <w:rsid w:val="009F3A67"/>
    <w:rsid w:val="009F7769"/>
    <w:rsid w:val="00A11697"/>
    <w:rsid w:val="00A25BC8"/>
    <w:rsid w:val="00A34738"/>
    <w:rsid w:val="00A3791B"/>
    <w:rsid w:val="00A870F6"/>
    <w:rsid w:val="00A93D6B"/>
    <w:rsid w:val="00AA3784"/>
    <w:rsid w:val="00AD3D55"/>
    <w:rsid w:val="00AF0C68"/>
    <w:rsid w:val="00B0167E"/>
    <w:rsid w:val="00B722DE"/>
    <w:rsid w:val="00B83068"/>
    <w:rsid w:val="00B8392A"/>
    <w:rsid w:val="00B94ABD"/>
    <w:rsid w:val="00BD6603"/>
    <w:rsid w:val="00BF069C"/>
    <w:rsid w:val="00BF3835"/>
    <w:rsid w:val="00BF7281"/>
    <w:rsid w:val="00C1002D"/>
    <w:rsid w:val="00C1314E"/>
    <w:rsid w:val="00C14EB5"/>
    <w:rsid w:val="00C2635E"/>
    <w:rsid w:val="00C3684D"/>
    <w:rsid w:val="00C4032B"/>
    <w:rsid w:val="00C537C4"/>
    <w:rsid w:val="00C6486C"/>
    <w:rsid w:val="00C648D3"/>
    <w:rsid w:val="00C64EE2"/>
    <w:rsid w:val="00C75B02"/>
    <w:rsid w:val="00C962F0"/>
    <w:rsid w:val="00CC0C1D"/>
    <w:rsid w:val="00D013ED"/>
    <w:rsid w:val="00D16D70"/>
    <w:rsid w:val="00D34E70"/>
    <w:rsid w:val="00D36BDC"/>
    <w:rsid w:val="00D5049E"/>
    <w:rsid w:val="00D5474B"/>
    <w:rsid w:val="00D55FEC"/>
    <w:rsid w:val="00DA1A23"/>
    <w:rsid w:val="00DF2FB9"/>
    <w:rsid w:val="00E05AA7"/>
    <w:rsid w:val="00E3760A"/>
    <w:rsid w:val="00E63DEF"/>
    <w:rsid w:val="00E64936"/>
    <w:rsid w:val="00E95D47"/>
    <w:rsid w:val="00EA7318"/>
    <w:rsid w:val="00ED22B6"/>
    <w:rsid w:val="00EE0542"/>
    <w:rsid w:val="00F0499A"/>
    <w:rsid w:val="00F11026"/>
    <w:rsid w:val="00F32454"/>
    <w:rsid w:val="00F463F2"/>
    <w:rsid w:val="00F616CB"/>
    <w:rsid w:val="00F8186D"/>
    <w:rsid w:val="00FB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F5C214D"/>
  <w15:docId w15:val="{2B2B85C4-68A5-4433-A9BD-37082E93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4DE6"/>
    <w:pPr>
      <w:tabs>
        <w:tab w:val="left" w:pos="567"/>
      </w:tabs>
      <w:snapToGrid w:val="0"/>
    </w:pPr>
    <w:rPr>
      <w:rFonts w:ascii="Arial" w:hAnsi="Arial"/>
      <w:snapToGrid w:val="0"/>
      <w:sz w:val="22"/>
      <w:szCs w:val="24"/>
      <w:lang w:val="en-GB" w:eastAsia="en-US"/>
    </w:rPr>
  </w:style>
  <w:style w:type="paragraph" w:styleId="Heading1">
    <w:name w:val="heading 1"/>
    <w:basedOn w:val="Normal"/>
    <w:next w:val="Marge"/>
    <w:qFormat/>
    <w:pPr>
      <w:keepNext/>
      <w:keepLines/>
      <w:spacing w:before="240" w:after="240"/>
      <w:jc w:val="center"/>
      <w:outlineLvl w:val="0"/>
    </w:pPr>
    <w:rPr>
      <w:b/>
      <w:bCs/>
      <w:kern w:val="28"/>
    </w:rPr>
  </w:style>
  <w:style w:type="paragraph" w:styleId="Heading2">
    <w:name w:val="heading 2"/>
    <w:basedOn w:val="Normal"/>
    <w:next w:val="Marge"/>
    <w:qFormat/>
    <w:pPr>
      <w:keepNext/>
      <w:keepLines/>
      <w:spacing w:before="480" w:after="240"/>
      <w:ind w:left="567" w:hanging="567"/>
      <w:outlineLvl w:val="1"/>
    </w:pPr>
    <w:rPr>
      <w:b/>
      <w:bCs/>
    </w:rPr>
  </w:style>
  <w:style w:type="paragraph" w:styleId="Heading3">
    <w:name w:val="heading 3"/>
    <w:basedOn w:val="Normal"/>
    <w:next w:val="Marge"/>
    <w:autoRedefine/>
    <w:qFormat/>
    <w:rsid w:val="00182419"/>
    <w:pPr>
      <w:keepNext/>
      <w:keepLines/>
      <w:tabs>
        <w:tab w:val="clear" w:pos="567"/>
      </w:tabs>
      <w:spacing w:after="240"/>
      <w:ind w:left="709" w:hanging="709"/>
      <w:jc w:val="center"/>
      <w:outlineLvl w:val="2"/>
    </w:pPr>
    <w:rPr>
      <w:rFonts w:eastAsia="Arial Unicode MS" w:cs="Arial"/>
      <w:b/>
      <w:bCs/>
      <w:color w:val="000000"/>
      <w:sz w:val="28"/>
      <w:szCs w:val="28"/>
      <w:lang w:val="ru-RU"/>
    </w:rPr>
  </w:style>
  <w:style w:type="paragraph" w:styleId="Heading4">
    <w:name w:val="heading 4"/>
    <w:basedOn w:val="Normal"/>
    <w:next w:val="Marge"/>
    <w:qFormat/>
    <w:pPr>
      <w:keepNext/>
      <w:keepLines/>
      <w:spacing w:after="240"/>
      <w:outlineLvl w:val="3"/>
    </w:pPr>
    <w:rPr>
      <w:b/>
      <w:bCs/>
    </w:rPr>
  </w:style>
  <w:style w:type="paragraph" w:styleId="Heading5">
    <w:name w:val="heading 5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1134" w:hanging="567"/>
      <w:outlineLvl w:val="4"/>
    </w:pPr>
    <w:rPr>
      <w:b/>
      <w:bCs/>
    </w:rPr>
  </w:style>
  <w:style w:type="paragraph" w:styleId="Heading6">
    <w:name w:val="heading 6"/>
    <w:basedOn w:val="Normal"/>
    <w:next w:val="Marge"/>
    <w:qFormat/>
    <w:pPr>
      <w:keepNext/>
      <w:keepLines/>
      <w:tabs>
        <w:tab w:val="clear" w:pos="567"/>
        <w:tab w:val="left" w:pos="1134"/>
      </w:tabs>
      <w:spacing w:after="240"/>
      <w:ind w:left="567"/>
      <w:outlineLvl w:val="5"/>
    </w:pPr>
    <w:rPr>
      <w:b/>
      <w:iCs/>
      <w:szCs w:val="22"/>
    </w:rPr>
  </w:style>
  <w:style w:type="paragraph" w:styleId="Heading7">
    <w:name w:val="heading 7"/>
    <w:basedOn w:val="Normal"/>
    <w:next w:val="Normal"/>
    <w:qFormat/>
    <w:pPr>
      <w:keepNext/>
      <w:spacing w:line="360" w:lineRule="atLeast"/>
      <w:outlineLvl w:val="6"/>
    </w:pPr>
    <w:rPr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E0859"/>
    <w:pPr>
      <w:spacing w:before="240" w:after="60"/>
      <w:outlineLvl w:val="8"/>
    </w:pPr>
    <w:rPr>
      <w:rFonts w:eastAsia="SimSun" w:cs="Arial"/>
      <w:b/>
      <w:bCs/>
      <w:i/>
      <w:iCs/>
      <w:sz w:val="18"/>
      <w:szCs w:val="18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e">
    <w:name w:val="Marge"/>
    <w:basedOn w:val="Par"/>
    <w:link w:val="MargeChar"/>
    <w:qFormat/>
    <w:pPr>
      <w:ind w:firstLine="0"/>
    </w:pPr>
  </w:style>
  <w:style w:type="paragraph" w:customStyle="1" w:styleId="Par">
    <w:name w:val="Par"/>
    <w:basedOn w:val="Normal"/>
    <w:link w:val="ParChar"/>
    <w:pPr>
      <w:spacing w:after="240"/>
      <w:ind w:firstLine="567"/>
      <w:jc w:val="both"/>
    </w:pPr>
  </w:style>
  <w:style w:type="paragraph" w:customStyle="1" w:styleId="a">
    <w:name w:val="(a)"/>
    <w:basedOn w:val="Normal"/>
    <w:pPr>
      <w:tabs>
        <w:tab w:val="left" w:pos="-737"/>
      </w:tabs>
      <w:spacing w:after="240"/>
      <w:ind w:left="567" w:hanging="567"/>
      <w:jc w:val="both"/>
    </w:pPr>
  </w:style>
  <w:style w:type="paragraph" w:customStyle="1" w:styleId="b">
    <w:name w:val="(b)"/>
    <w:basedOn w:val="a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pPr>
      <w:tabs>
        <w:tab w:val="clear" w:pos="567"/>
        <w:tab w:val="left" w:pos="1701"/>
      </w:tabs>
      <w:spacing w:after="240"/>
      <w:ind w:left="1701" w:hanging="567"/>
      <w:jc w:val="both"/>
    </w:pPr>
  </w:style>
  <w:style w:type="paragraph" w:customStyle="1" w:styleId="alina">
    <w:name w:val="alinéa"/>
    <w:basedOn w:val="Normal"/>
    <w:pPr>
      <w:snapToGrid/>
      <w:spacing w:after="240"/>
      <w:ind w:left="567"/>
      <w:jc w:val="both"/>
    </w:pPr>
    <w:rPr>
      <w:snapToGrid/>
    </w:rPr>
  </w:style>
  <w:style w:type="character" w:styleId="FootnoteReference">
    <w:name w:val="footnote reference"/>
    <w:uiPriority w:val="99"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uiPriority w:val="99"/>
    <w:semiHidden/>
    <w:pPr>
      <w:ind w:left="567" w:hanging="567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TIRETbul1cm">
    <w:name w:val="TIRET bul 1cm"/>
    <w:basedOn w:val="Normal"/>
    <w:pPr>
      <w:numPr>
        <w:numId w:val="1"/>
      </w:numPr>
      <w:tabs>
        <w:tab w:val="clear" w:pos="567"/>
        <w:tab w:val="clear" w:pos="644"/>
        <w:tab w:val="num" w:pos="851"/>
      </w:tabs>
      <w:adjustRightInd w:val="0"/>
      <w:spacing w:after="240"/>
      <w:ind w:left="851" w:hanging="284"/>
      <w:jc w:val="both"/>
    </w:pPr>
  </w:style>
  <w:style w:type="paragraph" w:customStyle="1" w:styleId="Serre">
    <w:name w:val="Serre"/>
    <w:basedOn w:val="Normal"/>
    <w:pPr>
      <w:tabs>
        <w:tab w:val="clear" w:pos="567"/>
      </w:tabs>
      <w:suppressAutoHyphens/>
      <w:snapToGrid/>
      <w:jc w:val="both"/>
      <w:outlineLvl w:val="2"/>
    </w:pPr>
    <w:rPr>
      <w:snapToGrid/>
      <w:szCs w:val="20"/>
      <w:lang w:eastAsia="fr-FR"/>
    </w:rPr>
  </w:style>
  <w:style w:type="paragraph" w:customStyle="1" w:styleId="COI">
    <w:name w:val="COI"/>
    <w:basedOn w:val="Marge"/>
    <w:link w:val="COIChar"/>
    <w:autoRedefine/>
    <w:rsid w:val="007068B5"/>
    <w:pPr>
      <w:numPr>
        <w:numId w:val="13"/>
      </w:numPr>
      <w:tabs>
        <w:tab w:val="clear" w:pos="567"/>
        <w:tab w:val="left" w:pos="709"/>
      </w:tabs>
      <w:ind w:left="0" w:firstLine="0"/>
    </w:pPr>
    <w:rPr>
      <w:rFonts w:eastAsia="Arial Unicode MS"/>
      <w:szCs w:val="22"/>
    </w:rPr>
  </w:style>
  <w:style w:type="paragraph" w:styleId="BlockText">
    <w:name w:val="Block Text"/>
    <w:basedOn w:val="Normal"/>
    <w:pPr>
      <w:tabs>
        <w:tab w:val="clear" w:pos="567"/>
      </w:tabs>
      <w:snapToGrid/>
      <w:ind w:left="360" w:right="540"/>
      <w:jc w:val="both"/>
    </w:pPr>
    <w:rPr>
      <w:i/>
      <w:iCs/>
      <w:snapToGrid/>
      <w:lang w:val="en-US"/>
    </w:rPr>
  </w:style>
  <w:style w:type="paragraph" w:styleId="BodyText2">
    <w:name w:val="Body Text 2"/>
    <w:basedOn w:val="Normal"/>
    <w:pPr>
      <w:tabs>
        <w:tab w:val="clear" w:pos="567"/>
      </w:tabs>
      <w:snapToGrid/>
      <w:spacing w:before="100" w:beforeAutospacing="1" w:after="100" w:afterAutospacing="1" w:line="360" w:lineRule="auto"/>
    </w:pPr>
    <w:rPr>
      <w:rFonts w:eastAsia="MS Mincho" w:cs="Arial"/>
      <w:snapToGrid/>
      <w:color w:val="FF0000"/>
      <w:lang w:val="en-US" w:eastAsia="ja-JP"/>
    </w:rPr>
  </w:style>
  <w:style w:type="paragraph" w:styleId="BodyTextIndent">
    <w:name w:val="Body Text Indent"/>
    <w:aliases w:val="Quotation"/>
    <w:basedOn w:val="Normal"/>
    <w:rsid w:val="008D2398"/>
    <w:pPr>
      <w:tabs>
        <w:tab w:val="clear" w:pos="567"/>
      </w:tabs>
      <w:snapToGrid/>
      <w:spacing w:before="120" w:after="100" w:afterAutospacing="1"/>
      <w:ind w:left="1134" w:right="1134"/>
      <w:jc w:val="both"/>
    </w:pPr>
    <w:rPr>
      <w:i/>
      <w:snapToGrid/>
    </w:rPr>
  </w:style>
  <w:style w:type="paragraph" w:customStyle="1" w:styleId="Docheading">
    <w:name w:val="Doc. heading"/>
    <w:basedOn w:val="Header"/>
    <w:rsid w:val="009C15B1"/>
    <w:pPr>
      <w:spacing w:after="480"/>
      <w:jc w:val="center"/>
    </w:pPr>
    <w:rPr>
      <w:rFonts w:cs="Arial"/>
      <w:b/>
      <w:bCs/>
      <w:sz w:val="24"/>
    </w:rPr>
  </w:style>
  <w:style w:type="paragraph" w:styleId="BodyTextFirstIndent2">
    <w:name w:val="Body Text First Indent 2"/>
    <w:basedOn w:val="BodyTextIndent"/>
    <w:rsid w:val="008D2398"/>
    <w:pPr>
      <w:tabs>
        <w:tab w:val="left" w:pos="567"/>
      </w:tabs>
      <w:snapToGrid w:val="0"/>
      <w:spacing w:after="120"/>
      <w:ind w:left="283" w:firstLine="210"/>
      <w:jc w:val="left"/>
    </w:pPr>
    <w:rPr>
      <w:snapToGrid w:val="0"/>
    </w:rPr>
  </w:style>
  <w:style w:type="paragraph" w:customStyle="1" w:styleId="Listnumbered">
    <w:name w:val="List numbered"/>
    <w:basedOn w:val="ListBullet2"/>
    <w:autoRedefine/>
    <w:rsid w:val="00D013ED"/>
    <w:pPr>
      <w:numPr>
        <w:numId w:val="3"/>
      </w:numPr>
      <w:jc w:val="both"/>
    </w:pPr>
  </w:style>
  <w:style w:type="paragraph" w:customStyle="1" w:styleId="Style1">
    <w:name w:val="Style1"/>
    <w:basedOn w:val="Listnumbered"/>
    <w:autoRedefine/>
    <w:rsid w:val="006B4B95"/>
  </w:style>
  <w:style w:type="character" w:customStyle="1" w:styleId="ParChar">
    <w:name w:val="Par Char"/>
    <w:link w:val="Par"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paragraph" w:styleId="ListBullet2">
    <w:name w:val="List Bullet 2"/>
    <w:basedOn w:val="Normal"/>
    <w:rsid w:val="006B4B95"/>
    <w:pPr>
      <w:numPr>
        <w:numId w:val="4"/>
      </w:numPr>
      <w:spacing w:after="240"/>
    </w:pPr>
  </w:style>
  <w:style w:type="character" w:customStyle="1" w:styleId="MargeChar">
    <w:name w:val="Marge Char"/>
    <w:basedOn w:val="ParChar"/>
    <w:link w:val="Marge"/>
    <w:qFormat/>
    <w:rsid w:val="00690FD2"/>
    <w:rPr>
      <w:rFonts w:ascii="Arial" w:hAnsi="Arial"/>
      <w:snapToGrid w:val="0"/>
      <w:sz w:val="22"/>
      <w:szCs w:val="24"/>
      <w:lang w:val="en-GB" w:eastAsia="en-US" w:bidi="ar-SA"/>
    </w:rPr>
  </w:style>
  <w:style w:type="character" w:customStyle="1" w:styleId="COIChar">
    <w:name w:val="COI Char"/>
    <w:link w:val="COI"/>
    <w:rsid w:val="007068B5"/>
    <w:rPr>
      <w:rFonts w:ascii="Arial" w:eastAsia="Arial Unicode MS" w:hAnsi="Arial"/>
      <w:snapToGrid w:val="0"/>
      <w:sz w:val="22"/>
      <w:szCs w:val="22"/>
      <w:lang w:val="en-GB" w:eastAsia="en-US"/>
    </w:rPr>
  </w:style>
  <w:style w:type="character" w:customStyle="1" w:styleId="Heading9Char">
    <w:name w:val="Heading 9 Char"/>
    <w:link w:val="Heading9"/>
    <w:semiHidden/>
    <w:locked/>
    <w:rsid w:val="002E0859"/>
    <w:rPr>
      <w:rFonts w:ascii="Arial" w:eastAsia="SimSun" w:hAnsi="Arial" w:cs="Arial"/>
      <w:b/>
      <w:bCs/>
      <w:i/>
      <w:iCs/>
      <w:snapToGrid w:val="0"/>
      <w:sz w:val="18"/>
      <w:szCs w:val="18"/>
      <w:u w:val="single"/>
      <w:lang w:val="en-GB" w:eastAsia="zh-CN" w:bidi="ar-SA"/>
    </w:rPr>
  </w:style>
  <w:style w:type="character" w:customStyle="1" w:styleId="Titre9Car1">
    <w:name w:val="Titre 9 Car1"/>
    <w:semiHidden/>
    <w:rsid w:val="002E0859"/>
    <w:rPr>
      <w:rFonts w:ascii="Cambria" w:eastAsia="Times New Roman" w:hAnsi="Cambria" w:cs="Times New Roman"/>
      <w:snapToGrid w:val="0"/>
      <w:sz w:val="22"/>
      <w:szCs w:val="22"/>
      <w:lang w:val="en-GB" w:eastAsia="en-US"/>
    </w:rPr>
  </w:style>
  <w:style w:type="character" w:styleId="Hyperlink">
    <w:name w:val="Hyperlink"/>
    <w:basedOn w:val="DefaultParagraphFont"/>
    <w:rsid w:val="00C2635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4032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56F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6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6F67"/>
    <w:rPr>
      <w:rFonts w:ascii="Arial" w:hAnsi="Arial"/>
      <w:snapToGrid w:val="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6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6F67"/>
    <w:rPr>
      <w:rFonts w:ascii="Arial" w:hAnsi="Arial"/>
      <w:b/>
      <w:bCs/>
      <w:snapToGrid w:val="0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056F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56F67"/>
    <w:rPr>
      <w:rFonts w:ascii="Segoe UI" w:hAnsi="Segoe UI" w:cs="Segoe UI"/>
      <w:snapToGrid w:val="0"/>
      <w:sz w:val="18"/>
      <w:szCs w:val="18"/>
      <w:lang w:val="en-GB" w:eastAsia="en-US"/>
    </w:rPr>
  </w:style>
  <w:style w:type="paragraph" w:styleId="NoSpacing">
    <w:name w:val="No Spacing"/>
    <w:uiPriority w:val="1"/>
    <w:qFormat/>
    <w:rsid w:val="003653E5"/>
    <w:rPr>
      <w:rFonts w:ascii="Calibri" w:eastAsiaTheme="minorEastAsia" w:hAnsi="Calibri" w:cs="Calibri"/>
      <w:sz w:val="22"/>
      <w:szCs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D3B"/>
    <w:rPr>
      <w:rFonts w:ascii="Arial" w:hAnsi="Arial"/>
      <w:snapToGrid w:val="0"/>
      <w:lang w:val="en-GB" w:eastAsia="en-US"/>
    </w:rPr>
  </w:style>
  <w:style w:type="paragraph" w:styleId="ListParagraph">
    <w:name w:val="List Paragraph"/>
    <w:aliases w:val="ADB List Paragraph,Dot pt,List Paragraph Char Char Char,Indicator Text,Numbered Para 1,List Paragraph12,Bullet Points,MAIN CONTENT,Bullet 1,Light Grid - Accent 31,References,Indent Paragraph,stil3"/>
    <w:basedOn w:val="Normal"/>
    <w:link w:val="ListParagraphChar"/>
    <w:uiPriority w:val="34"/>
    <w:qFormat/>
    <w:rsid w:val="00976DE6"/>
    <w:pPr>
      <w:ind w:left="720"/>
      <w:contextualSpacing/>
    </w:pPr>
  </w:style>
  <w:style w:type="character" w:customStyle="1" w:styleId="ListParagraphChar">
    <w:name w:val="List Paragraph Char"/>
    <w:aliases w:val="ADB List Paragraph Char,Dot pt Char,List Paragraph Char Char Char Char,Indicator Text Char,Numbered Para 1 Char,List Paragraph12 Char,Bullet Points Char,MAIN CONTENT Char,Bullet 1 Char,Light Grid - Accent 31 Char,References Char"/>
    <w:link w:val="ListParagraph"/>
    <w:uiPriority w:val="34"/>
    <w:qFormat/>
    <w:locked/>
    <w:rsid w:val="00976DE6"/>
    <w:rPr>
      <w:rFonts w:ascii="Arial" w:hAnsi="Arial"/>
      <w:snapToGrid w:val="0"/>
      <w:sz w:val="22"/>
      <w:szCs w:val="24"/>
      <w:lang w:val="en-GB" w:eastAsia="en-US"/>
    </w:rPr>
  </w:style>
  <w:style w:type="paragraph" w:styleId="Revision">
    <w:name w:val="Revision"/>
    <w:hidden/>
    <w:uiPriority w:val="99"/>
    <w:semiHidden/>
    <w:rsid w:val="005E0955"/>
    <w:rPr>
      <w:rFonts w:ascii="Arial" w:hAnsi="Arial"/>
      <w:snapToGrid w:val="0"/>
      <w:sz w:val="22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1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64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9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68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3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12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300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oceanexpert.org/document/30430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_ahanhanzo\Documents\IOC-32%20Session%20Assembly\Action%20Paper_IOC-32_20-30%20June%202023\IOC-32%20WD%20templa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A965C-5AFF-0E41-971C-F8BB1A9F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IOC-32 WD template</Template>
  <TotalTime>2</TotalTime>
  <Pages>7</Pages>
  <Words>1946</Words>
  <Characters>14267</Characters>
  <Application>Microsoft Office Word</Application>
  <DocSecurity>4</DocSecurity>
  <Lines>118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The Road to the UN Year</vt:lpstr>
      <vt:lpstr>The Road to the UN Year</vt:lpstr>
    </vt:vector>
  </TitlesOfParts>
  <Company>UNESCO</Company>
  <LinksUpToDate>false</LinksUpToDate>
  <CharactersWithSpaces>16181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Заключительный доклад межсессионной рабочей группы_x000d_
открытого состава по статусу Регионального комитета МОК для центральной части Индийского океана (ИОСИНДИО) за 2022-2023 гг._x000d_
Предложение о создании подкомиссии МОК для центральной ча-сти Индийского океана (ИОСИНДИО)</dc:title>
  <dc:subject>IOC/A-32/4.5.Goc(1)</dc:subject>
  <dc:creator>na</dc:creator>
  <cp:keywords>0</cp:keywords>
  <dc:description/>
  <cp:lastModifiedBy>Boned, Patrice</cp:lastModifiedBy>
  <cp:revision>2</cp:revision>
  <cp:lastPrinted>2002-06-12T09:28:00Z</cp:lastPrinted>
  <dcterms:created xsi:type="dcterms:W3CDTF">2023-06-12T09:14:00Z</dcterms:created>
  <dcterms:modified xsi:type="dcterms:W3CDTF">2023-06-12T09:14:00Z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With">
    <vt:lpwstr>Mercury</vt:lpwstr>
  </property>
  <property fmtid="{D5CDD505-2E9C-101B-9397-08002B2CF9AE}" pid="3" name="GeneratedBy">
    <vt:lpwstr>natali.bogdanova</vt:lpwstr>
  </property>
  <property fmtid="{D5CDD505-2E9C-101B-9397-08002B2CF9AE}" pid="4" name="GeneratedDate">
    <vt:lpwstr>06/08/2023 08:48:06</vt:lpwstr>
  </property>
  <property fmtid="{D5CDD505-2E9C-101B-9397-08002B2CF9AE}" pid="5" name="OriginalDocID">
    <vt:lpwstr>342be99b-8c3f-4f05-93e1-bf7f4c2752f1</vt:lpwstr>
  </property>
  <property fmtid="{D5CDD505-2E9C-101B-9397-08002B2CF9AE}" pid="6" name="JobDCPMS">
    <vt:lpwstr>2301900</vt:lpwstr>
  </property>
  <property fmtid="{D5CDD505-2E9C-101B-9397-08002B2CF9AE}" pid="7" name="Language">
    <vt:lpwstr>R</vt:lpwstr>
  </property>
</Properties>
</file>