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83CB" w14:textId="4B2A07F8" w:rsidR="00FA68D9" w:rsidRDefault="00FA68D9"/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8005"/>
      </w:tblGrid>
      <w:tr w:rsidR="00FA68D9" w14:paraId="1709CCC6" w14:textId="77777777" w:rsidTr="005B0804">
        <w:trPr>
          <w:trHeight w:val="4689"/>
          <w:jc w:val="center"/>
        </w:trPr>
        <w:tc>
          <w:tcPr>
            <w:tcW w:w="8005" w:type="dxa"/>
          </w:tcPr>
          <w:p w14:paraId="33D8523D" w14:textId="2EFF265F" w:rsidR="001B5075" w:rsidRPr="001B5075" w:rsidRDefault="001B5075" w:rsidP="00BD55EA">
            <w:pPr>
              <w:tabs>
                <w:tab w:val="clear" w:pos="567"/>
              </w:tabs>
              <w:snapToGrid/>
              <w:spacing w:before="120" w:after="24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sz w:val="22"/>
                <w:szCs w:val="22"/>
                <w:u w:val="single"/>
              </w:rPr>
              <w:t>Резюме</w:t>
            </w:r>
          </w:p>
          <w:p w14:paraId="26382FE7" w14:textId="7339C061" w:rsidR="002F2691" w:rsidRPr="003C2B06" w:rsidRDefault="002F2691" w:rsidP="00023CA0">
            <w:pPr>
              <w:widowControl w:val="0"/>
              <w:shd w:val="clear" w:color="auto" w:fill="FFFFFF"/>
              <w:adjustRightInd w:val="0"/>
              <w:spacing w:after="240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3C2B06">
              <w:rPr>
                <w:rFonts w:ascii="Arial" w:hAnsi="Arial" w:cs="Arial"/>
                <w:sz w:val="22"/>
                <w:szCs w:val="22"/>
              </w:rPr>
              <w:t xml:space="preserve">В настоящем документе представлен обзор финансового положения специального счета МОК по состоянию на конец 2022 г., включая предлагаемые корректировки на 2022-2023 гг. и обновленный прогноз на 2023 г. Финансовый отчет за период с 1 января по 31 декабря 2022 г. представлен в </w:t>
            </w:r>
            <w:hyperlink w:anchor="a1" w:history="1">
              <w:r w:rsidRPr="003C2B06">
                <w:rPr>
                  <w:rStyle w:val="Hyperlink"/>
                  <w:rFonts w:ascii="Arial" w:hAnsi="Arial" w:cs="Arial"/>
                  <w:sz w:val="22"/>
                  <w:szCs w:val="22"/>
                </w:rPr>
                <w:t>приложении</w:t>
              </w:r>
            </w:hyperlink>
            <w:r w:rsidRPr="003C2B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2B06" w:rsidRPr="003C2B06">
              <w:rPr>
                <w:rFonts w:ascii="Arial" w:hAnsi="Arial" w:cs="Arial"/>
                <w:sz w:val="22"/>
                <w:szCs w:val="22"/>
              </w:rPr>
              <w:t>(</w:t>
            </w:r>
            <w:r w:rsidRPr="003C2B06">
              <w:rPr>
                <w:rFonts w:ascii="Arial" w:hAnsi="Arial" w:cs="Arial"/>
                <w:sz w:val="22"/>
                <w:szCs w:val="22"/>
              </w:rPr>
              <w:t>только на английском языке</w:t>
            </w:r>
            <w:r w:rsidR="003C2B06" w:rsidRPr="003C2B06">
              <w:rPr>
                <w:rFonts w:ascii="Arial" w:hAnsi="Arial" w:cs="Arial"/>
                <w:sz w:val="22"/>
                <w:szCs w:val="22"/>
              </w:rPr>
              <w:t>)</w:t>
            </w:r>
            <w:r w:rsidRPr="003C2B0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050125" w14:textId="37569E4D" w:rsidR="00FA68D9" w:rsidRDefault="002F2691" w:rsidP="00023CA0">
            <w:pPr>
              <w:tabs>
                <w:tab w:val="clear" w:pos="567"/>
              </w:tabs>
              <w:snapToGrid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B06">
              <w:rPr>
                <w:rFonts w:ascii="Arial" w:hAnsi="Arial" w:cs="Arial"/>
                <w:sz w:val="22"/>
                <w:szCs w:val="22"/>
                <w:u w:val="single"/>
              </w:rPr>
              <w:t>Предлагаемое решение</w:t>
            </w:r>
            <w:proofErr w:type="gramStart"/>
            <w:r w:rsidRPr="003C2B06">
              <w:rPr>
                <w:rFonts w:ascii="Arial" w:hAnsi="Arial" w:cs="Arial"/>
                <w:sz w:val="22"/>
                <w:szCs w:val="22"/>
              </w:rPr>
              <w:t>: После</w:t>
            </w:r>
            <w:proofErr w:type="gramEnd"/>
            <w:r w:rsidRPr="003C2B06">
              <w:rPr>
                <w:rFonts w:ascii="Arial" w:hAnsi="Arial" w:cs="Arial"/>
                <w:sz w:val="22"/>
                <w:szCs w:val="22"/>
              </w:rPr>
              <w:t xml:space="preserve"> краткого представления и обсуждения на пленарном заседании в рамках пункта 3.2 </w:t>
            </w:r>
            <w:r w:rsidR="003C2B06" w:rsidRPr="003C2B06">
              <w:rPr>
                <w:rFonts w:ascii="Arial" w:hAnsi="Arial" w:cs="Arial"/>
                <w:sz w:val="22"/>
                <w:szCs w:val="22"/>
              </w:rPr>
              <w:t>Ассамблее</w:t>
            </w:r>
            <w:r w:rsidRPr="003C2B06">
              <w:rPr>
                <w:rFonts w:ascii="Arial" w:hAnsi="Arial" w:cs="Arial"/>
                <w:sz w:val="22"/>
                <w:szCs w:val="22"/>
              </w:rPr>
              <w:t xml:space="preserve"> предлагается принять настоящий отчет к сведению и рассмотреть проект решения, упоминаемый в предварительном документе о принятых и предлагаемых мерах (документ</w:t>
            </w:r>
            <w:r w:rsidR="005F78E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3C2B06">
              <w:rPr>
                <w:rFonts w:ascii="Arial" w:hAnsi="Arial" w:cs="Arial"/>
                <w:sz w:val="22"/>
                <w:szCs w:val="22"/>
              </w:rPr>
              <w:t xml:space="preserve">IOC-32/AP) как </w:t>
            </w:r>
            <w:proofErr w:type="spellStart"/>
            <w:r w:rsidRPr="003C2B06">
              <w:rPr>
                <w:rFonts w:ascii="Arial" w:hAnsi="Arial" w:cs="Arial"/>
                <w:sz w:val="22"/>
                <w:szCs w:val="22"/>
              </w:rPr>
              <w:t>Реш</w:t>
            </w:r>
            <w:proofErr w:type="spellEnd"/>
            <w:r w:rsidRPr="003C2B06">
              <w:rPr>
                <w:rFonts w:ascii="Arial" w:hAnsi="Arial" w:cs="Arial"/>
                <w:sz w:val="22"/>
                <w:szCs w:val="22"/>
              </w:rPr>
              <w:t xml:space="preserve">. IOC-32/3.2. Затем документ будет тщательно проанализирован уставным сессионным комитетом </w:t>
            </w:r>
            <w:r w:rsidR="003C2B06" w:rsidRPr="003C2B06">
              <w:rPr>
                <w:rFonts w:ascii="Arial" w:hAnsi="Arial" w:cs="Arial"/>
                <w:sz w:val="22"/>
                <w:szCs w:val="22"/>
              </w:rPr>
              <w:t xml:space="preserve">открытого состава </w:t>
            </w:r>
            <w:r w:rsidRPr="003C2B06">
              <w:rPr>
                <w:rFonts w:ascii="Arial" w:hAnsi="Arial" w:cs="Arial"/>
                <w:sz w:val="22"/>
                <w:szCs w:val="22"/>
              </w:rPr>
              <w:t xml:space="preserve">по финансовым вопросам. Соответствующее решение комитета будет отражено в проекте резолюции, которую тот представит на утверждение Ассамблеи в рамках пункта 6.4 повестки дня в соответствии с пунктом 15 проекта пересмотренных руководящих принципов подготовки и рассмотрения проектов резолюций (документ </w:t>
            </w:r>
            <w:hyperlink r:id="rId8" w:history="1">
              <w:r w:rsidRPr="003C2B06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IOC/INF-1315</w:t>
              </w:r>
            </w:hyperlink>
            <w:r w:rsidRPr="003C2B0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1E543DEA" w14:textId="4D9DF3BA" w:rsidR="00FA68D9" w:rsidRDefault="00FA68D9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</w:rPr>
      </w:pPr>
      <w:r>
        <w:br w:type="page"/>
      </w:r>
    </w:p>
    <w:p w14:paraId="7E71C7D7" w14:textId="72FAC7E6" w:rsidR="00025A88" w:rsidRPr="00025A88" w:rsidRDefault="003B1772" w:rsidP="00641D3D">
      <w:pPr>
        <w:keepNext/>
        <w:keepLines/>
        <w:widowControl w:val="0"/>
        <w:adjustRightInd w:val="0"/>
        <w:ind w:left="567" w:hanging="567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ОБЗОР ФИНАНСОВОГО ПОЛОЖЕНИЯ СПЕЦИАЛЬНОГО СЧЕТА МОК</w:t>
      </w:r>
      <w:r>
        <w:rPr>
          <w:rFonts w:ascii="Arial" w:hAnsi="Arial"/>
          <w:b/>
          <w:sz w:val="22"/>
          <w:szCs w:val="22"/>
        </w:rPr>
        <w:br/>
        <w:t>ПО СОСТОЯНИЮ НА КОНЕЦ 2022 Г.</w:t>
      </w:r>
      <w:r w:rsidR="00641D3D">
        <w:rPr>
          <w:rFonts w:ascii="Arial" w:hAnsi="Arial"/>
          <w:sz w:val="22"/>
          <w:szCs w:val="22"/>
        </w:rPr>
        <w:t xml:space="preserve"> (в долл. США)</w:t>
      </w:r>
    </w:p>
    <w:p w14:paraId="47CBF5CD" w14:textId="25A743D4" w:rsidR="00025A88" w:rsidRDefault="00025A88" w:rsidP="003B1772">
      <w:pPr>
        <w:widowControl w:val="0"/>
        <w:adjustRightInd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A88">
        <w:rPr>
          <w:rFonts w:ascii="Arial" w:eastAsia="Times New Roman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7533B" wp14:editId="69B10454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419A8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" strokecolor="#4a7ebb"/>
            </w:pict>
          </mc:Fallback>
        </mc:AlternateContent>
      </w:r>
    </w:p>
    <w:p w14:paraId="314D508C" w14:textId="2FD3EAFD" w:rsidR="0051325F" w:rsidRDefault="0008285A" w:rsidP="003B1772">
      <w:pPr>
        <w:pStyle w:val="ListParagraph"/>
        <w:numPr>
          <w:ilvl w:val="0"/>
          <w:numId w:val="23"/>
        </w:numPr>
        <w:tabs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В соответствии с Финансовым отчетом за период с 1 января по 31 декабря 2022 г., представленным в приложении к настоящему документу, общий объем поступлений за указанный период составил 2 842 814,75 долл. (соответствующий показатель на 31 декабря 2020 г. составлял 3 049 509,33 долл.), а общие расходы за тот же период составили 2</w:t>
      </w:r>
      <w:r w:rsidR="003C2B06">
        <w:rPr>
          <w:rFonts w:ascii="Arial" w:hAnsi="Arial"/>
          <w:bCs/>
          <w:sz w:val="22"/>
          <w:szCs w:val="22"/>
        </w:rPr>
        <w:t> </w:t>
      </w:r>
      <w:r>
        <w:rPr>
          <w:rFonts w:ascii="Arial" w:hAnsi="Arial"/>
          <w:bCs/>
          <w:sz w:val="22"/>
          <w:szCs w:val="22"/>
        </w:rPr>
        <w:t>670 109,29 долл. (для сравнения: на 31 декабря 2020 г. аналогичная сумма составила 1 652 925,42 долл.).</w:t>
      </w:r>
    </w:p>
    <w:p w14:paraId="43CFB539" w14:textId="6F0516EC" w:rsidR="007F0B67" w:rsidRPr="0003667B" w:rsidRDefault="007F0B67" w:rsidP="003B1772">
      <w:pPr>
        <w:pStyle w:val="ListParagraph"/>
        <w:numPr>
          <w:ilvl w:val="0"/>
          <w:numId w:val="23"/>
        </w:numPr>
        <w:tabs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По состоянию на конец 2022 г. объем твердых обязательств доноров составлял 804 886 долл.</w:t>
      </w:r>
    </w:p>
    <w:p w14:paraId="0200BF01" w14:textId="467A3D62" w:rsidR="009F66B1" w:rsidRDefault="009F66B1" w:rsidP="003B1772">
      <w:pPr>
        <w:pStyle w:val="ListParagraph"/>
        <w:numPr>
          <w:ilvl w:val="0"/>
          <w:numId w:val="23"/>
        </w:numPr>
        <w:tabs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Остаток средств счета на указанную дату составил 6 446 921,96 долл. (на 31 декабря 2020 г. – 4 950 766,90 долл.) в следующей разбивке:</w:t>
      </w:r>
    </w:p>
    <w:p w14:paraId="70DA4DEC" w14:textId="1E0B1818" w:rsidR="009F66B1" w:rsidRDefault="009F66B1" w:rsidP="005173AE">
      <w:pPr>
        <w:pStyle w:val="ListParagraph"/>
        <w:numPr>
          <w:ilvl w:val="0"/>
          <w:numId w:val="22"/>
        </w:numPr>
        <w:tabs>
          <w:tab w:val="clear" w:pos="567"/>
          <w:tab w:val="left" w:pos="2835"/>
        </w:tabs>
        <w:snapToGrid/>
        <w:spacing w:after="240"/>
        <w:ind w:left="851" w:hanging="284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Общие резервы</w:t>
      </w:r>
      <w:r w:rsidR="00C11339">
        <w:rPr>
          <w:rStyle w:val="FootnoteReference"/>
          <w:rFonts w:ascii="Arial" w:eastAsia="Times New Roman" w:hAnsi="Arial" w:cs="Arial"/>
          <w:bCs/>
          <w:sz w:val="22"/>
          <w:szCs w:val="22"/>
          <w:lang w:eastAsia="en-US"/>
        </w:rPr>
        <w:footnoteReference w:id="1"/>
      </w:r>
      <w:r>
        <w:rPr>
          <w:rFonts w:ascii="Arial" w:hAnsi="Arial"/>
          <w:bCs/>
          <w:sz w:val="22"/>
          <w:szCs w:val="22"/>
        </w:rPr>
        <w:t>:</w:t>
      </w:r>
      <w:r>
        <w:rPr>
          <w:rFonts w:ascii="Arial" w:hAnsi="Arial"/>
          <w:bCs/>
          <w:sz w:val="22"/>
          <w:szCs w:val="22"/>
        </w:rPr>
        <w:tab/>
        <w:t xml:space="preserve">4 021 650,71 долл. </w:t>
      </w:r>
      <w:r w:rsidR="00A72B4C" w:rsidRPr="00A72B4C">
        <w:rPr>
          <w:rFonts w:ascii="Arial" w:hAnsi="Arial"/>
          <w:bCs/>
          <w:sz w:val="22"/>
          <w:szCs w:val="22"/>
        </w:rPr>
        <w:t xml:space="preserve">  </w:t>
      </w:r>
      <w:r>
        <w:rPr>
          <w:rFonts w:ascii="Arial" w:hAnsi="Arial"/>
          <w:bCs/>
          <w:sz w:val="22"/>
          <w:szCs w:val="22"/>
        </w:rPr>
        <w:t>(на 31 декабря 2020 г. – 3 645 899,98 долл.)</w:t>
      </w:r>
    </w:p>
    <w:p w14:paraId="04E777DE" w14:textId="631C91C9" w:rsidR="009F66B1" w:rsidRDefault="006B0694" w:rsidP="005173AE">
      <w:pPr>
        <w:pStyle w:val="ListParagraph"/>
        <w:numPr>
          <w:ilvl w:val="0"/>
          <w:numId w:val="22"/>
        </w:numPr>
        <w:tabs>
          <w:tab w:val="clear" w:pos="567"/>
          <w:tab w:val="left" w:pos="2835"/>
        </w:tabs>
        <w:snapToGrid/>
        <w:spacing w:after="240"/>
        <w:ind w:left="851" w:hanging="284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Океан-ОПС: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5F78E3" w:rsidRPr="005F78E3">
        <w:rPr>
          <w:rFonts w:ascii="Arial" w:hAnsi="Arial"/>
          <w:bCs/>
          <w:sz w:val="22"/>
          <w:szCs w:val="22"/>
        </w:rPr>
        <w:t xml:space="preserve">   </w:t>
      </w:r>
      <w:r>
        <w:rPr>
          <w:rFonts w:ascii="Arial" w:hAnsi="Arial"/>
          <w:bCs/>
          <w:sz w:val="22"/>
          <w:szCs w:val="22"/>
        </w:rPr>
        <w:t xml:space="preserve">234 277,83 долл. </w:t>
      </w:r>
      <w:r w:rsidR="005173AE" w:rsidRPr="005173AE">
        <w:rPr>
          <w:rFonts w:ascii="Arial" w:hAnsi="Arial"/>
          <w:bCs/>
          <w:sz w:val="22"/>
          <w:szCs w:val="22"/>
        </w:rPr>
        <w:t xml:space="preserve">   </w:t>
      </w:r>
      <w:r>
        <w:rPr>
          <w:rFonts w:ascii="Arial" w:hAnsi="Arial"/>
          <w:bCs/>
          <w:sz w:val="22"/>
          <w:szCs w:val="22"/>
        </w:rPr>
        <w:t xml:space="preserve">(на 31 декабря 2020 г. – </w:t>
      </w:r>
      <w:r w:rsidR="005F78E3" w:rsidRPr="005F78E3">
        <w:rPr>
          <w:rFonts w:ascii="Arial" w:hAnsi="Arial"/>
          <w:bCs/>
          <w:sz w:val="22"/>
          <w:szCs w:val="22"/>
        </w:rPr>
        <w:t xml:space="preserve"> </w:t>
      </w:r>
      <w:r w:rsidR="005F78E3" w:rsidRPr="00425E1C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159 473,54 долл.)</w:t>
      </w:r>
    </w:p>
    <w:p w14:paraId="6F4A86E3" w14:textId="223FFBCB" w:rsidR="007F0B67" w:rsidRPr="00CF042D" w:rsidRDefault="007F0B67" w:rsidP="005173AE">
      <w:pPr>
        <w:pStyle w:val="ListParagraph"/>
        <w:numPr>
          <w:ilvl w:val="0"/>
          <w:numId w:val="22"/>
        </w:numPr>
        <w:tabs>
          <w:tab w:val="clear" w:pos="567"/>
          <w:tab w:val="left" w:pos="2835"/>
        </w:tabs>
        <w:snapToGrid/>
        <w:spacing w:after="240"/>
        <w:ind w:left="851" w:hanging="284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Секретариат МКГ/</w:t>
      </w:r>
      <w:r w:rsidR="003B1772">
        <w:rPr>
          <w:rFonts w:ascii="Arial" w:hAnsi="Arial"/>
          <w:bCs/>
          <w:sz w:val="22"/>
          <w:szCs w:val="22"/>
        </w:rPr>
        <w:br/>
      </w:r>
      <w:r>
        <w:rPr>
          <w:rFonts w:ascii="Arial" w:hAnsi="Arial"/>
          <w:bCs/>
          <w:sz w:val="22"/>
          <w:szCs w:val="22"/>
        </w:rPr>
        <w:t>СПЦСПИО:</w:t>
      </w:r>
      <w:r>
        <w:rPr>
          <w:rFonts w:ascii="Arial" w:hAnsi="Arial"/>
          <w:bCs/>
          <w:sz w:val="22"/>
          <w:szCs w:val="22"/>
        </w:rPr>
        <w:tab/>
      </w:r>
      <w:r w:rsidR="005F78E3" w:rsidRPr="005F78E3">
        <w:rPr>
          <w:rFonts w:ascii="Arial" w:hAnsi="Arial"/>
          <w:bCs/>
          <w:sz w:val="22"/>
          <w:szCs w:val="22"/>
        </w:rPr>
        <w:t xml:space="preserve">   </w:t>
      </w:r>
      <w:r>
        <w:rPr>
          <w:rFonts w:ascii="Arial" w:hAnsi="Arial"/>
          <w:bCs/>
          <w:sz w:val="22"/>
          <w:szCs w:val="22"/>
        </w:rPr>
        <w:t xml:space="preserve">311 201,27 долл. </w:t>
      </w:r>
      <w:r w:rsidR="005173AE" w:rsidRPr="005173AE">
        <w:rPr>
          <w:rFonts w:ascii="Arial" w:hAnsi="Arial"/>
          <w:bCs/>
          <w:sz w:val="22"/>
          <w:szCs w:val="22"/>
        </w:rPr>
        <w:t xml:space="preserve">   </w:t>
      </w:r>
      <w:r>
        <w:rPr>
          <w:rFonts w:ascii="Arial" w:hAnsi="Arial"/>
          <w:bCs/>
          <w:sz w:val="22"/>
          <w:szCs w:val="22"/>
        </w:rPr>
        <w:t xml:space="preserve">(на 31 декабря 2020 г. – </w:t>
      </w:r>
      <w:r w:rsidR="005F78E3" w:rsidRPr="005F78E3">
        <w:rPr>
          <w:rFonts w:ascii="Arial" w:hAnsi="Arial"/>
          <w:bCs/>
          <w:sz w:val="22"/>
          <w:szCs w:val="22"/>
        </w:rPr>
        <w:t xml:space="preserve"> </w:t>
      </w:r>
      <w:r w:rsidR="005F78E3" w:rsidRPr="00425E1C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542 971,25 долл.)</w:t>
      </w:r>
    </w:p>
    <w:p w14:paraId="76B5ECCC" w14:textId="76F3617F" w:rsidR="0051325F" w:rsidRPr="003B1772" w:rsidRDefault="007F0B67" w:rsidP="005173AE">
      <w:pPr>
        <w:pStyle w:val="ListParagraph"/>
        <w:numPr>
          <w:ilvl w:val="0"/>
          <w:numId w:val="22"/>
        </w:numPr>
        <w:tabs>
          <w:tab w:val="clear" w:pos="567"/>
          <w:tab w:val="left" w:pos="2835"/>
        </w:tabs>
        <w:snapToGrid/>
        <w:spacing w:after="240"/>
        <w:ind w:left="851" w:hanging="284"/>
        <w:contextualSpacing w:val="0"/>
        <w:rPr>
          <w:rFonts w:ascii="Arial" w:eastAsia="Times New Roman" w:hAnsi="Arial" w:cs="Arial"/>
          <w:bCs/>
          <w:sz w:val="22"/>
          <w:szCs w:val="22"/>
        </w:rPr>
      </w:pPr>
      <w:r w:rsidRPr="003B1772">
        <w:rPr>
          <w:rFonts w:ascii="Arial" w:hAnsi="Arial"/>
          <w:bCs/>
          <w:sz w:val="22"/>
          <w:szCs w:val="22"/>
        </w:rPr>
        <w:t>Десятилетие ООН,</w:t>
      </w:r>
      <w:r w:rsidR="003B1772" w:rsidRPr="003B1772">
        <w:rPr>
          <w:rFonts w:ascii="Arial" w:hAnsi="Arial"/>
          <w:bCs/>
          <w:sz w:val="22"/>
          <w:szCs w:val="22"/>
        </w:rPr>
        <w:br/>
      </w:r>
      <w:r w:rsidRPr="003B1772">
        <w:rPr>
          <w:rFonts w:ascii="Arial" w:hAnsi="Arial"/>
          <w:bCs/>
          <w:sz w:val="22"/>
          <w:szCs w:val="22"/>
        </w:rPr>
        <w:t>посвященное науке</w:t>
      </w:r>
      <w:r w:rsidR="005173AE">
        <w:rPr>
          <w:rFonts w:ascii="Arial" w:hAnsi="Arial"/>
          <w:bCs/>
          <w:sz w:val="22"/>
          <w:szCs w:val="22"/>
        </w:rPr>
        <w:br/>
      </w:r>
      <w:r w:rsidRPr="003B1772">
        <w:rPr>
          <w:rFonts w:ascii="Arial" w:hAnsi="Arial"/>
          <w:bCs/>
          <w:sz w:val="22"/>
          <w:szCs w:val="22"/>
        </w:rPr>
        <w:t>об океане</w:t>
      </w:r>
      <w:r w:rsidR="005173AE" w:rsidRPr="005173AE">
        <w:rPr>
          <w:rFonts w:ascii="Arial" w:hAnsi="Arial"/>
          <w:bCs/>
          <w:sz w:val="22"/>
          <w:szCs w:val="22"/>
        </w:rPr>
        <w:t xml:space="preserve"> </w:t>
      </w:r>
      <w:r w:rsidRPr="003B1772">
        <w:rPr>
          <w:rFonts w:ascii="Arial" w:hAnsi="Arial"/>
          <w:bCs/>
          <w:sz w:val="22"/>
          <w:szCs w:val="22"/>
        </w:rPr>
        <w:t>в интересах</w:t>
      </w:r>
      <w:r w:rsidR="005173AE">
        <w:rPr>
          <w:rFonts w:ascii="Arial" w:hAnsi="Arial"/>
          <w:bCs/>
          <w:sz w:val="22"/>
          <w:szCs w:val="22"/>
        </w:rPr>
        <w:br/>
      </w:r>
      <w:r w:rsidRPr="003B1772">
        <w:rPr>
          <w:rFonts w:ascii="Arial" w:hAnsi="Arial"/>
          <w:bCs/>
          <w:sz w:val="22"/>
          <w:szCs w:val="22"/>
        </w:rPr>
        <w:t>устойчивого</w:t>
      </w:r>
      <w:r w:rsidR="005173AE">
        <w:rPr>
          <w:rFonts w:ascii="Arial" w:hAnsi="Arial"/>
          <w:bCs/>
          <w:sz w:val="22"/>
          <w:szCs w:val="22"/>
        </w:rPr>
        <w:br/>
      </w:r>
      <w:r w:rsidRPr="003B1772">
        <w:rPr>
          <w:rFonts w:ascii="Arial" w:hAnsi="Arial"/>
          <w:bCs/>
          <w:sz w:val="22"/>
          <w:szCs w:val="22"/>
        </w:rPr>
        <w:t>развития</w:t>
      </w:r>
      <w:r w:rsidR="004C36AF">
        <w:rPr>
          <w:rStyle w:val="FootnoteReference"/>
          <w:rFonts w:ascii="Arial" w:eastAsia="Times New Roman" w:hAnsi="Arial" w:cs="Arial"/>
          <w:bCs/>
          <w:sz w:val="22"/>
          <w:szCs w:val="22"/>
          <w:lang w:eastAsia="en-US"/>
        </w:rPr>
        <w:footnoteReference w:id="2"/>
      </w:r>
      <w:r w:rsidRPr="003B1772">
        <w:rPr>
          <w:rFonts w:ascii="Arial" w:hAnsi="Arial"/>
          <w:bCs/>
          <w:sz w:val="22"/>
          <w:szCs w:val="22"/>
        </w:rPr>
        <w:t>:</w:t>
      </w:r>
      <w:r w:rsidRPr="003B1772">
        <w:rPr>
          <w:rFonts w:ascii="Arial" w:hAnsi="Arial"/>
          <w:bCs/>
          <w:sz w:val="22"/>
          <w:szCs w:val="22"/>
        </w:rPr>
        <w:tab/>
      </w:r>
      <w:r w:rsidRPr="003B1772">
        <w:rPr>
          <w:rFonts w:ascii="Arial" w:hAnsi="Arial"/>
          <w:bCs/>
          <w:sz w:val="22"/>
          <w:szCs w:val="22"/>
        </w:rPr>
        <w:tab/>
        <w:t xml:space="preserve">1 699 792,15 долл. </w:t>
      </w:r>
      <w:r w:rsidR="00A72B4C" w:rsidRPr="00A72B4C">
        <w:rPr>
          <w:rFonts w:ascii="Arial" w:hAnsi="Arial"/>
          <w:bCs/>
          <w:sz w:val="22"/>
          <w:szCs w:val="22"/>
        </w:rPr>
        <w:t xml:space="preserve">  </w:t>
      </w:r>
      <w:r w:rsidRPr="003B1772">
        <w:rPr>
          <w:rFonts w:ascii="Arial" w:hAnsi="Arial"/>
          <w:bCs/>
          <w:sz w:val="22"/>
          <w:szCs w:val="22"/>
        </w:rPr>
        <w:t xml:space="preserve">(на 31 декабря 2020 г. – </w:t>
      </w:r>
      <w:r w:rsidR="005F78E3">
        <w:rPr>
          <w:rFonts w:ascii="Arial" w:hAnsi="Arial"/>
          <w:bCs/>
          <w:sz w:val="22"/>
          <w:szCs w:val="22"/>
          <w:lang w:val="en-US"/>
        </w:rPr>
        <w:t xml:space="preserve">   </w:t>
      </w:r>
      <w:r w:rsidRPr="003B1772">
        <w:rPr>
          <w:rFonts w:ascii="Arial" w:hAnsi="Arial"/>
          <w:bCs/>
          <w:sz w:val="22"/>
          <w:szCs w:val="22"/>
        </w:rPr>
        <w:t>602 422,13 долл.)</w:t>
      </w:r>
    </w:p>
    <w:p w14:paraId="2177B28D" w14:textId="7E17EB97" w:rsidR="009F66B1" w:rsidRPr="00A37446" w:rsidRDefault="007F0B67" w:rsidP="003B1772">
      <w:pPr>
        <w:pStyle w:val="ListParagraph"/>
        <w:numPr>
          <w:ilvl w:val="0"/>
          <w:numId w:val="23"/>
        </w:numPr>
        <w:tabs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В соответствии со статьями 8.2 и 8.3 Положения о финансах специального счета МОК вышеупомянутый остаток средств переносится на 2023 г. в рамках исполнения бюджета, утвержденного руководящими органами МОК. В связи с этим в таблице 1 на утверждение Ассамблеи представлено предложение относительно пересмотра объема бюджетных ассигнований, утвержденного Исполнительным советом МОК в </w:t>
      </w:r>
      <w:hyperlink r:id="rId9" w:history="1">
        <w:r>
          <w:rPr>
            <w:rStyle w:val="Hyperlink"/>
            <w:rFonts w:ascii="Arial" w:hAnsi="Arial"/>
            <w:sz w:val="22"/>
            <w:szCs w:val="22"/>
          </w:rPr>
          <w:t>резолюции EC-55/2</w:t>
        </w:r>
      </w:hyperlink>
      <w:r>
        <w:rPr>
          <w:rFonts w:ascii="Arial" w:hAnsi="Arial"/>
          <w:bCs/>
          <w:sz w:val="22"/>
          <w:szCs w:val="22"/>
        </w:rPr>
        <w:t>.</w:t>
      </w:r>
    </w:p>
    <w:p w14:paraId="1BEEEBCA" w14:textId="7ADEE345" w:rsidR="007F0B67" w:rsidRDefault="007F0B67" w:rsidP="003B1772">
      <w:pPr>
        <w:pStyle w:val="ListParagraph"/>
        <w:numPr>
          <w:ilvl w:val="0"/>
          <w:numId w:val="23"/>
        </w:numPr>
        <w:tabs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В таблице 2 представлен обновленный прогноз: первоначальный прогноз был представлен Исполнительному совету МОК на его 55-й сессии в документе </w:t>
      </w:r>
      <w:hyperlink r:id="rId10" w:history="1">
        <w:r>
          <w:rPr>
            <w:rStyle w:val="Hyperlink"/>
            <w:rFonts w:ascii="Arial" w:hAnsi="Arial"/>
            <w:bCs/>
            <w:sz w:val="22"/>
            <w:szCs w:val="22"/>
          </w:rPr>
          <w:t>IOC/EC-55/3.1.Doc(3)</w:t>
        </w:r>
      </w:hyperlink>
      <w:r>
        <w:rPr>
          <w:rFonts w:ascii="Arial" w:hAnsi="Arial"/>
          <w:bCs/>
          <w:sz w:val="22"/>
          <w:szCs w:val="22"/>
        </w:rPr>
        <w:t>.</w:t>
      </w:r>
    </w:p>
    <w:p w14:paraId="793A5363" w14:textId="37C9DBDC" w:rsidR="0008285A" w:rsidRDefault="0008285A">
      <w:pPr>
        <w:tabs>
          <w:tab w:val="clear" w:pos="567"/>
        </w:tabs>
        <w:snapToGrid/>
        <w:rPr>
          <w:rFonts w:ascii="Arial" w:eastAsia="Times New Roman" w:hAnsi="Arial" w:cs="Arial"/>
          <w:b/>
          <w:bCs/>
          <w:sz w:val="22"/>
          <w:szCs w:val="22"/>
        </w:rPr>
      </w:pPr>
      <w:r>
        <w:br w:type="page"/>
      </w:r>
    </w:p>
    <w:p w14:paraId="0A4C1D92" w14:textId="77777777" w:rsidR="0051325F" w:rsidRPr="009B4C4B" w:rsidRDefault="005B4BEA" w:rsidP="003D2102">
      <w:pPr>
        <w:keepNext/>
        <w:keepLines/>
        <w:widowControl w:val="0"/>
        <w:adjustRightInd w:val="0"/>
        <w:ind w:left="567" w:hanging="567"/>
        <w:textAlignment w:val="baseline"/>
        <w:outlineLvl w:val="1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9B4C4B">
        <w:rPr>
          <w:rFonts w:ascii="Arial" w:hAnsi="Arial"/>
          <w:b/>
          <w:bCs/>
          <w:sz w:val="22"/>
          <w:szCs w:val="22"/>
        </w:rPr>
        <w:lastRenderedPageBreak/>
        <w:t>Таблица 1. Предлагаемые бюджетные ассигнования на 2022-2023 гг.</w:t>
      </w:r>
      <w:r w:rsidR="00B749AA" w:rsidRPr="002E2A91">
        <w:rPr>
          <w:rStyle w:val="FootnoteReference"/>
          <w:rFonts w:ascii="Arial" w:eastAsia="Times New Roman" w:hAnsi="Arial" w:cs="Arial"/>
          <w:caps/>
          <w:sz w:val="22"/>
          <w:szCs w:val="22"/>
          <w:lang w:eastAsia="en-US"/>
        </w:rPr>
        <w:footnoteReference w:id="3"/>
      </w:r>
    </w:p>
    <w:p w14:paraId="2822B451" w14:textId="3C4A5282" w:rsidR="003D2102" w:rsidRPr="003D2102" w:rsidRDefault="003D2102" w:rsidP="003D2102">
      <w:pPr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Style w:val="Strong"/>
          <w:rFonts w:asciiTheme="minorHAnsi" w:hAnsiTheme="minorHAnsi"/>
          <w:b w:val="0"/>
          <w:bCs w:val="0"/>
          <w:sz w:val="18"/>
          <w:szCs w:val="18"/>
        </w:rPr>
        <w:t>(в долл. США)</w:t>
      </w:r>
    </w:p>
    <w:p w14:paraId="41A576DF" w14:textId="361342CE" w:rsidR="004544DF" w:rsidRPr="003D2102" w:rsidRDefault="004544DF" w:rsidP="003D2102">
      <w:pPr>
        <w:keepNext/>
        <w:keepLines/>
        <w:widowControl w:val="0"/>
        <w:adjustRightInd w:val="0"/>
        <w:ind w:left="567" w:hanging="567"/>
        <w:textAlignment w:val="baseline"/>
        <w:outlineLvl w:val="1"/>
        <w:rPr>
          <w:rFonts w:ascii="Arial" w:hAnsi="Arial" w:cs="Arial"/>
          <w:sz w:val="18"/>
          <w:szCs w:val="18"/>
        </w:rPr>
      </w:pPr>
      <w:r w:rsidRPr="003D2102">
        <w:rPr>
          <w:rFonts w:ascii="Arial" w:eastAsia="Times New Roman" w:hAnsi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E1CDC" wp14:editId="1535E1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0C736" id="Straight Connector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strokecolor="#4a7ebb"/>
            </w:pict>
          </mc:Fallback>
        </mc:AlternateConten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4720"/>
        <w:gridCol w:w="1360"/>
        <w:gridCol w:w="1100"/>
        <w:gridCol w:w="1180"/>
        <w:gridCol w:w="1160"/>
      </w:tblGrid>
      <w:tr w:rsidR="00582A9B" w:rsidRPr="00582A9B" w14:paraId="20BBE8B8" w14:textId="77777777" w:rsidTr="00E435F6">
        <w:trPr>
          <w:trHeight w:val="720"/>
          <w:tblHeader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0B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область/Направление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70A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Код бюджетной статьи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D47" w14:textId="3D5E7B9E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Утверж</w:t>
            </w:r>
            <w:r w:rsidR="009B4C4B"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softHyphen/>
            </w: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денный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44D" w14:textId="77EE71F0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Предлагаемое изменение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F36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Пересмотренный утвержденный бюджет</w:t>
            </w:r>
          </w:p>
        </w:tc>
      </w:tr>
      <w:tr w:rsidR="00582A9B" w:rsidRPr="00582A9B" w14:paraId="14814533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3DBA6D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 МОК «A» – Океанографические исследования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9BA72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A69178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B7858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89976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490 000</w:t>
            </w:r>
          </w:p>
        </w:tc>
      </w:tr>
      <w:tr w:rsidR="00582A9B" w:rsidRPr="00582A9B" w14:paraId="7A4010C3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486AA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305A3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191ORS2041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00D54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01F52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26D18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490 000</w:t>
            </w:r>
          </w:p>
        </w:tc>
      </w:tr>
      <w:tr w:rsidR="00582A9B" w:rsidRPr="00582A9B" w14:paraId="2DCD977C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AC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ВПИК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955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191ORS2041.1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E2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42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5C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582A9B" w:rsidRPr="00582A9B" w14:paraId="483B21D8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3F9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Океанический углерод и закисление океанов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8CD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191ORS2041.2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C1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194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140 000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48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390 000</w:t>
            </w:r>
          </w:p>
        </w:tc>
      </w:tr>
      <w:tr w:rsidR="00582A9B" w:rsidRPr="00582A9B" w14:paraId="5DBF986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444C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Воздействие изменения климата на морские и прибрежные экосистемы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CF8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191ORS2041.3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750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6B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DEF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7F1ADCB7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1A478BDB" w14:textId="60204060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 МОК «B» – Системы наблюдений/</w:t>
            </w:r>
            <w:r w:rsidR="00A443F2"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управление данными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5CD1D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1 750 000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F1F2F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-560 000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502FFC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1 190 000</w:t>
            </w:r>
          </w:p>
        </w:tc>
      </w:tr>
      <w:tr w:rsidR="00582A9B" w:rsidRPr="00582A9B" w14:paraId="584E0E14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92428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0E299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191OSD2041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5ED1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1 300 000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985CE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-560 000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30698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740 000</w:t>
            </w:r>
          </w:p>
        </w:tc>
      </w:tr>
      <w:tr w:rsidR="00582A9B" w:rsidRPr="00582A9B" w14:paraId="4A5D04E3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68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Разработка, внедрение, использование и полезный эффект ГСНО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43A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191OSD2041.1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B4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400 000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033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-160 000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AA4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240 000</w:t>
            </w:r>
          </w:p>
        </w:tc>
      </w:tr>
      <w:tr w:rsidR="00582A9B" w:rsidRPr="00582A9B" w14:paraId="2784CA2B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0FD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Развертывание и обеспечение функционирования системы наблюдений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2A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191OSD2041.3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4D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400 000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EB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-300 000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A5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20BFE1D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B5D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Системы и прикладные технологии прогнозирования состояния океана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DD2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191OSD2041.4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479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093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7B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44686286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471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МООД/ОБИС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83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191OSD2041.5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94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9F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61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</w:tr>
      <w:tr w:rsidR="00582A9B" w:rsidRPr="00582A9B" w14:paraId="28BC480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39878E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Океан-ОПС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6442E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193OPS2041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66E53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450 000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67363C3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3C71D5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450 000</w:t>
            </w:r>
          </w:p>
        </w:tc>
      </w:tr>
      <w:tr w:rsidR="00582A9B" w:rsidRPr="00582A9B" w14:paraId="08C302B6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5A22FBD8" w14:textId="0875DF6C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 МОК «C» – Раннее оповещение</w:t>
            </w:r>
            <w:r w:rsidR="00A443F2"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и оперативное обслуживание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24712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2 050 000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14A26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-140 000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A82C9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1 910 000</w:t>
            </w:r>
          </w:p>
        </w:tc>
      </w:tr>
      <w:tr w:rsidR="00582A9B" w:rsidRPr="00582A9B" w14:paraId="39319D8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4BA48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F3F0E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191EWS2041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6CBF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1 200 000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FAA00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-40 000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DB394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1 160 000</w:t>
            </w:r>
          </w:p>
        </w:tc>
      </w:tr>
      <w:tr w:rsidR="00582A9B" w:rsidRPr="00582A9B" w14:paraId="3599B67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9F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МКГ/СПЦСВАСМ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A0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A1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6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-20 000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0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80 000</w:t>
            </w:r>
          </w:p>
        </w:tc>
      </w:tr>
      <w:tr w:rsidR="00582A9B" w:rsidRPr="00582A9B" w14:paraId="3CF01DF6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BF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МКГ/СПЦТО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DC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83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F91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F27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</w:tr>
      <w:tr w:rsidR="00582A9B" w:rsidRPr="00582A9B" w14:paraId="0BDD5D4F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4DB1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МКГ/КАРИБ-СРП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6BA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8BC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92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B6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</w:tr>
      <w:tr w:rsidR="00582A9B" w:rsidRPr="00582A9B" w14:paraId="4545EA41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92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СПЦО и межрегиональная координация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CA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B7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3B3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EF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60D18964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3D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ЦИЦИО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56D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2BC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670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-20 000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2B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80 000</w:t>
            </w:r>
          </w:p>
        </w:tc>
      </w:tr>
      <w:tr w:rsidR="00582A9B" w:rsidRPr="00582A9B" w14:paraId="590D807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B10B" w14:textId="01D97FA9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ГЛОСС </w:t>
            </w:r>
            <w:r w:rsidR="00A443F2">
              <w:rPr>
                <w:rFonts w:ascii="Calibri" w:hAnsi="Calibri"/>
                <w:snapToGrid/>
                <w:sz w:val="18"/>
                <w:szCs w:val="18"/>
              </w:rPr>
              <w:t>–</w:t>
            </w:r>
            <w:r>
              <w:rPr>
                <w:rFonts w:ascii="Calibri" w:hAnsi="Calibri"/>
                <w:snapToGrid/>
                <w:sz w:val="18"/>
                <w:szCs w:val="18"/>
              </w:rPr>
              <w:t xml:space="preserve"> Цунами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C8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8B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56A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F18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</w:tr>
      <w:tr w:rsidR="00582A9B" w:rsidRPr="00582A9B" w14:paraId="3DD28235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4C8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Исследование и мониторинг ВЦВ и неместных видов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A7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191EWS2041.7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BF6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B7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64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0F44072D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DA0D7C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Секретариат МКГ/СПЦИО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442CE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193EWS2041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17B98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850 000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D952BD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-100 000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EC0387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750 000</w:t>
            </w:r>
          </w:p>
        </w:tc>
      </w:tr>
      <w:tr w:rsidR="00582A9B" w:rsidRPr="00582A9B" w14:paraId="3D3006E2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3FD4152D" w14:textId="65C5F209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 МОК «D» – Оценка и</w:t>
            </w:r>
            <w:r w:rsidR="00A443F2"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информационное обеспечение политики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3D324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BF440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-235 000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A0D59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215 000</w:t>
            </w:r>
          </w:p>
        </w:tc>
      </w:tr>
      <w:tr w:rsidR="00582A9B" w:rsidRPr="00582A9B" w14:paraId="00A2F14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84E8E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E91B0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191AIP2041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BF8FE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450 000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FF492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-235 000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679F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215 000</w:t>
            </w:r>
          </w:p>
        </w:tc>
      </w:tr>
      <w:tr w:rsidR="00582A9B" w:rsidRPr="00582A9B" w14:paraId="65373A87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CDE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Меры по реализации ЦУР, ОМО и ДСМО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D2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191AIP2041.1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BB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5D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BD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47AEE59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3DD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ГЕБКО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63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191AIP2041.2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80D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C1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A1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3491CB1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2395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Научные исследования в интересах снижения биогенной нагрузки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E6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191AIP2041.3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6B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A8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-35 000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276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65 000</w:t>
            </w:r>
          </w:p>
        </w:tc>
      </w:tr>
      <w:tr w:rsidR="00582A9B" w:rsidRPr="00582A9B" w14:paraId="35B8F5C8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63C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Адаптация к изменению климата в прибрежных районах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5F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191AIP2041.4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BE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33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6A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2F6B9C9D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3B9D69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 МОК «Е» – Рациональное хозяйствование и жизнеспособная система 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695B81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3E8541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3 350 000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EF6D6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-400 000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44909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2 950 000</w:t>
            </w:r>
          </w:p>
        </w:tc>
      </w:tr>
      <w:tr w:rsidR="00582A9B" w:rsidRPr="00582A9B" w14:paraId="47F41E66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640FD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C1B9D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191RCG2041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04945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1 350 000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BD042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-700 000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55784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650 000</w:t>
            </w:r>
          </w:p>
        </w:tc>
      </w:tr>
      <w:tr w:rsidR="00582A9B" w:rsidRPr="00582A9B" w14:paraId="207B378C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0A64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Организационные механизмы управления МОК (представительство и координация в межсессионный период)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84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FA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3D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5BD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713928A2" w14:textId="77777777" w:rsidTr="00582A9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A87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МОКАРИБ (поддержка бюро и координация в межсессионный период)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B7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8B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7E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F5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52EF52FA" w14:textId="77777777" w:rsidTr="00582A9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C01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МОКАФРИКА (поддержка бюро и координация в межсессионный период)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7B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A9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85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C94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0DF707D6" w14:textId="77777777" w:rsidTr="00582A9B">
        <w:trPr>
          <w:trHeight w:val="2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24C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ВЕСТПАК (поддержка бюро и координация в межсессионный период)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59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7C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44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A47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200 000</w:t>
            </w:r>
          </w:p>
        </w:tc>
      </w:tr>
      <w:tr w:rsidR="00582A9B" w:rsidRPr="00582A9B" w14:paraId="5A962A7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479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ИОСИНДИО (координация в межсессионный период)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4E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F6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56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50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623278F4" w14:textId="77777777" w:rsidTr="00582A9B">
        <w:trPr>
          <w:trHeight w:val="2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75D8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lastRenderedPageBreak/>
              <w:t>Партнерское взаимодействие с ООН, глобальные механизмы управления, стратегии и информационные кампании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C0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44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400 000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84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-300 000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E4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0D167F4F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249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ИКАМ и морское пространственное планирование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DF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191RCG2041.7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2B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C4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B0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5368FE7D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31EBC89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Десятилетие ООН, посвященное науке об океане в интересах устойчивого развития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D33AE8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193UND2041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2BA89C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2 000 000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44FF0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6F9421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2 300 000</w:t>
            </w:r>
          </w:p>
        </w:tc>
      </w:tr>
      <w:tr w:rsidR="00582A9B" w:rsidRPr="00582A9B" w14:paraId="10E10E81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7DF7D9B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Функциональная область МОК «F» – Развитие потенциала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697A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1 350 000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8DAC7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-5 000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1DFF8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1 345 000</w:t>
            </w:r>
          </w:p>
        </w:tc>
      </w:tr>
      <w:tr w:rsidR="00582A9B" w:rsidRPr="00582A9B" w14:paraId="514A4FD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F6154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9AF0E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191ICD2041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198D6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1 350 000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52E2C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-5 000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D2491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1 345 000</w:t>
            </w:r>
          </w:p>
        </w:tc>
      </w:tr>
      <w:tr w:rsidR="00582A9B" w:rsidRPr="00582A9B" w14:paraId="73B95F5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C0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Координация в области развития потенциала (включая ПМТ)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7D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39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7C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F8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225 000</w:t>
            </w:r>
          </w:p>
        </w:tc>
      </w:tr>
      <w:tr w:rsidR="00582A9B" w:rsidRPr="00582A9B" w14:paraId="34F866C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3A3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ГДСО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C8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35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60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3DD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02A0F75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95E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Повышение грамотности в связанных с океаном вопросах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46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DF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77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EF6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600 000</w:t>
            </w:r>
          </w:p>
        </w:tc>
      </w:tr>
      <w:tr w:rsidR="00582A9B" w:rsidRPr="00582A9B" w14:paraId="7EDDCD5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7B2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Планы работы МОКАФРИКА по развитию потенциала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01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75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15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-150 000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B2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</w:tr>
      <w:tr w:rsidR="00582A9B" w:rsidRPr="00582A9B" w14:paraId="7557324B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610" w14:textId="0DD05E3E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Планы работы МОКАРИБ по развитию потенциала</w:t>
            </w:r>
            <w:r w:rsidR="003C2B06">
              <w:rPr>
                <w:rFonts w:ascii="Calibri" w:hAnsi="Calibri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D1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21F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91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BA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120 000</w:t>
            </w:r>
          </w:p>
        </w:tc>
      </w:tr>
      <w:tr w:rsidR="00582A9B" w:rsidRPr="00582A9B" w14:paraId="71003DC2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7C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Планы работы ВЕСТПАК по развитию потенциала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3A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F9C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724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4D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200 000</w:t>
            </w:r>
          </w:p>
        </w:tc>
      </w:tr>
      <w:tr w:rsidR="00582A9B" w:rsidRPr="00582A9B" w14:paraId="285548F4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815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Планы работы ИОСИНДИО по развитию потенциала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5A2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191ICD2041.7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39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62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-50 000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83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50 000</w:t>
            </w:r>
          </w:p>
        </w:tc>
      </w:tr>
      <w:tr w:rsidR="00582A9B" w:rsidRPr="00582A9B" w14:paraId="62317546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C77B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88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9 400 000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B38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-1 300 000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77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8 100 000</w:t>
            </w:r>
          </w:p>
        </w:tc>
      </w:tr>
    </w:tbl>
    <w:p w14:paraId="1952B2D5" w14:textId="77777777" w:rsidR="00890F12" w:rsidRDefault="00890F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398FBEB" w14:textId="66E79BBE" w:rsidR="0051325F" w:rsidRDefault="00606638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Таблица 2. Прогноз на 2023 г.</w:t>
      </w:r>
      <w:r w:rsidR="00F151C0" w:rsidRPr="00F151C0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по состоянию на 31 декабря 2022 г.</w:t>
      </w:r>
    </w:p>
    <w:p w14:paraId="20C84AF2" w14:textId="10B1E488" w:rsidR="008818EF" w:rsidRPr="008818EF" w:rsidRDefault="008818EF">
      <w:pPr>
        <w:tabs>
          <w:tab w:val="clear" w:pos="567"/>
        </w:tabs>
        <w:snapToGri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(в долл. США)</w:t>
      </w:r>
    </w:p>
    <w:p w14:paraId="1EE2CA43" w14:textId="1DB6CAF0" w:rsidR="00606638" w:rsidRDefault="00606638" w:rsidP="00890F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</w:rPr>
      </w:pPr>
      <w:r w:rsidRPr="00025A88">
        <w:rPr>
          <w:rFonts w:ascii="Arial" w:eastAsia="Times New Roman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91887" wp14:editId="415EAA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C4D11" id="Straight Connector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strokecolor="#4a7ebb"/>
            </w:pict>
          </mc:Fallback>
        </mc:AlternateConten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3760"/>
        <w:gridCol w:w="3860"/>
        <w:gridCol w:w="2100"/>
      </w:tblGrid>
      <w:tr w:rsidR="00A9783D" w:rsidRPr="00A9783D" w14:paraId="33160645" w14:textId="77777777" w:rsidTr="00A9783D">
        <w:trPr>
          <w:trHeight w:val="24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E7AAB9A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Специальный счет МОК</w:t>
            </w:r>
          </w:p>
        </w:tc>
      </w:tr>
      <w:tr w:rsidR="00A9783D" w:rsidRPr="00A9783D" w14:paraId="38573B5A" w14:textId="77777777" w:rsidTr="00A9783D">
        <w:trPr>
          <w:trHeight w:val="240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EFB437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Прогноз на 2023 г.</w:t>
            </w:r>
          </w:p>
        </w:tc>
      </w:tr>
      <w:tr w:rsidR="00A9783D" w:rsidRPr="00A9783D" w14:paraId="03B3F3C2" w14:textId="77777777" w:rsidTr="00A9783D">
        <w:trPr>
          <w:trHeight w:val="240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58CC025" w14:textId="3E269F81" w:rsidR="00A9783D" w:rsidRPr="00A9783D" w:rsidRDefault="00A9783D" w:rsidP="00F151C0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</w:tr>
      <w:tr w:rsidR="00A9783D" w:rsidRPr="00A9783D" w14:paraId="111A9F93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B0250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90A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FFA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07F59E58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78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Начальный баланс: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62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625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6 446 922</w:t>
            </w:r>
          </w:p>
        </w:tc>
      </w:tr>
      <w:tr w:rsidR="00A9783D" w:rsidRPr="00A9783D" w14:paraId="0ACBF391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5295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C4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80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04196ADC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C5E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Фонд оборотных средств: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DD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B0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1 000 000</w:t>
            </w:r>
          </w:p>
        </w:tc>
      </w:tr>
      <w:tr w:rsidR="00A9783D" w:rsidRPr="00A9783D" w14:paraId="14E538C1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3710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30B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BDC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67E583DA" w14:textId="77777777" w:rsidTr="00A9783D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8BEEF93" w14:textId="0A0348B1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Объем наличных средств на начало</w:t>
            </w:r>
            <w:r w:rsidR="00F151C0"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 xml:space="preserve">периода: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0FF99B5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CA2B2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5 446 922</w:t>
            </w:r>
          </w:p>
        </w:tc>
      </w:tr>
      <w:tr w:rsidR="00A9783D" w:rsidRPr="00A9783D" w14:paraId="0E411F3A" w14:textId="77777777" w:rsidTr="00A9783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D9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F8A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F5B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340C200C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8D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79A9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29D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12606C09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C1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 xml:space="preserve">Письменно подтвержденные обязательства доноров: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134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FF7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693E9B59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EE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72C7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Исследовательское сообщество Монако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D79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74 547</w:t>
            </w:r>
          </w:p>
        </w:tc>
      </w:tr>
      <w:tr w:rsidR="00A9783D" w:rsidRPr="00A9783D" w14:paraId="1E6A0751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90DB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EE22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Фламандский морской институт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09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21 299</w:t>
            </w:r>
          </w:p>
        </w:tc>
      </w:tr>
      <w:tr w:rsidR="00A9783D" w:rsidRPr="00A9783D" w14:paraId="628E99DE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60B3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AEA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 xml:space="preserve">Компания «ETT </w:t>
            </w:r>
            <w:proofErr w:type="spellStart"/>
            <w:r>
              <w:rPr>
                <w:rFonts w:ascii="Calibri" w:hAnsi="Calibri"/>
                <w:snapToGrid/>
                <w:sz w:val="18"/>
                <w:szCs w:val="18"/>
              </w:rPr>
              <w:t>SpА</w:t>
            </w:r>
            <w:proofErr w:type="spellEnd"/>
            <w:r>
              <w:rPr>
                <w:rFonts w:ascii="Calibri" w:hAnsi="Calibri"/>
                <w:snapToGrid/>
                <w:sz w:val="18"/>
                <w:szCs w:val="18"/>
              </w:rPr>
              <w:t>»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57F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53 248</w:t>
            </w:r>
          </w:p>
        </w:tc>
      </w:tr>
      <w:tr w:rsidR="00A9783D" w:rsidRPr="00A9783D" w14:paraId="0466AF97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763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0D5C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Компания FUGRO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4555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2 500</w:t>
            </w:r>
          </w:p>
        </w:tc>
      </w:tr>
      <w:tr w:rsidR="00A9783D" w:rsidRPr="00A9783D" w14:paraId="509C5967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E1E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82D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Организация REV-Ocean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27A2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500 000</w:t>
            </w:r>
          </w:p>
        </w:tc>
      </w:tr>
      <w:tr w:rsidR="00A9783D" w:rsidRPr="00A9783D" w14:paraId="75FC45BA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9F4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59D6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Китай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532B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1 500</w:t>
            </w:r>
          </w:p>
        </w:tc>
      </w:tr>
      <w:tr w:rsidR="00A9783D" w:rsidRPr="00A9783D" w14:paraId="186B65A3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D7B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98D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</w:rPr>
            </w:pPr>
            <w:r>
              <w:rPr>
                <w:rFonts w:ascii="Calibri" w:hAnsi="Calibri"/>
                <w:snapToGrid/>
                <w:sz w:val="18"/>
                <w:szCs w:val="18"/>
              </w:rPr>
              <w:t>Норвегия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EBA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151 791</w:t>
            </w:r>
          </w:p>
        </w:tc>
      </w:tr>
      <w:tr w:rsidR="00A9783D" w:rsidRPr="00A9783D" w14:paraId="61DC0B5B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DD4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D0E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AF9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0B38F5EB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749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49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81D7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804 886</w:t>
            </w:r>
          </w:p>
        </w:tc>
      </w:tr>
      <w:tr w:rsidR="00A9783D" w:rsidRPr="00A9783D" w14:paraId="21A0FD96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DF90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AB7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930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570A471B" w14:textId="77777777" w:rsidTr="00A9783D">
        <w:trPr>
          <w:trHeight w:val="255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82D3158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Промежуточный итог, Имеющиеся средства или письменно подтвержденные обязательства: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CACC3E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6 251 808</w:t>
            </w:r>
          </w:p>
        </w:tc>
      </w:tr>
      <w:tr w:rsidR="00A9783D" w:rsidRPr="00A9783D" w14:paraId="1643FCD6" w14:textId="77777777" w:rsidTr="00A9783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B5D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F90D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7AB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i/>
                <w:i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05C980B9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5CA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F3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31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4F38783C" w14:textId="77777777" w:rsidTr="00A9783D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E5BDCE0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Планируемые расходы*: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5354289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464E59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sz w:val="18"/>
                <w:szCs w:val="18"/>
              </w:rPr>
              <w:t>5 429 891</w:t>
            </w:r>
          </w:p>
        </w:tc>
      </w:tr>
      <w:tr w:rsidR="00A9783D" w:rsidRPr="00A9783D" w14:paraId="361911FD" w14:textId="77777777" w:rsidTr="00A9783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FB6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1C3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F4B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</w:tr>
      <w:tr w:rsidR="00A9783D" w:rsidRPr="00A9783D" w14:paraId="379C2F92" w14:textId="77777777" w:rsidTr="00A9783D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7AD3DF23" w14:textId="3B0872C9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Прогнозируемый остаток на конец периода/</w:t>
            </w:r>
            <w:r w:rsidR="00F151C0"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Дефицит финансирования: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2D2445D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971F64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napToGrid/>
                <w:color w:val="000000"/>
                <w:sz w:val="18"/>
                <w:szCs w:val="18"/>
              </w:rPr>
              <w:t>821 917</w:t>
            </w:r>
          </w:p>
        </w:tc>
      </w:tr>
      <w:tr w:rsidR="00A9783D" w:rsidRPr="00A9783D" w14:paraId="284BBBF2" w14:textId="77777777" w:rsidTr="00A9783D">
        <w:trPr>
          <w:trHeight w:val="255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D19F" w14:textId="353B2269" w:rsidR="00A9783D" w:rsidRPr="00984474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i/>
                <w:iCs/>
                <w:snapToGrid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napToGrid/>
                <w:color w:val="000000"/>
                <w:sz w:val="18"/>
                <w:szCs w:val="18"/>
              </w:rPr>
              <w:t>*С учетом предлагаемого пересмотра объема бюджетных ассигнований на 2022-2023 гг., см. таблицу 1</w:t>
            </w:r>
            <w:r w:rsidR="00984474" w:rsidRPr="00984474">
              <w:rPr>
                <w:rFonts w:ascii="Calibri" w:hAnsi="Calibri"/>
                <w:i/>
                <w:iCs/>
                <w:snapToGrid/>
                <w:color w:val="000000"/>
                <w:sz w:val="18"/>
                <w:szCs w:val="18"/>
              </w:rPr>
              <w:t>.</w:t>
            </w:r>
          </w:p>
        </w:tc>
      </w:tr>
    </w:tbl>
    <w:p w14:paraId="07C78A0F" w14:textId="78FCD2B5" w:rsidR="00DB544B" w:rsidRPr="003C2B06" w:rsidRDefault="00DB544B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</w:rPr>
        <w:sectPr w:rsidR="00DB544B" w:rsidRPr="003C2B06" w:rsidSect="003B1772">
          <w:headerReference w:type="even" r:id="rId11"/>
          <w:headerReference w:type="default" r:id="rId12"/>
          <w:headerReference w:type="first" r:id="rId13"/>
          <w:pgSz w:w="11906" w:h="16838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3A55653" w14:textId="1ABCB20A" w:rsidR="00641D3D" w:rsidRPr="00695681" w:rsidRDefault="00D91E2D" w:rsidP="00695681">
      <w:pPr>
        <w:pStyle w:val="Marge"/>
        <w:spacing w:after="0"/>
        <w:ind w:left="-686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1" w:name="a1"/>
      <w:r>
        <w:rPr>
          <w:rFonts w:ascii="Arial" w:hAnsi="Arial"/>
          <w:sz w:val="22"/>
          <w:szCs w:val="22"/>
        </w:rPr>
        <w:lastRenderedPageBreak/>
        <w:t>ANNEX</w:t>
      </w:r>
      <w:bookmarkEnd w:id="1"/>
    </w:p>
    <w:p w14:paraId="6BD4A137" w14:textId="2BCA3740" w:rsidR="00D91E2D" w:rsidRDefault="00094EB8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</w:rPr>
      </w:pPr>
      <w:r>
        <w:rPr>
          <w:noProof/>
          <w:snapToGrid/>
        </w:rPr>
        <w:drawing>
          <wp:inline distT="0" distB="0" distL="0" distR="0" wp14:anchorId="07B66679" wp14:editId="7B85E9B9">
            <wp:extent cx="5943600" cy="7010400"/>
            <wp:effectExtent l="0" t="0" r="0" b="0"/>
            <wp:docPr id="3" name="Picture 3" descr="A picture containing text, screenshot, documen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creenshot, document, fo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8A5B" w14:textId="6073E94B" w:rsidR="00D91E2D" w:rsidRDefault="00D91E2D" w:rsidP="00D91E2D">
      <w:pPr>
        <w:tabs>
          <w:tab w:val="clear" w:pos="567"/>
        </w:tabs>
        <w:snapToGrid/>
        <w:ind w:left="-426"/>
        <w:rPr>
          <w:rFonts w:ascii="Arial" w:eastAsia="Times New Roman" w:hAnsi="Arial" w:cs="Arial"/>
          <w:sz w:val="22"/>
          <w:szCs w:val="22"/>
        </w:rPr>
      </w:pPr>
      <w:r>
        <w:br w:type="page"/>
      </w:r>
    </w:p>
    <w:p w14:paraId="2D5F69FD" w14:textId="1E8663FE" w:rsidR="00D91E2D" w:rsidRDefault="000019BA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</w:rPr>
      </w:pPr>
      <w:r>
        <w:rPr>
          <w:noProof/>
          <w:snapToGrid/>
        </w:rPr>
        <w:lastRenderedPageBreak/>
        <w:drawing>
          <wp:inline distT="0" distB="0" distL="0" distR="0" wp14:anchorId="24B6CB89" wp14:editId="13AB0C75">
            <wp:extent cx="5905500" cy="7829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4125" w14:textId="3A32D3DA" w:rsidR="00695681" w:rsidRDefault="00695681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005413E" w14:textId="34CB5B74" w:rsidR="00D91E2D" w:rsidRDefault="00033FCF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</w:rPr>
      </w:pPr>
      <w:r>
        <w:rPr>
          <w:noProof/>
          <w:snapToGrid/>
        </w:rPr>
        <w:lastRenderedPageBreak/>
        <w:drawing>
          <wp:inline distT="0" distB="0" distL="0" distR="0" wp14:anchorId="788032A0" wp14:editId="69231AE2">
            <wp:extent cx="6010275" cy="28479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C158" w14:textId="77777777" w:rsidR="00033FCF" w:rsidRDefault="00033FCF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46B4FBD6" w14:textId="282E0CDF" w:rsidR="00033FCF" w:rsidRDefault="00033FCF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</w:rPr>
      </w:pPr>
      <w:r>
        <w:br w:type="page"/>
      </w:r>
    </w:p>
    <w:p w14:paraId="09B08F79" w14:textId="5F820863" w:rsidR="00033FCF" w:rsidRDefault="002806AA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</w:rPr>
      </w:pPr>
      <w:r>
        <w:rPr>
          <w:noProof/>
          <w:snapToGrid/>
        </w:rPr>
        <w:lastRenderedPageBreak/>
        <w:drawing>
          <wp:inline distT="0" distB="0" distL="0" distR="0" wp14:anchorId="1A88AB37" wp14:editId="081D0A04">
            <wp:extent cx="5848350" cy="8401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6EB24" w14:textId="28EFADF3" w:rsidR="00D91E2D" w:rsidRDefault="00D91E2D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412DA146" w14:textId="0E90C7E9" w:rsidR="002806AA" w:rsidRDefault="002806AA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</w:rPr>
      </w:pPr>
      <w:r>
        <w:br w:type="page"/>
      </w:r>
    </w:p>
    <w:p w14:paraId="36F2F80E" w14:textId="427A4A8E" w:rsidR="00B412B4" w:rsidRDefault="00B412B4" w:rsidP="006C3ACB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6972E12C" wp14:editId="77353C88">
            <wp:extent cx="5638800" cy="71723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35B35" w14:textId="1DC55CDC" w:rsidR="006C3ACB" w:rsidRDefault="006C3ACB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3C065FA8" w14:textId="28F178DF" w:rsidR="00B412B4" w:rsidRPr="00D91E2D" w:rsidRDefault="0058530C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</w:rPr>
      </w:pPr>
      <w:r>
        <w:rPr>
          <w:noProof/>
          <w:snapToGrid/>
        </w:rPr>
        <w:lastRenderedPageBreak/>
        <w:drawing>
          <wp:inline distT="0" distB="0" distL="0" distR="0" wp14:anchorId="52B6D67B" wp14:editId="4B4F13DC">
            <wp:extent cx="5514975" cy="6715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2B4" w:rsidRPr="00D91E2D" w:rsidSect="001E653E">
      <w:headerReference w:type="even" r:id="rId20"/>
      <w:headerReference w:type="default" r:id="rId21"/>
      <w:headerReference w:type="first" r:id="rId22"/>
      <w:type w:val="oddPage"/>
      <w:pgSz w:w="11906" w:h="16838" w:code="9"/>
      <w:pgMar w:top="1418" w:right="1134" w:bottom="1134" w:left="1134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B4A6" w14:textId="77777777" w:rsidR="00E97B29" w:rsidRDefault="00E97B29">
      <w:r>
        <w:separator/>
      </w:r>
    </w:p>
  </w:endnote>
  <w:endnote w:type="continuationSeparator" w:id="0">
    <w:p w14:paraId="4F2E962F" w14:textId="77777777" w:rsidR="00E97B29" w:rsidRDefault="00E9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738" w14:textId="77777777" w:rsidR="00E97B29" w:rsidRDefault="00E97B29">
      <w:r>
        <w:separator/>
      </w:r>
    </w:p>
  </w:footnote>
  <w:footnote w:type="continuationSeparator" w:id="0">
    <w:p w14:paraId="624B2CFA" w14:textId="77777777" w:rsidR="00E97B29" w:rsidRDefault="00E97B29">
      <w:r>
        <w:continuationSeparator/>
      </w:r>
    </w:p>
  </w:footnote>
  <w:footnote w:id="1">
    <w:p w14:paraId="600FB102" w14:textId="3443BC9B" w:rsidR="00C72800" w:rsidRPr="005158A9" w:rsidRDefault="00C11339" w:rsidP="005158A9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5158A9">
        <w:rPr>
          <w:rStyle w:val="FootnoteReference"/>
          <w:rFonts w:ascii="Arial" w:hAnsi="Arial" w:cs="Arial"/>
          <w:sz w:val="18"/>
          <w:szCs w:val="18"/>
        </w:rPr>
        <w:footnoteRef/>
      </w:r>
      <w:r w:rsidRPr="005158A9">
        <w:rPr>
          <w:rFonts w:ascii="Arial" w:hAnsi="Arial"/>
          <w:sz w:val="18"/>
          <w:szCs w:val="18"/>
        </w:rPr>
        <w:t xml:space="preserve"> </w:t>
      </w:r>
      <w:r w:rsidR="003B1772" w:rsidRPr="005158A9">
        <w:rPr>
          <w:rFonts w:ascii="Arial" w:hAnsi="Arial"/>
          <w:sz w:val="18"/>
          <w:szCs w:val="18"/>
        </w:rPr>
        <w:tab/>
      </w:r>
      <w:r w:rsidRPr="005158A9">
        <w:rPr>
          <w:rFonts w:ascii="Arial" w:hAnsi="Arial"/>
          <w:sz w:val="18"/>
          <w:szCs w:val="18"/>
        </w:rPr>
        <w:t>Включая взнос Норвежского агентства по сотрудничеству в области развития (НОРАД) в сумме 507 560,14 долл., зачисленный 30 декабря 2022 г.</w:t>
      </w:r>
    </w:p>
  </w:footnote>
  <w:footnote w:id="2">
    <w:p w14:paraId="490EC5DB" w14:textId="6A7C0E76" w:rsidR="004C36AF" w:rsidRPr="0003667B" w:rsidRDefault="004C36AF" w:rsidP="005158A9">
      <w:pPr>
        <w:pStyle w:val="FootnoteText"/>
        <w:jc w:val="both"/>
        <w:rPr>
          <w:rFonts w:ascii="Arial" w:hAnsi="Arial" w:cs="Arial"/>
        </w:rPr>
      </w:pPr>
      <w:r w:rsidRPr="005158A9">
        <w:rPr>
          <w:rStyle w:val="FootnoteReference"/>
          <w:rFonts w:ascii="Arial" w:hAnsi="Arial" w:cs="Arial"/>
          <w:sz w:val="18"/>
          <w:szCs w:val="18"/>
        </w:rPr>
        <w:footnoteRef/>
      </w:r>
      <w:r w:rsidRPr="005158A9">
        <w:rPr>
          <w:rFonts w:ascii="Arial" w:hAnsi="Arial"/>
          <w:sz w:val="18"/>
          <w:szCs w:val="18"/>
        </w:rPr>
        <w:t xml:space="preserve"> </w:t>
      </w:r>
      <w:r w:rsidR="003B1772" w:rsidRPr="005158A9">
        <w:rPr>
          <w:rFonts w:ascii="Arial" w:hAnsi="Arial"/>
          <w:sz w:val="18"/>
          <w:szCs w:val="18"/>
        </w:rPr>
        <w:tab/>
      </w:r>
      <w:r w:rsidRPr="005158A9">
        <w:rPr>
          <w:rFonts w:ascii="Arial" w:hAnsi="Arial"/>
          <w:sz w:val="18"/>
          <w:szCs w:val="18"/>
        </w:rPr>
        <w:t>Включая взнос Норвежского агентства по сотрудничеству в области развития (НОРАД) в сумме 812 096,23 долл., зачисленный 30 декабря 2022 г.</w:t>
      </w:r>
    </w:p>
  </w:footnote>
  <w:footnote w:id="3">
    <w:p w14:paraId="21659FEF" w14:textId="5905B7B7" w:rsidR="00B749AA" w:rsidRPr="00E435F6" w:rsidRDefault="00B749AA" w:rsidP="00E435F6">
      <w:pPr>
        <w:pStyle w:val="FootnoteText"/>
        <w:jc w:val="both"/>
        <w:rPr>
          <w:rFonts w:asciiTheme="minorBidi" w:hAnsiTheme="minorBidi" w:cstheme="minorBidi"/>
          <w:sz w:val="18"/>
          <w:szCs w:val="18"/>
        </w:rPr>
      </w:pPr>
      <w:r w:rsidRPr="00E435F6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E435F6">
        <w:rPr>
          <w:rFonts w:asciiTheme="minorBidi" w:hAnsiTheme="minorBidi" w:cstheme="minorBidi"/>
          <w:sz w:val="18"/>
          <w:szCs w:val="18"/>
        </w:rPr>
        <w:t xml:space="preserve"> </w:t>
      </w:r>
      <w:r w:rsidR="00E435F6" w:rsidRPr="00E435F6">
        <w:rPr>
          <w:rFonts w:asciiTheme="minorBidi" w:hAnsiTheme="minorBidi" w:cstheme="minorBidi"/>
          <w:sz w:val="18"/>
          <w:szCs w:val="18"/>
        </w:rPr>
        <w:tab/>
      </w:r>
      <w:r w:rsidRPr="00E435F6">
        <w:rPr>
          <w:rFonts w:asciiTheme="minorBidi" w:hAnsiTheme="minorBidi" w:cstheme="minorBidi"/>
          <w:sz w:val="18"/>
          <w:szCs w:val="18"/>
        </w:rPr>
        <w:t xml:space="preserve">Предлагаемые корректировки основаны на наблюдаемой способности мобилизовать денежные средства и с учетом тенденций в отношении расходов.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0F6F7A4C" w:rsidR="003B6FC5" w:rsidRPr="007A48AA" w:rsidRDefault="00352423" w:rsidP="00FF54F5">
    <w:pPr>
      <w:pStyle w:val="Header"/>
      <w:rPr>
        <w:rFonts w:ascii="Arial" w:hAnsi="Arial" w:cs="Arial"/>
        <w:bCs/>
        <w:sz w:val="22"/>
        <w:szCs w:val="22"/>
        <w:lang w:val="en-US"/>
      </w:rPr>
    </w:pPr>
    <w:r>
      <w:rPr>
        <w:rFonts w:ascii="Arial" w:hAnsi="Arial"/>
        <w:bCs/>
        <w:sz w:val="22"/>
        <w:szCs w:val="22"/>
      </w:rPr>
      <w:t>IOC</w:t>
    </w:r>
    <w:r w:rsidR="007A48AA">
      <w:rPr>
        <w:rFonts w:ascii="Arial" w:hAnsi="Arial"/>
        <w:bCs/>
        <w:sz w:val="22"/>
        <w:szCs w:val="22"/>
        <w:lang w:val="en-US"/>
      </w:rPr>
      <w:t>/A</w:t>
    </w:r>
    <w:r>
      <w:rPr>
        <w:rFonts w:ascii="Arial" w:hAnsi="Arial"/>
        <w:bCs/>
        <w:sz w:val="22"/>
        <w:szCs w:val="22"/>
      </w:rPr>
      <w:t>-32/3.2.Doc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bCs/>
            <w:sz w:val="22"/>
            <w:szCs w:val="22"/>
          </w:rPr>
          <w:t xml:space="preserve">(3) – page </w:t>
        </w:r>
        <w:r w:rsidR="0003667B" w:rsidRPr="0003667B">
          <w:rPr>
            <w:rFonts w:ascii="Arial" w:hAnsi="Arial" w:cs="Arial"/>
            <w:bCs/>
            <w:sz w:val="22"/>
            <w:szCs w:val="22"/>
          </w:rPr>
          <w:fldChar w:fldCharType="begin"/>
        </w:r>
        <w:r w:rsidR="0003667B" w:rsidRPr="0003667B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03667B" w:rsidRPr="0003667B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03667B" w:rsidRPr="0003667B">
          <w:rPr>
            <w:rFonts w:ascii="Arial" w:hAnsi="Arial" w:cs="Arial"/>
            <w:bCs/>
            <w:sz w:val="22"/>
            <w:szCs w:val="22"/>
          </w:rPr>
          <w:t>1</w:t>
        </w:r>
        <w:r w:rsidR="0003667B" w:rsidRPr="0003667B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537" w14:textId="2DC91700" w:rsidR="0003667B" w:rsidRPr="00FF54F5" w:rsidRDefault="0003667B" w:rsidP="0003667B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IOC</w:t>
    </w:r>
    <w:r w:rsidR="007A48AA">
      <w:rPr>
        <w:rFonts w:ascii="Arial" w:hAnsi="Arial"/>
        <w:bCs/>
        <w:sz w:val="22"/>
        <w:szCs w:val="22"/>
        <w:lang w:val="en-US"/>
      </w:rPr>
      <w:t>/A</w:t>
    </w:r>
    <w:r>
      <w:rPr>
        <w:rFonts w:ascii="Arial" w:hAnsi="Arial"/>
        <w:bCs/>
        <w:sz w:val="22"/>
        <w:szCs w:val="22"/>
      </w:rPr>
      <w:t>-32/3.2.Doc</w:t>
    </w:r>
    <w:sdt>
      <w:sdtPr>
        <w:rPr>
          <w:rFonts w:ascii="Arial" w:hAnsi="Arial" w:cs="Arial"/>
          <w:bCs/>
          <w:sz w:val="22"/>
          <w:szCs w:val="22"/>
        </w:rPr>
        <w:id w:val="35084695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bCs/>
            <w:sz w:val="22"/>
            <w:szCs w:val="22"/>
          </w:rPr>
          <w:t xml:space="preserve">(3) – page </w:t>
        </w:r>
        <w:r w:rsidRPr="0003667B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3667B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Pr="0003667B">
          <w:rPr>
            <w:rFonts w:ascii="Arial" w:hAnsi="Arial" w:cs="Arial"/>
            <w:bCs/>
            <w:sz w:val="22"/>
            <w:szCs w:val="22"/>
          </w:rPr>
          <w:fldChar w:fldCharType="separate"/>
        </w:r>
        <w:r>
          <w:rPr>
            <w:rFonts w:ascii="Arial" w:hAnsi="Arial" w:cs="Arial"/>
            <w:bCs/>
            <w:sz w:val="22"/>
            <w:szCs w:val="22"/>
          </w:rPr>
          <w:t>2</w:t>
        </w:r>
        <w:r w:rsidRPr="0003667B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36011E1A" w:rsidR="00F62C19" w:rsidRPr="0042612F" w:rsidRDefault="008B77EB" w:rsidP="00230818">
    <w:pPr>
      <w:pStyle w:val="Marge"/>
      <w:tabs>
        <w:tab w:val="left" w:pos="5812"/>
      </w:tabs>
      <w:spacing w:after="0"/>
      <w:rPr>
        <w:rFonts w:ascii="Arial" w:hAnsi="Arial" w:cs="Arial"/>
        <w:b/>
        <w:sz w:val="36"/>
        <w:szCs w:val="36"/>
      </w:rPr>
    </w:pPr>
    <w:r w:rsidRPr="003B1772">
      <w:rPr>
        <w:rFonts w:ascii="Arial" w:hAnsi="Arial"/>
        <w:bCs/>
        <w:sz w:val="22"/>
        <w:szCs w:val="22"/>
      </w:rPr>
      <w:t>Рассылается по списку</w:t>
    </w:r>
    <w:r>
      <w:rPr>
        <w:rFonts w:ascii="Arial" w:hAnsi="Arial"/>
        <w:b/>
        <w:sz w:val="36"/>
        <w:szCs w:val="36"/>
      </w:rPr>
      <w:tab/>
    </w:r>
    <w:bookmarkStart w:id="0" w:name="_Hlk54263549"/>
    <w:r>
      <w:rPr>
        <w:rFonts w:ascii="Arial" w:hAnsi="Arial"/>
        <w:b/>
        <w:sz w:val="36"/>
        <w:szCs w:val="36"/>
      </w:rPr>
      <w:t>IOC</w:t>
    </w:r>
    <w:r w:rsidR="00425E1C">
      <w:rPr>
        <w:rFonts w:ascii="Arial" w:hAnsi="Arial"/>
        <w:b/>
        <w:sz w:val="36"/>
        <w:szCs w:val="36"/>
      </w:rPr>
      <w:t>/</w:t>
    </w:r>
    <w:r w:rsidR="00425E1C">
      <w:rPr>
        <w:rFonts w:ascii="Arial" w:hAnsi="Arial"/>
        <w:b/>
        <w:sz w:val="36"/>
        <w:szCs w:val="36"/>
        <w:lang w:val="en-US"/>
      </w:rPr>
      <w:t>A</w:t>
    </w:r>
    <w:r>
      <w:rPr>
        <w:rFonts w:ascii="Arial" w:hAnsi="Arial"/>
        <w:b/>
        <w:sz w:val="36"/>
        <w:szCs w:val="36"/>
      </w:rPr>
      <w:t>-32/3.2.Doc(3)</w:t>
    </w:r>
    <w:bookmarkEnd w:id="0"/>
  </w:p>
  <w:p w14:paraId="4FD70AD5" w14:textId="30C44DF2" w:rsidR="004B7754" w:rsidRDefault="008B77EB" w:rsidP="00230818">
    <w:pPr>
      <w:pStyle w:val="Marge"/>
      <w:tabs>
        <w:tab w:val="left" w:pos="5812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2"/>
      </w:rPr>
      <w:tab/>
    </w:r>
    <w:r>
      <w:rPr>
        <w:rFonts w:ascii="Arial" w:hAnsi="Arial"/>
        <w:sz w:val="22"/>
        <w:szCs w:val="22"/>
      </w:rPr>
      <w:t xml:space="preserve">Париж, 17 мая 2023 г. </w:t>
    </w:r>
  </w:p>
  <w:p w14:paraId="07C76426" w14:textId="18A2F05C" w:rsidR="004B7754" w:rsidRPr="00BF254D" w:rsidRDefault="004B7754" w:rsidP="00230818">
    <w:pPr>
      <w:pStyle w:val="Marge"/>
      <w:tabs>
        <w:tab w:val="left" w:pos="5812"/>
      </w:tabs>
      <w:rPr>
        <w:rFonts w:ascii="Arial" w:hAnsi="Arial" w:cs="Arial"/>
        <w:sz w:val="22"/>
        <w:szCs w:val="22"/>
      </w:rPr>
    </w:pPr>
    <w:r>
      <w:rPr>
        <w:rFonts w:ascii="Arial" w:hAnsi="Arial"/>
        <w:b/>
        <w:sz w:val="22"/>
        <w:szCs w:val="22"/>
      </w:rPr>
      <w:tab/>
    </w:r>
    <w:r>
      <w:rPr>
        <w:rFonts w:ascii="Arial" w:hAnsi="Arial"/>
        <w:sz w:val="22"/>
        <w:szCs w:val="22"/>
      </w:rPr>
      <w:t>Оригинал: английский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/>
        <w:b/>
      </w:rPr>
      <w:t>МЕЖПРАВИТЕЛЬСТВЕННАЯ ОКЕАНОГРАФИЧЕСКАЯ КОМИССИЯ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>
      <w:rPr>
        <w:rFonts w:ascii="Arial" w:hAnsi="Arial"/>
        <w:bCs/>
      </w:rPr>
      <w:t>(ЮНЕСКО)</w:t>
    </w:r>
  </w:p>
  <w:p w14:paraId="4872ECD5" w14:textId="77777777" w:rsidR="004B7754" w:rsidRPr="00BF254D" w:rsidRDefault="004B7754" w:rsidP="003B177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right"/>
      <w:rPr>
        <w:rFonts w:ascii="Arial" w:hAnsi="Arial" w:cs="Arial"/>
        <w:b/>
        <w:szCs w:val="22"/>
      </w:rPr>
    </w:pPr>
  </w:p>
  <w:p w14:paraId="7BF4961F" w14:textId="4FDD4E49" w:rsidR="004B7754" w:rsidRPr="00BF254D" w:rsidRDefault="008132A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/>
        <w:b/>
      </w:rPr>
      <w:t>Тридцать вторая сессия Ассамблеи</w:t>
    </w:r>
  </w:p>
  <w:p w14:paraId="71300EEE" w14:textId="6BACC1EA" w:rsidR="004B7754" w:rsidRPr="00843E81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/>
        <w:bCs/>
      </w:rPr>
      <w:t>ЮНЕСКО, Париж, 21-30 июня 2023 г.</w:t>
    </w:r>
  </w:p>
  <w:p w14:paraId="5BB9C169" w14:textId="77777777" w:rsidR="004B7754" w:rsidRPr="003C2B0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003DCA37" w14:textId="4F84327F" w:rsidR="004B7754" w:rsidRPr="003C2B06" w:rsidRDefault="004B7754" w:rsidP="00B17054">
    <w:pPr>
      <w:jc w:val="center"/>
      <w:rPr>
        <w:rFonts w:cs="Arial"/>
        <w:szCs w:val="22"/>
      </w:rPr>
    </w:pPr>
  </w:p>
  <w:p w14:paraId="1D920F46" w14:textId="77777777" w:rsidR="00807B97" w:rsidRPr="003B1772" w:rsidRDefault="00807B97" w:rsidP="00B17054">
    <w:pPr>
      <w:jc w:val="center"/>
      <w:rPr>
        <w:rFonts w:cs="Arial"/>
        <w:b/>
        <w:bCs/>
        <w:szCs w:val="22"/>
      </w:rPr>
    </w:pPr>
  </w:p>
  <w:p w14:paraId="4AE80372" w14:textId="515B34DD" w:rsidR="00FA68D9" w:rsidRPr="003B1772" w:rsidRDefault="00FA68D9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  <w:sz w:val="22"/>
        <w:szCs w:val="22"/>
      </w:rPr>
    </w:pPr>
    <w:r w:rsidRPr="003B1772">
      <w:rPr>
        <w:rFonts w:ascii="Arial" w:hAnsi="Arial"/>
        <w:sz w:val="22"/>
        <w:szCs w:val="22"/>
        <w:u w:val="single"/>
      </w:rPr>
      <w:t>Пункты</w:t>
    </w:r>
    <w:r w:rsidRPr="003B1772">
      <w:rPr>
        <w:rFonts w:ascii="Arial" w:hAnsi="Arial"/>
        <w:b/>
        <w:bCs/>
        <w:sz w:val="22"/>
        <w:szCs w:val="22"/>
        <w:u w:val="single"/>
      </w:rPr>
      <w:t xml:space="preserve"> 3.2 </w:t>
    </w:r>
    <w:r w:rsidRPr="003B1772">
      <w:rPr>
        <w:rFonts w:ascii="Arial" w:hAnsi="Arial"/>
        <w:sz w:val="22"/>
        <w:szCs w:val="22"/>
        <w:u w:val="single"/>
      </w:rPr>
      <w:t xml:space="preserve">и </w:t>
    </w:r>
    <w:r w:rsidRPr="003B1772">
      <w:rPr>
        <w:rFonts w:ascii="Arial" w:hAnsi="Arial"/>
        <w:b/>
        <w:bCs/>
        <w:sz w:val="22"/>
        <w:szCs w:val="22"/>
        <w:u w:val="single"/>
      </w:rPr>
      <w:t>6.4</w:t>
    </w:r>
    <w:r w:rsidRPr="003B1772">
      <w:rPr>
        <w:rFonts w:ascii="Arial" w:hAnsi="Arial"/>
        <w:sz w:val="22"/>
        <w:szCs w:val="22"/>
        <w:u w:val="single"/>
      </w:rPr>
      <w:t xml:space="preserve"> предварительной повестки дня</w:t>
    </w:r>
  </w:p>
  <w:p w14:paraId="5283A965" w14:textId="4E7AA05A" w:rsidR="00FA68D9" w:rsidRPr="003B1772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sz w:val="22"/>
        <w:szCs w:val="22"/>
      </w:rPr>
    </w:pPr>
  </w:p>
  <w:p w14:paraId="516674F6" w14:textId="77777777" w:rsidR="00807B97" w:rsidRPr="003C2B06" w:rsidRDefault="00807B97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</w:rPr>
    </w:pPr>
  </w:p>
  <w:p w14:paraId="6C9D5DF2" w14:textId="4D86E180" w:rsidR="002F2691" w:rsidRPr="003B1772" w:rsidRDefault="003C2B06" w:rsidP="002F269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8"/>
        <w:szCs w:val="28"/>
      </w:rPr>
    </w:pPr>
    <w:r w:rsidRPr="003B1772">
      <w:rPr>
        <w:rFonts w:ascii="Arial" w:hAnsi="Arial"/>
        <w:b/>
        <w:bCs/>
        <w:sz w:val="28"/>
        <w:szCs w:val="28"/>
      </w:rPr>
      <w:t>Финансовое положение специального счета МОК</w:t>
    </w:r>
    <w:r w:rsidR="003B1772" w:rsidRPr="003B1772">
      <w:rPr>
        <w:rFonts w:ascii="Arial" w:hAnsi="Arial"/>
        <w:b/>
        <w:bCs/>
        <w:sz w:val="28"/>
        <w:szCs w:val="28"/>
      </w:rPr>
      <w:t xml:space="preserve"> </w:t>
    </w:r>
    <w:r w:rsidRPr="003B1772">
      <w:rPr>
        <w:rFonts w:ascii="Arial" w:hAnsi="Arial"/>
        <w:b/>
        <w:bCs/>
        <w:sz w:val="28"/>
        <w:szCs w:val="28"/>
      </w:rPr>
      <w:t>по состоянию на конец 2022 г.</w:t>
    </w:r>
    <w:r w:rsidR="003B1772" w:rsidRPr="003B1772">
      <w:rPr>
        <w:rFonts w:ascii="Arial" w:hAnsi="Arial"/>
        <w:b/>
        <w:bCs/>
        <w:sz w:val="28"/>
        <w:szCs w:val="28"/>
      </w:rPr>
      <w:t xml:space="preserve"> </w:t>
    </w:r>
    <w:r w:rsidRPr="003B1772">
      <w:rPr>
        <w:rFonts w:ascii="Arial" w:hAnsi="Arial"/>
        <w:b/>
        <w:bCs/>
        <w:sz w:val="28"/>
        <w:szCs w:val="28"/>
      </w:rPr>
      <w:t>и прогноз на 2023 г.</w:t>
    </w:r>
  </w:p>
  <w:p w14:paraId="78CE1720" w14:textId="77777777" w:rsidR="00FA68D9" w:rsidRPr="003C2B06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</w:rPr>
    </w:pPr>
  </w:p>
  <w:p w14:paraId="12B25AD8" w14:textId="77777777" w:rsidR="004B7754" w:rsidRPr="003C2B06" w:rsidRDefault="004B7754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</w:rPr>
    </w:pPr>
  </w:p>
  <w:p w14:paraId="5F53C7C4" w14:textId="77777777" w:rsidR="004B7754" w:rsidRPr="003C2B06" w:rsidRDefault="004B7754" w:rsidP="00B17054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0489" w14:textId="358EB32D" w:rsidR="00D91E2D" w:rsidRPr="001E653E" w:rsidRDefault="00D91E2D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IOC</w:t>
    </w:r>
    <w:r w:rsidR="007A48AA">
      <w:rPr>
        <w:rFonts w:ascii="Arial" w:hAnsi="Arial"/>
        <w:bCs/>
        <w:sz w:val="22"/>
        <w:szCs w:val="22"/>
        <w:lang w:val="en-US"/>
      </w:rPr>
      <w:t>/A</w:t>
    </w:r>
    <w:r>
      <w:rPr>
        <w:rFonts w:ascii="Arial" w:hAnsi="Arial"/>
        <w:bCs/>
        <w:sz w:val="22"/>
        <w:szCs w:val="22"/>
      </w:rPr>
      <w:t>-32/3.2.Doc</w:t>
    </w:r>
    <w:sdt>
      <w:sdtPr>
        <w:rPr>
          <w:rFonts w:ascii="Arial" w:hAnsi="Arial" w:cs="Arial"/>
          <w:bCs/>
          <w:sz w:val="22"/>
          <w:szCs w:val="22"/>
        </w:rPr>
        <w:id w:val="-33800627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bCs/>
            <w:sz w:val="22"/>
            <w:szCs w:val="22"/>
          </w:rPr>
          <w:t>(3)</w:t>
        </w:r>
      </w:sdtContent>
    </w:sdt>
  </w:p>
  <w:p w14:paraId="447CEDCF" w14:textId="4FB48CA5" w:rsidR="00D91E2D" w:rsidRPr="001E653E" w:rsidRDefault="00D91E2D">
    <w:pPr>
      <w:pStyle w:val="Header"/>
      <w:rPr>
        <w:rFonts w:asciiTheme="minorBidi" w:hAnsiTheme="minorBidi" w:cstheme="minorBidi"/>
        <w:sz w:val="22"/>
        <w:szCs w:val="22"/>
      </w:rPr>
    </w:pPr>
    <w:proofErr w:type="spellStart"/>
    <w:r>
      <w:rPr>
        <w:rFonts w:asciiTheme="minorBidi" w:hAnsiTheme="minorBidi"/>
        <w:sz w:val="22"/>
        <w:szCs w:val="22"/>
      </w:rPr>
      <w:t>Annex</w:t>
    </w:r>
    <w:proofErr w:type="spellEnd"/>
    <w:r>
      <w:rPr>
        <w:rFonts w:asciiTheme="minorBidi" w:hAnsiTheme="minorBidi"/>
        <w:sz w:val="22"/>
        <w:szCs w:val="22"/>
      </w:rPr>
      <w:t xml:space="preserve"> </w:t>
    </w:r>
    <w:r w:rsidR="00695681">
      <w:rPr>
        <w:rFonts w:asciiTheme="minorBidi" w:hAnsiTheme="minorBidi"/>
        <w:sz w:val="22"/>
        <w:szCs w:val="22"/>
      </w:rPr>
      <w:t>–</w:t>
    </w:r>
    <w:r>
      <w:rPr>
        <w:rFonts w:asciiTheme="minorBidi" w:hAnsiTheme="minorBidi"/>
        <w:sz w:val="22"/>
        <w:szCs w:val="22"/>
      </w:rPr>
      <w:t xml:space="preserve"> </w:t>
    </w:r>
    <w:proofErr w:type="spellStart"/>
    <w:r>
      <w:rPr>
        <w:rFonts w:asciiTheme="minorBidi" w:hAnsiTheme="minorBidi"/>
        <w:sz w:val="22"/>
        <w:szCs w:val="22"/>
      </w:rPr>
      <w:t>page</w:t>
    </w:r>
    <w:proofErr w:type="spellEnd"/>
    <w:r>
      <w:rPr>
        <w:rFonts w:asciiTheme="minorBidi" w:hAnsiTheme="minorBidi"/>
        <w:sz w:val="22"/>
        <w:szCs w:val="22"/>
      </w:rPr>
      <w:t xml:space="preserve"> </w:t>
    </w:r>
    <w:r w:rsidR="001E653E" w:rsidRPr="001E653E">
      <w:rPr>
        <w:rFonts w:asciiTheme="minorBidi" w:hAnsiTheme="minorBidi" w:cstheme="minorBidi"/>
        <w:sz w:val="22"/>
        <w:szCs w:val="22"/>
      </w:rPr>
      <w:fldChar w:fldCharType="begin"/>
    </w:r>
    <w:r w:rsidR="001E653E" w:rsidRPr="001E653E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="001E653E" w:rsidRPr="001E653E">
      <w:rPr>
        <w:rFonts w:asciiTheme="minorBidi" w:hAnsiTheme="minorBidi" w:cstheme="minorBidi"/>
        <w:sz w:val="22"/>
        <w:szCs w:val="22"/>
      </w:rPr>
      <w:fldChar w:fldCharType="separate"/>
    </w:r>
    <w:r w:rsidR="00936308">
      <w:rPr>
        <w:rFonts w:asciiTheme="minorBidi" w:hAnsiTheme="minorBidi" w:cstheme="minorBidi"/>
        <w:sz w:val="22"/>
        <w:szCs w:val="22"/>
      </w:rPr>
      <w:t>6</w:t>
    </w:r>
    <w:r w:rsidR="001E653E" w:rsidRPr="001E653E">
      <w:rPr>
        <w:rFonts w:asciiTheme="minorBidi" w:hAnsiTheme="minorBidi" w:cstheme="minorBidi"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F94E" w14:textId="315D74B3" w:rsidR="0003667B" w:rsidRPr="007A48AA" w:rsidRDefault="0003667B" w:rsidP="007A48AA">
    <w:pPr>
      <w:pStyle w:val="Header"/>
      <w:ind w:left="7513"/>
      <w:rPr>
        <w:rFonts w:ascii="Arial" w:hAnsi="Arial" w:cs="Arial"/>
        <w:bCs/>
        <w:sz w:val="22"/>
        <w:szCs w:val="22"/>
        <w:lang w:val="fr-FR"/>
      </w:rPr>
    </w:pPr>
    <w:r w:rsidRPr="007A48AA">
      <w:rPr>
        <w:rFonts w:ascii="Arial" w:hAnsi="Arial"/>
        <w:bCs/>
        <w:sz w:val="22"/>
        <w:szCs w:val="22"/>
        <w:lang w:val="fr-FR"/>
      </w:rPr>
      <w:t>IOC</w:t>
    </w:r>
    <w:r w:rsidR="007A48AA" w:rsidRPr="007A48AA">
      <w:rPr>
        <w:rFonts w:ascii="Arial" w:hAnsi="Arial"/>
        <w:bCs/>
        <w:sz w:val="22"/>
        <w:szCs w:val="22"/>
        <w:lang w:val="fr-FR"/>
      </w:rPr>
      <w:t>/A</w:t>
    </w:r>
    <w:r w:rsidRPr="007A48AA">
      <w:rPr>
        <w:rFonts w:ascii="Arial" w:hAnsi="Arial"/>
        <w:bCs/>
        <w:sz w:val="22"/>
        <w:szCs w:val="22"/>
        <w:lang w:val="fr-FR"/>
      </w:rPr>
      <w:t>-32/3.2.Doc</w:t>
    </w:r>
    <w:sdt>
      <w:sdtPr>
        <w:rPr>
          <w:rFonts w:ascii="Arial" w:hAnsi="Arial" w:cs="Arial"/>
          <w:bCs/>
          <w:sz w:val="22"/>
          <w:szCs w:val="22"/>
        </w:rPr>
        <w:id w:val="-1030187005"/>
        <w:docPartObj>
          <w:docPartGallery w:val="Page Numbers (Top of Page)"/>
          <w:docPartUnique/>
        </w:docPartObj>
      </w:sdtPr>
      <w:sdtEndPr/>
      <w:sdtContent>
        <w:r w:rsidRPr="007A48AA">
          <w:rPr>
            <w:rFonts w:ascii="Arial" w:hAnsi="Arial"/>
            <w:bCs/>
            <w:sz w:val="22"/>
            <w:szCs w:val="22"/>
            <w:lang w:val="fr-FR"/>
          </w:rPr>
          <w:t>(3)</w:t>
        </w:r>
      </w:sdtContent>
    </w:sdt>
  </w:p>
  <w:p w14:paraId="640C9F58" w14:textId="1C688E7E" w:rsidR="001E653E" w:rsidRPr="007A48AA" w:rsidRDefault="001E653E" w:rsidP="007A48AA">
    <w:pPr>
      <w:pStyle w:val="Header"/>
      <w:ind w:left="7513"/>
      <w:rPr>
        <w:rFonts w:ascii="Arial" w:hAnsi="Arial" w:cs="Arial"/>
        <w:bCs/>
        <w:sz w:val="22"/>
        <w:szCs w:val="22"/>
        <w:lang w:val="fr-FR"/>
      </w:rPr>
    </w:pPr>
    <w:r w:rsidRPr="007A48AA">
      <w:rPr>
        <w:rFonts w:ascii="Arial" w:hAnsi="Arial"/>
        <w:bCs/>
        <w:sz w:val="22"/>
        <w:szCs w:val="22"/>
        <w:lang w:val="fr-FR"/>
      </w:rPr>
      <w:t xml:space="preserve">Annex </w:t>
    </w:r>
    <w:r w:rsidR="00695681" w:rsidRPr="007A48AA">
      <w:rPr>
        <w:rFonts w:ascii="Arial" w:hAnsi="Arial"/>
        <w:bCs/>
        <w:sz w:val="22"/>
        <w:szCs w:val="22"/>
        <w:lang w:val="fr-FR"/>
      </w:rPr>
      <w:t>–</w:t>
    </w:r>
    <w:r w:rsidRPr="007A48AA">
      <w:rPr>
        <w:rFonts w:ascii="Arial" w:hAnsi="Arial"/>
        <w:bCs/>
        <w:sz w:val="22"/>
        <w:szCs w:val="22"/>
        <w:lang w:val="fr-FR"/>
      </w:rPr>
      <w:t xml:space="preserve"> page </w:t>
    </w:r>
    <w:r w:rsidRPr="001E653E">
      <w:rPr>
        <w:rFonts w:ascii="Arial" w:hAnsi="Arial" w:cs="Arial"/>
        <w:bCs/>
        <w:sz w:val="22"/>
        <w:szCs w:val="22"/>
      </w:rPr>
      <w:fldChar w:fldCharType="begin"/>
    </w:r>
    <w:r w:rsidRPr="007A48AA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Pr="001E653E">
      <w:rPr>
        <w:rFonts w:ascii="Arial" w:hAnsi="Arial" w:cs="Arial"/>
        <w:bCs/>
        <w:sz w:val="22"/>
        <w:szCs w:val="22"/>
      </w:rPr>
      <w:fldChar w:fldCharType="separate"/>
    </w:r>
    <w:r w:rsidR="00936308" w:rsidRPr="007A48AA">
      <w:rPr>
        <w:rFonts w:ascii="Arial" w:hAnsi="Arial" w:cs="Arial"/>
        <w:bCs/>
        <w:sz w:val="22"/>
        <w:szCs w:val="22"/>
        <w:lang w:val="fr-FR"/>
      </w:rPr>
      <w:t>5</w:t>
    </w:r>
    <w:r w:rsidRPr="001E653E">
      <w:rPr>
        <w:rFonts w:ascii="Arial" w:hAnsi="Arial" w:cs="Arial"/>
        <w:bCs/>
        <w:sz w:val="22"/>
        <w:szCs w:val="22"/>
      </w:rPr>
      <w:fldChar w:fldCharType="end"/>
    </w:r>
  </w:p>
  <w:p w14:paraId="048AC59F" w14:textId="77777777" w:rsidR="001E653E" w:rsidRPr="0003667B" w:rsidRDefault="001E653E" w:rsidP="00FF54F5">
    <w:pPr>
      <w:pStyle w:val="Header"/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1104" w14:textId="07F20085" w:rsidR="00D91E2D" w:rsidRPr="00D91E2D" w:rsidRDefault="00D91E2D" w:rsidP="00D91E2D">
    <w:pPr>
      <w:pStyle w:val="Marge"/>
      <w:tabs>
        <w:tab w:val="left" w:pos="4820"/>
        <w:tab w:val="left" w:pos="7371"/>
      </w:tabs>
      <w:spacing w:after="0"/>
      <w:ind w:left="7230"/>
      <w:jc w:val="left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IOC</w:t>
    </w:r>
    <w:r w:rsidR="007A48AA">
      <w:rPr>
        <w:rFonts w:ascii="Arial" w:hAnsi="Arial"/>
        <w:bCs/>
        <w:sz w:val="22"/>
        <w:szCs w:val="22"/>
        <w:lang w:val="en-US"/>
      </w:rPr>
      <w:t>/A</w:t>
    </w:r>
    <w:r>
      <w:rPr>
        <w:rFonts w:ascii="Arial" w:hAnsi="Arial"/>
        <w:bCs/>
        <w:sz w:val="22"/>
        <w:szCs w:val="22"/>
      </w:rPr>
      <w:t>-32/3.2.Doc(3)</w:t>
    </w:r>
    <w:r>
      <w:rPr>
        <w:rFonts w:ascii="Arial" w:hAnsi="Arial"/>
        <w:bCs/>
        <w:sz w:val="22"/>
        <w:szCs w:val="22"/>
      </w:rPr>
      <w:br/>
    </w:r>
    <w:proofErr w:type="spellStart"/>
    <w:r>
      <w:rPr>
        <w:rFonts w:ascii="Arial" w:hAnsi="Arial"/>
        <w:bCs/>
        <w:sz w:val="22"/>
        <w:szCs w:val="22"/>
      </w:rPr>
      <w:t>Annex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7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CA7FC5"/>
    <w:multiLevelType w:val="hybridMultilevel"/>
    <w:tmpl w:val="F2FC6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599021303">
    <w:abstractNumId w:val="6"/>
  </w:num>
  <w:num w:numId="2" w16cid:durableId="2141724410">
    <w:abstractNumId w:val="6"/>
  </w:num>
  <w:num w:numId="3" w16cid:durableId="1577788038">
    <w:abstractNumId w:val="6"/>
  </w:num>
  <w:num w:numId="4" w16cid:durableId="1961492890">
    <w:abstractNumId w:val="6"/>
  </w:num>
  <w:num w:numId="5" w16cid:durableId="779103764">
    <w:abstractNumId w:val="6"/>
  </w:num>
  <w:num w:numId="6" w16cid:durableId="1829009150">
    <w:abstractNumId w:val="6"/>
  </w:num>
  <w:num w:numId="7" w16cid:durableId="507523924">
    <w:abstractNumId w:val="6"/>
  </w:num>
  <w:num w:numId="8" w16cid:durableId="981228254">
    <w:abstractNumId w:val="6"/>
  </w:num>
  <w:num w:numId="9" w16cid:durableId="216169603">
    <w:abstractNumId w:val="6"/>
  </w:num>
  <w:num w:numId="10" w16cid:durableId="1681007608">
    <w:abstractNumId w:val="6"/>
  </w:num>
  <w:num w:numId="11" w16cid:durableId="1256597078">
    <w:abstractNumId w:val="12"/>
  </w:num>
  <w:num w:numId="12" w16cid:durableId="1367637285">
    <w:abstractNumId w:val="6"/>
  </w:num>
  <w:num w:numId="13" w16cid:durableId="46297584">
    <w:abstractNumId w:val="4"/>
  </w:num>
  <w:num w:numId="14" w16cid:durableId="623006435">
    <w:abstractNumId w:val="7"/>
  </w:num>
  <w:num w:numId="15" w16cid:durableId="1352562254">
    <w:abstractNumId w:val="3"/>
  </w:num>
  <w:num w:numId="16" w16cid:durableId="1103190891">
    <w:abstractNumId w:val="8"/>
  </w:num>
  <w:num w:numId="17" w16cid:durableId="1234896804">
    <w:abstractNumId w:val="5"/>
  </w:num>
  <w:num w:numId="18" w16cid:durableId="369573370">
    <w:abstractNumId w:val="2"/>
  </w:num>
  <w:num w:numId="19" w16cid:durableId="456606123">
    <w:abstractNumId w:val="10"/>
  </w:num>
  <w:num w:numId="20" w16cid:durableId="1455640012">
    <w:abstractNumId w:val="11"/>
  </w:num>
  <w:num w:numId="21" w16cid:durableId="239952154">
    <w:abstractNumId w:val="1"/>
  </w:num>
  <w:num w:numId="22" w16cid:durableId="157499596">
    <w:abstractNumId w:val="0"/>
  </w:num>
  <w:num w:numId="23" w16cid:durableId="2146579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19BA"/>
    <w:rsid w:val="000031EF"/>
    <w:rsid w:val="00004725"/>
    <w:rsid w:val="000055C3"/>
    <w:rsid w:val="00006C25"/>
    <w:rsid w:val="00010B89"/>
    <w:rsid w:val="000118CD"/>
    <w:rsid w:val="00013390"/>
    <w:rsid w:val="00017E4B"/>
    <w:rsid w:val="00023CA0"/>
    <w:rsid w:val="00025A88"/>
    <w:rsid w:val="00026782"/>
    <w:rsid w:val="00027122"/>
    <w:rsid w:val="000319A1"/>
    <w:rsid w:val="00031ECD"/>
    <w:rsid w:val="00032C8E"/>
    <w:rsid w:val="00033544"/>
    <w:rsid w:val="00033FCF"/>
    <w:rsid w:val="00034C53"/>
    <w:rsid w:val="00034C70"/>
    <w:rsid w:val="0003667B"/>
    <w:rsid w:val="000431C5"/>
    <w:rsid w:val="000445B8"/>
    <w:rsid w:val="0004582F"/>
    <w:rsid w:val="00054037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285A"/>
    <w:rsid w:val="00083369"/>
    <w:rsid w:val="00085FE9"/>
    <w:rsid w:val="00086071"/>
    <w:rsid w:val="0009246D"/>
    <w:rsid w:val="0009256F"/>
    <w:rsid w:val="00094EB8"/>
    <w:rsid w:val="00097CDF"/>
    <w:rsid w:val="000A6D08"/>
    <w:rsid w:val="000B1B44"/>
    <w:rsid w:val="000B40F3"/>
    <w:rsid w:val="000C3BB5"/>
    <w:rsid w:val="000C6C8B"/>
    <w:rsid w:val="000D4C69"/>
    <w:rsid w:val="000D6EB3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23F7E"/>
    <w:rsid w:val="00131529"/>
    <w:rsid w:val="0013238B"/>
    <w:rsid w:val="00134711"/>
    <w:rsid w:val="00134935"/>
    <w:rsid w:val="00136102"/>
    <w:rsid w:val="0013649D"/>
    <w:rsid w:val="00143B1A"/>
    <w:rsid w:val="0014529C"/>
    <w:rsid w:val="0015046B"/>
    <w:rsid w:val="001524A3"/>
    <w:rsid w:val="0015561D"/>
    <w:rsid w:val="001579AB"/>
    <w:rsid w:val="00160284"/>
    <w:rsid w:val="00161B3D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1993"/>
    <w:rsid w:val="001A2943"/>
    <w:rsid w:val="001A6261"/>
    <w:rsid w:val="001A6DDA"/>
    <w:rsid w:val="001A73F8"/>
    <w:rsid w:val="001B2807"/>
    <w:rsid w:val="001B5075"/>
    <w:rsid w:val="001B5CB6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E653E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0818"/>
    <w:rsid w:val="00231994"/>
    <w:rsid w:val="00232596"/>
    <w:rsid w:val="00232FAE"/>
    <w:rsid w:val="0023308D"/>
    <w:rsid w:val="00237FCC"/>
    <w:rsid w:val="00243536"/>
    <w:rsid w:val="00255764"/>
    <w:rsid w:val="002565A1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6AA"/>
    <w:rsid w:val="0028078A"/>
    <w:rsid w:val="00282456"/>
    <w:rsid w:val="00282FBC"/>
    <w:rsid w:val="00283B06"/>
    <w:rsid w:val="00286B3B"/>
    <w:rsid w:val="00290F6F"/>
    <w:rsid w:val="002A05D9"/>
    <w:rsid w:val="002A3541"/>
    <w:rsid w:val="002A3623"/>
    <w:rsid w:val="002A364B"/>
    <w:rsid w:val="002A3D8C"/>
    <w:rsid w:val="002A4894"/>
    <w:rsid w:val="002B0438"/>
    <w:rsid w:val="002B0B65"/>
    <w:rsid w:val="002B2FB7"/>
    <w:rsid w:val="002B58F5"/>
    <w:rsid w:val="002C6A49"/>
    <w:rsid w:val="002D2062"/>
    <w:rsid w:val="002D41F6"/>
    <w:rsid w:val="002D4B35"/>
    <w:rsid w:val="002E0808"/>
    <w:rsid w:val="002E0A07"/>
    <w:rsid w:val="002E2A91"/>
    <w:rsid w:val="002E3B10"/>
    <w:rsid w:val="002E524A"/>
    <w:rsid w:val="002E558B"/>
    <w:rsid w:val="002E6FCC"/>
    <w:rsid w:val="002F0EB7"/>
    <w:rsid w:val="002F11B4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6D93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45E65"/>
    <w:rsid w:val="00352423"/>
    <w:rsid w:val="00354A10"/>
    <w:rsid w:val="00355638"/>
    <w:rsid w:val="00355A56"/>
    <w:rsid w:val="003563D2"/>
    <w:rsid w:val="00366C04"/>
    <w:rsid w:val="00370210"/>
    <w:rsid w:val="003774D6"/>
    <w:rsid w:val="00382463"/>
    <w:rsid w:val="00393704"/>
    <w:rsid w:val="0039512E"/>
    <w:rsid w:val="00395A11"/>
    <w:rsid w:val="003A1F97"/>
    <w:rsid w:val="003B1772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2B06"/>
    <w:rsid w:val="003C309A"/>
    <w:rsid w:val="003C4A99"/>
    <w:rsid w:val="003D2102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1C"/>
    <w:rsid w:val="00425E51"/>
    <w:rsid w:val="0042612F"/>
    <w:rsid w:val="00431123"/>
    <w:rsid w:val="00437DB1"/>
    <w:rsid w:val="00441000"/>
    <w:rsid w:val="00441F29"/>
    <w:rsid w:val="00441FE3"/>
    <w:rsid w:val="00444A63"/>
    <w:rsid w:val="00450AA6"/>
    <w:rsid w:val="00452512"/>
    <w:rsid w:val="00452CFD"/>
    <w:rsid w:val="00453CE0"/>
    <w:rsid w:val="004544DF"/>
    <w:rsid w:val="00463AB2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1DCC"/>
    <w:rsid w:val="004B2530"/>
    <w:rsid w:val="004B389C"/>
    <w:rsid w:val="004B3D01"/>
    <w:rsid w:val="004B5787"/>
    <w:rsid w:val="004B7754"/>
    <w:rsid w:val="004C36AF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325F"/>
    <w:rsid w:val="00514AC0"/>
    <w:rsid w:val="00515020"/>
    <w:rsid w:val="005158A9"/>
    <w:rsid w:val="005173AE"/>
    <w:rsid w:val="00520B78"/>
    <w:rsid w:val="00520FA7"/>
    <w:rsid w:val="00523B29"/>
    <w:rsid w:val="00523DF2"/>
    <w:rsid w:val="0052407F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A9B"/>
    <w:rsid w:val="0058530C"/>
    <w:rsid w:val="0058628A"/>
    <w:rsid w:val="00587822"/>
    <w:rsid w:val="005878F6"/>
    <w:rsid w:val="00593EC9"/>
    <w:rsid w:val="00596959"/>
    <w:rsid w:val="005A1B75"/>
    <w:rsid w:val="005A210B"/>
    <w:rsid w:val="005A7E87"/>
    <w:rsid w:val="005B0510"/>
    <w:rsid w:val="005B0804"/>
    <w:rsid w:val="005B09E3"/>
    <w:rsid w:val="005B0F21"/>
    <w:rsid w:val="005B2606"/>
    <w:rsid w:val="005B4BEA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5F78E3"/>
    <w:rsid w:val="00600999"/>
    <w:rsid w:val="00602C02"/>
    <w:rsid w:val="0060360F"/>
    <w:rsid w:val="00606638"/>
    <w:rsid w:val="006122F2"/>
    <w:rsid w:val="00612A3E"/>
    <w:rsid w:val="00612C7A"/>
    <w:rsid w:val="00613F3F"/>
    <w:rsid w:val="006140DB"/>
    <w:rsid w:val="00625EE0"/>
    <w:rsid w:val="00625FE6"/>
    <w:rsid w:val="00631D35"/>
    <w:rsid w:val="006327B2"/>
    <w:rsid w:val="006331C8"/>
    <w:rsid w:val="00633A3E"/>
    <w:rsid w:val="00637621"/>
    <w:rsid w:val="00641D3D"/>
    <w:rsid w:val="00645699"/>
    <w:rsid w:val="00646F26"/>
    <w:rsid w:val="006502B2"/>
    <w:rsid w:val="00650A87"/>
    <w:rsid w:val="00654AA1"/>
    <w:rsid w:val="00656721"/>
    <w:rsid w:val="00657AC1"/>
    <w:rsid w:val="00657EB5"/>
    <w:rsid w:val="006605E2"/>
    <w:rsid w:val="006625C0"/>
    <w:rsid w:val="006644A7"/>
    <w:rsid w:val="00666085"/>
    <w:rsid w:val="00667C1A"/>
    <w:rsid w:val="0067098E"/>
    <w:rsid w:val="00671A70"/>
    <w:rsid w:val="00672A6F"/>
    <w:rsid w:val="0067544A"/>
    <w:rsid w:val="00681D60"/>
    <w:rsid w:val="00682998"/>
    <w:rsid w:val="00694BEE"/>
    <w:rsid w:val="00695681"/>
    <w:rsid w:val="006A1ED7"/>
    <w:rsid w:val="006A2412"/>
    <w:rsid w:val="006A2C9D"/>
    <w:rsid w:val="006A3196"/>
    <w:rsid w:val="006B0694"/>
    <w:rsid w:val="006B2C23"/>
    <w:rsid w:val="006B7AA9"/>
    <w:rsid w:val="006C2500"/>
    <w:rsid w:val="006C3ACB"/>
    <w:rsid w:val="006C48C7"/>
    <w:rsid w:val="006C6875"/>
    <w:rsid w:val="006C6EB1"/>
    <w:rsid w:val="006C7AE8"/>
    <w:rsid w:val="006D312D"/>
    <w:rsid w:val="006E0BC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251C"/>
    <w:rsid w:val="00727C74"/>
    <w:rsid w:val="00727EEF"/>
    <w:rsid w:val="00731536"/>
    <w:rsid w:val="00732AF2"/>
    <w:rsid w:val="007331F8"/>
    <w:rsid w:val="00735534"/>
    <w:rsid w:val="00735E52"/>
    <w:rsid w:val="007443CA"/>
    <w:rsid w:val="00744650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A48AA"/>
    <w:rsid w:val="007B032D"/>
    <w:rsid w:val="007B267F"/>
    <w:rsid w:val="007B4E4D"/>
    <w:rsid w:val="007B5C46"/>
    <w:rsid w:val="007B70CA"/>
    <w:rsid w:val="007B79DB"/>
    <w:rsid w:val="007C23B2"/>
    <w:rsid w:val="007C2552"/>
    <w:rsid w:val="007C4C1D"/>
    <w:rsid w:val="007C58F2"/>
    <w:rsid w:val="007C60C1"/>
    <w:rsid w:val="007C6427"/>
    <w:rsid w:val="007D02E1"/>
    <w:rsid w:val="007D14B6"/>
    <w:rsid w:val="007D3990"/>
    <w:rsid w:val="007D4781"/>
    <w:rsid w:val="007D5C6F"/>
    <w:rsid w:val="007E3082"/>
    <w:rsid w:val="007E331D"/>
    <w:rsid w:val="007E3BE2"/>
    <w:rsid w:val="007E6267"/>
    <w:rsid w:val="007E6585"/>
    <w:rsid w:val="007F0B67"/>
    <w:rsid w:val="007F0FB9"/>
    <w:rsid w:val="007F1A39"/>
    <w:rsid w:val="007F77F4"/>
    <w:rsid w:val="00800665"/>
    <w:rsid w:val="00806CD3"/>
    <w:rsid w:val="008074BE"/>
    <w:rsid w:val="00807B97"/>
    <w:rsid w:val="00811963"/>
    <w:rsid w:val="0081272A"/>
    <w:rsid w:val="008132AD"/>
    <w:rsid w:val="0081429E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3E81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18EF"/>
    <w:rsid w:val="00884332"/>
    <w:rsid w:val="008901AA"/>
    <w:rsid w:val="00890255"/>
    <w:rsid w:val="00890F12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4407"/>
    <w:rsid w:val="008B544A"/>
    <w:rsid w:val="008B77EB"/>
    <w:rsid w:val="008C15AF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58F7"/>
    <w:rsid w:val="009263CA"/>
    <w:rsid w:val="00926737"/>
    <w:rsid w:val="009278CB"/>
    <w:rsid w:val="0093392C"/>
    <w:rsid w:val="00935F8E"/>
    <w:rsid w:val="00936308"/>
    <w:rsid w:val="00940BCB"/>
    <w:rsid w:val="00941FC7"/>
    <w:rsid w:val="00942E2B"/>
    <w:rsid w:val="0094308D"/>
    <w:rsid w:val="00945D12"/>
    <w:rsid w:val="00951AB6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4CC7"/>
    <w:rsid w:val="0097668F"/>
    <w:rsid w:val="00976954"/>
    <w:rsid w:val="0098096C"/>
    <w:rsid w:val="00980AA0"/>
    <w:rsid w:val="00981A92"/>
    <w:rsid w:val="009827C6"/>
    <w:rsid w:val="009832EB"/>
    <w:rsid w:val="00984474"/>
    <w:rsid w:val="00985E78"/>
    <w:rsid w:val="0098794B"/>
    <w:rsid w:val="009905D6"/>
    <w:rsid w:val="0099674A"/>
    <w:rsid w:val="009A03DB"/>
    <w:rsid w:val="009A1DDC"/>
    <w:rsid w:val="009A6B84"/>
    <w:rsid w:val="009A7F76"/>
    <w:rsid w:val="009B2FB5"/>
    <w:rsid w:val="009B33B9"/>
    <w:rsid w:val="009B4B8B"/>
    <w:rsid w:val="009B4C4B"/>
    <w:rsid w:val="009B7ED9"/>
    <w:rsid w:val="009C32D0"/>
    <w:rsid w:val="009C5BA0"/>
    <w:rsid w:val="009D460D"/>
    <w:rsid w:val="009D5847"/>
    <w:rsid w:val="009D5865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9F66B1"/>
    <w:rsid w:val="00A02887"/>
    <w:rsid w:val="00A02E57"/>
    <w:rsid w:val="00A041CA"/>
    <w:rsid w:val="00A057C4"/>
    <w:rsid w:val="00A05A4D"/>
    <w:rsid w:val="00A05AB4"/>
    <w:rsid w:val="00A070D7"/>
    <w:rsid w:val="00A073B4"/>
    <w:rsid w:val="00A12E09"/>
    <w:rsid w:val="00A25EB2"/>
    <w:rsid w:val="00A265E3"/>
    <w:rsid w:val="00A30AC2"/>
    <w:rsid w:val="00A37446"/>
    <w:rsid w:val="00A403AD"/>
    <w:rsid w:val="00A40E60"/>
    <w:rsid w:val="00A443F2"/>
    <w:rsid w:val="00A45588"/>
    <w:rsid w:val="00A4607A"/>
    <w:rsid w:val="00A529FA"/>
    <w:rsid w:val="00A52B09"/>
    <w:rsid w:val="00A54730"/>
    <w:rsid w:val="00A54BD1"/>
    <w:rsid w:val="00A56096"/>
    <w:rsid w:val="00A56440"/>
    <w:rsid w:val="00A62A90"/>
    <w:rsid w:val="00A62E0B"/>
    <w:rsid w:val="00A63491"/>
    <w:rsid w:val="00A6553E"/>
    <w:rsid w:val="00A7029E"/>
    <w:rsid w:val="00A72488"/>
    <w:rsid w:val="00A7294C"/>
    <w:rsid w:val="00A72B4C"/>
    <w:rsid w:val="00A74B98"/>
    <w:rsid w:val="00A75239"/>
    <w:rsid w:val="00A7623D"/>
    <w:rsid w:val="00A820F1"/>
    <w:rsid w:val="00A9783D"/>
    <w:rsid w:val="00AA3077"/>
    <w:rsid w:val="00AA36BB"/>
    <w:rsid w:val="00AA6564"/>
    <w:rsid w:val="00AA6FCA"/>
    <w:rsid w:val="00AB2387"/>
    <w:rsid w:val="00AB3439"/>
    <w:rsid w:val="00AB346C"/>
    <w:rsid w:val="00AB37B5"/>
    <w:rsid w:val="00AB5A78"/>
    <w:rsid w:val="00AB671E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AF6044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12B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81F"/>
    <w:rsid w:val="00B749AA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6962"/>
    <w:rsid w:val="00BC7AE6"/>
    <w:rsid w:val="00BD55EA"/>
    <w:rsid w:val="00BE1951"/>
    <w:rsid w:val="00BE2960"/>
    <w:rsid w:val="00BE4A26"/>
    <w:rsid w:val="00BE76AB"/>
    <w:rsid w:val="00BF4103"/>
    <w:rsid w:val="00C01CF5"/>
    <w:rsid w:val="00C021AC"/>
    <w:rsid w:val="00C02581"/>
    <w:rsid w:val="00C0288A"/>
    <w:rsid w:val="00C0560F"/>
    <w:rsid w:val="00C0602F"/>
    <w:rsid w:val="00C073F3"/>
    <w:rsid w:val="00C11339"/>
    <w:rsid w:val="00C161F8"/>
    <w:rsid w:val="00C16A4A"/>
    <w:rsid w:val="00C200DD"/>
    <w:rsid w:val="00C23624"/>
    <w:rsid w:val="00C26F58"/>
    <w:rsid w:val="00C3252E"/>
    <w:rsid w:val="00C3311E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800"/>
    <w:rsid w:val="00C72A49"/>
    <w:rsid w:val="00C74028"/>
    <w:rsid w:val="00C742E6"/>
    <w:rsid w:val="00C75E37"/>
    <w:rsid w:val="00C818D1"/>
    <w:rsid w:val="00C81A70"/>
    <w:rsid w:val="00C849C1"/>
    <w:rsid w:val="00C90C4E"/>
    <w:rsid w:val="00C926B5"/>
    <w:rsid w:val="00C96485"/>
    <w:rsid w:val="00C96BBC"/>
    <w:rsid w:val="00CA03C6"/>
    <w:rsid w:val="00CA1CB4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42D"/>
    <w:rsid w:val="00CF2D0C"/>
    <w:rsid w:val="00D02605"/>
    <w:rsid w:val="00D12711"/>
    <w:rsid w:val="00D1662F"/>
    <w:rsid w:val="00D204B7"/>
    <w:rsid w:val="00D2050E"/>
    <w:rsid w:val="00D27AC5"/>
    <w:rsid w:val="00D36C3E"/>
    <w:rsid w:val="00D45B02"/>
    <w:rsid w:val="00D467EB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76EF0"/>
    <w:rsid w:val="00D8125F"/>
    <w:rsid w:val="00D86D5E"/>
    <w:rsid w:val="00D90453"/>
    <w:rsid w:val="00D91117"/>
    <w:rsid w:val="00D91E2D"/>
    <w:rsid w:val="00D922B1"/>
    <w:rsid w:val="00D923CC"/>
    <w:rsid w:val="00DA5F08"/>
    <w:rsid w:val="00DB22A5"/>
    <w:rsid w:val="00DB544B"/>
    <w:rsid w:val="00DB60D6"/>
    <w:rsid w:val="00DB7370"/>
    <w:rsid w:val="00DC139D"/>
    <w:rsid w:val="00DC2C8A"/>
    <w:rsid w:val="00DC4666"/>
    <w:rsid w:val="00DC4D2A"/>
    <w:rsid w:val="00DC571F"/>
    <w:rsid w:val="00DC71F3"/>
    <w:rsid w:val="00DD1471"/>
    <w:rsid w:val="00DD3F5E"/>
    <w:rsid w:val="00DD55DA"/>
    <w:rsid w:val="00DD5ADB"/>
    <w:rsid w:val="00DE0399"/>
    <w:rsid w:val="00DE271E"/>
    <w:rsid w:val="00DE569D"/>
    <w:rsid w:val="00DE6571"/>
    <w:rsid w:val="00DE7784"/>
    <w:rsid w:val="00DF0410"/>
    <w:rsid w:val="00DF39D8"/>
    <w:rsid w:val="00DF419A"/>
    <w:rsid w:val="00DF7F7A"/>
    <w:rsid w:val="00E01FDA"/>
    <w:rsid w:val="00E03C5A"/>
    <w:rsid w:val="00E04B7F"/>
    <w:rsid w:val="00E0531A"/>
    <w:rsid w:val="00E10342"/>
    <w:rsid w:val="00E117F3"/>
    <w:rsid w:val="00E13F41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32C35"/>
    <w:rsid w:val="00E369CE"/>
    <w:rsid w:val="00E417D3"/>
    <w:rsid w:val="00E41948"/>
    <w:rsid w:val="00E435F6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2C87"/>
    <w:rsid w:val="00E94F30"/>
    <w:rsid w:val="00E95B86"/>
    <w:rsid w:val="00E95F76"/>
    <w:rsid w:val="00E97B29"/>
    <w:rsid w:val="00EA4749"/>
    <w:rsid w:val="00EA7FE0"/>
    <w:rsid w:val="00EB362B"/>
    <w:rsid w:val="00EB56CD"/>
    <w:rsid w:val="00EC1538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48B"/>
    <w:rsid w:val="00F01066"/>
    <w:rsid w:val="00F051B9"/>
    <w:rsid w:val="00F13454"/>
    <w:rsid w:val="00F151C0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6713"/>
    <w:rsid w:val="00F57317"/>
    <w:rsid w:val="00F615EE"/>
    <w:rsid w:val="00F625D4"/>
    <w:rsid w:val="00F62C19"/>
    <w:rsid w:val="00F63035"/>
    <w:rsid w:val="00F64C0F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8D9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ru-RU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ru-RU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611"/>
    <w:rPr>
      <w:snapToGrid w:val="0"/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ru-RU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ru-RU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5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6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49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3311E"/>
    <w:rPr>
      <w:snapToGrid w:val="0"/>
      <w:sz w:val="24"/>
      <w:szCs w:val="24"/>
    </w:rPr>
  </w:style>
  <w:style w:type="character" w:styleId="Strong">
    <w:name w:val="Strong"/>
    <w:basedOn w:val="DefaultParagraphFont"/>
    <w:qFormat/>
    <w:rsid w:val="003D2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oceanexpert.org/document/30352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83596.locale=en" TargetMode="External"/><Relationship Id="rId14" Type="http://schemas.openxmlformats.org/officeDocument/2006/relationships/image" Target="media/image2.png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B529-46A8-41D4-826D-401AB0FE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1107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положение специального счета МОК по состоянию на конец 2022 г. и прогноз на 2023 г.</dc:title>
  <dc:subject>IOC-32/3.2.Doc(3)</dc:subject>
  <dc:creator>UNESCO</dc:creator>
  <cp:keywords>0</cp:keywords>
  <dc:description/>
  <cp:lastModifiedBy>Boned, Patrice</cp:lastModifiedBy>
  <cp:revision>2</cp:revision>
  <cp:lastPrinted>2022-05-02T09:16:00Z</cp:lastPrinted>
  <dcterms:created xsi:type="dcterms:W3CDTF">2023-06-13T08:37:00Z</dcterms:created>
  <dcterms:modified xsi:type="dcterms:W3CDTF">2023-06-13T08:37:00Z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DCPMS">
    <vt:lpwstr>2301716</vt:lpwstr>
  </property>
</Properties>
</file>