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jc w:val="center"/>
        <w:tblLayout w:type="fixed"/>
        <w:tblLook w:val="04A0" w:firstRow="1" w:lastRow="0" w:firstColumn="1" w:lastColumn="0" w:noHBand="0" w:noVBand="1"/>
      </w:tblPr>
      <w:tblGrid>
        <w:gridCol w:w="9918"/>
      </w:tblGrid>
      <w:tr w:rsidR="006A5AED" w:rsidRPr="001D5AE1" w14:paraId="1A4612E9" w14:textId="77777777" w:rsidTr="00577D76">
        <w:trPr>
          <w:trHeight w:val="699"/>
          <w:jc w:val="center"/>
        </w:trPr>
        <w:tc>
          <w:tcPr>
            <w:tcW w:w="9918" w:type="dxa"/>
          </w:tcPr>
          <w:p w14:paraId="1B888B8D" w14:textId="77777777" w:rsidR="006A5AED" w:rsidRPr="001D5AE1" w:rsidRDefault="006A5AED" w:rsidP="00577D76">
            <w:pPr>
              <w:tabs>
                <w:tab w:val="clear" w:pos="567"/>
              </w:tabs>
              <w:snapToGrid/>
              <w:spacing w:before="120" w:after="240"/>
              <w:jc w:val="center"/>
              <w:rPr>
                <w:rFonts w:cs="Arial"/>
                <w:bCs/>
                <w:szCs w:val="22"/>
                <w:u w:val="single"/>
              </w:rPr>
            </w:pPr>
            <w:r w:rsidRPr="001D5AE1">
              <w:rPr>
                <w:u w:val="single"/>
              </w:rPr>
              <w:t>Résumé</w:t>
            </w:r>
          </w:p>
          <w:p w14:paraId="0C346B35" w14:textId="6D787CF4" w:rsidR="00BC4BD0" w:rsidRPr="001D5AE1" w:rsidRDefault="00BC4BD0" w:rsidP="009957F6">
            <w:pPr>
              <w:tabs>
                <w:tab w:val="clear" w:pos="567"/>
              </w:tabs>
              <w:snapToGrid/>
              <w:spacing w:after="240"/>
              <w:ind w:left="283" w:right="283"/>
              <w:jc w:val="both"/>
              <w:rPr>
                <w:rFonts w:cs="Arial"/>
                <w:szCs w:val="22"/>
              </w:rPr>
            </w:pPr>
            <w:r w:rsidRPr="001D5AE1">
              <w:rPr>
                <w:rFonts w:cs="Arial"/>
                <w:szCs w:val="22"/>
              </w:rPr>
              <w:t>En septembre 2021, l</w:t>
            </w:r>
            <w:r w:rsidR="00DA22B1" w:rsidRPr="001D5AE1">
              <w:rPr>
                <w:rFonts w:cs="Arial"/>
                <w:szCs w:val="22"/>
              </w:rPr>
              <w:t xml:space="preserve">a </w:t>
            </w:r>
            <w:r w:rsidR="000A1ADB" w:rsidRPr="001D5AE1">
              <w:rPr>
                <w:rFonts w:cs="Arial"/>
                <w:szCs w:val="22"/>
              </w:rPr>
              <w:t>Division des services de contrôle interne</w:t>
            </w:r>
            <w:r w:rsidRPr="001D5AE1">
              <w:rPr>
                <w:rFonts w:cs="Arial"/>
                <w:szCs w:val="22"/>
              </w:rPr>
              <w:t xml:space="preserve"> de l</w:t>
            </w:r>
            <w:r w:rsidR="00577D76" w:rsidRPr="001D5AE1">
              <w:rPr>
                <w:rFonts w:cs="Arial"/>
                <w:szCs w:val="22"/>
              </w:rPr>
              <w:t>’</w:t>
            </w:r>
            <w:r w:rsidRPr="001D5AE1">
              <w:rPr>
                <w:rFonts w:cs="Arial"/>
                <w:szCs w:val="22"/>
              </w:rPr>
              <w:t>UNESCO a publié son évaluation du positionnement straté</w:t>
            </w:r>
            <w:r w:rsidRPr="00225913">
              <w:rPr>
                <w:rFonts w:cs="Arial"/>
                <w:szCs w:val="22"/>
              </w:rPr>
              <w:t>gique de la COI</w:t>
            </w:r>
            <w:r w:rsidR="001862A6" w:rsidRPr="00225913">
              <w:rPr>
                <w:rFonts w:cs="Arial"/>
                <w:szCs w:val="22"/>
              </w:rPr>
              <w:noBreakHyphen/>
            </w:r>
            <w:r w:rsidRPr="00225913">
              <w:rPr>
                <w:rFonts w:cs="Arial"/>
                <w:szCs w:val="22"/>
              </w:rPr>
              <w:t>UNESCO (</w:t>
            </w:r>
            <w:hyperlink r:id="rId8" w:history="1">
              <w:r w:rsidRPr="00225913">
                <w:rPr>
                  <w:rStyle w:val="Hyperlink"/>
                  <w:rFonts w:cs="Arial"/>
                  <w:szCs w:val="22"/>
                </w:rPr>
                <w:t>IOS/EVS/PI/197</w:t>
              </w:r>
            </w:hyperlink>
            <w:r w:rsidRPr="001D5AE1">
              <w:rPr>
                <w:rFonts w:cs="Arial"/>
                <w:szCs w:val="22"/>
              </w:rPr>
              <w:t>) (ci</w:t>
            </w:r>
            <w:r w:rsidR="00A84BC6">
              <w:rPr>
                <w:rFonts w:cs="Arial"/>
                <w:szCs w:val="22"/>
              </w:rPr>
              <w:noBreakHyphen/>
            </w:r>
            <w:r w:rsidRPr="001D5AE1">
              <w:rPr>
                <w:rFonts w:cs="Arial"/>
                <w:szCs w:val="22"/>
              </w:rPr>
              <w:t>après « l</w:t>
            </w:r>
            <w:r w:rsidR="00577D76" w:rsidRPr="001D5AE1">
              <w:rPr>
                <w:rFonts w:cs="Arial"/>
                <w:szCs w:val="22"/>
              </w:rPr>
              <w:t>’</w:t>
            </w:r>
            <w:r w:rsidRPr="001D5AE1">
              <w:rPr>
                <w:rFonts w:cs="Arial"/>
                <w:szCs w:val="22"/>
              </w:rPr>
              <w:t>évaluation »). Ce document comprenait un ensemble de six recommandations et des propositions d</w:t>
            </w:r>
            <w:r w:rsidR="00577D76" w:rsidRPr="001D5AE1">
              <w:rPr>
                <w:rFonts w:cs="Arial"/>
                <w:szCs w:val="22"/>
              </w:rPr>
              <w:t>’</w:t>
            </w:r>
            <w:r w:rsidRPr="001D5AE1">
              <w:rPr>
                <w:rFonts w:cs="Arial"/>
                <w:szCs w:val="22"/>
              </w:rPr>
              <w:t>action.</w:t>
            </w:r>
            <w:r w:rsidR="00156950" w:rsidRPr="001D5AE1">
              <w:rPr>
                <w:rFonts w:cs="Arial"/>
                <w:szCs w:val="22"/>
              </w:rPr>
              <w:t xml:space="preserve"> Ses principales conclusions </w:t>
            </w:r>
            <w:r w:rsidRPr="001D5AE1">
              <w:rPr>
                <w:rFonts w:cs="Arial"/>
                <w:szCs w:val="22"/>
              </w:rPr>
              <w:t>et la réponse de l</w:t>
            </w:r>
            <w:r w:rsidR="00577D76" w:rsidRPr="001D5AE1">
              <w:rPr>
                <w:rFonts w:cs="Arial"/>
                <w:szCs w:val="22"/>
              </w:rPr>
              <w:t>’</w:t>
            </w:r>
            <w:r w:rsidRPr="001D5AE1">
              <w:rPr>
                <w:rFonts w:cs="Arial"/>
                <w:szCs w:val="22"/>
              </w:rPr>
              <w:t>équipe dirigeante ont été présentées au Conseil exécutif de l</w:t>
            </w:r>
            <w:r w:rsidR="00577D76" w:rsidRPr="001D5AE1">
              <w:rPr>
                <w:rFonts w:cs="Arial"/>
                <w:szCs w:val="22"/>
              </w:rPr>
              <w:t>’</w:t>
            </w:r>
            <w:r w:rsidRPr="001D5AE1">
              <w:rPr>
                <w:rFonts w:cs="Arial"/>
                <w:szCs w:val="22"/>
              </w:rPr>
              <w:t>UNESCO à sa 212</w:t>
            </w:r>
            <w:r w:rsidRPr="001D5AE1">
              <w:rPr>
                <w:rFonts w:cs="Arial"/>
                <w:szCs w:val="22"/>
                <w:vertAlign w:val="superscript"/>
              </w:rPr>
              <w:t>e</w:t>
            </w:r>
            <w:r w:rsidRPr="001D5AE1">
              <w:rPr>
                <w:rFonts w:cs="Arial"/>
                <w:szCs w:val="22"/>
              </w:rPr>
              <w:t> session (</w:t>
            </w:r>
            <w:hyperlink r:id="rId9" w:history="1">
              <w:r w:rsidRPr="001D5AE1">
                <w:rPr>
                  <w:rStyle w:val="Hyperlink"/>
                  <w:rFonts w:cs="Arial"/>
                  <w:szCs w:val="22"/>
                </w:rPr>
                <w:t>212 EX/9</w:t>
              </w:r>
            </w:hyperlink>
            <w:r w:rsidRPr="001D5AE1">
              <w:rPr>
                <w:rFonts w:cs="Arial"/>
                <w:szCs w:val="22"/>
              </w:rPr>
              <w:t>).</w:t>
            </w:r>
          </w:p>
          <w:p w14:paraId="14635223" w14:textId="425E8E4F" w:rsidR="00156950" w:rsidRPr="005A4AC1" w:rsidRDefault="00156950" w:rsidP="00DB71D2">
            <w:pPr>
              <w:tabs>
                <w:tab w:val="clear" w:pos="567"/>
              </w:tabs>
              <w:snapToGrid/>
              <w:spacing w:after="240"/>
              <w:ind w:left="283" w:right="283"/>
              <w:jc w:val="both"/>
              <w:rPr>
                <w:rFonts w:cs="Arial"/>
                <w:szCs w:val="22"/>
              </w:rPr>
            </w:pPr>
            <w:r w:rsidRPr="001D5AE1">
              <w:rPr>
                <w:rFonts w:cs="Arial"/>
                <w:szCs w:val="22"/>
              </w:rPr>
              <w:t xml:space="preserve">Le premier </w:t>
            </w:r>
            <w:r w:rsidR="00D64AEE" w:rsidRPr="001D5AE1">
              <w:rPr>
                <w:rFonts w:cs="Arial"/>
                <w:szCs w:val="22"/>
              </w:rPr>
              <w:t>projet de plan d</w:t>
            </w:r>
            <w:r w:rsidR="00577D76" w:rsidRPr="001D5AE1">
              <w:rPr>
                <w:rFonts w:cs="Arial"/>
                <w:szCs w:val="22"/>
              </w:rPr>
              <w:t>’</w:t>
            </w:r>
            <w:r w:rsidR="00D64AEE" w:rsidRPr="001D5AE1">
              <w:rPr>
                <w:rFonts w:cs="Arial"/>
                <w:szCs w:val="22"/>
              </w:rPr>
              <w:t>action a été présenté au Conseil exécutif de la COI à sa 55</w:t>
            </w:r>
            <w:r w:rsidR="00D64AEE" w:rsidRPr="001D5AE1">
              <w:rPr>
                <w:rFonts w:cs="Arial"/>
                <w:szCs w:val="22"/>
                <w:vertAlign w:val="superscript"/>
              </w:rPr>
              <w:t>e</w:t>
            </w:r>
            <w:r w:rsidR="00577D76" w:rsidRPr="001D5AE1">
              <w:rPr>
                <w:rFonts w:cs="Arial"/>
                <w:szCs w:val="22"/>
              </w:rPr>
              <w:t> </w:t>
            </w:r>
            <w:r w:rsidR="00D64AEE" w:rsidRPr="001D5AE1">
              <w:rPr>
                <w:rFonts w:cs="Arial"/>
                <w:szCs w:val="22"/>
              </w:rPr>
              <w:t>session, en juin</w:t>
            </w:r>
            <w:r w:rsidR="00577D76" w:rsidRPr="001D5AE1">
              <w:rPr>
                <w:rFonts w:cs="Arial"/>
                <w:szCs w:val="22"/>
              </w:rPr>
              <w:t> </w:t>
            </w:r>
            <w:r w:rsidR="00D64AEE" w:rsidRPr="001D5AE1">
              <w:rPr>
                <w:rFonts w:cs="Arial"/>
                <w:szCs w:val="22"/>
              </w:rPr>
              <w:t xml:space="preserve">2022, </w:t>
            </w:r>
            <w:r w:rsidR="009E0110" w:rsidRPr="001D5AE1">
              <w:rPr>
                <w:rFonts w:cs="Arial"/>
                <w:szCs w:val="22"/>
              </w:rPr>
              <w:t>dans le document</w:t>
            </w:r>
            <w:r w:rsidR="00D64AEE" w:rsidRPr="001D5AE1">
              <w:rPr>
                <w:rFonts w:cs="Arial"/>
                <w:szCs w:val="22"/>
              </w:rPr>
              <w:t xml:space="preserve"> IOC/EC-55/3.2</w:t>
            </w:r>
            <w:r w:rsidR="00A84BC6">
              <w:rPr>
                <w:rFonts w:cs="Arial"/>
                <w:szCs w:val="22"/>
              </w:rPr>
              <w:t>.</w:t>
            </w:r>
            <w:r w:rsidR="00D64AEE" w:rsidRPr="001D5AE1">
              <w:rPr>
                <w:rFonts w:cs="Arial"/>
                <w:szCs w:val="22"/>
              </w:rPr>
              <w:t>Doc</w:t>
            </w:r>
            <w:r w:rsidR="00E672A1" w:rsidRPr="001D5AE1">
              <w:rPr>
                <w:rFonts w:cs="Arial"/>
                <w:szCs w:val="22"/>
              </w:rPr>
              <w:t>.</w:t>
            </w:r>
            <w:r w:rsidR="00D64AEE" w:rsidRPr="001D5AE1">
              <w:rPr>
                <w:rFonts w:cs="Arial"/>
                <w:szCs w:val="22"/>
              </w:rPr>
              <w:t>(1).</w:t>
            </w:r>
            <w:r w:rsidR="00BF1AA4" w:rsidRPr="001D5AE1">
              <w:rPr>
                <w:rFonts w:cs="Arial"/>
                <w:szCs w:val="22"/>
              </w:rPr>
              <w:t xml:space="preserve"> </w:t>
            </w:r>
            <w:r w:rsidR="00373588" w:rsidRPr="001D5AE1">
              <w:rPr>
                <w:rFonts w:cs="Arial"/>
                <w:szCs w:val="22"/>
              </w:rPr>
              <w:t xml:space="preserve">Suite </w:t>
            </w:r>
            <w:r w:rsidR="009E0110" w:rsidRPr="001D5AE1">
              <w:rPr>
                <w:rFonts w:cs="Arial"/>
                <w:szCs w:val="22"/>
              </w:rPr>
              <w:t>aux conclusions</w:t>
            </w:r>
            <w:r w:rsidR="00373588" w:rsidRPr="001D5AE1">
              <w:rPr>
                <w:rFonts w:cs="Arial"/>
                <w:szCs w:val="22"/>
              </w:rPr>
              <w:t xml:space="preserve"> positive</w:t>
            </w:r>
            <w:r w:rsidR="009E0110" w:rsidRPr="001D5AE1">
              <w:rPr>
                <w:rFonts w:cs="Arial"/>
                <w:szCs w:val="22"/>
              </w:rPr>
              <w:t>s du Conseil exécutif de la COI et à la consultation</w:t>
            </w:r>
            <w:r w:rsidR="00373588" w:rsidRPr="001D5AE1">
              <w:rPr>
                <w:rFonts w:cs="Arial"/>
                <w:szCs w:val="22"/>
              </w:rPr>
              <w:t xml:space="preserve"> </w:t>
            </w:r>
            <w:r w:rsidR="009E0110" w:rsidRPr="001D5AE1">
              <w:rPr>
                <w:rFonts w:cs="Arial"/>
                <w:szCs w:val="22"/>
              </w:rPr>
              <w:t xml:space="preserve">des États membres par le biais </w:t>
            </w:r>
            <w:r w:rsidR="009E0110" w:rsidRPr="007B739F">
              <w:rPr>
                <w:rFonts w:cs="Arial"/>
                <w:szCs w:val="22"/>
              </w:rPr>
              <w:t>de la Lettre</w:t>
            </w:r>
            <w:r w:rsidR="009E0110" w:rsidRPr="001D5AE1">
              <w:rPr>
                <w:rFonts w:cs="Arial"/>
                <w:szCs w:val="22"/>
              </w:rPr>
              <w:t xml:space="preserve"> circulaire de la COI n°</w:t>
            </w:r>
            <w:hyperlink r:id="rId10" w:history="1">
              <w:r w:rsidR="009E0110" w:rsidRPr="001D5AE1">
                <w:rPr>
                  <w:rStyle w:val="Hyperlink"/>
                  <w:rFonts w:cs="Arial"/>
                  <w:szCs w:val="22"/>
                </w:rPr>
                <w:t>2912</w:t>
              </w:r>
            </w:hyperlink>
            <w:r w:rsidR="009E0110" w:rsidRPr="001D5AE1">
              <w:rPr>
                <w:rFonts w:cs="Arial"/>
                <w:szCs w:val="22"/>
              </w:rPr>
              <w:t>, le projet de plan d</w:t>
            </w:r>
            <w:r w:rsidR="00577D76" w:rsidRPr="001D5AE1">
              <w:rPr>
                <w:rFonts w:cs="Arial"/>
                <w:szCs w:val="22"/>
              </w:rPr>
              <w:t>’</w:t>
            </w:r>
            <w:r w:rsidR="009E0110" w:rsidRPr="001D5AE1">
              <w:rPr>
                <w:rFonts w:cs="Arial"/>
                <w:szCs w:val="22"/>
              </w:rPr>
              <w:t xml:space="preserve">action, incluant des </w:t>
            </w:r>
            <w:r w:rsidR="00F77863" w:rsidRPr="001D5AE1">
              <w:rPr>
                <w:rFonts w:cs="Arial"/>
                <w:szCs w:val="22"/>
              </w:rPr>
              <w:t>informations actualisées</w:t>
            </w:r>
            <w:r w:rsidR="009E0110" w:rsidRPr="001D5AE1">
              <w:rPr>
                <w:rFonts w:cs="Arial"/>
                <w:szCs w:val="22"/>
              </w:rPr>
              <w:t xml:space="preserve"> sur </w:t>
            </w:r>
            <w:r w:rsidR="009E0110" w:rsidRPr="005A4AC1">
              <w:rPr>
                <w:rFonts w:cs="Arial"/>
                <w:szCs w:val="22"/>
              </w:rPr>
              <w:t xml:space="preserve">les progrès accomplis le cas échéant, est </w:t>
            </w:r>
            <w:r w:rsidR="003C7697" w:rsidRPr="005A4AC1">
              <w:rPr>
                <w:rFonts w:cs="Arial"/>
                <w:szCs w:val="22"/>
              </w:rPr>
              <w:t>soumis</w:t>
            </w:r>
            <w:r w:rsidR="009E0110" w:rsidRPr="005A4AC1">
              <w:rPr>
                <w:rFonts w:cs="Arial"/>
                <w:szCs w:val="22"/>
              </w:rPr>
              <w:t xml:space="preserve"> à l</w:t>
            </w:r>
            <w:r w:rsidR="00577D76" w:rsidRPr="005A4AC1">
              <w:rPr>
                <w:rFonts w:cs="Arial"/>
                <w:szCs w:val="22"/>
              </w:rPr>
              <w:t>’</w:t>
            </w:r>
            <w:r w:rsidR="009E0110" w:rsidRPr="005A4AC1">
              <w:rPr>
                <w:rFonts w:cs="Arial"/>
                <w:szCs w:val="22"/>
              </w:rPr>
              <w:t>Assemblée pour approbation.</w:t>
            </w:r>
          </w:p>
          <w:p w14:paraId="705BB330" w14:textId="0CB1C0DF" w:rsidR="003C7697" w:rsidRPr="001D5AE1" w:rsidRDefault="003C7697" w:rsidP="00DB71D2">
            <w:pPr>
              <w:tabs>
                <w:tab w:val="clear" w:pos="567"/>
              </w:tabs>
              <w:snapToGrid/>
              <w:spacing w:after="240"/>
              <w:ind w:left="283" w:right="283"/>
              <w:jc w:val="both"/>
              <w:rPr>
                <w:rFonts w:cs="Arial"/>
                <w:szCs w:val="22"/>
              </w:rPr>
            </w:pPr>
            <w:r w:rsidRPr="005A4AC1">
              <w:rPr>
                <w:rFonts w:cs="Arial"/>
                <w:szCs w:val="22"/>
              </w:rPr>
              <w:t xml:space="preserve">La </w:t>
            </w:r>
            <w:r w:rsidR="005A4AC1" w:rsidRPr="005A4AC1">
              <w:rPr>
                <w:rFonts w:cs="Arial"/>
                <w:szCs w:val="22"/>
              </w:rPr>
              <w:t>L</w:t>
            </w:r>
            <w:r w:rsidRPr="005A4AC1">
              <w:rPr>
                <w:rFonts w:cs="Arial"/>
                <w:szCs w:val="22"/>
              </w:rPr>
              <w:t xml:space="preserve">ettre circulaire n°2912 a permis de mettre en œuvre la décision spécifique prise par le Conseil exécutif </w:t>
            </w:r>
            <w:r w:rsidR="004B5AE1" w:rsidRPr="005A4AC1">
              <w:rPr>
                <w:rFonts w:cs="Arial"/>
                <w:szCs w:val="22"/>
              </w:rPr>
              <w:t xml:space="preserve">de la COI </w:t>
            </w:r>
            <w:r w:rsidRPr="005A4AC1">
              <w:rPr>
                <w:rFonts w:cs="Arial"/>
                <w:szCs w:val="22"/>
              </w:rPr>
              <w:t>à sa 55</w:t>
            </w:r>
            <w:r w:rsidRPr="005A4AC1">
              <w:rPr>
                <w:rFonts w:cs="Arial"/>
                <w:szCs w:val="22"/>
                <w:vertAlign w:val="superscript"/>
              </w:rPr>
              <w:t>e</w:t>
            </w:r>
            <w:r w:rsidRPr="005A4AC1">
              <w:rPr>
                <w:rFonts w:cs="Arial"/>
                <w:szCs w:val="22"/>
              </w:rPr>
              <w:t xml:space="preserve"> session</w:t>
            </w:r>
            <w:r w:rsidR="00A84BC6" w:rsidRPr="005A4AC1">
              <w:rPr>
                <w:rFonts w:cs="Arial"/>
                <w:szCs w:val="22"/>
              </w:rPr>
              <w:t>,</w:t>
            </w:r>
            <w:r w:rsidRPr="005A4AC1">
              <w:rPr>
                <w:rFonts w:cs="Arial"/>
                <w:szCs w:val="22"/>
              </w:rPr>
              <w:t xml:space="preserve"> dans laquelle il prie le Secrétaire exécutif d</w:t>
            </w:r>
            <w:r w:rsidR="00577D76" w:rsidRPr="005A4AC1">
              <w:rPr>
                <w:rFonts w:cs="Arial"/>
                <w:szCs w:val="22"/>
              </w:rPr>
              <w:t>’</w:t>
            </w:r>
            <w:r w:rsidRPr="005A4AC1">
              <w:rPr>
                <w:rFonts w:cs="Arial"/>
                <w:szCs w:val="22"/>
              </w:rPr>
              <w:t>élaborer « une estimation du budget</w:t>
            </w:r>
            <w:r w:rsidRPr="001D5AE1">
              <w:rPr>
                <w:rFonts w:cs="Arial"/>
                <w:szCs w:val="22"/>
              </w:rPr>
              <w:t xml:space="preserve"> nécessaire, y compris des besoins en ressources humaines, pour exécuter dans la durée les programmes fondamentaux de la COI et développer les activités de la Commission en réponse au nombre croissant de demandes des États membres et d</w:t>
            </w:r>
            <w:r w:rsidR="00577D76" w:rsidRPr="001D5AE1">
              <w:rPr>
                <w:rFonts w:cs="Arial"/>
                <w:szCs w:val="22"/>
              </w:rPr>
              <w:t>’</w:t>
            </w:r>
            <w:r w:rsidRPr="001D5AE1">
              <w:rPr>
                <w:rFonts w:cs="Arial"/>
                <w:szCs w:val="22"/>
              </w:rPr>
              <w:t>autres parties prenantes</w:t>
            </w:r>
            <w:r w:rsidR="006E59C8" w:rsidRPr="001D5AE1">
              <w:rPr>
                <w:rFonts w:cs="Arial"/>
                <w:szCs w:val="22"/>
              </w:rPr>
              <w:t> »</w:t>
            </w:r>
            <w:r w:rsidRPr="001D5AE1">
              <w:rPr>
                <w:rFonts w:cs="Arial"/>
                <w:szCs w:val="22"/>
              </w:rPr>
              <w:t xml:space="preserve"> (voir résolution</w:t>
            </w:r>
            <w:r w:rsidR="004B5AE1" w:rsidRPr="001D5AE1">
              <w:rPr>
                <w:rFonts w:cs="Arial"/>
                <w:szCs w:val="22"/>
              </w:rPr>
              <w:t>s</w:t>
            </w:r>
            <w:r w:rsidRPr="001D5AE1">
              <w:rPr>
                <w:rFonts w:cs="Arial"/>
                <w:szCs w:val="22"/>
              </w:rPr>
              <w:t xml:space="preserve"> IOC-XXX-3 et EC-55/2.</w:t>
            </w:r>
            <w:r w:rsidR="006E59C8" w:rsidRPr="001D5AE1">
              <w:rPr>
                <w:rFonts w:cs="Arial"/>
                <w:szCs w:val="22"/>
              </w:rPr>
              <w:t xml:space="preserve"> </w:t>
            </w:r>
            <w:r w:rsidR="00434E03" w:rsidRPr="001D5AE1">
              <w:rPr>
                <w:rFonts w:cs="Arial"/>
                <w:szCs w:val="22"/>
              </w:rPr>
              <w:t>Compte tenu de sa portée stratégique et de son ambition à moyen et long terme</w:t>
            </w:r>
            <w:r w:rsidR="00A84BC6">
              <w:rPr>
                <w:rFonts w:cs="Arial"/>
                <w:szCs w:val="22"/>
              </w:rPr>
              <w:t>s</w:t>
            </w:r>
            <w:r w:rsidR="00434E03" w:rsidRPr="001D5AE1">
              <w:rPr>
                <w:rFonts w:cs="Arial"/>
                <w:szCs w:val="22"/>
              </w:rPr>
              <w:t>, la proposition doit être examiné</w:t>
            </w:r>
            <w:r w:rsidR="004B5AE1" w:rsidRPr="001D5AE1">
              <w:rPr>
                <w:rFonts w:cs="Arial"/>
                <w:szCs w:val="22"/>
              </w:rPr>
              <w:t>e</w:t>
            </w:r>
            <w:r w:rsidR="00434E03" w:rsidRPr="001D5AE1">
              <w:rPr>
                <w:rFonts w:cs="Arial"/>
                <w:szCs w:val="22"/>
              </w:rPr>
              <w:t xml:space="preserve"> plus avant par les États membres et est donc inscrite à l</w:t>
            </w:r>
            <w:r w:rsidR="00577D76" w:rsidRPr="001D5AE1">
              <w:rPr>
                <w:rFonts w:cs="Arial"/>
                <w:szCs w:val="22"/>
              </w:rPr>
              <w:t>’</w:t>
            </w:r>
            <w:r w:rsidR="00434E03" w:rsidRPr="001D5AE1">
              <w:rPr>
                <w:rFonts w:cs="Arial"/>
                <w:szCs w:val="22"/>
              </w:rPr>
              <w:t>ordre du jour en tant que point distinct</w:t>
            </w:r>
            <w:r w:rsidR="00A84BC6">
              <w:rPr>
                <w:rFonts w:cs="Arial"/>
                <w:szCs w:val="22"/>
              </w:rPr>
              <w:t> </w:t>
            </w:r>
            <w:r w:rsidR="00434E03" w:rsidRPr="001D5AE1">
              <w:rPr>
                <w:rFonts w:cs="Arial"/>
                <w:szCs w:val="22"/>
              </w:rPr>
              <w:t>5 –</w:t>
            </w:r>
            <w:r w:rsidR="00577D76" w:rsidRPr="001D5AE1">
              <w:rPr>
                <w:rFonts w:cs="Arial"/>
                <w:szCs w:val="22"/>
              </w:rPr>
              <w:t> </w:t>
            </w:r>
            <w:r w:rsidR="00434E03" w:rsidRPr="001D5AE1">
              <w:rPr>
                <w:rFonts w:cs="Arial"/>
                <w:szCs w:val="22"/>
              </w:rPr>
              <w:t>« La COI et l</w:t>
            </w:r>
            <w:r w:rsidR="00577D76" w:rsidRPr="001D5AE1">
              <w:rPr>
                <w:rFonts w:cs="Arial"/>
                <w:szCs w:val="22"/>
              </w:rPr>
              <w:t>’</w:t>
            </w:r>
            <w:r w:rsidR="00434E03" w:rsidRPr="001D5AE1">
              <w:rPr>
                <w:rFonts w:cs="Arial"/>
                <w:szCs w:val="22"/>
              </w:rPr>
              <w:t>avenir de l</w:t>
            </w:r>
            <w:r w:rsidR="00577D76" w:rsidRPr="001D5AE1">
              <w:rPr>
                <w:rFonts w:cs="Arial"/>
                <w:szCs w:val="22"/>
              </w:rPr>
              <w:t>’</w:t>
            </w:r>
            <w:r w:rsidR="00434E03" w:rsidRPr="001D5AE1">
              <w:rPr>
                <w:rFonts w:cs="Arial"/>
                <w:szCs w:val="22"/>
              </w:rPr>
              <w:t>océan ».</w:t>
            </w:r>
          </w:p>
          <w:p w14:paraId="40410ABF" w14:textId="105A44C2" w:rsidR="006A5AED" w:rsidRPr="001D5AE1" w:rsidRDefault="00BC4BD0" w:rsidP="00DB71D2">
            <w:pPr>
              <w:tabs>
                <w:tab w:val="clear" w:pos="567"/>
              </w:tabs>
              <w:snapToGrid/>
              <w:spacing w:after="240"/>
              <w:ind w:left="283" w:right="283"/>
              <w:jc w:val="both"/>
              <w:rPr>
                <w:rFonts w:cs="Arial"/>
                <w:b/>
                <w:bCs/>
                <w:szCs w:val="22"/>
              </w:rPr>
            </w:pPr>
            <w:r w:rsidRPr="00BA2CAE">
              <w:rPr>
                <w:rFonts w:cs="Arial"/>
                <w:szCs w:val="22"/>
                <w:u w:val="single"/>
              </w:rPr>
              <w:t>Décision proposée</w:t>
            </w:r>
            <w:r w:rsidRPr="00BA2CAE">
              <w:rPr>
                <w:rFonts w:cs="Arial"/>
                <w:szCs w:val="22"/>
              </w:rPr>
              <w:t xml:space="preserve"> : </w:t>
            </w:r>
            <w:r w:rsidR="00434E03" w:rsidRPr="00BA2CAE">
              <w:rPr>
                <w:rFonts w:cs="Arial"/>
                <w:szCs w:val="22"/>
              </w:rPr>
              <w:t>Après la présentation et l</w:t>
            </w:r>
            <w:r w:rsidR="00577D76" w:rsidRPr="00BA2CAE">
              <w:rPr>
                <w:rFonts w:cs="Arial"/>
                <w:szCs w:val="22"/>
              </w:rPr>
              <w:t>’</w:t>
            </w:r>
            <w:r w:rsidR="00434E03" w:rsidRPr="00BA2CAE">
              <w:rPr>
                <w:rFonts w:cs="Arial"/>
                <w:szCs w:val="22"/>
              </w:rPr>
              <w:t>examen en plénière du point</w:t>
            </w:r>
            <w:r w:rsidR="00577D76" w:rsidRPr="00BA2CAE">
              <w:rPr>
                <w:rFonts w:cs="Arial"/>
                <w:szCs w:val="22"/>
              </w:rPr>
              <w:t> </w:t>
            </w:r>
            <w:r w:rsidR="00434E03" w:rsidRPr="00BA2CAE">
              <w:rPr>
                <w:rFonts w:cs="Arial"/>
                <w:szCs w:val="22"/>
              </w:rPr>
              <w:t>6.3, l</w:t>
            </w:r>
            <w:r w:rsidR="00577D76" w:rsidRPr="00BA2CAE">
              <w:rPr>
                <w:rFonts w:cs="Arial"/>
                <w:szCs w:val="22"/>
              </w:rPr>
              <w:t>’</w:t>
            </w:r>
            <w:r w:rsidR="00434E03" w:rsidRPr="00BA2CAE">
              <w:rPr>
                <w:rFonts w:cs="Arial"/>
                <w:szCs w:val="22"/>
              </w:rPr>
              <w:t xml:space="preserve">Assemblée </w:t>
            </w:r>
            <w:r w:rsidRPr="00BA2CAE">
              <w:rPr>
                <w:rFonts w:cs="Arial"/>
                <w:szCs w:val="22"/>
              </w:rPr>
              <w:t>est invité</w:t>
            </w:r>
            <w:r w:rsidR="00434E03" w:rsidRPr="00BA2CAE">
              <w:rPr>
                <w:rFonts w:cs="Arial"/>
                <w:szCs w:val="22"/>
              </w:rPr>
              <w:t>e</w:t>
            </w:r>
            <w:r w:rsidRPr="00BA2CAE">
              <w:rPr>
                <w:rFonts w:cs="Arial"/>
                <w:szCs w:val="22"/>
              </w:rPr>
              <w:t xml:space="preserve"> à prendre note du présent document et à examiner le projet de décision portant la référence Déc., </w:t>
            </w:r>
            <w:r w:rsidR="00DA7314" w:rsidRPr="00BA2CAE">
              <w:rPr>
                <w:rFonts w:cs="Arial"/>
                <w:szCs w:val="22"/>
              </w:rPr>
              <w:t>IO</w:t>
            </w:r>
            <w:r w:rsidRPr="00BA2CAE">
              <w:rPr>
                <w:rFonts w:cs="Arial"/>
                <w:szCs w:val="22"/>
              </w:rPr>
              <w:t>C-</w:t>
            </w:r>
            <w:r w:rsidR="00DA7314" w:rsidRPr="00BA2CAE">
              <w:rPr>
                <w:rFonts w:cs="Arial"/>
                <w:szCs w:val="22"/>
              </w:rPr>
              <w:t>32</w:t>
            </w:r>
            <w:r w:rsidRPr="00BA2CAE">
              <w:rPr>
                <w:rFonts w:cs="Arial"/>
                <w:szCs w:val="22"/>
              </w:rPr>
              <w:t>/</w:t>
            </w:r>
            <w:r w:rsidR="00DA7314" w:rsidRPr="00BA2CAE">
              <w:rPr>
                <w:rFonts w:cs="Arial"/>
                <w:szCs w:val="22"/>
              </w:rPr>
              <w:t>6.3</w:t>
            </w:r>
            <w:r w:rsidRPr="00BA2CAE">
              <w:rPr>
                <w:rFonts w:cs="Arial"/>
                <w:szCs w:val="22"/>
              </w:rPr>
              <w:t xml:space="preserve"> dans le D</w:t>
            </w:r>
            <w:r w:rsidRPr="001D5AE1">
              <w:rPr>
                <w:rFonts w:cs="Arial"/>
                <w:szCs w:val="22"/>
              </w:rPr>
              <w:t>ocument provisoire relatif aux décisions à adopter (document IOC</w:t>
            </w:r>
            <w:r w:rsidR="00DA7314" w:rsidRPr="001D5AE1">
              <w:rPr>
                <w:rFonts w:cs="Arial"/>
                <w:szCs w:val="22"/>
              </w:rPr>
              <w:t>-32</w:t>
            </w:r>
            <w:r w:rsidRPr="001D5AE1">
              <w:rPr>
                <w:rFonts w:cs="Arial"/>
                <w:szCs w:val="22"/>
              </w:rPr>
              <w:t>/AP).</w:t>
            </w:r>
            <w:r w:rsidR="00DA7314" w:rsidRPr="001D5AE1">
              <w:rPr>
                <w:rFonts w:cs="Arial"/>
                <w:szCs w:val="22"/>
              </w:rPr>
              <w:t xml:space="preserve"> Le document fera ensuite l</w:t>
            </w:r>
            <w:r w:rsidR="00577D76" w:rsidRPr="001D5AE1">
              <w:rPr>
                <w:rFonts w:cs="Arial"/>
                <w:szCs w:val="22"/>
              </w:rPr>
              <w:t>’</w:t>
            </w:r>
            <w:r w:rsidR="00DA7314" w:rsidRPr="001D5AE1">
              <w:rPr>
                <w:rFonts w:cs="Arial"/>
                <w:szCs w:val="22"/>
              </w:rPr>
              <w:t>objet d</w:t>
            </w:r>
            <w:r w:rsidR="00577D76" w:rsidRPr="001D5AE1">
              <w:rPr>
                <w:rFonts w:cs="Arial"/>
                <w:szCs w:val="22"/>
              </w:rPr>
              <w:t>’</w:t>
            </w:r>
            <w:r w:rsidR="00DA7314" w:rsidRPr="001D5AE1">
              <w:rPr>
                <w:rFonts w:cs="Arial"/>
                <w:szCs w:val="22"/>
              </w:rPr>
              <w:t>un examen approfondi par le Comité financier, organe statutaire à composition non limitée mis en place pour la durée de la session, et la décision sera intégrée dans le projet de résolution que ce dernier soumettra au Conseil exécutif pour adoption au titre du point</w:t>
            </w:r>
            <w:r w:rsidR="00577D76" w:rsidRPr="001D5AE1">
              <w:rPr>
                <w:rFonts w:cs="Arial"/>
                <w:szCs w:val="22"/>
              </w:rPr>
              <w:t> </w:t>
            </w:r>
            <w:r w:rsidR="00DA7314" w:rsidRPr="001D5AE1">
              <w:rPr>
                <w:rFonts w:cs="Arial"/>
                <w:szCs w:val="22"/>
              </w:rPr>
              <w:t>6</w:t>
            </w:r>
            <w:r w:rsidR="007A4319" w:rsidRPr="001D5AE1">
              <w:rPr>
                <w:rFonts w:cs="Arial"/>
                <w:szCs w:val="22"/>
              </w:rPr>
              <w:t>.</w:t>
            </w:r>
            <w:r w:rsidR="00DA7314" w:rsidRPr="001D5AE1">
              <w:rPr>
                <w:rFonts w:cs="Arial"/>
                <w:szCs w:val="22"/>
              </w:rPr>
              <w:t>4, conformément au paragraphe 15 du projet de Directives révisées pour la préparation et l</w:t>
            </w:r>
            <w:r w:rsidR="00577D76" w:rsidRPr="001D5AE1">
              <w:rPr>
                <w:rFonts w:cs="Arial"/>
                <w:szCs w:val="22"/>
              </w:rPr>
              <w:t>’</w:t>
            </w:r>
            <w:r w:rsidR="00DA7314" w:rsidRPr="001D5AE1">
              <w:rPr>
                <w:rFonts w:cs="Arial"/>
                <w:szCs w:val="22"/>
              </w:rPr>
              <w:t>examen des projets de résolution (</w:t>
            </w:r>
            <w:hyperlink r:id="rId11" w:history="1">
              <w:r w:rsidR="00DA7314" w:rsidRPr="001D5AE1">
                <w:rPr>
                  <w:rStyle w:val="Hyperlink"/>
                  <w:rFonts w:cs="Arial"/>
                  <w:szCs w:val="22"/>
                </w:rPr>
                <w:t>IOC/INF-1315</w:t>
              </w:r>
            </w:hyperlink>
            <w:r w:rsidR="00DA7314" w:rsidRPr="001D5AE1">
              <w:rPr>
                <w:rFonts w:cs="Arial"/>
                <w:szCs w:val="22"/>
              </w:rPr>
              <w:t>).</w:t>
            </w:r>
          </w:p>
        </w:tc>
      </w:tr>
    </w:tbl>
    <w:p w14:paraId="223F9AE2" w14:textId="77777777" w:rsidR="003C29BC" w:rsidRDefault="003C29BC" w:rsidP="009957F6">
      <w:pPr>
        <w:tabs>
          <w:tab w:val="clear" w:pos="567"/>
        </w:tabs>
        <w:snapToGrid/>
        <w:rPr>
          <w:rFonts w:cs="Arial"/>
          <w:b/>
          <w:bCs/>
          <w:szCs w:val="22"/>
        </w:rPr>
        <w:sectPr w:rsidR="003C29BC" w:rsidSect="00007A87">
          <w:headerReference w:type="even" r:id="rId12"/>
          <w:headerReference w:type="default" r:id="rId13"/>
          <w:headerReference w:type="first" r:id="rId14"/>
          <w:pgSz w:w="11920" w:h="16840"/>
          <w:pgMar w:top="1216" w:right="1210" w:bottom="1152" w:left="1267" w:header="630" w:footer="288" w:gutter="0"/>
          <w:cols w:space="720"/>
          <w:titlePg/>
          <w:docGrid w:linePitch="299"/>
        </w:sectPr>
      </w:pPr>
    </w:p>
    <w:p w14:paraId="72C3633C" w14:textId="6BBBCB33" w:rsidR="00BC4BD0" w:rsidRPr="001D5AE1" w:rsidRDefault="00BC4BD0" w:rsidP="009957F6">
      <w:pPr>
        <w:pStyle w:val="Heading3"/>
        <w:rPr>
          <w:color w:val="1F3864" w:themeColor="accent5" w:themeShade="80"/>
        </w:rPr>
      </w:pPr>
      <w:r w:rsidRPr="001D5AE1">
        <w:rPr>
          <w:color w:val="1F3864" w:themeColor="accent5" w:themeShade="80"/>
        </w:rPr>
        <w:lastRenderedPageBreak/>
        <w:t>Gestion durable des océans – état des lieux et actions requises</w:t>
      </w:r>
    </w:p>
    <w:p w14:paraId="7A24F1A4" w14:textId="52BF143B" w:rsidR="00BC4BD0" w:rsidRPr="001D5AE1" w:rsidRDefault="004A43DA" w:rsidP="009957F6">
      <w:pPr>
        <w:pStyle w:val="Marge"/>
        <w:rPr>
          <w:rFonts w:eastAsia="SimSun"/>
          <w:lang w:eastAsia="zh-CN"/>
        </w:rPr>
      </w:pPr>
      <w:r w:rsidRPr="001D5AE1">
        <w:rPr>
          <w:rFonts w:eastAsia="SimSun"/>
          <w:lang w:eastAsia="zh-CN"/>
        </w:rPr>
        <w:t>1.</w:t>
      </w:r>
      <w:r w:rsidRPr="001D5AE1">
        <w:rPr>
          <w:rFonts w:eastAsia="SimSun"/>
          <w:lang w:eastAsia="zh-CN"/>
        </w:rPr>
        <w:tab/>
      </w:r>
      <w:r w:rsidR="00BC4BD0" w:rsidRPr="001D5AE1">
        <w:rPr>
          <w:rFonts w:eastAsia="SimSun"/>
          <w:lang w:eastAsia="zh-CN"/>
        </w:rPr>
        <w:t>Les recommandations et les actions de mise en œuvre proposées à la COI dans le rapport ont été formulées en tenant compte de la nécessité de protéger au mieux le rôle central des océans dans la conservation de la santé humaine et planétaire, la lutte contre le changement climatique, la sécurité alimentaire, la création d</w:t>
      </w:r>
      <w:r w:rsidR="00577D76" w:rsidRPr="001D5AE1">
        <w:rPr>
          <w:rFonts w:eastAsia="SimSun"/>
          <w:lang w:eastAsia="zh-CN"/>
        </w:rPr>
        <w:t>’</w:t>
      </w:r>
      <w:r w:rsidR="00BC4BD0" w:rsidRPr="001D5AE1">
        <w:rPr>
          <w:rFonts w:eastAsia="SimSun"/>
          <w:lang w:eastAsia="zh-CN"/>
        </w:rPr>
        <w:t>emplois locaux et le soutien au développement économique durable. Le défi consiste à trouver la meilleure façon d</w:t>
      </w:r>
      <w:r w:rsidR="00577D76" w:rsidRPr="001D5AE1">
        <w:rPr>
          <w:rFonts w:eastAsia="SimSun"/>
          <w:lang w:eastAsia="zh-CN"/>
        </w:rPr>
        <w:t>’</w:t>
      </w:r>
      <w:r w:rsidR="00BC4BD0" w:rsidRPr="001D5AE1">
        <w:rPr>
          <w:rFonts w:eastAsia="SimSun"/>
          <w:lang w:eastAsia="zh-CN"/>
        </w:rPr>
        <w:t>améliorer les politiques et la gestion des océans fondées sur des données scientifiques afin de parvenir à un équilibre dans l</w:t>
      </w:r>
      <w:r w:rsidR="00577D76" w:rsidRPr="001D5AE1">
        <w:rPr>
          <w:rFonts w:eastAsia="SimSun"/>
          <w:lang w:eastAsia="zh-CN"/>
        </w:rPr>
        <w:t>’</w:t>
      </w:r>
      <w:r w:rsidR="00BC4BD0" w:rsidRPr="001D5AE1">
        <w:rPr>
          <w:rFonts w:eastAsia="SimSun"/>
          <w:lang w:eastAsia="zh-CN"/>
        </w:rPr>
        <w:t>utilisation de ce milieu en tant que ressource précieuse, tout en atténuant le changement climatique, en préservant la biodiversité et en restaurant la santé des océans.</w:t>
      </w:r>
    </w:p>
    <w:p w14:paraId="76571EE7" w14:textId="4BD6938F" w:rsidR="00BC4BD0" w:rsidRPr="001D5AE1" w:rsidRDefault="004A43DA" w:rsidP="009957F6">
      <w:pPr>
        <w:pStyle w:val="Marge"/>
        <w:rPr>
          <w:rFonts w:eastAsia="SimSun"/>
          <w:lang w:eastAsia="zh-CN"/>
        </w:rPr>
      </w:pPr>
      <w:r w:rsidRPr="001D5AE1">
        <w:rPr>
          <w:rFonts w:eastAsia="SimSun"/>
          <w:lang w:eastAsia="zh-CN"/>
        </w:rPr>
        <w:t>2.</w:t>
      </w:r>
      <w:r w:rsidRPr="001D5AE1">
        <w:rPr>
          <w:rFonts w:eastAsia="SimSun"/>
          <w:lang w:eastAsia="zh-CN"/>
        </w:rPr>
        <w:tab/>
      </w:r>
      <w:r w:rsidR="00BC4BD0" w:rsidRPr="001D5AE1">
        <w:rPr>
          <w:rFonts w:eastAsia="SimSun"/>
          <w:lang w:eastAsia="zh-CN"/>
        </w:rPr>
        <w:t xml:space="preserve">Une gestion plus durable des océans est de plus en plus considérée comme une activité multidimensionnelle qui englobe trois grands objectifs : protection efficace, production durable et prospérité équitable. La Convention des </w:t>
      </w:r>
      <w:r w:rsidR="00172412" w:rsidRPr="001D5AE1">
        <w:rPr>
          <w:rFonts w:eastAsia="SimSun"/>
          <w:lang w:eastAsia="zh-CN"/>
        </w:rPr>
        <w:t>Nations Unies</w:t>
      </w:r>
      <w:r w:rsidR="00BC4BD0" w:rsidRPr="001D5AE1">
        <w:rPr>
          <w:rFonts w:eastAsia="SimSun"/>
          <w:lang w:eastAsia="zh-CN"/>
        </w:rPr>
        <w:t xml:space="preserve"> sur le droit de la mer et, plus récemment, le Programme 2030, reconnaissent tous deux cette double vision tenant compte de la conservation et de l</w:t>
      </w:r>
      <w:r w:rsidR="00577D76" w:rsidRPr="001D5AE1">
        <w:rPr>
          <w:rFonts w:eastAsia="SimSun"/>
          <w:lang w:eastAsia="zh-CN"/>
        </w:rPr>
        <w:t>’</w:t>
      </w:r>
      <w:r w:rsidR="00BC4BD0" w:rsidRPr="001D5AE1">
        <w:rPr>
          <w:rFonts w:eastAsia="SimSun"/>
          <w:lang w:eastAsia="zh-CN"/>
        </w:rPr>
        <w:t>utilisation durable ainsi que du rôle des océans dans le développement durable. Cette vision transcende la dichotomie entre une « philosophie de la conservation » et une « approche extractive ». Plutôt que de considérer le développement économique et la protection de l</w:t>
      </w:r>
      <w:r w:rsidR="00577D76" w:rsidRPr="001D5AE1">
        <w:rPr>
          <w:rFonts w:eastAsia="SimSun"/>
          <w:lang w:eastAsia="zh-CN"/>
        </w:rPr>
        <w:t>’</w:t>
      </w:r>
      <w:r w:rsidR="00BC4BD0" w:rsidRPr="001D5AE1">
        <w:rPr>
          <w:rFonts w:eastAsia="SimSun"/>
          <w:lang w:eastAsia="zh-CN"/>
        </w:rPr>
        <w:t>environnement comme irréconciliables, elle consiste à gérer de manière proactive les activités humaines afin d</w:t>
      </w:r>
      <w:r w:rsidR="00577D76" w:rsidRPr="001D5AE1">
        <w:rPr>
          <w:rFonts w:eastAsia="SimSun"/>
          <w:lang w:eastAsia="zh-CN"/>
        </w:rPr>
        <w:t>’</w:t>
      </w:r>
      <w:r w:rsidR="00BC4BD0" w:rsidRPr="001D5AE1">
        <w:rPr>
          <w:rFonts w:eastAsia="SimSun"/>
          <w:lang w:eastAsia="zh-CN"/>
        </w:rPr>
        <w:t>exploiter judicieusement les océans plutôt que de les épuiser. Des initiatives internationales récentes, telles que le Groupe de haut niveau pour une économie océanique durable, ont permis d</w:t>
      </w:r>
      <w:r w:rsidR="00577D76" w:rsidRPr="001D5AE1">
        <w:rPr>
          <w:rFonts w:eastAsia="SimSun"/>
          <w:lang w:eastAsia="zh-CN"/>
        </w:rPr>
        <w:t>’</w:t>
      </w:r>
      <w:r w:rsidR="00BC4BD0" w:rsidRPr="001D5AE1">
        <w:rPr>
          <w:rFonts w:eastAsia="SimSun"/>
          <w:lang w:eastAsia="zh-CN"/>
        </w:rPr>
        <w:t>étoffer ce concept autour de cinq éléments constitutifs d</w:t>
      </w:r>
      <w:r w:rsidR="00577D76" w:rsidRPr="001D5AE1">
        <w:rPr>
          <w:rFonts w:eastAsia="SimSun"/>
          <w:lang w:eastAsia="zh-CN"/>
        </w:rPr>
        <w:t>’</w:t>
      </w:r>
      <w:r w:rsidR="00BC4BD0" w:rsidRPr="001D5AE1">
        <w:rPr>
          <w:rFonts w:eastAsia="SimSun"/>
          <w:lang w:eastAsia="zh-CN"/>
        </w:rPr>
        <w:t>une vision plus globale et fondée sur la connaissance des océans, à savoir : (i) utiliser des données pour guider la prise de décision</w:t>
      </w:r>
      <w:r w:rsidR="006F7E83" w:rsidRPr="001D5AE1">
        <w:rPr>
          <w:rFonts w:eastAsia="SimSun"/>
          <w:lang w:eastAsia="zh-CN"/>
        </w:rPr>
        <w:t>s</w:t>
      </w:r>
      <w:r w:rsidR="00BC4BD0" w:rsidRPr="001D5AE1">
        <w:rPr>
          <w:rFonts w:eastAsia="SimSun"/>
          <w:lang w:eastAsia="zh-CN"/>
        </w:rPr>
        <w:t> ; (ii) entreprendre une planification de l</w:t>
      </w:r>
      <w:r w:rsidR="00577D76" w:rsidRPr="001D5AE1">
        <w:rPr>
          <w:rFonts w:eastAsia="SimSun"/>
          <w:lang w:eastAsia="zh-CN"/>
        </w:rPr>
        <w:t>’</w:t>
      </w:r>
      <w:r w:rsidR="00BC4BD0" w:rsidRPr="001D5AE1">
        <w:rPr>
          <w:rFonts w:eastAsia="SimSun"/>
          <w:lang w:eastAsia="zh-CN"/>
        </w:rPr>
        <w:t>espace marin (PEM) axée sur des objectifs ; (iii) atténuer les risques financiers et utiliser l</w:t>
      </w:r>
      <w:r w:rsidR="00577D76" w:rsidRPr="001D5AE1">
        <w:rPr>
          <w:rFonts w:eastAsia="SimSun"/>
          <w:lang w:eastAsia="zh-CN"/>
        </w:rPr>
        <w:t>’</w:t>
      </w:r>
      <w:r w:rsidR="00BC4BD0" w:rsidRPr="001D5AE1">
        <w:rPr>
          <w:rFonts w:eastAsia="SimSun"/>
          <w:lang w:eastAsia="zh-CN"/>
        </w:rPr>
        <w:t>innovation pour mobiliser des investissements ; (iv) mettre fin à la pollution d</w:t>
      </w:r>
      <w:r w:rsidR="00577D76" w:rsidRPr="001D5AE1">
        <w:rPr>
          <w:rFonts w:eastAsia="SimSun"/>
          <w:lang w:eastAsia="zh-CN"/>
        </w:rPr>
        <w:t>’</w:t>
      </w:r>
      <w:r w:rsidR="00BC4BD0" w:rsidRPr="001D5AE1">
        <w:rPr>
          <w:rFonts w:eastAsia="SimSun"/>
          <w:lang w:eastAsia="zh-CN"/>
        </w:rPr>
        <w:t>origine terrestre ; et (v) repenser le calcul de la valeur des océans afin qu</w:t>
      </w:r>
      <w:r w:rsidR="00577D76" w:rsidRPr="001D5AE1">
        <w:rPr>
          <w:rFonts w:eastAsia="SimSun"/>
          <w:lang w:eastAsia="zh-CN"/>
        </w:rPr>
        <w:t>’</w:t>
      </w:r>
      <w:r w:rsidR="00BC4BD0" w:rsidRPr="001D5AE1">
        <w:rPr>
          <w:rFonts w:eastAsia="SimSun"/>
          <w:lang w:eastAsia="zh-CN"/>
        </w:rPr>
        <w:t>il reflète leur véritable richesse</w:t>
      </w:r>
      <w:r w:rsidR="00BC4BD0" w:rsidRPr="001D5AE1">
        <w:rPr>
          <w:rFonts w:eastAsia="SimSun"/>
          <w:vertAlign w:val="superscript"/>
          <w:lang w:eastAsia="zh-CN"/>
        </w:rPr>
        <w:footnoteReference w:id="1"/>
      </w:r>
      <w:r w:rsidR="00BC4BD0" w:rsidRPr="001D5AE1">
        <w:rPr>
          <w:rFonts w:eastAsia="SimSun"/>
          <w:lang w:eastAsia="zh-CN"/>
        </w:rPr>
        <w:t>. Tous ces éléments, et plus particulièrement trois d</w:t>
      </w:r>
      <w:r w:rsidR="00577D76" w:rsidRPr="001D5AE1">
        <w:rPr>
          <w:rFonts w:eastAsia="SimSun"/>
          <w:lang w:eastAsia="zh-CN"/>
        </w:rPr>
        <w:t>’</w:t>
      </w:r>
      <w:r w:rsidR="00BC4BD0" w:rsidRPr="001D5AE1">
        <w:rPr>
          <w:rFonts w:eastAsia="SimSun"/>
          <w:lang w:eastAsia="zh-CN"/>
        </w:rPr>
        <w:t>entre eux, offrent des possibilités considérables à la COI.</w:t>
      </w:r>
    </w:p>
    <w:p w14:paraId="07498DB7" w14:textId="5A173E63" w:rsidR="00BC4BD0" w:rsidRPr="001D5AE1" w:rsidRDefault="004A43DA" w:rsidP="009957F6">
      <w:pPr>
        <w:pStyle w:val="Marge"/>
        <w:rPr>
          <w:rFonts w:eastAsia="SimSun"/>
          <w:lang w:eastAsia="zh-CN"/>
        </w:rPr>
      </w:pPr>
      <w:r w:rsidRPr="001D5AE1">
        <w:rPr>
          <w:rFonts w:eastAsia="SimSun"/>
          <w:lang w:eastAsia="zh-CN"/>
        </w:rPr>
        <w:t>3.</w:t>
      </w:r>
      <w:r w:rsidRPr="001D5AE1">
        <w:rPr>
          <w:rFonts w:eastAsia="SimSun"/>
          <w:lang w:eastAsia="zh-CN"/>
        </w:rPr>
        <w:tab/>
      </w:r>
      <w:r w:rsidR="00BC4BD0" w:rsidRPr="001D5AE1">
        <w:rPr>
          <w:rFonts w:eastAsia="SimSun"/>
          <w:spacing w:val="-2"/>
          <w:lang w:eastAsia="zh-CN"/>
        </w:rPr>
        <w:t>Tout d</w:t>
      </w:r>
      <w:r w:rsidR="00577D76" w:rsidRPr="001D5AE1">
        <w:rPr>
          <w:rFonts w:eastAsia="SimSun"/>
          <w:spacing w:val="-2"/>
          <w:lang w:eastAsia="zh-CN"/>
        </w:rPr>
        <w:t>’</w:t>
      </w:r>
      <w:r w:rsidR="00BC4BD0" w:rsidRPr="001D5AE1">
        <w:rPr>
          <w:rFonts w:eastAsia="SimSun"/>
          <w:spacing w:val="-2"/>
          <w:lang w:eastAsia="zh-CN"/>
        </w:rPr>
        <w:t>abord, il importe que le pouvoir des sciences et des données soit pleinement exploité pour parvenir à une gestion durable optimale des océans ainsi que pour influencer les politiques et la prise de décision</w:t>
      </w:r>
      <w:r w:rsidR="006F7E83" w:rsidRPr="001D5AE1">
        <w:rPr>
          <w:rFonts w:eastAsia="SimSun"/>
          <w:spacing w:val="-2"/>
          <w:lang w:eastAsia="zh-CN"/>
        </w:rPr>
        <w:t>s</w:t>
      </w:r>
      <w:r w:rsidR="00BC4BD0" w:rsidRPr="001D5AE1">
        <w:rPr>
          <w:rFonts w:eastAsia="SimSun"/>
          <w:spacing w:val="-2"/>
          <w:lang w:eastAsia="zh-CN"/>
        </w:rPr>
        <w:t xml:space="preserve"> liées à d</w:t>
      </w:r>
      <w:r w:rsidR="00577D76" w:rsidRPr="001D5AE1">
        <w:rPr>
          <w:rFonts w:eastAsia="SimSun"/>
          <w:spacing w:val="-2"/>
          <w:lang w:eastAsia="zh-CN"/>
        </w:rPr>
        <w:t>’</w:t>
      </w:r>
      <w:r w:rsidR="00BC4BD0" w:rsidRPr="001D5AE1">
        <w:rPr>
          <w:rFonts w:eastAsia="SimSun"/>
          <w:spacing w:val="-2"/>
          <w:lang w:eastAsia="zh-CN"/>
        </w:rPr>
        <w:t>autres aspects du développement durable, par exemple la sécurité alimentaire ou l</w:t>
      </w:r>
      <w:r w:rsidR="00577D76" w:rsidRPr="001D5AE1">
        <w:rPr>
          <w:rFonts w:eastAsia="SimSun"/>
          <w:spacing w:val="-2"/>
          <w:lang w:eastAsia="zh-CN"/>
        </w:rPr>
        <w:t>’</w:t>
      </w:r>
      <w:r w:rsidR="00BC4BD0" w:rsidRPr="001D5AE1">
        <w:rPr>
          <w:rFonts w:eastAsia="SimSun"/>
          <w:spacing w:val="-2"/>
          <w:lang w:eastAsia="zh-CN"/>
        </w:rPr>
        <w:t>action climatique. Le recours à des données adaptées et fiables pour prendre des décisions peut transformer l</w:t>
      </w:r>
      <w:r w:rsidR="00577D76" w:rsidRPr="001D5AE1">
        <w:rPr>
          <w:rFonts w:eastAsia="SimSun"/>
          <w:spacing w:val="-2"/>
          <w:lang w:eastAsia="zh-CN"/>
        </w:rPr>
        <w:t>’</w:t>
      </w:r>
      <w:r w:rsidR="00BC4BD0" w:rsidRPr="001D5AE1">
        <w:rPr>
          <w:rFonts w:eastAsia="SimSun"/>
          <w:spacing w:val="-2"/>
          <w:lang w:eastAsia="zh-CN"/>
        </w:rPr>
        <w:t>économie océanique, mais plusieurs obstacles doivent être surmontés pour concrétiser cette transformation. En l</w:t>
      </w:r>
      <w:r w:rsidR="00577D76" w:rsidRPr="001D5AE1">
        <w:rPr>
          <w:rFonts w:eastAsia="SimSun"/>
          <w:spacing w:val="-2"/>
          <w:lang w:eastAsia="zh-CN"/>
        </w:rPr>
        <w:t>’</w:t>
      </w:r>
      <w:r w:rsidR="00BC4BD0" w:rsidRPr="001D5AE1">
        <w:rPr>
          <w:rFonts w:eastAsia="SimSun"/>
          <w:spacing w:val="-2"/>
          <w:lang w:eastAsia="zh-CN"/>
        </w:rPr>
        <w:t xml:space="preserve">état actuel, la collecte de données est souvent dispersée et coûteuse, puisque celles-ci sont fragmentées entre le domaine public, les entreprises et les universités et que leur </w:t>
      </w:r>
      <w:r w:rsidR="00DA22B1" w:rsidRPr="001D5AE1">
        <w:rPr>
          <w:rFonts w:eastAsia="SimSun"/>
          <w:spacing w:val="-2"/>
          <w:lang w:eastAsia="zh-CN"/>
        </w:rPr>
        <w:t>exploitabilité</w:t>
      </w:r>
      <w:r w:rsidR="00BC4BD0" w:rsidRPr="001D5AE1">
        <w:rPr>
          <w:rFonts w:eastAsia="SimSun"/>
          <w:spacing w:val="-2"/>
          <w:lang w:eastAsia="zh-CN"/>
        </w:rPr>
        <w:t xml:space="preserve"> et la possibilité d</w:t>
      </w:r>
      <w:r w:rsidR="00577D76" w:rsidRPr="001D5AE1">
        <w:rPr>
          <w:rFonts w:eastAsia="SimSun"/>
          <w:spacing w:val="-2"/>
          <w:lang w:eastAsia="zh-CN"/>
        </w:rPr>
        <w:t>’</w:t>
      </w:r>
      <w:r w:rsidR="00BC4BD0" w:rsidRPr="001D5AE1">
        <w:rPr>
          <w:rFonts w:eastAsia="SimSun"/>
          <w:spacing w:val="-2"/>
          <w:lang w:eastAsia="zh-CN"/>
        </w:rPr>
        <w:t>y accéder sont limitées. Pour veiller à ce que la gestion des océans repose suffisamment sur les sciences, les observations et les données, il convient de créer des réseaux mondiaux interopérables et d</w:t>
      </w:r>
      <w:r w:rsidR="00577D76" w:rsidRPr="001D5AE1">
        <w:rPr>
          <w:rFonts w:eastAsia="SimSun"/>
          <w:spacing w:val="-2"/>
          <w:lang w:eastAsia="zh-CN"/>
        </w:rPr>
        <w:t>’</w:t>
      </w:r>
      <w:r w:rsidR="00BC4BD0" w:rsidRPr="001D5AE1">
        <w:rPr>
          <w:rFonts w:eastAsia="SimSun"/>
          <w:spacing w:val="-2"/>
          <w:lang w:eastAsia="zh-CN"/>
        </w:rPr>
        <w:t>améliorer ceux qui existent, offrant ainsi un large accès automatisé aux données, aux informations et aux connaissances océaniques. La</w:t>
      </w:r>
      <w:r w:rsidR="00172412" w:rsidRPr="001D5AE1">
        <w:rPr>
          <w:rFonts w:eastAsia="SimSun"/>
          <w:spacing w:val="-2"/>
          <w:lang w:eastAsia="zh-CN"/>
        </w:rPr>
        <w:t> </w:t>
      </w:r>
      <w:r w:rsidR="00BC4BD0" w:rsidRPr="001D5AE1">
        <w:rPr>
          <w:rFonts w:eastAsia="SimSun"/>
          <w:spacing w:val="-2"/>
          <w:lang w:eastAsia="zh-CN"/>
        </w:rPr>
        <w:t>COI est idéalement positionnée pour faciliter la réalisation de cet objectif.</w:t>
      </w:r>
    </w:p>
    <w:p w14:paraId="2BCE5A75" w14:textId="5C14FD84" w:rsidR="00BC4BD0" w:rsidRPr="001D5AE1" w:rsidRDefault="00145259" w:rsidP="009957F6">
      <w:pPr>
        <w:pStyle w:val="Marge"/>
        <w:rPr>
          <w:rFonts w:eastAsia="SimSun"/>
          <w:lang w:eastAsia="zh-CN"/>
        </w:rPr>
      </w:pPr>
      <w:r w:rsidRPr="001D5AE1">
        <w:rPr>
          <w:rFonts w:eastAsia="SimSun"/>
          <w:lang w:eastAsia="zh-CN"/>
        </w:rPr>
        <w:t>4.</w:t>
      </w:r>
      <w:r w:rsidRPr="001D5AE1">
        <w:rPr>
          <w:rFonts w:eastAsia="SimSun"/>
          <w:lang w:eastAsia="zh-CN"/>
        </w:rPr>
        <w:tab/>
      </w:r>
      <w:r w:rsidR="00BC4BD0" w:rsidRPr="001D5AE1">
        <w:rPr>
          <w:rFonts w:eastAsia="SimSun"/>
          <w:lang w:eastAsia="zh-CN"/>
        </w:rPr>
        <w:t>Ensuite, les gouvernements considèrent également la participation à une PEM axée sur des objectifs comme un principe fondamental de la gestion durable des océans. En effet, le développement non concerté des océans crée des inefficacités opérationnelles, des conflits d</w:t>
      </w:r>
      <w:r w:rsidR="00577D76" w:rsidRPr="001D5AE1">
        <w:rPr>
          <w:rFonts w:eastAsia="SimSun"/>
          <w:lang w:eastAsia="zh-CN"/>
        </w:rPr>
        <w:t>’</w:t>
      </w:r>
      <w:r w:rsidR="00BC4BD0" w:rsidRPr="001D5AE1">
        <w:rPr>
          <w:rFonts w:eastAsia="SimSun"/>
          <w:lang w:eastAsia="zh-CN"/>
        </w:rPr>
        <w:t>utilisation et une dégradation de l</w:t>
      </w:r>
      <w:r w:rsidR="00577D76" w:rsidRPr="001D5AE1">
        <w:rPr>
          <w:rFonts w:eastAsia="SimSun"/>
          <w:lang w:eastAsia="zh-CN"/>
        </w:rPr>
        <w:t>’</w:t>
      </w:r>
      <w:r w:rsidR="00BC4BD0" w:rsidRPr="001D5AE1">
        <w:rPr>
          <w:rFonts w:eastAsia="SimSun"/>
          <w:lang w:eastAsia="zh-CN"/>
        </w:rPr>
        <w:t>environnement qui nuit à la productivité future. Les difficultés à généraliser la planification axée sur des objectifs découlent de l</w:t>
      </w:r>
      <w:r w:rsidR="00577D76" w:rsidRPr="001D5AE1">
        <w:rPr>
          <w:rFonts w:eastAsia="SimSun"/>
          <w:lang w:eastAsia="zh-CN"/>
        </w:rPr>
        <w:t>’</w:t>
      </w:r>
      <w:r w:rsidR="00BC4BD0" w:rsidRPr="001D5AE1">
        <w:rPr>
          <w:rFonts w:eastAsia="SimSun"/>
          <w:lang w:eastAsia="zh-CN"/>
        </w:rPr>
        <w:t xml:space="preserve">incapacité à mobiliser tous les usagers, ce qui se traduit par des processus inefficaces ainsi que par une adhésion et une mise en application insuffisantes. La COI pourrait aider à répondre à ce besoin, car elle est bien placée </w:t>
      </w:r>
      <w:r w:rsidR="00BC4BD0" w:rsidRPr="001D5AE1">
        <w:rPr>
          <w:rFonts w:eastAsia="SimSun"/>
          <w:lang w:eastAsia="zh-CN"/>
        </w:rPr>
        <w:lastRenderedPageBreak/>
        <w:t>pour fédérer de nombreuses parties prenantes du secteur des océans et faire prévaloir les processus scientifiques, inclusifs et participatifs.</w:t>
      </w:r>
    </w:p>
    <w:p w14:paraId="2670FE17" w14:textId="4D7AB314" w:rsidR="00BC4BD0" w:rsidRPr="001D5AE1" w:rsidRDefault="00145259" w:rsidP="009957F6">
      <w:pPr>
        <w:pStyle w:val="Marge"/>
        <w:rPr>
          <w:rFonts w:eastAsia="SimSun"/>
          <w:lang w:eastAsia="zh-CN"/>
        </w:rPr>
      </w:pPr>
      <w:r w:rsidRPr="001D5AE1">
        <w:rPr>
          <w:rFonts w:eastAsia="SimSun"/>
          <w:lang w:eastAsia="zh-CN"/>
        </w:rPr>
        <w:t>5.</w:t>
      </w:r>
      <w:r w:rsidRPr="001D5AE1">
        <w:rPr>
          <w:rFonts w:eastAsia="SimSun"/>
          <w:lang w:eastAsia="zh-CN"/>
        </w:rPr>
        <w:tab/>
      </w:r>
      <w:r w:rsidR="00BC4BD0" w:rsidRPr="001D5AE1">
        <w:rPr>
          <w:rFonts w:eastAsia="SimSun"/>
          <w:lang w:eastAsia="zh-CN"/>
        </w:rPr>
        <w:t>Enfin, la gestion durable des océans exige une mesure précise de la valeur des océans. Les mesures traditionnelles de l</w:t>
      </w:r>
      <w:r w:rsidR="00577D76" w:rsidRPr="001D5AE1">
        <w:rPr>
          <w:rFonts w:eastAsia="SimSun"/>
          <w:lang w:eastAsia="zh-CN"/>
        </w:rPr>
        <w:t>’</w:t>
      </w:r>
      <w:r w:rsidR="00BC4BD0" w:rsidRPr="001D5AE1">
        <w:rPr>
          <w:rFonts w:eastAsia="SimSun"/>
          <w:lang w:eastAsia="zh-CN"/>
        </w:rPr>
        <w:t>économie, telles que le produit intérieur brut (PIB), ne sont pas adaptées à l</w:t>
      </w:r>
      <w:r w:rsidR="00577D76" w:rsidRPr="001D5AE1">
        <w:rPr>
          <w:rFonts w:eastAsia="SimSun"/>
          <w:lang w:eastAsia="zh-CN"/>
        </w:rPr>
        <w:t>’</w:t>
      </w:r>
      <w:r w:rsidR="00BC4BD0" w:rsidRPr="001D5AE1">
        <w:rPr>
          <w:rFonts w:eastAsia="SimSun"/>
          <w:lang w:eastAsia="zh-CN"/>
        </w:rPr>
        <w:t>évaluation des ressources naturelles et à la prise en compte des externalités et des inégalités qui s</w:t>
      </w:r>
      <w:r w:rsidR="00577D76" w:rsidRPr="001D5AE1">
        <w:rPr>
          <w:rFonts w:eastAsia="SimSun"/>
          <w:lang w:eastAsia="zh-CN"/>
        </w:rPr>
        <w:t>’</w:t>
      </w:r>
      <w:r w:rsidR="00BC4BD0" w:rsidRPr="001D5AE1">
        <w:rPr>
          <w:rFonts w:eastAsia="SimSun"/>
          <w:lang w:eastAsia="zh-CN"/>
        </w:rPr>
        <w:t>y rattachent. La COI est bien placée pour fournir des données, des informations et des connaissances pouvant contribuer à l</w:t>
      </w:r>
      <w:r w:rsidR="00577D76" w:rsidRPr="001D5AE1">
        <w:rPr>
          <w:rFonts w:eastAsia="SimSun"/>
          <w:lang w:eastAsia="zh-CN"/>
        </w:rPr>
        <w:t>’</w:t>
      </w:r>
      <w:r w:rsidR="00BC4BD0" w:rsidRPr="001D5AE1">
        <w:rPr>
          <w:rFonts w:eastAsia="SimSun"/>
          <w:lang w:eastAsia="zh-CN"/>
        </w:rPr>
        <w:t>élaboration de mesures plus complètes, qui intègrent la valeur plus large des océans, y compris le calcul des actifs d</w:t>
      </w:r>
      <w:r w:rsidR="00577D76" w:rsidRPr="001D5AE1">
        <w:rPr>
          <w:rFonts w:eastAsia="SimSun"/>
          <w:lang w:eastAsia="zh-CN"/>
        </w:rPr>
        <w:t>’</w:t>
      </w:r>
      <w:r w:rsidR="00BC4BD0" w:rsidRPr="001D5AE1">
        <w:rPr>
          <w:rFonts w:eastAsia="SimSun"/>
          <w:lang w:eastAsia="zh-CN"/>
        </w:rPr>
        <w:t>infrastructure, des actifs naturels ainsi que des indicateurs des avantages pour les populations.</w:t>
      </w:r>
    </w:p>
    <w:p w14:paraId="57D08C0D" w14:textId="4457E888" w:rsidR="00BC4BD0" w:rsidRPr="001D5AE1" w:rsidRDefault="00145259" w:rsidP="009957F6">
      <w:pPr>
        <w:pStyle w:val="Marge"/>
        <w:rPr>
          <w:rFonts w:eastAsia="SimSun"/>
          <w:lang w:eastAsia="zh-CN"/>
        </w:rPr>
      </w:pPr>
      <w:r w:rsidRPr="001D5AE1">
        <w:rPr>
          <w:rFonts w:eastAsia="SimSun"/>
          <w:lang w:eastAsia="zh-CN"/>
        </w:rPr>
        <w:t>6.</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évaluation décrit les possibilités et les difficultés pour la COI, succinctement résumées ci</w:t>
      </w:r>
      <w:r w:rsidR="006F7E83" w:rsidRPr="001D5AE1">
        <w:rPr>
          <w:rFonts w:eastAsia="SimSun"/>
          <w:lang w:eastAsia="zh-CN"/>
        </w:rPr>
        <w:noBreakHyphen/>
      </w:r>
      <w:r w:rsidR="00BC4BD0" w:rsidRPr="001D5AE1">
        <w:rPr>
          <w:rFonts w:eastAsia="SimSun"/>
          <w:lang w:eastAsia="zh-CN"/>
        </w:rPr>
        <w:t>dessous.</w:t>
      </w:r>
    </w:p>
    <w:p w14:paraId="7699A470" w14:textId="77777777" w:rsidR="00BC4BD0" w:rsidRPr="001D5AE1" w:rsidRDefault="00BC4BD0" w:rsidP="009957F6">
      <w:pPr>
        <w:keepNext/>
        <w:spacing w:after="240"/>
        <w:jc w:val="both"/>
        <w:rPr>
          <w:rFonts w:eastAsia="SimSun" w:cs="Arial"/>
          <w:b/>
          <w:bCs/>
          <w:color w:val="002060"/>
          <w:szCs w:val="22"/>
          <w:lang w:eastAsia="zh-CN"/>
        </w:rPr>
      </w:pPr>
      <w:r w:rsidRPr="001D5AE1">
        <w:rPr>
          <w:rFonts w:eastAsia="SimSun" w:cs="Arial"/>
          <w:b/>
          <w:bCs/>
          <w:color w:val="002060"/>
          <w:szCs w:val="22"/>
          <w:lang w:eastAsia="zh-CN"/>
        </w:rPr>
        <w:t>Possibilités et difficultés pour la COI</w:t>
      </w:r>
    </w:p>
    <w:p w14:paraId="7F465518" w14:textId="23147969" w:rsidR="00BC4BD0" w:rsidRPr="001D5AE1" w:rsidRDefault="00145259" w:rsidP="009957F6">
      <w:pPr>
        <w:pStyle w:val="Marge"/>
        <w:rPr>
          <w:rFonts w:eastAsia="SimSun"/>
          <w:lang w:eastAsia="zh-CN"/>
        </w:rPr>
      </w:pPr>
      <w:r w:rsidRPr="001D5AE1">
        <w:rPr>
          <w:rFonts w:eastAsia="SimSun"/>
          <w:lang w:eastAsia="zh-CN"/>
        </w:rPr>
        <w:t>7.</w:t>
      </w:r>
      <w:r w:rsidRPr="001D5AE1">
        <w:rPr>
          <w:rFonts w:eastAsia="SimSun"/>
          <w:lang w:eastAsia="zh-CN"/>
        </w:rPr>
        <w:tab/>
      </w:r>
      <w:r w:rsidR="00BC4BD0" w:rsidRPr="001D5AE1">
        <w:rPr>
          <w:rFonts w:eastAsia="SimSun"/>
          <w:lang w:eastAsia="zh-CN"/>
        </w:rPr>
        <w:t>La COI constitue déjà un pilier central du système mondial de conservation, d</w:t>
      </w:r>
      <w:r w:rsidR="00577D76" w:rsidRPr="001D5AE1">
        <w:rPr>
          <w:rFonts w:eastAsia="SimSun"/>
          <w:lang w:eastAsia="zh-CN"/>
        </w:rPr>
        <w:t>’</w:t>
      </w:r>
      <w:r w:rsidR="00BC4BD0" w:rsidRPr="001D5AE1">
        <w:rPr>
          <w:rFonts w:eastAsia="SimSun"/>
          <w:lang w:eastAsia="zh-CN"/>
        </w:rPr>
        <w:t>utilisation durable et de gouvernance des océans</w:t>
      </w:r>
      <w:r w:rsidR="00BC4BD0" w:rsidRPr="001D5AE1">
        <w:rPr>
          <w:rFonts w:eastAsia="SimSun"/>
          <w:vertAlign w:val="superscript"/>
          <w:lang w:eastAsia="zh-CN"/>
        </w:rPr>
        <w:footnoteReference w:id="2"/>
      </w:r>
      <w:r w:rsidR="00BC4BD0" w:rsidRPr="001D5AE1">
        <w:rPr>
          <w:rFonts w:eastAsia="SimSun"/>
          <w:lang w:eastAsia="zh-CN"/>
        </w:rPr>
        <w:t>. Elle joue le rôle de principal mécanisme de coordination des données et des informations océanographiques sur le suivi et l</w:t>
      </w:r>
      <w:r w:rsidR="00577D76" w:rsidRPr="001D5AE1">
        <w:rPr>
          <w:rFonts w:eastAsia="SimSun"/>
          <w:lang w:eastAsia="zh-CN"/>
        </w:rPr>
        <w:t>’</w:t>
      </w:r>
      <w:r w:rsidR="00BC4BD0" w:rsidRPr="001D5AE1">
        <w:rPr>
          <w:rFonts w:eastAsia="SimSun"/>
          <w:lang w:eastAsia="zh-CN"/>
        </w:rPr>
        <w:t>évaluation du changement climatique mondial ; de coordonnateur des dispositifs d</w:t>
      </w:r>
      <w:r w:rsidR="00577D76" w:rsidRPr="001D5AE1">
        <w:rPr>
          <w:rFonts w:eastAsia="SimSun"/>
          <w:lang w:eastAsia="zh-CN"/>
        </w:rPr>
        <w:t>’</w:t>
      </w:r>
      <w:r w:rsidR="00BC4BD0" w:rsidRPr="001D5AE1">
        <w:rPr>
          <w:rFonts w:eastAsia="SimSun"/>
          <w:lang w:eastAsia="zh-CN"/>
        </w:rPr>
        <w:t>alerte rapide à l</w:t>
      </w:r>
      <w:r w:rsidR="00577D76" w:rsidRPr="001D5AE1">
        <w:rPr>
          <w:rFonts w:eastAsia="SimSun"/>
          <w:lang w:eastAsia="zh-CN"/>
        </w:rPr>
        <w:t>’</w:t>
      </w:r>
      <w:r w:rsidR="00BC4BD0" w:rsidRPr="001D5AE1">
        <w:rPr>
          <w:rFonts w:eastAsia="SimSun"/>
          <w:lang w:eastAsia="zh-CN"/>
        </w:rPr>
        <w:t>échelle planétaire ; et d</w:t>
      </w:r>
      <w:r w:rsidR="00577D76" w:rsidRPr="001D5AE1">
        <w:rPr>
          <w:rFonts w:eastAsia="SimSun"/>
          <w:lang w:eastAsia="zh-CN"/>
        </w:rPr>
        <w:t>’</w:t>
      </w:r>
      <w:r w:rsidR="00BC4BD0" w:rsidRPr="001D5AE1">
        <w:rPr>
          <w:rFonts w:eastAsia="SimSun"/>
          <w:lang w:eastAsia="zh-CN"/>
        </w:rPr>
        <w:t>acteur incontournable de la PEM. Elle fournit la base scientifique mondiale nécessaire pour comprendre et améliorer la gestion des océans, des littoraux et des écosystèmes marins. La</w:t>
      </w:r>
      <w:r w:rsidR="003C29BC">
        <w:rPr>
          <w:rFonts w:eastAsia="SimSun"/>
          <w:lang w:eastAsia="zh-CN"/>
        </w:rPr>
        <w:t> </w:t>
      </w:r>
      <w:r w:rsidR="00BC4BD0" w:rsidRPr="001D5AE1">
        <w:rPr>
          <w:rFonts w:eastAsia="SimSun"/>
          <w:lang w:eastAsia="zh-CN"/>
        </w:rPr>
        <w:t>COI offre à ses États membres une plate-forme pour discuter des priorités en matière de sciences océaniques et aborder de concert la santé, la richesse et le bien-être des océans. En outre, elle sert de point de convergence en matière de sciences, d</w:t>
      </w:r>
      <w:r w:rsidR="00577D76" w:rsidRPr="001D5AE1">
        <w:rPr>
          <w:rFonts w:eastAsia="SimSun"/>
          <w:lang w:eastAsia="zh-CN"/>
        </w:rPr>
        <w:t>’</w:t>
      </w:r>
      <w:r w:rsidR="00BC4BD0" w:rsidRPr="001D5AE1">
        <w:rPr>
          <w:rFonts w:eastAsia="SimSun"/>
          <w:lang w:eastAsia="zh-CN"/>
        </w:rPr>
        <w:t>observations, de données et de développement des capacités pour d</w:t>
      </w:r>
      <w:r w:rsidR="00577D76" w:rsidRPr="001D5AE1">
        <w:rPr>
          <w:rFonts w:eastAsia="SimSun"/>
          <w:lang w:eastAsia="zh-CN"/>
        </w:rPr>
        <w:t>’</w:t>
      </w:r>
      <w:r w:rsidR="00BC4BD0" w:rsidRPr="001D5AE1">
        <w:rPr>
          <w:rFonts w:eastAsia="SimSun"/>
          <w:lang w:eastAsia="zh-CN"/>
        </w:rPr>
        <w:t xml:space="preserve">autres institutions des </w:t>
      </w:r>
      <w:r w:rsidR="00172412" w:rsidRPr="001D5AE1">
        <w:rPr>
          <w:rFonts w:eastAsia="SimSun"/>
          <w:lang w:eastAsia="zh-CN"/>
        </w:rPr>
        <w:t>Nations Unies</w:t>
      </w:r>
      <w:r w:rsidR="00BC4BD0" w:rsidRPr="001D5AE1">
        <w:rPr>
          <w:rFonts w:eastAsia="SimSun"/>
          <w:lang w:eastAsia="zh-CN"/>
        </w:rPr>
        <w:t xml:space="preserve"> qui œuvrent dans le domaine de l</w:t>
      </w:r>
      <w:r w:rsidR="00577D76" w:rsidRPr="001D5AE1">
        <w:rPr>
          <w:rFonts w:eastAsia="SimSun"/>
          <w:lang w:eastAsia="zh-CN"/>
        </w:rPr>
        <w:t>’</w:t>
      </w:r>
      <w:r w:rsidR="00BC4BD0" w:rsidRPr="001D5AE1">
        <w:rPr>
          <w:rFonts w:eastAsia="SimSun"/>
          <w:lang w:eastAsia="zh-CN"/>
        </w:rPr>
        <w:t>espace marin. Depuis</w:t>
      </w:r>
      <w:r w:rsidR="00577D76" w:rsidRPr="001D5AE1">
        <w:rPr>
          <w:rFonts w:eastAsia="SimSun"/>
          <w:lang w:eastAsia="zh-CN"/>
        </w:rPr>
        <w:t> </w:t>
      </w:r>
      <w:r w:rsidR="00BC4BD0" w:rsidRPr="001D5AE1">
        <w:rPr>
          <w:rFonts w:eastAsia="SimSun"/>
          <w:lang w:eastAsia="zh-CN"/>
        </w:rPr>
        <w:t>2018, elle est également l</w:t>
      </w:r>
      <w:r w:rsidR="00577D76" w:rsidRPr="001D5AE1">
        <w:rPr>
          <w:rFonts w:eastAsia="SimSun"/>
          <w:lang w:eastAsia="zh-CN"/>
        </w:rPr>
        <w:t>’</w:t>
      </w:r>
      <w:r w:rsidR="00BC4BD0" w:rsidRPr="001D5AE1">
        <w:rPr>
          <w:rFonts w:eastAsia="SimSun"/>
          <w:lang w:eastAsia="zh-CN"/>
        </w:rPr>
        <w:t xml:space="preserve">entité des </w:t>
      </w:r>
      <w:r w:rsidR="00172412" w:rsidRPr="001D5AE1">
        <w:rPr>
          <w:rFonts w:eastAsia="SimSun"/>
          <w:lang w:eastAsia="zh-CN"/>
        </w:rPr>
        <w:t>Nations Unies</w:t>
      </w:r>
      <w:r w:rsidR="00BC4BD0" w:rsidRPr="001D5AE1">
        <w:rPr>
          <w:rFonts w:eastAsia="SimSun"/>
          <w:lang w:eastAsia="zh-CN"/>
        </w:rPr>
        <w:t xml:space="preserve"> chargée de préparer et de mettre en œuvre la Décennie des </w:t>
      </w:r>
      <w:r w:rsidR="00172412" w:rsidRPr="001D5AE1">
        <w:rPr>
          <w:rFonts w:eastAsia="SimSun"/>
          <w:lang w:eastAsia="zh-CN"/>
        </w:rPr>
        <w:t>Nations Unies</w:t>
      </w:r>
      <w:r w:rsidR="00BC4BD0" w:rsidRPr="001D5AE1">
        <w:rPr>
          <w:rFonts w:eastAsia="SimSun"/>
          <w:lang w:eastAsia="zh-CN"/>
        </w:rPr>
        <w:t xml:space="preserve"> pour les sciences océaniques au service du développement durable. Pourtant, bien que la COI joue un rôle crucial, sa visibilité et ses ressources ne sont actuellement pas adaptées à cette tâche.</w:t>
      </w:r>
    </w:p>
    <w:p w14:paraId="483B7606" w14:textId="77777777" w:rsidR="00BC4BD0" w:rsidRPr="001D5AE1" w:rsidRDefault="00BC4BD0" w:rsidP="009957F6">
      <w:pPr>
        <w:keepNext/>
        <w:spacing w:after="240"/>
        <w:jc w:val="both"/>
        <w:rPr>
          <w:rFonts w:eastAsia="SimSun" w:cs="Arial"/>
          <w:i/>
          <w:iCs/>
          <w:color w:val="002060"/>
          <w:szCs w:val="22"/>
          <w:lang w:eastAsia="zh-CN"/>
        </w:rPr>
      </w:pPr>
      <w:r w:rsidRPr="001D5AE1">
        <w:rPr>
          <w:rFonts w:eastAsia="SimSun" w:cs="Arial"/>
          <w:i/>
          <w:iCs/>
          <w:color w:val="002060"/>
          <w:szCs w:val="22"/>
          <w:lang w:eastAsia="zh-CN"/>
        </w:rPr>
        <w:t>Possibilités</w:t>
      </w:r>
    </w:p>
    <w:p w14:paraId="2C2BAB35" w14:textId="20486E61" w:rsidR="00BC4BD0" w:rsidRPr="001D5AE1" w:rsidRDefault="00145259" w:rsidP="009957F6">
      <w:pPr>
        <w:pStyle w:val="Marge"/>
        <w:rPr>
          <w:rFonts w:eastAsia="SimSun"/>
          <w:lang w:eastAsia="zh-CN"/>
        </w:rPr>
      </w:pPr>
      <w:r w:rsidRPr="001D5AE1">
        <w:rPr>
          <w:rFonts w:eastAsia="SimSun"/>
          <w:lang w:eastAsia="zh-CN"/>
        </w:rPr>
        <w:t>8.</w:t>
      </w:r>
      <w:r w:rsidRPr="001D5AE1">
        <w:rPr>
          <w:rFonts w:eastAsia="SimSun"/>
          <w:lang w:eastAsia="zh-CN"/>
        </w:rPr>
        <w:tab/>
      </w:r>
      <w:r w:rsidR="00BC4BD0" w:rsidRPr="001D5AE1">
        <w:rPr>
          <w:rFonts w:eastAsia="SimSun"/>
          <w:lang w:eastAsia="zh-CN"/>
        </w:rPr>
        <w:t>Étant donné qu</w:t>
      </w:r>
      <w:r w:rsidR="00577D76" w:rsidRPr="001D5AE1">
        <w:rPr>
          <w:rFonts w:eastAsia="SimSun"/>
          <w:lang w:eastAsia="zh-CN"/>
        </w:rPr>
        <w:t>’</w:t>
      </w:r>
      <w:r w:rsidR="00BC4BD0" w:rsidRPr="001D5AE1">
        <w:rPr>
          <w:rFonts w:eastAsia="SimSun"/>
          <w:lang w:eastAsia="zh-CN"/>
        </w:rPr>
        <w:t>un consensus émerge sur ce à quoi pourrait ressembler une gestion plus durable des océans, des possibilités évidentes s</w:t>
      </w:r>
      <w:r w:rsidR="00577D76" w:rsidRPr="001D5AE1">
        <w:rPr>
          <w:rFonts w:eastAsia="SimSun"/>
          <w:lang w:eastAsia="zh-CN"/>
        </w:rPr>
        <w:t>’</w:t>
      </w:r>
      <w:r w:rsidR="00BC4BD0" w:rsidRPr="001D5AE1">
        <w:rPr>
          <w:rFonts w:eastAsia="SimSun"/>
          <w:lang w:eastAsia="zh-CN"/>
        </w:rPr>
        <w:t>offrent à la COI pour soutenir cette nouvelle vision.</w:t>
      </w:r>
    </w:p>
    <w:p w14:paraId="2253E0BB" w14:textId="53951BBD" w:rsidR="00BC4BD0" w:rsidRPr="001D5AE1" w:rsidRDefault="00145259" w:rsidP="009957F6">
      <w:pPr>
        <w:pStyle w:val="Marge"/>
        <w:rPr>
          <w:rFonts w:eastAsia="SimSun"/>
          <w:lang w:eastAsia="zh-CN"/>
        </w:rPr>
      </w:pPr>
      <w:r w:rsidRPr="001D5AE1">
        <w:rPr>
          <w:rFonts w:eastAsia="SimSun"/>
          <w:lang w:eastAsia="zh-CN"/>
        </w:rPr>
        <w:t>9.</w:t>
      </w:r>
      <w:r w:rsidRPr="001D5AE1">
        <w:rPr>
          <w:rFonts w:eastAsia="SimSun"/>
          <w:lang w:eastAsia="zh-CN"/>
        </w:rPr>
        <w:tab/>
      </w:r>
      <w:r w:rsidR="00BC4BD0" w:rsidRPr="001D5AE1">
        <w:rPr>
          <w:rFonts w:eastAsia="SimSun"/>
          <w:lang w:eastAsia="zh-CN"/>
        </w:rPr>
        <w:t xml:space="preserve">Premièrement, la COI a remis le plan de mise en œuvre de la Décennie des </w:t>
      </w:r>
      <w:r w:rsidR="00172412" w:rsidRPr="001D5AE1">
        <w:rPr>
          <w:rFonts w:eastAsia="SimSun"/>
          <w:lang w:eastAsia="zh-CN"/>
        </w:rPr>
        <w:t>Nations Unies</w:t>
      </w:r>
      <w:r w:rsidR="00BC4BD0" w:rsidRPr="001D5AE1">
        <w:rPr>
          <w:rFonts w:eastAsia="SimSun"/>
          <w:lang w:eastAsia="zh-CN"/>
        </w:rPr>
        <w:t xml:space="preserve"> pour les sciences océaniques au service du développement durable, comme le lui avait demandé l</w:t>
      </w:r>
      <w:r w:rsidR="00577D76" w:rsidRPr="001D5AE1">
        <w:rPr>
          <w:rFonts w:eastAsia="SimSun"/>
          <w:lang w:eastAsia="zh-CN"/>
        </w:rPr>
        <w:t>’</w:t>
      </w:r>
      <w:r w:rsidR="00BC4BD0" w:rsidRPr="001D5AE1">
        <w:rPr>
          <w:rFonts w:eastAsia="SimSun"/>
          <w:lang w:eastAsia="zh-CN"/>
        </w:rPr>
        <w:t xml:space="preserve">Assemblée générale des </w:t>
      </w:r>
      <w:r w:rsidR="00172412" w:rsidRPr="001D5AE1">
        <w:rPr>
          <w:rFonts w:eastAsia="SimSun"/>
          <w:lang w:eastAsia="zh-CN"/>
        </w:rPr>
        <w:t>Nations Unies</w:t>
      </w:r>
      <w:r w:rsidR="00BC4BD0" w:rsidRPr="001D5AE1">
        <w:rPr>
          <w:rFonts w:eastAsia="SimSun"/>
          <w:lang w:eastAsia="zh-CN"/>
        </w:rPr>
        <w:t>. Les États membres ont vigoureusement soutenu ce concept et les discussions à ce sujet n</w:t>
      </w:r>
      <w:r w:rsidR="00577D76" w:rsidRPr="001D5AE1">
        <w:rPr>
          <w:rFonts w:eastAsia="SimSun"/>
          <w:lang w:eastAsia="zh-CN"/>
        </w:rPr>
        <w:t>’</w:t>
      </w:r>
      <w:r w:rsidR="00BC4BD0" w:rsidRPr="001D5AE1">
        <w:rPr>
          <w:rFonts w:eastAsia="SimSun"/>
          <w:lang w:eastAsia="zh-CN"/>
        </w:rPr>
        <w:t>ont suscité aucune controverse. Le lancement de la Décennie de l</w:t>
      </w:r>
      <w:r w:rsidR="00577D76" w:rsidRPr="001D5AE1">
        <w:rPr>
          <w:rFonts w:eastAsia="SimSun"/>
          <w:lang w:eastAsia="zh-CN"/>
        </w:rPr>
        <w:t>’</w:t>
      </w:r>
      <w:r w:rsidR="00BC4BD0" w:rsidRPr="001D5AE1">
        <w:rPr>
          <w:rFonts w:eastAsia="SimSun"/>
          <w:lang w:eastAsia="zh-CN"/>
        </w:rPr>
        <w:t>Océan peut donc être considéré comme une invitation à mener d</w:t>
      </w:r>
      <w:r w:rsidR="00577D76" w:rsidRPr="001D5AE1">
        <w:rPr>
          <w:rFonts w:eastAsia="SimSun"/>
          <w:lang w:eastAsia="zh-CN"/>
        </w:rPr>
        <w:t>’</w:t>
      </w:r>
      <w:r w:rsidR="00BC4BD0" w:rsidRPr="001D5AE1">
        <w:rPr>
          <w:rFonts w:eastAsia="SimSun"/>
          <w:lang w:eastAsia="zh-CN"/>
        </w:rPr>
        <w:t>autres actions et comme une plate-forme pour approfondir la collaboration avec les responsables des politiques gouvernementales au plus haut niveau. Pour la COI, cette période est l</w:t>
      </w:r>
      <w:r w:rsidR="00577D76" w:rsidRPr="001D5AE1">
        <w:rPr>
          <w:rFonts w:eastAsia="SimSun"/>
          <w:lang w:eastAsia="zh-CN"/>
        </w:rPr>
        <w:t>’</w:t>
      </w:r>
      <w:r w:rsidR="00BC4BD0" w:rsidRPr="001D5AE1">
        <w:rPr>
          <w:rFonts w:eastAsia="SimSun"/>
          <w:lang w:eastAsia="zh-CN"/>
        </w:rPr>
        <w:t>occasion de faire entendre la voix des sciences océaniques dans l</w:t>
      </w:r>
      <w:r w:rsidR="00577D76" w:rsidRPr="001D5AE1">
        <w:rPr>
          <w:rFonts w:eastAsia="SimSun"/>
          <w:lang w:eastAsia="zh-CN"/>
        </w:rPr>
        <w:t>’</w:t>
      </w:r>
      <w:r w:rsidR="00BC4BD0" w:rsidRPr="001D5AE1">
        <w:rPr>
          <w:rFonts w:eastAsia="SimSun"/>
          <w:lang w:eastAsia="zh-CN"/>
        </w:rPr>
        <w:t xml:space="preserve">ensemble du système des </w:t>
      </w:r>
      <w:r w:rsidR="00172412" w:rsidRPr="001D5AE1">
        <w:rPr>
          <w:rFonts w:eastAsia="SimSun"/>
          <w:lang w:eastAsia="zh-CN"/>
        </w:rPr>
        <w:t>Nations Unies</w:t>
      </w:r>
      <w:r w:rsidR="00BC4BD0" w:rsidRPr="001D5AE1">
        <w:rPr>
          <w:rFonts w:eastAsia="SimSun"/>
          <w:lang w:eastAsia="zh-CN"/>
        </w:rPr>
        <w:t xml:space="preserve"> et, plus largement, auprès de nouveaux groupes de parties prenantes, dont le secteur maritime, la société civile et les organismes philanthropiques. Elle représente également un cadre pour étoffer la base de ressources sur les sciences océaniques au sein de la COI et dans ses États membres.</w:t>
      </w:r>
    </w:p>
    <w:p w14:paraId="06E11C8F" w14:textId="15F496D8" w:rsidR="00BC4BD0" w:rsidRPr="001D5AE1" w:rsidRDefault="00145259" w:rsidP="00DB71D2">
      <w:pPr>
        <w:pStyle w:val="Marge"/>
        <w:rPr>
          <w:rFonts w:eastAsia="SimSun"/>
          <w:lang w:eastAsia="zh-CN"/>
        </w:rPr>
      </w:pPr>
      <w:r w:rsidRPr="001D5AE1">
        <w:rPr>
          <w:rFonts w:eastAsia="SimSun"/>
          <w:lang w:eastAsia="zh-CN"/>
        </w:rPr>
        <w:t>10.</w:t>
      </w:r>
      <w:r w:rsidRPr="001D5AE1">
        <w:rPr>
          <w:rFonts w:eastAsia="SimSun"/>
          <w:lang w:eastAsia="zh-CN"/>
        </w:rPr>
        <w:tab/>
      </w:r>
      <w:r w:rsidR="00106D57" w:rsidRPr="003C29BC">
        <w:rPr>
          <w:rFonts w:eastAsia="SimSun"/>
          <w:lang w:eastAsia="zh-CN"/>
        </w:rPr>
        <w:t>Deuxièmement, l</w:t>
      </w:r>
      <w:r w:rsidR="00577D76" w:rsidRPr="003C29BC">
        <w:rPr>
          <w:rFonts w:eastAsia="SimSun"/>
          <w:lang w:eastAsia="zh-CN"/>
        </w:rPr>
        <w:t>’</w:t>
      </w:r>
      <w:r w:rsidR="00106D57" w:rsidRPr="003C29BC">
        <w:rPr>
          <w:rFonts w:eastAsia="SimSun"/>
          <w:lang w:eastAsia="zh-CN"/>
        </w:rPr>
        <w:t xml:space="preserve">accord </w:t>
      </w:r>
      <w:r w:rsidR="0049601D" w:rsidRPr="003C29BC">
        <w:rPr>
          <w:rFonts w:eastAsia="SimSun"/>
          <w:lang w:eastAsia="zh-CN"/>
        </w:rPr>
        <w:t>conclu entre les États membres de l</w:t>
      </w:r>
      <w:r w:rsidR="00577D76" w:rsidRPr="003C29BC">
        <w:rPr>
          <w:rFonts w:eastAsia="SimSun"/>
          <w:lang w:eastAsia="zh-CN"/>
        </w:rPr>
        <w:t>’</w:t>
      </w:r>
      <w:r w:rsidR="0049601D" w:rsidRPr="003C29BC">
        <w:rPr>
          <w:rFonts w:eastAsia="SimSun"/>
          <w:lang w:eastAsia="zh-CN"/>
        </w:rPr>
        <w:t>ONU</w:t>
      </w:r>
      <w:r w:rsidR="00ED37B0" w:rsidRPr="003C29BC">
        <w:rPr>
          <w:rFonts w:eastAsia="SimSun"/>
          <w:lang w:eastAsia="zh-CN"/>
        </w:rPr>
        <w:t>,</w:t>
      </w:r>
      <w:r w:rsidR="0049601D" w:rsidRPr="003C29BC">
        <w:rPr>
          <w:rFonts w:eastAsia="SimSun"/>
          <w:lang w:eastAsia="zh-CN"/>
        </w:rPr>
        <w:t xml:space="preserve"> en mars 2023</w:t>
      </w:r>
      <w:r w:rsidR="00ED37B0" w:rsidRPr="003C29BC">
        <w:rPr>
          <w:rFonts w:eastAsia="SimSun"/>
          <w:lang w:eastAsia="zh-CN"/>
        </w:rPr>
        <w:t>,</w:t>
      </w:r>
      <w:r w:rsidR="0049601D" w:rsidRPr="003C29BC">
        <w:t xml:space="preserve"> </w:t>
      </w:r>
      <w:r w:rsidR="0049601D" w:rsidRPr="003C29BC">
        <w:rPr>
          <w:rFonts w:eastAsia="SimSun"/>
          <w:lang w:eastAsia="zh-CN"/>
        </w:rPr>
        <w:t>aux fins de l</w:t>
      </w:r>
      <w:r w:rsidR="00577D76" w:rsidRPr="003C29BC">
        <w:rPr>
          <w:rFonts w:eastAsia="SimSun"/>
          <w:lang w:eastAsia="zh-CN"/>
        </w:rPr>
        <w:t>’</w:t>
      </w:r>
      <w:r w:rsidR="0049601D" w:rsidRPr="003C29BC">
        <w:rPr>
          <w:rFonts w:eastAsia="SimSun"/>
          <w:lang w:eastAsia="zh-CN"/>
        </w:rPr>
        <w:t>élaboration d</w:t>
      </w:r>
      <w:r w:rsidR="00577D76" w:rsidRPr="003C29BC">
        <w:rPr>
          <w:rFonts w:eastAsia="SimSun"/>
          <w:lang w:eastAsia="zh-CN"/>
        </w:rPr>
        <w:t>’</w:t>
      </w:r>
      <w:r w:rsidR="0049601D" w:rsidRPr="003C29BC">
        <w:rPr>
          <w:rFonts w:eastAsia="SimSun"/>
          <w:lang w:eastAsia="zh-CN"/>
        </w:rPr>
        <w:t>un instrument international juridiquement contraignant se rapportant à la Convention des Nations Unies sur le droit de la mer et portant sur la conservation et l</w:t>
      </w:r>
      <w:r w:rsidR="00577D76" w:rsidRPr="003C29BC">
        <w:rPr>
          <w:rFonts w:eastAsia="SimSun"/>
          <w:lang w:eastAsia="zh-CN"/>
        </w:rPr>
        <w:t>’</w:t>
      </w:r>
      <w:r w:rsidR="0049601D" w:rsidRPr="003C29BC">
        <w:rPr>
          <w:rFonts w:eastAsia="SimSun"/>
          <w:lang w:eastAsia="zh-CN"/>
        </w:rPr>
        <w:t xml:space="preserve">utilisation </w:t>
      </w:r>
      <w:r w:rsidR="0049601D" w:rsidRPr="003C29BC">
        <w:rPr>
          <w:rFonts w:eastAsia="SimSun"/>
          <w:lang w:eastAsia="zh-CN"/>
        </w:rPr>
        <w:lastRenderedPageBreak/>
        <w:t xml:space="preserve">durable de la biodiversité marine des zones ne relevant pas de la juridiction nationale constitue une deuxième </w:t>
      </w:r>
      <w:r w:rsidR="007F2C60" w:rsidRPr="003C29BC">
        <w:rPr>
          <w:rFonts w:eastAsia="SimSun"/>
          <w:lang w:eastAsia="zh-CN"/>
        </w:rPr>
        <w:t>possibilité</w:t>
      </w:r>
      <w:r w:rsidR="0049601D" w:rsidRPr="003C29BC">
        <w:rPr>
          <w:rFonts w:eastAsia="SimSun"/>
          <w:lang w:eastAsia="zh-CN"/>
        </w:rPr>
        <w:t>.</w:t>
      </w:r>
      <w:r w:rsidR="00106D57" w:rsidRPr="003C29BC">
        <w:rPr>
          <w:rFonts w:eastAsia="SimSun"/>
          <w:lang w:eastAsia="zh-CN"/>
        </w:rPr>
        <w:t xml:space="preserve"> </w:t>
      </w:r>
      <w:r w:rsidR="007F2C60" w:rsidRPr="003C29BC">
        <w:rPr>
          <w:rFonts w:eastAsia="SimSun"/>
          <w:lang w:eastAsia="zh-CN"/>
        </w:rPr>
        <w:t xml:space="preserve">Cet accord </w:t>
      </w:r>
      <w:r w:rsidR="00D876CA" w:rsidRPr="003C29BC">
        <w:rPr>
          <w:rFonts w:eastAsia="SimSun"/>
          <w:lang w:eastAsia="zh-CN"/>
        </w:rPr>
        <w:t>couvre</w:t>
      </w:r>
      <w:r w:rsidR="007F2C60" w:rsidRPr="003C29BC">
        <w:rPr>
          <w:rFonts w:eastAsia="SimSun"/>
          <w:lang w:eastAsia="zh-CN"/>
        </w:rPr>
        <w:t xml:space="preserve"> divers </w:t>
      </w:r>
      <w:r w:rsidR="00D876CA" w:rsidRPr="003C29BC">
        <w:rPr>
          <w:rFonts w:eastAsia="SimSun"/>
          <w:lang w:eastAsia="zh-CN"/>
        </w:rPr>
        <w:t>thèmes</w:t>
      </w:r>
      <w:r w:rsidR="007F2C60" w:rsidRPr="003C29BC">
        <w:rPr>
          <w:rFonts w:eastAsia="SimSun"/>
          <w:lang w:eastAsia="zh-CN"/>
        </w:rPr>
        <w:t xml:space="preserve">, </w:t>
      </w:r>
      <w:r w:rsidR="00D876CA" w:rsidRPr="003C29BC">
        <w:rPr>
          <w:rFonts w:eastAsia="SimSun"/>
          <w:lang w:eastAsia="zh-CN"/>
        </w:rPr>
        <w:t>notammen</w:t>
      </w:r>
      <w:r w:rsidR="007F2C60" w:rsidRPr="003C29BC">
        <w:rPr>
          <w:rFonts w:eastAsia="SimSun"/>
          <w:lang w:eastAsia="zh-CN"/>
        </w:rPr>
        <w:t>t les ressources génétiques marines, l</w:t>
      </w:r>
      <w:r w:rsidR="00D876CA" w:rsidRPr="003C29BC">
        <w:rPr>
          <w:rFonts w:eastAsia="SimSun"/>
          <w:lang w:eastAsia="zh-CN"/>
        </w:rPr>
        <w:t xml:space="preserve">es </w:t>
      </w:r>
      <w:r w:rsidR="007F2C60" w:rsidRPr="003C29BC">
        <w:rPr>
          <w:rFonts w:eastAsia="SimSun"/>
          <w:lang w:eastAsia="zh-CN"/>
        </w:rPr>
        <w:t>é</w:t>
      </w:r>
      <w:r w:rsidR="00D876CA" w:rsidRPr="003C29BC">
        <w:rPr>
          <w:rFonts w:eastAsia="SimSun"/>
          <w:lang w:eastAsia="zh-CN"/>
        </w:rPr>
        <w:t>tudes</w:t>
      </w:r>
      <w:r w:rsidR="007F2C60" w:rsidRPr="003C29BC">
        <w:rPr>
          <w:rFonts w:eastAsia="SimSun"/>
          <w:lang w:eastAsia="zh-CN"/>
        </w:rPr>
        <w:t xml:space="preserve"> d</w:t>
      </w:r>
      <w:r w:rsidR="00577D76" w:rsidRPr="003C29BC">
        <w:rPr>
          <w:rFonts w:eastAsia="SimSun"/>
          <w:lang w:eastAsia="zh-CN"/>
        </w:rPr>
        <w:t>’</w:t>
      </w:r>
      <w:r w:rsidR="007F2C60" w:rsidRPr="003C29BC">
        <w:rPr>
          <w:rFonts w:eastAsia="SimSun"/>
          <w:lang w:eastAsia="zh-CN"/>
        </w:rPr>
        <w:t>impact sur l</w:t>
      </w:r>
      <w:r w:rsidR="00577D76" w:rsidRPr="003C29BC">
        <w:rPr>
          <w:rFonts w:eastAsia="SimSun"/>
          <w:lang w:eastAsia="zh-CN"/>
        </w:rPr>
        <w:t>’</w:t>
      </w:r>
      <w:r w:rsidR="007F2C60" w:rsidRPr="003C29BC">
        <w:rPr>
          <w:rFonts w:eastAsia="SimSun"/>
          <w:lang w:eastAsia="zh-CN"/>
        </w:rPr>
        <w:t xml:space="preserve">environnement, les outils de gestion par zone, le renforcement des capacités et le transfert de technologies. </w:t>
      </w:r>
      <w:r w:rsidR="001060E9" w:rsidRPr="003C29BC">
        <w:rPr>
          <w:rFonts w:eastAsia="SimSun"/>
          <w:lang w:eastAsia="zh-CN"/>
        </w:rPr>
        <w:t>Fait important pour la Commission, le texte final de l</w:t>
      </w:r>
      <w:r w:rsidR="00577D76" w:rsidRPr="003C29BC">
        <w:rPr>
          <w:rFonts w:eastAsia="SimSun"/>
          <w:lang w:eastAsia="zh-CN"/>
        </w:rPr>
        <w:t>’</w:t>
      </w:r>
      <w:r w:rsidR="00ED37B0" w:rsidRPr="003C29BC">
        <w:rPr>
          <w:rFonts w:eastAsia="SimSun"/>
          <w:lang w:eastAsia="zh-CN"/>
        </w:rPr>
        <w:t>a</w:t>
      </w:r>
      <w:r w:rsidR="001060E9" w:rsidRPr="003C29BC">
        <w:rPr>
          <w:rFonts w:eastAsia="SimSun"/>
          <w:lang w:eastAsia="zh-CN"/>
        </w:rPr>
        <w:t xml:space="preserve">ccord fait référence à une coopération possible avec la COI </w:t>
      </w:r>
      <w:r w:rsidR="00CF14BC" w:rsidRPr="003C29BC">
        <w:rPr>
          <w:rFonts w:eastAsia="SimSun"/>
          <w:lang w:eastAsia="zh-CN"/>
        </w:rPr>
        <w:t>pour la gestion</w:t>
      </w:r>
      <w:r w:rsidR="001060E9" w:rsidRPr="003C29BC">
        <w:rPr>
          <w:rFonts w:eastAsia="SimSun"/>
          <w:lang w:eastAsia="zh-CN"/>
        </w:rPr>
        <w:t xml:space="preserve"> du </w:t>
      </w:r>
      <w:r w:rsidR="00F2134C" w:rsidRPr="003C29BC">
        <w:rPr>
          <w:rFonts w:eastAsia="SimSun"/>
          <w:lang w:eastAsia="zh-CN"/>
        </w:rPr>
        <w:t xml:space="preserve">mécanisme </w:t>
      </w:r>
      <w:r w:rsidR="001060E9" w:rsidRPr="003C29BC">
        <w:rPr>
          <w:rFonts w:eastAsia="SimSun"/>
          <w:lang w:eastAsia="zh-CN"/>
        </w:rPr>
        <w:t>d</w:t>
      </w:r>
      <w:r w:rsidR="00577D76" w:rsidRPr="003C29BC">
        <w:rPr>
          <w:rFonts w:eastAsia="SimSun"/>
          <w:lang w:eastAsia="zh-CN"/>
        </w:rPr>
        <w:t>’</w:t>
      </w:r>
      <w:r w:rsidR="001060E9" w:rsidRPr="003C29BC">
        <w:rPr>
          <w:rFonts w:eastAsia="SimSun"/>
          <w:lang w:eastAsia="zh-CN"/>
        </w:rPr>
        <w:t>échange</w:t>
      </w:r>
      <w:r w:rsidR="00F2134C" w:rsidRPr="003C29BC">
        <w:rPr>
          <w:rFonts w:eastAsia="SimSun"/>
          <w:lang w:eastAsia="zh-CN"/>
        </w:rPr>
        <w:t xml:space="preserve"> d</w:t>
      </w:r>
      <w:r w:rsidR="00577D76" w:rsidRPr="003C29BC">
        <w:rPr>
          <w:rFonts w:eastAsia="SimSun"/>
          <w:lang w:eastAsia="zh-CN"/>
        </w:rPr>
        <w:t>’</w:t>
      </w:r>
      <w:r w:rsidR="00F2134C" w:rsidRPr="003C29BC">
        <w:rPr>
          <w:rFonts w:eastAsia="SimSun"/>
          <w:lang w:eastAsia="zh-CN"/>
        </w:rPr>
        <w:t>informations</w:t>
      </w:r>
      <w:r w:rsidR="001060E9" w:rsidRPr="003C29BC">
        <w:rPr>
          <w:rFonts w:eastAsia="SimSun"/>
          <w:lang w:eastAsia="zh-CN"/>
        </w:rPr>
        <w:t xml:space="preserve"> qui sera créé</w:t>
      </w:r>
      <w:r w:rsidR="00CF14BC" w:rsidRPr="003C29BC">
        <w:rPr>
          <w:rFonts w:eastAsia="SimSun"/>
          <w:lang w:eastAsia="zh-CN"/>
        </w:rPr>
        <w:t xml:space="preserve"> sous l</w:t>
      </w:r>
      <w:r w:rsidR="00577D76" w:rsidRPr="003C29BC">
        <w:rPr>
          <w:rFonts w:eastAsia="SimSun"/>
          <w:lang w:eastAsia="zh-CN"/>
        </w:rPr>
        <w:t>’</w:t>
      </w:r>
      <w:r w:rsidR="00CF14BC" w:rsidRPr="003C29BC">
        <w:rPr>
          <w:rFonts w:eastAsia="SimSun"/>
          <w:lang w:eastAsia="zh-CN"/>
        </w:rPr>
        <w:t xml:space="preserve">égide du nouveau traité, </w:t>
      </w:r>
      <w:r w:rsidR="00F2134C" w:rsidRPr="003C29BC">
        <w:rPr>
          <w:rFonts w:eastAsia="SimSun"/>
          <w:lang w:eastAsia="zh-CN"/>
        </w:rPr>
        <w:t>ouvrant potentiellement</w:t>
      </w:r>
      <w:r w:rsidR="00CF14BC" w:rsidRPr="003C29BC">
        <w:rPr>
          <w:rFonts w:eastAsia="SimSun"/>
          <w:lang w:eastAsia="zh-CN"/>
        </w:rPr>
        <w:t xml:space="preserve"> la voie à la mise en œuvre, au profit de tous les pays, des </w:t>
      </w:r>
      <w:r w:rsidR="00281D66" w:rsidRPr="003C29BC">
        <w:rPr>
          <w:rFonts w:eastAsia="SimSun"/>
          <w:lang w:eastAsia="zh-CN"/>
        </w:rPr>
        <w:t>outils</w:t>
      </w:r>
      <w:r w:rsidR="00CF14BC" w:rsidRPr="003C29BC">
        <w:rPr>
          <w:rFonts w:eastAsia="SimSun"/>
          <w:lang w:eastAsia="zh-CN"/>
        </w:rPr>
        <w:t xml:space="preserve"> et programmes de la COI en matière de développement des capacités </w:t>
      </w:r>
      <w:r w:rsidR="00281D66" w:rsidRPr="003C29BC">
        <w:rPr>
          <w:rFonts w:eastAsia="SimSun"/>
          <w:lang w:eastAsia="zh-CN"/>
        </w:rPr>
        <w:t xml:space="preserve">et de transfert des techniques marines </w:t>
      </w:r>
      <w:r w:rsidR="00CF14BC" w:rsidRPr="003C29BC">
        <w:rPr>
          <w:rFonts w:eastAsia="SimSun"/>
          <w:lang w:eastAsia="zh-CN"/>
        </w:rPr>
        <w:t>qui ont été testés et sont pleinement opérationnels</w:t>
      </w:r>
      <w:r w:rsidR="00D412EC" w:rsidRPr="003C29BC">
        <w:rPr>
          <w:rFonts w:eastAsia="SimSun"/>
          <w:lang w:eastAsia="zh-CN"/>
        </w:rPr>
        <w:t>. La</w:t>
      </w:r>
      <w:r w:rsidR="00F2134C" w:rsidRPr="003C29BC">
        <w:rPr>
          <w:rFonts w:eastAsia="SimSun"/>
          <w:lang w:eastAsia="zh-CN"/>
        </w:rPr>
        <w:t xml:space="preserve"> COI poss</w:t>
      </w:r>
      <w:r w:rsidR="00D412EC" w:rsidRPr="003C29BC">
        <w:rPr>
          <w:rFonts w:eastAsia="SimSun"/>
          <w:lang w:eastAsia="zh-CN"/>
        </w:rPr>
        <w:t>é</w:t>
      </w:r>
      <w:r w:rsidR="00F2134C" w:rsidRPr="003C29BC">
        <w:rPr>
          <w:rFonts w:eastAsia="SimSun"/>
          <w:lang w:eastAsia="zh-CN"/>
        </w:rPr>
        <w:t>d</w:t>
      </w:r>
      <w:r w:rsidR="00D412EC" w:rsidRPr="003C29BC">
        <w:rPr>
          <w:rFonts w:eastAsia="SimSun"/>
          <w:lang w:eastAsia="zh-CN"/>
        </w:rPr>
        <w:t>ant</w:t>
      </w:r>
      <w:r w:rsidR="00F2134C" w:rsidRPr="003C29BC">
        <w:rPr>
          <w:rFonts w:eastAsia="SimSun"/>
          <w:lang w:eastAsia="zh-CN"/>
        </w:rPr>
        <w:t xml:space="preserve"> une expertise technique reconnue dans plusieurs domaines intéressant l</w:t>
      </w:r>
      <w:r w:rsidR="00577D76" w:rsidRPr="003C29BC">
        <w:rPr>
          <w:rFonts w:eastAsia="SimSun"/>
          <w:lang w:eastAsia="zh-CN"/>
        </w:rPr>
        <w:t>’</w:t>
      </w:r>
      <w:r w:rsidR="00F2134C" w:rsidRPr="003C29BC">
        <w:rPr>
          <w:rFonts w:eastAsia="SimSun"/>
          <w:lang w:eastAsia="zh-CN"/>
        </w:rPr>
        <w:t xml:space="preserve">accord, </w:t>
      </w:r>
      <w:r w:rsidR="00C460F3" w:rsidRPr="003C29BC">
        <w:rPr>
          <w:rFonts w:eastAsia="SimSun"/>
          <w:lang w:eastAsia="zh-CN"/>
        </w:rPr>
        <w:t xml:space="preserve">notamment </w:t>
      </w:r>
      <w:r w:rsidR="001B2041" w:rsidRPr="003C29BC">
        <w:rPr>
          <w:rFonts w:eastAsia="SimSun"/>
          <w:lang w:eastAsia="zh-CN"/>
        </w:rPr>
        <w:t>l</w:t>
      </w:r>
      <w:r w:rsidR="00C460F3" w:rsidRPr="003C29BC">
        <w:rPr>
          <w:rFonts w:eastAsia="SimSun"/>
          <w:lang w:eastAsia="zh-CN"/>
        </w:rPr>
        <w:t>e</w:t>
      </w:r>
      <w:r w:rsidR="00F2134C" w:rsidRPr="003C29BC">
        <w:rPr>
          <w:rFonts w:eastAsia="SimSun"/>
          <w:lang w:eastAsia="zh-CN"/>
        </w:rPr>
        <w:t xml:space="preserve"> </w:t>
      </w:r>
      <w:r w:rsidR="00BC4BD0" w:rsidRPr="003C29BC">
        <w:rPr>
          <w:rFonts w:eastAsia="SimSun"/>
          <w:lang w:eastAsia="zh-CN"/>
        </w:rPr>
        <w:t xml:space="preserve">développement des capacités et </w:t>
      </w:r>
      <w:r w:rsidR="001B2041" w:rsidRPr="003C29BC">
        <w:rPr>
          <w:rFonts w:eastAsia="SimSun"/>
          <w:lang w:eastAsia="zh-CN"/>
        </w:rPr>
        <w:t>l</w:t>
      </w:r>
      <w:r w:rsidR="00BC4BD0" w:rsidRPr="003C29BC">
        <w:rPr>
          <w:rFonts w:eastAsia="SimSun"/>
          <w:lang w:eastAsia="zh-CN"/>
        </w:rPr>
        <w:t>e partage de données, cette démarche représente pour elle une autre occasion importante d</w:t>
      </w:r>
      <w:r w:rsidR="00577D76" w:rsidRPr="003C29BC">
        <w:rPr>
          <w:rFonts w:eastAsia="SimSun"/>
          <w:lang w:eastAsia="zh-CN"/>
        </w:rPr>
        <w:t>’</w:t>
      </w:r>
      <w:r w:rsidR="00BC4BD0" w:rsidRPr="003C29BC">
        <w:rPr>
          <w:rFonts w:eastAsia="SimSun"/>
          <w:lang w:eastAsia="zh-CN"/>
        </w:rPr>
        <w:t xml:space="preserve">apporter une contribution stratégique au sein du système des </w:t>
      </w:r>
      <w:r w:rsidR="00172412" w:rsidRPr="003C29BC">
        <w:rPr>
          <w:rFonts w:eastAsia="SimSun"/>
          <w:lang w:eastAsia="zh-CN"/>
        </w:rPr>
        <w:t>Nations Unies</w:t>
      </w:r>
      <w:r w:rsidR="00BC4BD0" w:rsidRPr="003C29BC">
        <w:rPr>
          <w:rFonts w:eastAsia="SimSun"/>
          <w:lang w:eastAsia="zh-CN"/>
        </w:rPr>
        <w:t xml:space="preserve">, </w:t>
      </w:r>
      <w:r w:rsidR="00DA22B1" w:rsidRPr="003C29BC">
        <w:rPr>
          <w:rFonts w:eastAsia="SimSun"/>
          <w:lang w:eastAsia="zh-CN"/>
        </w:rPr>
        <w:t>et elle pourrait en fa</w:t>
      </w:r>
      <w:r w:rsidR="00DA22B1" w:rsidRPr="001D5AE1">
        <w:rPr>
          <w:rFonts w:eastAsia="SimSun"/>
          <w:lang w:eastAsia="zh-CN"/>
        </w:rPr>
        <w:t>ire</w:t>
      </w:r>
      <w:r w:rsidR="00BC4BD0" w:rsidRPr="001D5AE1">
        <w:rPr>
          <w:rFonts w:eastAsia="SimSun"/>
          <w:lang w:eastAsia="zh-CN"/>
        </w:rPr>
        <w:t xml:space="preserve"> plus avec des ressources suffisantes.</w:t>
      </w:r>
    </w:p>
    <w:p w14:paraId="05115D63" w14:textId="6E56FD33" w:rsidR="00BC4BD0" w:rsidRPr="001D5AE1" w:rsidRDefault="00145259" w:rsidP="009957F6">
      <w:pPr>
        <w:pStyle w:val="Marge"/>
        <w:rPr>
          <w:rFonts w:eastAsia="SimSun" w:cs="Arial"/>
          <w:szCs w:val="22"/>
          <w:lang w:eastAsia="zh-CN"/>
        </w:rPr>
      </w:pPr>
      <w:r w:rsidRPr="001D5AE1">
        <w:rPr>
          <w:rFonts w:eastAsia="SimSun" w:cs="Arial"/>
          <w:szCs w:val="22"/>
          <w:lang w:eastAsia="zh-CN"/>
        </w:rPr>
        <w:t>11.</w:t>
      </w:r>
      <w:r w:rsidRPr="001D5AE1">
        <w:rPr>
          <w:rFonts w:eastAsia="SimSun" w:cs="Arial"/>
          <w:szCs w:val="22"/>
          <w:lang w:eastAsia="zh-CN"/>
        </w:rPr>
        <w:tab/>
      </w:r>
      <w:r w:rsidR="00BC4BD0" w:rsidRPr="001D5AE1">
        <w:rPr>
          <w:rFonts w:eastAsia="SimSun" w:cs="Arial"/>
          <w:szCs w:val="22"/>
          <w:lang w:eastAsia="zh-CN"/>
        </w:rPr>
        <w:t>Troisièmement, le Groupe de haut niveau pour une économie océanique durable offre également des possibilités à la COI. Ce groupe a été lancé par 14 États dans le but d</w:t>
      </w:r>
      <w:r w:rsidR="00577D76" w:rsidRPr="001D5AE1">
        <w:rPr>
          <w:rFonts w:eastAsia="SimSun" w:cs="Arial"/>
          <w:szCs w:val="22"/>
          <w:lang w:eastAsia="zh-CN"/>
        </w:rPr>
        <w:t>’</w:t>
      </w:r>
      <w:r w:rsidR="00BC4BD0" w:rsidRPr="001D5AE1">
        <w:rPr>
          <w:rFonts w:eastAsia="SimSun" w:cs="Arial"/>
          <w:szCs w:val="22"/>
          <w:lang w:eastAsia="zh-CN"/>
        </w:rPr>
        <w:t xml:space="preserve">élaborer des initiatives stratégiques en dehors du processus habituel des </w:t>
      </w:r>
      <w:r w:rsidR="00172412" w:rsidRPr="001D5AE1">
        <w:rPr>
          <w:rFonts w:eastAsia="SimSun" w:cs="Arial"/>
          <w:szCs w:val="22"/>
          <w:lang w:eastAsia="zh-CN"/>
        </w:rPr>
        <w:t>Nations Unies</w:t>
      </w:r>
      <w:r w:rsidR="00BC4BD0" w:rsidRPr="001D5AE1">
        <w:rPr>
          <w:rFonts w:eastAsia="SimSun" w:cs="Arial"/>
          <w:szCs w:val="22"/>
          <w:lang w:eastAsia="zh-CN"/>
        </w:rPr>
        <w:t>. L</w:t>
      </w:r>
      <w:r w:rsidR="00577D76" w:rsidRPr="001D5AE1">
        <w:rPr>
          <w:rFonts w:eastAsia="SimSun" w:cs="Arial"/>
          <w:szCs w:val="22"/>
          <w:lang w:eastAsia="zh-CN"/>
        </w:rPr>
        <w:t>’</w:t>
      </w:r>
      <w:r w:rsidR="00BC4BD0" w:rsidRPr="001D5AE1">
        <w:rPr>
          <w:rFonts w:eastAsia="SimSun" w:cs="Arial"/>
          <w:szCs w:val="22"/>
          <w:lang w:eastAsia="zh-CN"/>
        </w:rPr>
        <w:t>objectif global du Groupe, qui s</w:t>
      </w:r>
      <w:r w:rsidR="00577D76" w:rsidRPr="001D5AE1">
        <w:rPr>
          <w:rFonts w:eastAsia="SimSun" w:cs="Arial"/>
          <w:szCs w:val="22"/>
          <w:lang w:eastAsia="zh-CN"/>
        </w:rPr>
        <w:t>’</w:t>
      </w:r>
      <w:r w:rsidR="00BC4BD0" w:rsidRPr="001D5AE1">
        <w:rPr>
          <w:rFonts w:eastAsia="SimSun" w:cs="Arial"/>
          <w:szCs w:val="22"/>
          <w:lang w:eastAsia="zh-CN"/>
        </w:rPr>
        <w:t>articule autour des cinq thèmes de la santé, de la prospérité, des financements, de l</w:t>
      </w:r>
      <w:r w:rsidR="00577D76" w:rsidRPr="001D5AE1">
        <w:rPr>
          <w:rFonts w:eastAsia="SimSun" w:cs="Arial"/>
          <w:szCs w:val="22"/>
          <w:lang w:eastAsia="zh-CN"/>
        </w:rPr>
        <w:t>’</w:t>
      </w:r>
      <w:r w:rsidR="00BC4BD0" w:rsidRPr="001D5AE1">
        <w:rPr>
          <w:rFonts w:eastAsia="SimSun" w:cs="Arial"/>
          <w:szCs w:val="22"/>
          <w:lang w:eastAsia="zh-CN"/>
        </w:rPr>
        <w:t>équité et de la connaissance et qui compte désorm</w:t>
      </w:r>
      <w:r w:rsidR="00BC4BD0" w:rsidRPr="003C29BC">
        <w:rPr>
          <w:rFonts w:eastAsia="SimSun" w:cs="Arial"/>
          <w:szCs w:val="22"/>
          <w:lang w:eastAsia="zh-CN"/>
        </w:rPr>
        <w:t>ais 1</w:t>
      </w:r>
      <w:r w:rsidR="0028201A" w:rsidRPr="003C29BC">
        <w:rPr>
          <w:rFonts w:eastAsia="SimSun" w:cs="Arial"/>
          <w:szCs w:val="22"/>
          <w:lang w:eastAsia="zh-CN"/>
        </w:rPr>
        <w:t>7</w:t>
      </w:r>
      <w:r w:rsidR="00BC4BD0" w:rsidRPr="003C29BC">
        <w:rPr>
          <w:rFonts w:eastAsia="SimSun" w:cs="Arial"/>
          <w:szCs w:val="22"/>
          <w:lang w:eastAsia="zh-CN"/>
        </w:rPr>
        <w:t> membres, est</w:t>
      </w:r>
      <w:r w:rsidR="00BC4BD0" w:rsidRPr="001D5AE1">
        <w:rPr>
          <w:rFonts w:eastAsia="SimSun" w:cs="Arial"/>
          <w:szCs w:val="22"/>
          <w:lang w:eastAsia="zh-CN"/>
        </w:rPr>
        <w:t xml:space="preserve"> de resserrer les liens entre les sciences, les politiques et les actions concrètes. Le Groupe travaille à une approche visant à proposer des plans océaniques durables pour les zones économiques exclusives (ZEE) de ses États membres d</w:t>
      </w:r>
      <w:r w:rsidR="00577D76" w:rsidRPr="001D5AE1">
        <w:rPr>
          <w:rFonts w:eastAsia="SimSun" w:cs="Arial"/>
          <w:szCs w:val="22"/>
          <w:lang w:eastAsia="zh-CN"/>
        </w:rPr>
        <w:t>’</w:t>
      </w:r>
      <w:r w:rsidR="00BC4BD0" w:rsidRPr="001D5AE1">
        <w:rPr>
          <w:rFonts w:eastAsia="SimSun" w:cs="Arial"/>
          <w:szCs w:val="22"/>
          <w:lang w:eastAsia="zh-CN"/>
        </w:rPr>
        <w:t>ici</w:t>
      </w:r>
      <w:r w:rsidR="00172412" w:rsidRPr="001D5AE1">
        <w:rPr>
          <w:rFonts w:eastAsia="SimSun" w:cs="Arial"/>
          <w:szCs w:val="22"/>
          <w:lang w:eastAsia="zh-CN"/>
        </w:rPr>
        <w:t xml:space="preserve"> à</w:t>
      </w:r>
      <w:r w:rsidR="00BC4BD0" w:rsidRPr="001D5AE1">
        <w:rPr>
          <w:rFonts w:eastAsia="SimSun" w:cs="Arial"/>
          <w:szCs w:val="22"/>
          <w:lang w:eastAsia="zh-CN"/>
        </w:rPr>
        <w:t xml:space="preserve"> 2025 et </w:t>
      </w:r>
      <w:r w:rsidR="00DA22B1" w:rsidRPr="001D5AE1">
        <w:rPr>
          <w:rFonts w:eastAsia="SimSun" w:cs="Arial"/>
          <w:szCs w:val="22"/>
          <w:lang w:eastAsia="zh-CN"/>
        </w:rPr>
        <w:t>vise</w:t>
      </w:r>
      <w:r w:rsidR="00BC4BD0" w:rsidRPr="001D5AE1">
        <w:rPr>
          <w:rFonts w:eastAsia="SimSun" w:cs="Arial"/>
          <w:szCs w:val="22"/>
          <w:lang w:eastAsia="zh-CN"/>
        </w:rPr>
        <w:t xml:space="preserve"> à rallier l</w:t>
      </w:r>
      <w:r w:rsidR="00577D76" w:rsidRPr="001D5AE1">
        <w:rPr>
          <w:rFonts w:eastAsia="SimSun" w:cs="Arial"/>
          <w:szCs w:val="22"/>
          <w:lang w:eastAsia="zh-CN"/>
        </w:rPr>
        <w:t>’</w:t>
      </w:r>
      <w:r w:rsidR="00BC4BD0" w:rsidRPr="001D5AE1">
        <w:rPr>
          <w:rFonts w:eastAsia="SimSun" w:cs="Arial"/>
          <w:szCs w:val="22"/>
          <w:lang w:eastAsia="zh-CN"/>
        </w:rPr>
        <w:t>engagement de tous les États côtiers et océaniques afin que d</w:t>
      </w:r>
      <w:r w:rsidR="00577D76" w:rsidRPr="001D5AE1">
        <w:rPr>
          <w:rFonts w:eastAsia="SimSun" w:cs="Arial"/>
          <w:szCs w:val="22"/>
          <w:lang w:eastAsia="zh-CN"/>
        </w:rPr>
        <w:t>’</w:t>
      </w:r>
      <w:r w:rsidR="00BC4BD0" w:rsidRPr="001D5AE1">
        <w:rPr>
          <w:rFonts w:eastAsia="SimSun" w:cs="Arial"/>
          <w:szCs w:val="22"/>
          <w:lang w:eastAsia="zh-CN"/>
        </w:rPr>
        <w:t xml:space="preserve">ici </w:t>
      </w:r>
      <w:r w:rsidR="00172412" w:rsidRPr="001D5AE1">
        <w:rPr>
          <w:rFonts w:eastAsia="SimSun" w:cs="Arial"/>
          <w:szCs w:val="22"/>
          <w:lang w:eastAsia="zh-CN"/>
        </w:rPr>
        <w:t xml:space="preserve">à </w:t>
      </w:r>
      <w:r w:rsidR="00BC4BD0" w:rsidRPr="001D5AE1">
        <w:rPr>
          <w:rFonts w:eastAsia="SimSun" w:cs="Arial"/>
          <w:szCs w:val="22"/>
          <w:lang w:eastAsia="zh-CN"/>
        </w:rPr>
        <w:t>2030, toutes les zones océaniques de juridiction nationale soient couvertes. En décembre 2021, une coalition d</w:t>
      </w:r>
      <w:r w:rsidR="00577D76" w:rsidRPr="001D5AE1">
        <w:rPr>
          <w:rFonts w:eastAsia="SimSun" w:cs="Arial"/>
          <w:szCs w:val="22"/>
          <w:lang w:eastAsia="zh-CN"/>
        </w:rPr>
        <w:t>’</w:t>
      </w:r>
      <w:r w:rsidR="00BC4BD0" w:rsidRPr="001D5AE1">
        <w:rPr>
          <w:rFonts w:eastAsia="SimSun" w:cs="Arial"/>
          <w:szCs w:val="22"/>
          <w:lang w:eastAsia="zh-CN"/>
        </w:rPr>
        <w:t>action multipartenaire issue du Groupe, à laquelle la COI participe activement, a publié un document d</w:t>
      </w:r>
      <w:r w:rsidR="00577D76" w:rsidRPr="001D5AE1">
        <w:rPr>
          <w:rFonts w:eastAsia="SimSun" w:cs="Arial"/>
          <w:szCs w:val="22"/>
          <w:lang w:eastAsia="zh-CN"/>
        </w:rPr>
        <w:t>’</w:t>
      </w:r>
      <w:r w:rsidR="00BC4BD0" w:rsidRPr="001D5AE1">
        <w:rPr>
          <w:rFonts w:eastAsia="SimSun" w:cs="Arial"/>
          <w:szCs w:val="22"/>
          <w:lang w:eastAsia="zh-CN"/>
        </w:rPr>
        <w:t>orientation sur les plans océaniques durables, qui traite des interactions entre les sciences, la planification et les financements.</w:t>
      </w:r>
    </w:p>
    <w:p w14:paraId="063864BA" w14:textId="7A14CEFD" w:rsidR="00BC4BD0" w:rsidRPr="001D5AE1" w:rsidRDefault="00145259" w:rsidP="009957F6">
      <w:pPr>
        <w:pStyle w:val="Marge"/>
        <w:rPr>
          <w:rFonts w:eastAsia="SimSun" w:cs="Arial"/>
          <w:szCs w:val="22"/>
          <w:lang w:eastAsia="zh-CN"/>
        </w:rPr>
      </w:pPr>
      <w:r w:rsidRPr="001D5AE1">
        <w:rPr>
          <w:rFonts w:eastAsia="SimSun" w:cs="Arial"/>
          <w:szCs w:val="22"/>
          <w:lang w:eastAsia="zh-CN"/>
        </w:rPr>
        <w:t>12.</w:t>
      </w:r>
      <w:r w:rsidRPr="001D5AE1">
        <w:rPr>
          <w:rFonts w:eastAsia="SimSun" w:cs="Arial"/>
          <w:szCs w:val="22"/>
          <w:lang w:eastAsia="zh-CN"/>
        </w:rPr>
        <w:tab/>
      </w:r>
      <w:r w:rsidR="00BC4BD0" w:rsidRPr="001D5AE1">
        <w:rPr>
          <w:rFonts w:eastAsia="SimSun" w:cs="Arial"/>
          <w:spacing w:val="-2"/>
          <w:szCs w:val="22"/>
          <w:lang w:eastAsia="zh-CN"/>
        </w:rPr>
        <w:t>Les liens étroits entre les plans océaniques durables et la PEM, pour laquelle la COI dispose déjà d</w:t>
      </w:r>
      <w:r w:rsidR="00577D76" w:rsidRPr="001D5AE1">
        <w:rPr>
          <w:rFonts w:eastAsia="SimSun" w:cs="Arial"/>
          <w:spacing w:val="-2"/>
          <w:szCs w:val="22"/>
          <w:lang w:eastAsia="zh-CN"/>
        </w:rPr>
        <w:t>’</w:t>
      </w:r>
      <w:r w:rsidR="00BC4BD0" w:rsidRPr="001D5AE1">
        <w:rPr>
          <w:rFonts w:eastAsia="SimSun" w:cs="Arial"/>
          <w:spacing w:val="-2"/>
          <w:szCs w:val="22"/>
          <w:lang w:eastAsia="zh-CN"/>
        </w:rPr>
        <w:t>une expérience unique, lui fournissent l</w:t>
      </w:r>
      <w:r w:rsidR="00577D76" w:rsidRPr="001D5AE1">
        <w:rPr>
          <w:rFonts w:eastAsia="SimSun" w:cs="Arial"/>
          <w:spacing w:val="-2"/>
          <w:szCs w:val="22"/>
          <w:lang w:eastAsia="zh-CN"/>
        </w:rPr>
        <w:t>’</w:t>
      </w:r>
      <w:r w:rsidR="00BC4BD0" w:rsidRPr="001D5AE1">
        <w:rPr>
          <w:rFonts w:eastAsia="SimSun" w:cs="Arial"/>
          <w:spacing w:val="-2"/>
          <w:szCs w:val="22"/>
          <w:lang w:eastAsia="zh-CN"/>
        </w:rPr>
        <w:t>occasion idéale de s</w:t>
      </w:r>
      <w:r w:rsidR="00577D76" w:rsidRPr="001D5AE1">
        <w:rPr>
          <w:rFonts w:eastAsia="SimSun" w:cs="Arial"/>
          <w:spacing w:val="-2"/>
          <w:szCs w:val="22"/>
          <w:lang w:eastAsia="zh-CN"/>
        </w:rPr>
        <w:t>’</w:t>
      </w:r>
      <w:r w:rsidR="00BC4BD0" w:rsidRPr="001D5AE1">
        <w:rPr>
          <w:rFonts w:eastAsia="SimSun" w:cs="Arial"/>
          <w:spacing w:val="-2"/>
          <w:szCs w:val="22"/>
          <w:lang w:eastAsia="zh-CN"/>
        </w:rPr>
        <w:t xml:space="preserve">associer au Groupe, notamment en concevant et en chapeautant un programme mondial de la Décennie pour atteindre les objectifs du Groupe en matière de PEM. En nouant des partenariats avec des organisations tierces (car elle ne peut pas tout assumer seule), la COI pourrait aider à coordonner </w:t>
      </w:r>
      <w:r w:rsidR="00BC4BD0" w:rsidRPr="003C29BC">
        <w:rPr>
          <w:rFonts w:eastAsia="SimSun" w:cs="Arial"/>
          <w:spacing w:val="-2"/>
          <w:szCs w:val="22"/>
          <w:lang w:eastAsia="zh-CN"/>
        </w:rPr>
        <w:t>les connaissances pour le Groupe et soutenir l</w:t>
      </w:r>
      <w:r w:rsidR="00577D76" w:rsidRPr="003C29BC">
        <w:rPr>
          <w:rFonts w:eastAsia="SimSun" w:cs="Arial"/>
          <w:spacing w:val="-2"/>
          <w:szCs w:val="22"/>
          <w:lang w:eastAsia="zh-CN"/>
        </w:rPr>
        <w:t>’</w:t>
      </w:r>
      <w:r w:rsidR="00BC4BD0" w:rsidRPr="003C29BC">
        <w:rPr>
          <w:rFonts w:eastAsia="SimSun" w:cs="Arial"/>
          <w:spacing w:val="-2"/>
          <w:szCs w:val="22"/>
          <w:lang w:eastAsia="zh-CN"/>
        </w:rPr>
        <w:t>expansion des travaux de celui-ci, au-delà des ZEE des 1</w:t>
      </w:r>
      <w:r w:rsidR="0028201A" w:rsidRPr="003C29BC">
        <w:rPr>
          <w:rFonts w:eastAsia="SimSun" w:cs="Arial"/>
          <w:spacing w:val="-2"/>
          <w:szCs w:val="22"/>
          <w:lang w:eastAsia="zh-CN"/>
        </w:rPr>
        <w:t>7</w:t>
      </w:r>
      <w:r w:rsidR="00BC4BD0" w:rsidRPr="003C29BC">
        <w:rPr>
          <w:rFonts w:eastAsia="SimSun" w:cs="Arial"/>
          <w:spacing w:val="-2"/>
          <w:szCs w:val="22"/>
          <w:lang w:eastAsia="zh-CN"/>
        </w:rPr>
        <w:t> pays membres, à d</w:t>
      </w:r>
      <w:r w:rsidR="00577D76" w:rsidRPr="003C29BC">
        <w:rPr>
          <w:rFonts w:eastAsia="SimSun" w:cs="Arial"/>
          <w:spacing w:val="-2"/>
          <w:szCs w:val="22"/>
          <w:lang w:eastAsia="zh-CN"/>
        </w:rPr>
        <w:t>’</w:t>
      </w:r>
      <w:r w:rsidR="00BC4BD0" w:rsidRPr="003C29BC">
        <w:rPr>
          <w:rFonts w:eastAsia="SimSun" w:cs="Arial"/>
          <w:spacing w:val="-2"/>
          <w:szCs w:val="22"/>
          <w:lang w:eastAsia="zh-CN"/>
        </w:rPr>
        <w:t>autres parties des océans (y compris éventuellement aux zones ne relevant pas de la juridiction</w:t>
      </w:r>
      <w:r w:rsidR="00BC4BD0" w:rsidRPr="001D5AE1">
        <w:rPr>
          <w:rFonts w:eastAsia="SimSun" w:cs="Arial"/>
          <w:spacing w:val="-2"/>
          <w:szCs w:val="22"/>
          <w:lang w:eastAsia="zh-CN"/>
        </w:rPr>
        <w:t xml:space="preserve"> nationale). Cette démarche pourrait aussi permettre de générer des revenus.</w:t>
      </w:r>
    </w:p>
    <w:p w14:paraId="3C7CEB2B" w14:textId="436BA590" w:rsidR="00BC4BD0" w:rsidRPr="001D5AE1" w:rsidRDefault="00145259" w:rsidP="009957F6">
      <w:pPr>
        <w:pStyle w:val="Marge"/>
        <w:rPr>
          <w:rFonts w:eastAsia="SimSun" w:cs="Arial"/>
          <w:szCs w:val="22"/>
          <w:lang w:eastAsia="zh-CN"/>
        </w:rPr>
      </w:pPr>
      <w:r w:rsidRPr="001D5AE1">
        <w:rPr>
          <w:rFonts w:eastAsia="SimSun" w:cs="Arial"/>
          <w:szCs w:val="22"/>
          <w:lang w:eastAsia="zh-CN"/>
        </w:rPr>
        <w:t>13.</w:t>
      </w:r>
      <w:r w:rsidRPr="001D5AE1">
        <w:rPr>
          <w:rFonts w:eastAsia="SimSun" w:cs="Arial"/>
          <w:szCs w:val="22"/>
          <w:lang w:eastAsia="zh-CN"/>
        </w:rPr>
        <w:tab/>
      </w:r>
      <w:r w:rsidR="00BC4BD0" w:rsidRPr="001D5AE1">
        <w:rPr>
          <w:rFonts w:eastAsia="SimSun" w:cs="Arial"/>
          <w:szCs w:val="22"/>
          <w:lang w:eastAsia="zh-CN"/>
        </w:rPr>
        <w:t>Quatrièmement, la COI pourrait contribuer à améliorer la quantification et la surveillance des effets des activités humaines sur les océans. Pour y parvenir, il serait par exemple possible d</w:t>
      </w:r>
      <w:r w:rsidR="00577D76" w:rsidRPr="001D5AE1">
        <w:rPr>
          <w:rFonts w:eastAsia="SimSun" w:cs="Arial"/>
          <w:szCs w:val="22"/>
          <w:lang w:eastAsia="zh-CN"/>
        </w:rPr>
        <w:t>’</w:t>
      </w:r>
      <w:r w:rsidR="00BC4BD0" w:rsidRPr="001D5AE1">
        <w:rPr>
          <w:rFonts w:eastAsia="SimSun" w:cs="Arial"/>
          <w:szCs w:val="22"/>
          <w:lang w:eastAsia="zh-CN"/>
        </w:rPr>
        <w:t>utiliser le concept de variables océaniques essentielles et de favoriser l</w:t>
      </w:r>
      <w:r w:rsidR="00577D76" w:rsidRPr="001D5AE1">
        <w:rPr>
          <w:rFonts w:eastAsia="SimSun" w:cs="Arial"/>
          <w:szCs w:val="22"/>
          <w:lang w:eastAsia="zh-CN"/>
        </w:rPr>
        <w:t>’</w:t>
      </w:r>
      <w:r w:rsidR="00BC4BD0" w:rsidRPr="001D5AE1">
        <w:rPr>
          <w:rFonts w:eastAsia="SimSun" w:cs="Arial"/>
          <w:szCs w:val="22"/>
          <w:lang w:eastAsia="zh-CN"/>
        </w:rPr>
        <w:t>élaboration d</w:t>
      </w:r>
      <w:r w:rsidR="00577D76" w:rsidRPr="001D5AE1">
        <w:rPr>
          <w:rFonts w:eastAsia="SimSun" w:cs="Arial"/>
          <w:szCs w:val="22"/>
          <w:lang w:eastAsia="zh-CN"/>
        </w:rPr>
        <w:t>’</w:t>
      </w:r>
      <w:r w:rsidR="00BC4BD0" w:rsidRPr="001D5AE1">
        <w:rPr>
          <w:rFonts w:eastAsia="SimSun" w:cs="Arial"/>
          <w:szCs w:val="22"/>
          <w:lang w:eastAsia="zh-CN"/>
        </w:rPr>
        <w:t>un ensemble de telles variables axées sur l</w:t>
      </w:r>
      <w:r w:rsidR="00577D76" w:rsidRPr="001D5AE1">
        <w:rPr>
          <w:rFonts w:eastAsia="SimSun" w:cs="Arial"/>
          <w:szCs w:val="22"/>
          <w:lang w:eastAsia="zh-CN"/>
        </w:rPr>
        <w:t>’</w:t>
      </w:r>
      <w:r w:rsidR="00BC4BD0" w:rsidRPr="001D5AE1">
        <w:rPr>
          <w:rFonts w:eastAsia="SimSun" w:cs="Arial"/>
          <w:szCs w:val="22"/>
          <w:lang w:eastAsia="zh-CN"/>
        </w:rPr>
        <w:t>être humain dans le cadre du Système mondial d</w:t>
      </w:r>
      <w:r w:rsidR="00577D76" w:rsidRPr="001D5AE1">
        <w:rPr>
          <w:rFonts w:eastAsia="SimSun" w:cs="Arial"/>
          <w:szCs w:val="22"/>
          <w:lang w:eastAsia="zh-CN"/>
        </w:rPr>
        <w:t>’</w:t>
      </w:r>
      <w:r w:rsidR="00BC4BD0" w:rsidRPr="001D5AE1">
        <w:rPr>
          <w:rFonts w:eastAsia="SimSun" w:cs="Arial"/>
          <w:szCs w:val="22"/>
          <w:lang w:eastAsia="zh-CN"/>
        </w:rPr>
        <w:t>observati</w:t>
      </w:r>
      <w:r w:rsidR="00BC4BD0" w:rsidRPr="003C29BC">
        <w:rPr>
          <w:rFonts w:eastAsia="SimSun" w:cs="Arial"/>
          <w:szCs w:val="22"/>
          <w:lang w:eastAsia="zh-CN"/>
        </w:rPr>
        <w:t>on de l</w:t>
      </w:r>
      <w:r w:rsidR="00577D76" w:rsidRPr="003C29BC">
        <w:rPr>
          <w:rFonts w:eastAsia="SimSun" w:cs="Arial"/>
          <w:szCs w:val="22"/>
          <w:lang w:eastAsia="zh-CN"/>
        </w:rPr>
        <w:t>’</w:t>
      </w:r>
      <w:r w:rsidR="00BC4BD0" w:rsidRPr="003C29BC">
        <w:rPr>
          <w:rFonts w:eastAsia="SimSun" w:cs="Arial"/>
          <w:szCs w:val="22"/>
          <w:lang w:eastAsia="zh-CN"/>
        </w:rPr>
        <w:t>océan (GOOS) d</w:t>
      </w:r>
      <w:r w:rsidR="00577D76" w:rsidRPr="003C29BC">
        <w:rPr>
          <w:rFonts w:eastAsia="SimSun" w:cs="Arial"/>
          <w:szCs w:val="22"/>
          <w:lang w:eastAsia="zh-CN"/>
        </w:rPr>
        <w:t>’</w:t>
      </w:r>
      <w:r w:rsidR="00BC4BD0" w:rsidRPr="003C29BC">
        <w:rPr>
          <w:rFonts w:eastAsia="SimSun" w:cs="Arial"/>
          <w:szCs w:val="22"/>
          <w:lang w:eastAsia="zh-CN"/>
        </w:rPr>
        <w:t xml:space="preserve">ici </w:t>
      </w:r>
      <w:r w:rsidR="00172412" w:rsidRPr="003C29BC">
        <w:rPr>
          <w:rFonts w:eastAsia="SimSun" w:cs="Arial"/>
          <w:szCs w:val="22"/>
          <w:lang w:eastAsia="zh-CN"/>
        </w:rPr>
        <w:t>à </w:t>
      </w:r>
      <w:r w:rsidR="00BC4BD0" w:rsidRPr="003C29BC">
        <w:rPr>
          <w:rFonts w:eastAsia="SimSun" w:cs="Arial"/>
          <w:szCs w:val="22"/>
          <w:lang w:eastAsia="zh-CN"/>
        </w:rPr>
        <w:t>2030. Là encore, la COI serait un excellent chef de file pour cette activité, en faisant preuve d</w:t>
      </w:r>
      <w:r w:rsidR="00577D76" w:rsidRPr="003C29BC">
        <w:rPr>
          <w:rFonts w:eastAsia="SimSun" w:cs="Arial"/>
          <w:szCs w:val="22"/>
          <w:lang w:eastAsia="zh-CN"/>
        </w:rPr>
        <w:t>’</w:t>
      </w:r>
      <w:r w:rsidR="00BC4BD0" w:rsidRPr="003C29BC">
        <w:rPr>
          <w:rFonts w:eastAsia="SimSun" w:cs="Arial"/>
          <w:szCs w:val="22"/>
          <w:lang w:eastAsia="zh-CN"/>
        </w:rPr>
        <w:t>esprit d</w:t>
      </w:r>
      <w:r w:rsidR="00577D76" w:rsidRPr="003C29BC">
        <w:rPr>
          <w:rFonts w:eastAsia="SimSun" w:cs="Arial"/>
          <w:szCs w:val="22"/>
          <w:lang w:eastAsia="zh-CN"/>
        </w:rPr>
        <w:t>’</w:t>
      </w:r>
      <w:r w:rsidR="00BC4BD0" w:rsidRPr="003C29BC">
        <w:rPr>
          <w:rFonts w:eastAsia="SimSun" w:cs="Arial"/>
          <w:szCs w:val="22"/>
          <w:lang w:eastAsia="zh-CN"/>
        </w:rPr>
        <w:t>initiative et en regroupant les connaissances sur les océans touchant l</w:t>
      </w:r>
      <w:r w:rsidR="00577D76" w:rsidRPr="003C29BC">
        <w:rPr>
          <w:rFonts w:eastAsia="SimSun" w:cs="Arial"/>
          <w:szCs w:val="22"/>
          <w:lang w:eastAsia="zh-CN"/>
        </w:rPr>
        <w:t>’</w:t>
      </w:r>
      <w:r w:rsidR="00BC4BD0" w:rsidRPr="003C29BC">
        <w:rPr>
          <w:rFonts w:eastAsia="SimSun" w:cs="Arial"/>
          <w:szCs w:val="22"/>
          <w:lang w:eastAsia="zh-CN"/>
        </w:rPr>
        <w:t>être humain afin d</w:t>
      </w:r>
      <w:r w:rsidR="00577D76" w:rsidRPr="003C29BC">
        <w:rPr>
          <w:rFonts w:eastAsia="SimSun" w:cs="Arial"/>
          <w:szCs w:val="22"/>
          <w:lang w:eastAsia="zh-CN"/>
        </w:rPr>
        <w:t>’</w:t>
      </w:r>
      <w:r w:rsidR="00BC4BD0" w:rsidRPr="003C29BC">
        <w:rPr>
          <w:rFonts w:eastAsia="SimSun" w:cs="Arial"/>
          <w:szCs w:val="22"/>
          <w:lang w:eastAsia="zh-CN"/>
        </w:rPr>
        <w:t>établir des indicateurs susceptibles de guider des</w:t>
      </w:r>
      <w:r w:rsidR="00172412" w:rsidRPr="003C29BC">
        <w:rPr>
          <w:rFonts w:eastAsia="SimSun" w:cs="Arial"/>
          <w:szCs w:val="22"/>
          <w:lang w:eastAsia="zh-CN"/>
        </w:rPr>
        <w:t> </w:t>
      </w:r>
      <w:r w:rsidR="00BC4BD0" w:rsidRPr="003C29BC">
        <w:rPr>
          <w:rFonts w:eastAsia="SimSun" w:cs="Arial"/>
          <w:szCs w:val="22"/>
          <w:lang w:eastAsia="zh-CN"/>
        </w:rPr>
        <w:t>politiques océaniques durables. L</w:t>
      </w:r>
      <w:r w:rsidR="00577D76" w:rsidRPr="003C29BC">
        <w:rPr>
          <w:rFonts w:eastAsia="SimSun" w:cs="Arial"/>
          <w:szCs w:val="22"/>
          <w:lang w:eastAsia="zh-CN"/>
        </w:rPr>
        <w:t>’</w:t>
      </w:r>
      <w:r w:rsidR="00BC4BD0" w:rsidRPr="003C29BC">
        <w:rPr>
          <w:rFonts w:eastAsia="SimSun" w:cs="Arial"/>
          <w:szCs w:val="22"/>
          <w:lang w:eastAsia="zh-CN"/>
        </w:rPr>
        <w:t xml:space="preserve">édition préliminaire du </w:t>
      </w:r>
      <w:r w:rsidR="00452C1F" w:rsidRPr="003C29BC">
        <w:rPr>
          <w:rFonts w:eastAsia="SimSun" w:cs="Arial"/>
          <w:szCs w:val="22"/>
          <w:lang w:eastAsia="zh-CN"/>
        </w:rPr>
        <w:t>R</w:t>
      </w:r>
      <w:r w:rsidR="00BC4BD0" w:rsidRPr="003C29BC">
        <w:rPr>
          <w:rFonts w:eastAsia="SimSun" w:cs="Arial"/>
          <w:szCs w:val="22"/>
          <w:lang w:eastAsia="zh-CN"/>
        </w:rPr>
        <w:t>apport sur l</w:t>
      </w:r>
      <w:r w:rsidR="00577D76" w:rsidRPr="003C29BC">
        <w:rPr>
          <w:rFonts w:eastAsia="SimSun" w:cs="Arial"/>
          <w:szCs w:val="22"/>
          <w:lang w:eastAsia="zh-CN"/>
        </w:rPr>
        <w:t>’</w:t>
      </w:r>
      <w:r w:rsidR="00BC4BD0" w:rsidRPr="003C29BC">
        <w:rPr>
          <w:rFonts w:eastAsia="SimSun" w:cs="Arial"/>
          <w:szCs w:val="22"/>
          <w:lang w:eastAsia="zh-CN"/>
        </w:rPr>
        <w:t>état de l</w:t>
      </w:r>
      <w:r w:rsidR="00577D76" w:rsidRPr="003C29BC">
        <w:rPr>
          <w:rFonts w:eastAsia="SimSun" w:cs="Arial"/>
          <w:szCs w:val="22"/>
          <w:lang w:eastAsia="zh-CN"/>
        </w:rPr>
        <w:t>’</w:t>
      </w:r>
      <w:r w:rsidR="00BC4BD0" w:rsidRPr="003C29BC">
        <w:rPr>
          <w:rFonts w:eastAsia="SimSun" w:cs="Arial"/>
          <w:szCs w:val="22"/>
          <w:lang w:eastAsia="zh-CN"/>
        </w:rPr>
        <w:t>océan, en cours de rédaction en</w:t>
      </w:r>
      <w:r w:rsidR="00172412" w:rsidRPr="003C29BC">
        <w:rPr>
          <w:rFonts w:eastAsia="SimSun" w:cs="Arial"/>
          <w:szCs w:val="22"/>
          <w:lang w:eastAsia="zh-CN"/>
        </w:rPr>
        <w:t> </w:t>
      </w:r>
      <w:r w:rsidR="00BC4BD0" w:rsidRPr="003C29BC">
        <w:rPr>
          <w:rFonts w:eastAsia="SimSun" w:cs="Arial"/>
          <w:szCs w:val="22"/>
          <w:lang w:eastAsia="zh-CN"/>
        </w:rPr>
        <w:t>2022, pourrait fournir un support de connaissances faisant autorité pour communiquer les résultats de ces travaux aux États membres ainsi qu</w:t>
      </w:r>
      <w:r w:rsidR="00577D76" w:rsidRPr="003C29BC">
        <w:rPr>
          <w:rFonts w:eastAsia="SimSun" w:cs="Arial"/>
          <w:szCs w:val="22"/>
          <w:lang w:eastAsia="zh-CN"/>
        </w:rPr>
        <w:t>’</w:t>
      </w:r>
      <w:r w:rsidR="00BC4BD0" w:rsidRPr="003C29BC">
        <w:rPr>
          <w:rFonts w:eastAsia="SimSun" w:cs="Arial"/>
          <w:szCs w:val="22"/>
          <w:lang w:eastAsia="zh-CN"/>
        </w:rPr>
        <w:t xml:space="preserve">aux équipes chargées des processus des </w:t>
      </w:r>
      <w:r w:rsidR="00172412" w:rsidRPr="003C29BC">
        <w:rPr>
          <w:rFonts w:eastAsia="SimSun" w:cs="Arial"/>
          <w:szCs w:val="22"/>
          <w:lang w:eastAsia="zh-CN"/>
        </w:rPr>
        <w:t>Nations Unies</w:t>
      </w:r>
      <w:r w:rsidR="00BC4BD0" w:rsidRPr="003C29BC">
        <w:rPr>
          <w:rFonts w:eastAsia="SimSun" w:cs="Arial"/>
          <w:szCs w:val="22"/>
          <w:lang w:eastAsia="zh-CN"/>
        </w:rPr>
        <w:t xml:space="preserve"> concernés, tels que</w:t>
      </w:r>
      <w:r w:rsidR="0028201A" w:rsidRPr="003C29BC">
        <w:rPr>
          <w:rFonts w:eastAsia="SimSun" w:cs="Arial"/>
          <w:szCs w:val="22"/>
          <w:lang w:eastAsia="zh-CN"/>
        </w:rPr>
        <w:t xml:space="preserve"> le troisième cycle et les cycles à venir de</w:t>
      </w:r>
      <w:r w:rsidR="00BC4BD0" w:rsidRPr="003C29BC">
        <w:rPr>
          <w:rFonts w:eastAsia="SimSun" w:cs="Arial"/>
          <w:szCs w:val="22"/>
          <w:lang w:eastAsia="zh-CN"/>
        </w:rPr>
        <w:t xml:space="preserve"> l</w:t>
      </w:r>
      <w:r w:rsidR="00577D76" w:rsidRPr="003C29BC">
        <w:rPr>
          <w:rFonts w:eastAsia="SimSun" w:cs="Arial"/>
          <w:szCs w:val="22"/>
          <w:lang w:eastAsia="zh-CN"/>
        </w:rPr>
        <w:t>’</w:t>
      </w:r>
      <w:r w:rsidR="00BC4BD0" w:rsidRPr="003C29BC">
        <w:rPr>
          <w:rFonts w:eastAsia="SimSun" w:cs="Arial"/>
          <w:szCs w:val="22"/>
          <w:lang w:eastAsia="zh-CN"/>
        </w:rPr>
        <w:t>Évaluation mondiale de l</w:t>
      </w:r>
      <w:r w:rsidR="00577D76" w:rsidRPr="003C29BC">
        <w:rPr>
          <w:rFonts w:eastAsia="SimSun" w:cs="Arial"/>
          <w:szCs w:val="22"/>
          <w:lang w:eastAsia="zh-CN"/>
        </w:rPr>
        <w:t>’</w:t>
      </w:r>
      <w:r w:rsidR="00BC4BD0" w:rsidRPr="003C29BC">
        <w:rPr>
          <w:rFonts w:eastAsia="SimSun" w:cs="Arial"/>
          <w:szCs w:val="22"/>
          <w:lang w:eastAsia="zh-CN"/>
        </w:rPr>
        <w:t>océan.</w:t>
      </w:r>
    </w:p>
    <w:p w14:paraId="1F56A1EC" w14:textId="6840E0DD" w:rsidR="00BC4BD0" w:rsidRPr="001D5AE1" w:rsidRDefault="00145259" w:rsidP="009957F6">
      <w:pPr>
        <w:pStyle w:val="Marge"/>
        <w:rPr>
          <w:rFonts w:eastAsia="SimSun" w:cs="Arial"/>
          <w:szCs w:val="22"/>
          <w:lang w:eastAsia="zh-CN"/>
        </w:rPr>
      </w:pPr>
      <w:r w:rsidRPr="001D5AE1">
        <w:rPr>
          <w:rFonts w:eastAsia="SimSun" w:cs="Arial"/>
          <w:szCs w:val="22"/>
          <w:lang w:eastAsia="zh-CN"/>
        </w:rPr>
        <w:t>14.</w:t>
      </w:r>
      <w:r w:rsidRPr="001D5AE1">
        <w:rPr>
          <w:rFonts w:eastAsia="SimSun" w:cs="Arial"/>
          <w:szCs w:val="22"/>
          <w:lang w:eastAsia="zh-CN"/>
        </w:rPr>
        <w:tab/>
      </w:r>
      <w:r w:rsidR="00BC4BD0" w:rsidRPr="001D5AE1">
        <w:rPr>
          <w:rFonts w:eastAsia="SimSun" w:cs="Arial"/>
          <w:szCs w:val="22"/>
          <w:lang w:eastAsia="zh-CN"/>
        </w:rPr>
        <w:t>Cinquièmement, la COI a la possibilité d</w:t>
      </w:r>
      <w:r w:rsidR="00577D76" w:rsidRPr="001D5AE1">
        <w:rPr>
          <w:rFonts w:eastAsia="SimSun" w:cs="Arial"/>
          <w:szCs w:val="22"/>
          <w:lang w:eastAsia="zh-CN"/>
        </w:rPr>
        <w:t>’</w:t>
      </w:r>
      <w:r w:rsidR="00BC4BD0" w:rsidRPr="001D5AE1">
        <w:rPr>
          <w:rFonts w:eastAsia="SimSun" w:cs="Arial"/>
          <w:szCs w:val="22"/>
          <w:lang w:eastAsia="zh-CN"/>
        </w:rPr>
        <w:t>agir davantage dans le domaine des partenariats mondiaux sur les océans afin que le capital naturel soit pris en compte. La valeur des travaux de la COI sur la PEM gagne désormais en reconnaissance officielle, comme l</w:t>
      </w:r>
      <w:r w:rsidR="00577D76" w:rsidRPr="001D5AE1">
        <w:rPr>
          <w:rFonts w:eastAsia="SimSun" w:cs="Arial"/>
          <w:szCs w:val="22"/>
          <w:lang w:eastAsia="zh-CN"/>
        </w:rPr>
        <w:t>’</w:t>
      </w:r>
      <w:r w:rsidR="00BC4BD0" w:rsidRPr="001D5AE1">
        <w:rPr>
          <w:rFonts w:eastAsia="SimSun" w:cs="Arial"/>
          <w:szCs w:val="22"/>
          <w:lang w:eastAsia="zh-CN"/>
        </w:rPr>
        <w:t>illustre la feuille de route pour l</w:t>
      </w:r>
      <w:r w:rsidR="00577D76" w:rsidRPr="001D5AE1">
        <w:rPr>
          <w:rFonts w:eastAsia="SimSun" w:cs="Arial"/>
          <w:szCs w:val="22"/>
          <w:lang w:eastAsia="zh-CN"/>
        </w:rPr>
        <w:t>’</w:t>
      </w:r>
      <w:r w:rsidR="00BC4BD0" w:rsidRPr="001D5AE1">
        <w:rPr>
          <w:rFonts w:eastAsia="SimSun" w:cs="Arial"/>
          <w:szCs w:val="22"/>
          <w:lang w:eastAsia="zh-CN"/>
        </w:rPr>
        <w:t>intégration des énergies marines renouvelables propres dans la PEM adaptée au changement climatique, qui a été lancée sous l</w:t>
      </w:r>
      <w:r w:rsidR="00577D76" w:rsidRPr="001D5AE1">
        <w:rPr>
          <w:rFonts w:eastAsia="SimSun" w:cs="Arial"/>
          <w:szCs w:val="22"/>
          <w:lang w:eastAsia="zh-CN"/>
        </w:rPr>
        <w:t>’</w:t>
      </w:r>
      <w:r w:rsidR="00BC4BD0" w:rsidRPr="001D5AE1">
        <w:rPr>
          <w:rFonts w:eastAsia="SimSun" w:cs="Arial"/>
          <w:szCs w:val="22"/>
          <w:lang w:eastAsia="zh-CN"/>
        </w:rPr>
        <w:t xml:space="preserve">égide du Pacte mondial des </w:t>
      </w:r>
      <w:r w:rsidR="00172412" w:rsidRPr="001D5AE1">
        <w:rPr>
          <w:rFonts w:eastAsia="SimSun" w:cs="Arial"/>
          <w:szCs w:val="22"/>
          <w:lang w:eastAsia="zh-CN"/>
        </w:rPr>
        <w:t>Nations Unies</w:t>
      </w:r>
      <w:r w:rsidR="00BC4BD0" w:rsidRPr="001D5AE1">
        <w:rPr>
          <w:rFonts w:eastAsia="SimSun" w:cs="Arial"/>
          <w:szCs w:val="22"/>
          <w:lang w:eastAsia="zh-CN"/>
        </w:rPr>
        <w:t>, du Conseil mondial de l</w:t>
      </w:r>
      <w:r w:rsidR="00577D76" w:rsidRPr="001D5AE1">
        <w:rPr>
          <w:rFonts w:eastAsia="SimSun" w:cs="Arial"/>
          <w:szCs w:val="22"/>
          <w:lang w:eastAsia="zh-CN"/>
        </w:rPr>
        <w:t>’</w:t>
      </w:r>
      <w:r w:rsidR="00BC4BD0" w:rsidRPr="001D5AE1">
        <w:rPr>
          <w:rFonts w:eastAsia="SimSun" w:cs="Arial"/>
          <w:szCs w:val="22"/>
          <w:lang w:eastAsia="zh-CN"/>
        </w:rPr>
        <w:t>énergie éolienne et de la COI lors de la 26</w:t>
      </w:r>
      <w:r w:rsidR="00BC4BD0" w:rsidRPr="001D5AE1">
        <w:rPr>
          <w:rFonts w:eastAsia="SimSun" w:cs="Arial"/>
          <w:szCs w:val="22"/>
          <w:vertAlign w:val="superscript"/>
          <w:lang w:eastAsia="zh-CN"/>
        </w:rPr>
        <w:t>e</w:t>
      </w:r>
      <w:r w:rsidR="00BC4BD0" w:rsidRPr="001D5AE1">
        <w:rPr>
          <w:rFonts w:eastAsia="SimSun" w:cs="Arial"/>
          <w:szCs w:val="22"/>
          <w:lang w:eastAsia="zh-CN"/>
        </w:rPr>
        <w:t xml:space="preserve"> session de la Conférence des Parties à la Convention-cadre des </w:t>
      </w:r>
      <w:r w:rsidR="00172412" w:rsidRPr="001D5AE1">
        <w:rPr>
          <w:rFonts w:eastAsia="SimSun" w:cs="Arial"/>
          <w:szCs w:val="22"/>
          <w:lang w:eastAsia="zh-CN"/>
        </w:rPr>
        <w:t>Nations Unies</w:t>
      </w:r>
      <w:r w:rsidR="00BC4BD0" w:rsidRPr="001D5AE1">
        <w:rPr>
          <w:rFonts w:eastAsia="SimSun" w:cs="Arial"/>
          <w:szCs w:val="22"/>
          <w:lang w:eastAsia="zh-CN"/>
        </w:rPr>
        <w:t xml:space="preserve"> sur les changements climatiques, organisée à Glasgow (Royaume-Uni) en novembre 2021.</w:t>
      </w:r>
    </w:p>
    <w:p w14:paraId="598E9148" w14:textId="77777777" w:rsidR="00BC4BD0" w:rsidRPr="001D5AE1" w:rsidRDefault="00BC4BD0" w:rsidP="009957F6">
      <w:pPr>
        <w:keepNext/>
        <w:spacing w:after="240"/>
        <w:jc w:val="both"/>
        <w:rPr>
          <w:rFonts w:eastAsia="SimSun" w:cs="Arial"/>
          <w:i/>
          <w:iCs/>
          <w:color w:val="002060"/>
          <w:szCs w:val="22"/>
          <w:lang w:eastAsia="zh-CN"/>
        </w:rPr>
      </w:pPr>
      <w:r w:rsidRPr="001D5AE1">
        <w:rPr>
          <w:rFonts w:eastAsia="SimSun" w:cs="Arial"/>
          <w:i/>
          <w:iCs/>
          <w:color w:val="002060"/>
          <w:szCs w:val="22"/>
          <w:lang w:eastAsia="zh-CN"/>
        </w:rPr>
        <w:lastRenderedPageBreak/>
        <w:t>Difficultés</w:t>
      </w:r>
    </w:p>
    <w:p w14:paraId="4D6859FC" w14:textId="77B03AFB" w:rsidR="00BC4BD0" w:rsidRPr="001D5AE1" w:rsidRDefault="00145259" w:rsidP="009957F6">
      <w:pPr>
        <w:pStyle w:val="Marge"/>
        <w:rPr>
          <w:rFonts w:eastAsia="SimSun"/>
          <w:lang w:eastAsia="zh-CN"/>
        </w:rPr>
      </w:pPr>
      <w:r w:rsidRPr="001D5AE1">
        <w:rPr>
          <w:rFonts w:eastAsia="SimSun"/>
          <w:lang w:eastAsia="zh-CN"/>
        </w:rPr>
        <w:t>15.</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une des difficultés fondamentales est que, dans la plupart des pays, les sciences océaniques et leur interface avec les politiques ne bénéficient pas d</w:t>
      </w:r>
      <w:r w:rsidR="00577D76" w:rsidRPr="001D5AE1">
        <w:rPr>
          <w:rFonts w:eastAsia="SimSun"/>
          <w:lang w:eastAsia="zh-CN"/>
        </w:rPr>
        <w:t>’</w:t>
      </w:r>
      <w:r w:rsidR="00BC4BD0" w:rsidRPr="001D5AE1">
        <w:rPr>
          <w:rFonts w:eastAsia="SimSun"/>
          <w:lang w:eastAsia="zh-CN"/>
        </w:rPr>
        <w:t>un porte-drapeau ministériel commun et central, puisque les questions relatives aux océans ont historiquement tendance à être dispersées entre de nombreux ministères ou services gouvernementaux. En revanche, d</w:t>
      </w:r>
      <w:r w:rsidR="00577D76" w:rsidRPr="001D5AE1">
        <w:rPr>
          <w:rFonts w:eastAsia="SimSun"/>
          <w:lang w:eastAsia="zh-CN"/>
        </w:rPr>
        <w:t>’</w:t>
      </w:r>
      <w:r w:rsidR="00BC4BD0" w:rsidRPr="001D5AE1">
        <w:rPr>
          <w:rFonts w:eastAsia="SimSun"/>
          <w:lang w:eastAsia="zh-CN"/>
        </w:rPr>
        <w:t>autres organisations du système des Nations unies, telles que l</w:t>
      </w:r>
      <w:r w:rsidR="00577D76" w:rsidRPr="001D5AE1">
        <w:rPr>
          <w:rFonts w:eastAsia="SimSun"/>
          <w:lang w:eastAsia="zh-CN"/>
        </w:rPr>
        <w:t>’</w:t>
      </w:r>
      <w:r w:rsidR="00BC4BD0" w:rsidRPr="001D5AE1">
        <w:rPr>
          <w:rFonts w:eastAsia="SimSun"/>
          <w:lang w:eastAsia="zh-CN"/>
        </w:rPr>
        <w:t xml:space="preserve">Organisation des </w:t>
      </w:r>
      <w:r w:rsidR="00172412" w:rsidRPr="001D5AE1">
        <w:rPr>
          <w:rFonts w:eastAsia="SimSun"/>
          <w:lang w:eastAsia="zh-CN"/>
        </w:rPr>
        <w:t>Nations Unies</w:t>
      </w:r>
      <w:r w:rsidR="00BC4BD0" w:rsidRPr="001D5AE1">
        <w:rPr>
          <w:rFonts w:eastAsia="SimSun"/>
          <w:lang w:eastAsia="zh-CN"/>
        </w:rPr>
        <w:t xml:space="preserve"> pour l</w:t>
      </w:r>
      <w:r w:rsidR="00577D76" w:rsidRPr="001D5AE1">
        <w:rPr>
          <w:rFonts w:eastAsia="SimSun"/>
          <w:lang w:eastAsia="zh-CN"/>
        </w:rPr>
        <w:t>’</w:t>
      </w:r>
      <w:r w:rsidR="00BC4BD0" w:rsidRPr="001D5AE1">
        <w:rPr>
          <w:rFonts w:eastAsia="SimSun"/>
          <w:lang w:eastAsia="zh-CN"/>
        </w:rPr>
        <w:t>alimentation et l</w:t>
      </w:r>
      <w:r w:rsidR="00577D76" w:rsidRPr="001D5AE1">
        <w:rPr>
          <w:rFonts w:eastAsia="SimSun"/>
          <w:lang w:eastAsia="zh-CN"/>
        </w:rPr>
        <w:t>’</w:t>
      </w:r>
      <w:r w:rsidR="00BC4BD0" w:rsidRPr="001D5AE1">
        <w:rPr>
          <w:rFonts w:eastAsia="SimSun"/>
          <w:lang w:eastAsia="zh-CN"/>
        </w:rPr>
        <w:t>agriculture (FAO), l</w:t>
      </w:r>
      <w:r w:rsidR="00577D76" w:rsidRPr="001D5AE1">
        <w:rPr>
          <w:rFonts w:eastAsia="SimSun"/>
          <w:lang w:eastAsia="zh-CN"/>
        </w:rPr>
        <w:t>’</w:t>
      </w:r>
      <w:r w:rsidR="00BC4BD0" w:rsidRPr="001D5AE1">
        <w:rPr>
          <w:rFonts w:eastAsia="SimSun"/>
          <w:lang w:eastAsia="zh-CN"/>
        </w:rPr>
        <w:t>Organisation maritime internationale (OMI) et l</w:t>
      </w:r>
      <w:r w:rsidR="00577D76" w:rsidRPr="001D5AE1">
        <w:rPr>
          <w:rFonts w:eastAsia="SimSun"/>
          <w:lang w:eastAsia="zh-CN"/>
        </w:rPr>
        <w:t>’</w:t>
      </w:r>
      <w:r w:rsidR="00BC4BD0" w:rsidRPr="001D5AE1">
        <w:rPr>
          <w:rFonts w:eastAsia="SimSun"/>
          <w:lang w:eastAsia="zh-CN"/>
        </w:rPr>
        <w:t>Organisation météorologique mondiale (OMM), ont des mandats clairs et des interlocuteurs précis au niveau national. La FAO dialogue avec les Ministères de l</w:t>
      </w:r>
      <w:r w:rsidR="00577D76" w:rsidRPr="001D5AE1">
        <w:rPr>
          <w:rFonts w:eastAsia="SimSun"/>
          <w:lang w:eastAsia="zh-CN"/>
        </w:rPr>
        <w:t>’</w:t>
      </w:r>
      <w:r w:rsidR="00BC4BD0" w:rsidRPr="001D5AE1">
        <w:rPr>
          <w:rFonts w:eastAsia="SimSun"/>
          <w:lang w:eastAsia="zh-CN"/>
        </w:rPr>
        <w:t>agriculture et de la pêche, l</w:t>
      </w:r>
      <w:r w:rsidR="00577D76" w:rsidRPr="001D5AE1">
        <w:rPr>
          <w:rFonts w:eastAsia="SimSun"/>
          <w:lang w:eastAsia="zh-CN"/>
        </w:rPr>
        <w:t>’</w:t>
      </w:r>
      <w:r w:rsidR="00BC4BD0" w:rsidRPr="001D5AE1">
        <w:rPr>
          <w:rFonts w:eastAsia="SimSun"/>
          <w:lang w:eastAsia="zh-CN"/>
        </w:rPr>
        <w:t>OMI avec les Ministères des transports et l</w:t>
      </w:r>
      <w:r w:rsidR="00577D76" w:rsidRPr="001D5AE1">
        <w:rPr>
          <w:rFonts w:eastAsia="SimSun"/>
          <w:lang w:eastAsia="zh-CN"/>
        </w:rPr>
        <w:t>’</w:t>
      </w:r>
      <w:r w:rsidR="00BC4BD0" w:rsidRPr="001D5AE1">
        <w:rPr>
          <w:rFonts w:eastAsia="SimSun"/>
          <w:lang w:eastAsia="zh-CN"/>
        </w:rPr>
        <w:t xml:space="preserve">OMM avec les services météorologiques. Ces instances disposent généralement de budgets conséquents qui leur permettent de financer les organisations du système des </w:t>
      </w:r>
      <w:r w:rsidR="00172412" w:rsidRPr="001D5AE1">
        <w:rPr>
          <w:rFonts w:eastAsia="SimSun"/>
          <w:lang w:eastAsia="zh-CN"/>
        </w:rPr>
        <w:t>Nations Unies</w:t>
      </w:r>
      <w:r w:rsidR="00BC4BD0" w:rsidRPr="001D5AE1">
        <w:rPr>
          <w:rFonts w:eastAsia="SimSun"/>
          <w:lang w:eastAsia="zh-CN"/>
        </w:rPr>
        <w:t>.</w:t>
      </w:r>
    </w:p>
    <w:p w14:paraId="375108CA" w14:textId="79D61D17" w:rsidR="00BC4BD0" w:rsidRPr="001D5AE1" w:rsidRDefault="00145259" w:rsidP="009957F6">
      <w:pPr>
        <w:pStyle w:val="Marge"/>
        <w:rPr>
          <w:rFonts w:eastAsia="SimSun"/>
          <w:lang w:eastAsia="zh-CN"/>
        </w:rPr>
      </w:pPr>
      <w:r w:rsidRPr="001D5AE1">
        <w:rPr>
          <w:rFonts w:eastAsia="SimSun"/>
          <w:lang w:eastAsia="zh-CN"/>
        </w:rPr>
        <w:t>16.</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absence d</w:t>
      </w:r>
      <w:r w:rsidR="00577D76" w:rsidRPr="001D5AE1">
        <w:rPr>
          <w:rFonts w:eastAsia="SimSun"/>
          <w:lang w:eastAsia="zh-CN"/>
        </w:rPr>
        <w:t>’</w:t>
      </w:r>
      <w:r w:rsidR="00BC4BD0" w:rsidRPr="001D5AE1">
        <w:rPr>
          <w:rFonts w:eastAsia="SimSun"/>
          <w:lang w:eastAsia="zh-CN"/>
        </w:rPr>
        <w:t>équivalent clair au sein des gouvernements nationaux compromet directement la capacité de la COI à accéder aux décideurs de haut niveau et aux flux de financement associés. À cet égard, de nombreux représentants des États membres se concentrent sur des aspects particuliers de la « chaîne de valeur des océans », tels que les données et les observations, les sciences ou les aléas océaniques. Cette compartimentation, tout en s</w:t>
      </w:r>
      <w:r w:rsidR="00577D76" w:rsidRPr="001D5AE1">
        <w:rPr>
          <w:rFonts w:eastAsia="SimSun"/>
          <w:lang w:eastAsia="zh-CN"/>
        </w:rPr>
        <w:t>’</w:t>
      </w:r>
      <w:r w:rsidR="00BC4BD0" w:rsidRPr="001D5AE1">
        <w:rPr>
          <w:rFonts w:eastAsia="SimSun"/>
          <w:lang w:eastAsia="zh-CN"/>
        </w:rPr>
        <w:t>accompagnant d</w:t>
      </w:r>
      <w:r w:rsidR="00577D76" w:rsidRPr="001D5AE1">
        <w:rPr>
          <w:rFonts w:eastAsia="SimSun"/>
          <w:lang w:eastAsia="zh-CN"/>
        </w:rPr>
        <w:t>’</w:t>
      </w:r>
      <w:r w:rsidR="00BC4BD0" w:rsidRPr="001D5AE1">
        <w:rPr>
          <w:rFonts w:eastAsia="SimSun"/>
          <w:lang w:eastAsia="zh-CN"/>
        </w:rPr>
        <w:t>une prise en main et d</w:t>
      </w:r>
      <w:r w:rsidR="00577D76" w:rsidRPr="001D5AE1">
        <w:rPr>
          <w:rFonts w:eastAsia="SimSun"/>
          <w:lang w:eastAsia="zh-CN"/>
        </w:rPr>
        <w:t>’</w:t>
      </w:r>
      <w:r w:rsidR="00BC4BD0" w:rsidRPr="001D5AE1">
        <w:rPr>
          <w:rFonts w:eastAsia="SimSun"/>
          <w:lang w:eastAsia="zh-CN"/>
        </w:rPr>
        <w:t>une expertise technique solides, crée parfois des obstacles qui empêchent la Commission de fonctionner de manière optimale.</w:t>
      </w:r>
    </w:p>
    <w:p w14:paraId="3ACB0AF8" w14:textId="6A8DE00E" w:rsidR="00BC4BD0" w:rsidRPr="001D5AE1" w:rsidRDefault="00145259" w:rsidP="009957F6">
      <w:pPr>
        <w:pStyle w:val="Marge"/>
        <w:rPr>
          <w:rFonts w:eastAsia="SimSun"/>
          <w:lang w:eastAsia="zh-CN"/>
        </w:rPr>
      </w:pPr>
      <w:r w:rsidRPr="001D5AE1">
        <w:rPr>
          <w:rFonts w:eastAsia="SimSun"/>
          <w:lang w:eastAsia="zh-CN"/>
        </w:rPr>
        <w:t>17.</w:t>
      </w:r>
      <w:r w:rsidRPr="001D5AE1">
        <w:rPr>
          <w:rFonts w:eastAsia="SimSun"/>
          <w:lang w:eastAsia="zh-CN"/>
        </w:rPr>
        <w:tab/>
      </w:r>
      <w:r w:rsidR="00BC4BD0" w:rsidRPr="001D5AE1">
        <w:rPr>
          <w:rFonts w:eastAsia="SimSun"/>
          <w:spacing w:val="2"/>
          <w:lang w:eastAsia="zh-CN"/>
        </w:rPr>
        <w:t>Pour sa part, la COI doit démontrer plus efficacement à ses États membres l</w:t>
      </w:r>
      <w:r w:rsidR="00577D76" w:rsidRPr="001D5AE1">
        <w:rPr>
          <w:rFonts w:eastAsia="SimSun"/>
          <w:spacing w:val="2"/>
          <w:lang w:eastAsia="zh-CN"/>
        </w:rPr>
        <w:t>’</w:t>
      </w:r>
      <w:r w:rsidR="00BC4BD0" w:rsidRPr="001D5AE1">
        <w:rPr>
          <w:rFonts w:eastAsia="SimSun"/>
          <w:spacing w:val="2"/>
          <w:lang w:eastAsia="zh-CN"/>
        </w:rPr>
        <w:t>intérêt des sciences océaniques pour le développement durable et la valeur qu</w:t>
      </w:r>
      <w:r w:rsidR="00577D76" w:rsidRPr="001D5AE1">
        <w:rPr>
          <w:rFonts w:eastAsia="SimSun"/>
          <w:spacing w:val="2"/>
          <w:lang w:eastAsia="zh-CN"/>
        </w:rPr>
        <w:t>’</w:t>
      </w:r>
      <w:r w:rsidR="00BC4BD0" w:rsidRPr="001D5AE1">
        <w:rPr>
          <w:rFonts w:eastAsia="SimSun"/>
          <w:spacing w:val="2"/>
          <w:lang w:eastAsia="zh-CN"/>
        </w:rPr>
        <w:t>elles peuvent apporter, et ce en promouvant les sciences océaniques indispensables à la réalisation de cet objectif. La Commission occupe un créneau qui consiste à mettre à disposition un mécanisme de coordination international pour encourager et permettre la production de connaissances scientifiques pouvant servir à la prise de décision</w:t>
      </w:r>
      <w:r w:rsidR="00D222B5" w:rsidRPr="001D5AE1">
        <w:rPr>
          <w:rFonts w:eastAsia="SimSun"/>
          <w:spacing w:val="2"/>
          <w:lang w:eastAsia="zh-CN"/>
        </w:rPr>
        <w:t>s</w:t>
      </w:r>
      <w:r w:rsidR="00BC4BD0" w:rsidRPr="001D5AE1">
        <w:rPr>
          <w:rFonts w:eastAsia="SimSun"/>
          <w:spacing w:val="2"/>
          <w:lang w:eastAsia="zh-CN"/>
        </w:rPr>
        <w:t xml:space="preserve"> sur les politiques. Cependant, la COI n</w:t>
      </w:r>
      <w:r w:rsidR="00577D76" w:rsidRPr="001D5AE1">
        <w:rPr>
          <w:rFonts w:eastAsia="SimSun"/>
          <w:spacing w:val="2"/>
          <w:lang w:eastAsia="zh-CN"/>
        </w:rPr>
        <w:t>’</w:t>
      </w:r>
      <w:r w:rsidR="00BC4BD0" w:rsidRPr="001D5AE1">
        <w:rPr>
          <w:rFonts w:eastAsia="SimSun"/>
          <w:spacing w:val="2"/>
          <w:lang w:eastAsia="zh-CN"/>
        </w:rPr>
        <w:t>est pas la seule à occuper ce créneau.</w:t>
      </w:r>
    </w:p>
    <w:p w14:paraId="1A70A0EA" w14:textId="221550F0" w:rsidR="00BC4BD0" w:rsidRPr="001D5AE1" w:rsidRDefault="00145259" w:rsidP="009957F6">
      <w:pPr>
        <w:pStyle w:val="Marge"/>
        <w:rPr>
          <w:rFonts w:eastAsia="SimSun"/>
          <w:lang w:eastAsia="zh-CN"/>
        </w:rPr>
      </w:pPr>
      <w:r w:rsidRPr="001D5AE1">
        <w:rPr>
          <w:rFonts w:eastAsia="SimSun"/>
          <w:lang w:eastAsia="zh-CN"/>
        </w:rPr>
        <w:t>18.</w:t>
      </w:r>
      <w:r w:rsidRPr="001D5AE1">
        <w:rPr>
          <w:rFonts w:eastAsia="SimSun"/>
          <w:lang w:eastAsia="zh-CN"/>
        </w:rPr>
        <w:tab/>
      </w:r>
      <w:r w:rsidR="00BC4BD0" w:rsidRPr="001D5AE1">
        <w:rPr>
          <w:rFonts w:eastAsia="SimSun"/>
          <w:lang w:eastAsia="zh-CN"/>
        </w:rPr>
        <w:t>Au fil du temps, le programme de la Commission s</w:t>
      </w:r>
      <w:r w:rsidR="00577D76" w:rsidRPr="001D5AE1">
        <w:rPr>
          <w:rFonts w:eastAsia="SimSun"/>
          <w:lang w:eastAsia="zh-CN"/>
        </w:rPr>
        <w:t>’</w:t>
      </w:r>
      <w:r w:rsidR="00BC4BD0" w:rsidRPr="001D5AE1">
        <w:rPr>
          <w:rFonts w:eastAsia="SimSun"/>
          <w:lang w:eastAsia="zh-CN"/>
        </w:rPr>
        <w:t>est considérablement enrichi, notamment dans les domaines des politiques marines et de la préparation aux aléas océaniques. Certains responsables politiques ont désormais de plus en plus de mal à cerner la mission exacte de la</w:t>
      </w:r>
      <w:r w:rsidR="003068A2" w:rsidRPr="001D5AE1">
        <w:rPr>
          <w:rFonts w:eastAsia="SimSun"/>
          <w:lang w:eastAsia="zh-CN"/>
        </w:rPr>
        <w:t> </w:t>
      </w:r>
      <w:r w:rsidR="00BC4BD0" w:rsidRPr="001D5AE1">
        <w:rPr>
          <w:rFonts w:eastAsia="SimSun"/>
          <w:lang w:eastAsia="zh-CN"/>
        </w:rPr>
        <w:t>COI. Les ressources ne parviennent pas à suivre le rythme de l</w:t>
      </w:r>
      <w:r w:rsidR="00577D76" w:rsidRPr="001D5AE1">
        <w:rPr>
          <w:rFonts w:eastAsia="SimSun"/>
          <w:lang w:eastAsia="zh-CN"/>
        </w:rPr>
        <w:t>’</w:t>
      </w:r>
      <w:r w:rsidR="00BC4BD0" w:rsidRPr="001D5AE1">
        <w:rPr>
          <w:rFonts w:eastAsia="SimSun"/>
          <w:lang w:eastAsia="zh-CN"/>
        </w:rPr>
        <w:t>expansion de son programme ; ainsi, mieux définir l</w:t>
      </w:r>
      <w:r w:rsidR="00577D76" w:rsidRPr="001D5AE1">
        <w:rPr>
          <w:rFonts w:eastAsia="SimSun"/>
          <w:lang w:eastAsia="zh-CN"/>
        </w:rPr>
        <w:t>’</w:t>
      </w:r>
      <w:r w:rsidR="00BC4BD0" w:rsidRPr="001D5AE1">
        <w:rPr>
          <w:rFonts w:eastAsia="SimSun"/>
          <w:lang w:eastAsia="zh-CN"/>
        </w:rPr>
        <w:t>étendue de son créneau, puis démontrer sa valeur dans ce créneau, pourrait aider les États membres à s</w:t>
      </w:r>
      <w:r w:rsidR="00577D76" w:rsidRPr="001D5AE1">
        <w:rPr>
          <w:rFonts w:eastAsia="SimSun"/>
          <w:lang w:eastAsia="zh-CN"/>
        </w:rPr>
        <w:t>’</w:t>
      </w:r>
      <w:r w:rsidR="00BC4BD0" w:rsidRPr="001D5AE1">
        <w:rPr>
          <w:rFonts w:eastAsia="SimSun"/>
          <w:lang w:eastAsia="zh-CN"/>
        </w:rPr>
        <w:t>en faire une meilleure idée et, en fin de compte, à participer et à adhérer davantage aux travaux de la Commission.</w:t>
      </w:r>
    </w:p>
    <w:p w14:paraId="6DD9FC29" w14:textId="77046F7A" w:rsidR="00BC4BD0" w:rsidRPr="001D5AE1" w:rsidRDefault="00145259" w:rsidP="009957F6">
      <w:pPr>
        <w:pStyle w:val="Marge"/>
        <w:rPr>
          <w:rFonts w:eastAsia="SimSun"/>
          <w:lang w:eastAsia="zh-CN"/>
        </w:rPr>
      </w:pPr>
      <w:r w:rsidRPr="001D5AE1">
        <w:rPr>
          <w:rFonts w:eastAsia="SimSun"/>
          <w:lang w:eastAsia="zh-CN"/>
        </w:rPr>
        <w:t>19.</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UNESCO est le principal bailleur de fonds de la COI. Ce financement, bien qu</w:t>
      </w:r>
      <w:r w:rsidR="00577D76" w:rsidRPr="001D5AE1">
        <w:rPr>
          <w:rFonts w:eastAsia="SimSun"/>
          <w:lang w:eastAsia="zh-CN"/>
        </w:rPr>
        <w:t>’</w:t>
      </w:r>
      <w:r w:rsidR="00BC4BD0" w:rsidRPr="001D5AE1">
        <w:rPr>
          <w:rFonts w:eastAsia="SimSun"/>
          <w:lang w:eastAsia="zh-CN"/>
        </w:rPr>
        <w:t>il soit strictement limité, permet à la COI d</w:t>
      </w:r>
      <w:r w:rsidR="00577D76" w:rsidRPr="001D5AE1">
        <w:rPr>
          <w:rFonts w:eastAsia="SimSun"/>
          <w:lang w:eastAsia="zh-CN"/>
        </w:rPr>
        <w:t>’</w:t>
      </w:r>
      <w:r w:rsidR="00BC4BD0" w:rsidRPr="001D5AE1">
        <w:rPr>
          <w:rFonts w:eastAsia="SimSun"/>
          <w:lang w:eastAsia="zh-CN"/>
        </w:rPr>
        <w:t xml:space="preserve">entreprendre des activités mondiales en phase avec une vision stratégique. Cependant, en raison de son recours massif aux contributions (extrabudgétaires) volontaires </w:t>
      </w:r>
      <w:proofErr w:type="spellStart"/>
      <w:r w:rsidR="00BC4BD0" w:rsidRPr="001D5AE1">
        <w:rPr>
          <w:rFonts w:eastAsia="SimSun"/>
          <w:lang w:eastAsia="zh-CN"/>
        </w:rPr>
        <w:t>préaffectées</w:t>
      </w:r>
      <w:proofErr w:type="spellEnd"/>
      <w:r w:rsidR="00BC4BD0" w:rsidRPr="001D5AE1">
        <w:rPr>
          <w:rFonts w:eastAsia="SimSun"/>
          <w:lang w:eastAsia="zh-CN"/>
        </w:rPr>
        <w:t>, la Commission risque de devenir trop dépendante des donateurs, avec des activités et des ressources qui seraient limitées par les cycles de financement des projets et trop orientées vers des thèmes spécifiques, au détriment de travaux plus stratégiques. La question de savoir comment garantir une assise financière plus pérenne à la COI reste ouverte. Outre l</w:t>
      </w:r>
      <w:r w:rsidR="00577D76" w:rsidRPr="001D5AE1">
        <w:rPr>
          <w:rFonts w:eastAsia="SimSun"/>
          <w:lang w:eastAsia="zh-CN"/>
        </w:rPr>
        <w:t>’</w:t>
      </w:r>
      <w:r w:rsidR="00BC4BD0" w:rsidRPr="001D5AE1">
        <w:rPr>
          <w:rFonts w:eastAsia="SimSun"/>
          <w:lang w:eastAsia="zh-CN"/>
        </w:rPr>
        <w:t>étude des solutions offertes par l</w:t>
      </w:r>
      <w:r w:rsidR="00577D76" w:rsidRPr="001D5AE1">
        <w:rPr>
          <w:rFonts w:eastAsia="SimSun"/>
          <w:lang w:eastAsia="zh-CN"/>
        </w:rPr>
        <w:t>’</w:t>
      </w:r>
      <w:r w:rsidR="00BC4BD0" w:rsidRPr="001D5AE1">
        <w:rPr>
          <w:rFonts w:eastAsia="SimSun"/>
          <w:lang w:eastAsia="zh-CN"/>
        </w:rPr>
        <w:t>article 10.4 des Statuts de la Commission, ont fréquemment été évoqués les avantages d</w:t>
      </w:r>
      <w:r w:rsidR="00577D76" w:rsidRPr="001D5AE1">
        <w:rPr>
          <w:rFonts w:eastAsia="SimSun"/>
          <w:lang w:eastAsia="zh-CN"/>
        </w:rPr>
        <w:t>’</w:t>
      </w:r>
      <w:r w:rsidR="00BC4BD0" w:rsidRPr="001D5AE1">
        <w:rPr>
          <w:rFonts w:eastAsia="SimSun"/>
          <w:lang w:eastAsia="zh-CN"/>
        </w:rPr>
        <w:t>une intégration plus complète des océans en tant que thème transversal à l</w:t>
      </w:r>
      <w:r w:rsidR="00577D76" w:rsidRPr="001D5AE1">
        <w:rPr>
          <w:rFonts w:eastAsia="SimSun"/>
          <w:lang w:eastAsia="zh-CN"/>
        </w:rPr>
        <w:t>’</w:t>
      </w:r>
      <w:r w:rsidR="00BC4BD0" w:rsidRPr="001D5AE1">
        <w:rPr>
          <w:rFonts w:eastAsia="SimSun"/>
          <w:lang w:eastAsia="zh-CN"/>
        </w:rPr>
        <w:t>échelle de l</w:t>
      </w:r>
      <w:r w:rsidR="00577D76" w:rsidRPr="001D5AE1">
        <w:rPr>
          <w:rFonts w:eastAsia="SimSun"/>
          <w:lang w:eastAsia="zh-CN"/>
        </w:rPr>
        <w:t>’</w:t>
      </w:r>
      <w:r w:rsidR="00BC4BD0" w:rsidRPr="001D5AE1">
        <w:rPr>
          <w:rFonts w:eastAsia="SimSun"/>
          <w:lang w:eastAsia="zh-CN"/>
        </w:rPr>
        <w:t>UNESCO ou le renforcement des activités intersectorielles entre la Commission et les autres secteurs de l</w:t>
      </w:r>
      <w:r w:rsidR="00577D76" w:rsidRPr="001D5AE1">
        <w:rPr>
          <w:rFonts w:eastAsia="SimSun"/>
          <w:lang w:eastAsia="zh-CN"/>
        </w:rPr>
        <w:t>’</w:t>
      </w:r>
      <w:r w:rsidR="00BC4BD0" w:rsidRPr="001D5AE1">
        <w:rPr>
          <w:rFonts w:eastAsia="SimSun"/>
          <w:lang w:eastAsia="zh-CN"/>
        </w:rPr>
        <w:t>Organisation. La décision « L</w:t>
      </w:r>
      <w:r w:rsidR="00577D76" w:rsidRPr="001D5AE1">
        <w:rPr>
          <w:rFonts w:eastAsia="SimSun"/>
          <w:lang w:eastAsia="zh-CN"/>
        </w:rPr>
        <w:t>’</w:t>
      </w:r>
      <w:r w:rsidR="00BC4BD0" w:rsidRPr="001D5AE1">
        <w:rPr>
          <w:rFonts w:eastAsia="SimSun"/>
          <w:lang w:eastAsia="zh-CN"/>
        </w:rPr>
        <w:t>UNESCO et l</w:t>
      </w:r>
      <w:r w:rsidR="00577D76" w:rsidRPr="001D5AE1">
        <w:rPr>
          <w:rFonts w:eastAsia="SimSun"/>
          <w:lang w:eastAsia="zh-CN"/>
        </w:rPr>
        <w:t>’</w:t>
      </w:r>
      <w:r w:rsidR="00BC4BD0" w:rsidRPr="001D5AE1">
        <w:rPr>
          <w:rFonts w:eastAsia="SimSun"/>
          <w:lang w:eastAsia="zh-CN"/>
        </w:rPr>
        <w:t>océan », adoptée en avril 2022 par le Conseil exécutif de l</w:t>
      </w:r>
      <w:r w:rsidR="00577D76" w:rsidRPr="001D5AE1">
        <w:rPr>
          <w:rFonts w:eastAsia="SimSun"/>
          <w:lang w:eastAsia="zh-CN"/>
        </w:rPr>
        <w:t>’</w:t>
      </w:r>
      <w:r w:rsidR="00BC4BD0" w:rsidRPr="001D5AE1">
        <w:rPr>
          <w:rFonts w:eastAsia="SimSun"/>
          <w:lang w:eastAsia="zh-CN"/>
        </w:rPr>
        <w:t>UNESCO à sa 214</w:t>
      </w:r>
      <w:r w:rsidR="00BC4BD0" w:rsidRPr="001D5AE1">
        <w:rPr>
          <w:rFonts w:eastAsia="SimSun"/>
          <w:vertAlign w:val="superscript"/>
          <w:lang w:eastAsia="zh-CN"/>
        </w:rPr>
        <w:t>e</w:t>
      </w:r>
      <w:r w:rsidR="00BC4BD0" w:rsidRPr="001D5AE1">
        <w:rPr>
          <w:rFonts w:eastAsia="SimSun"/>
          <w:lang w:eastAsia="zh-CN"/>
        </w:rPr>
        <w:t> session, marque une avancée sur laquelle s</w:t>
      </w:r>
      <w:r w:rsidR="00577D76" w:rsidRPr="001D5AE1">
        <w:rPr>
          <w:rFonts w:eastAsia="SimSun"/>
          <w:lang w:eastAsia="zh-CN"/>
        </w:rPr>
        <w:t>’</w:t>
      </w:r>
      <w:r w:rsidR="00BC4BD0" w:rsidRPr="001D5AE1">
        <w:rPr>
          <w:rFonts w:eastAsia="SimSun"/>
          <w:lang w:eastAsia="zh-CN"/>
        </w:rPr>
        <w:t>appuyer.</w:t>
      </w:r>
    </w:p>
    <w:p w14:paraId="5EAB91DA" w14:textId="77777777" w:rsidR="00BC4BD0" w:rsidRPr="001D5AE1" w:rsidRDefault="00BC4BD0" w:rsidP="00577D76">
      <w:pPr>
        <w:pStyle w:val="Heading3"/>
        <w:rPr>
          <w:caps/>
          <w:lang w:eastAsia="zh-CN"/>
        </w:rPr>
      </w:pPr>
      <w:r w:rsidRPr="001D5AE1">
        <w:rPr>
          <w:rFonts w:eastAsia="SimSun"/>
          <w:lang w:eastAsia="zh-CN"/>
        </w:rPr>
        <w:lastRenderedPageBreak/>
        <w:t>RECOMMANDATIONS</w:t>
      </w:r>
    </w:p>
    <w:p w14:paraId="770733D4" w14:textId="5B7DD0F1" w:rsidR="00BC4BD0" w:rsidRPr="001D5AE1" w:rsidRDefault="00BC4BD0" w:rsidP="00577D76">
      <w:pPr>
        <w:keepNext/>
        <w:keepLines/>
        <w:spacing w:after="240"/>
        <w:jc w:val="both"/>
        <w:rPr>
          <w:rFonts w:eastAsia="SimSun" w:cs="Arial"/>
          <w:b/>
          <w:bCs/>
          <w:color w:val="002060"/>
          <w:szCs w:val="22"/>
          <w:u w:val="single"/>
          <w:lang w:eastAsia="zh-CN"/>
        </w:rPr>
      </w:pPr>
      <w:r w:rsidRPr="001D5AE1">
        <w:rPr>
          <w:rFonts w:eastAsia="SimSun" w:cs="Arial"/>
          <w:b/>
          <w:bCs/>
          <w:color w:val="002060"/>
          <w:szCs w:val="22"/>
          <w:u w:val="single"/>
          <w:lang w:eastAsia="zh-CN"/>
        </w:rPr>
        <w:t>Recommandation 1 : D</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ici à septembre 2022</w:t>
      </w:r>
      <w:r w:rsidR="00172412" w:rsidRPr="001D5AE1">
        <w:rPr>
          <w:rFonts w:eastAsia="SimSun" w:cs="Arial"/>
          <w:b/>
          <w:bCs/>
          <w:color w:val="002060"/>
          <w:szCs w:val="22"/>
          <w:u w:val="single"/>
          <w:lang w:eastAsia="zh-CN"/>
        </w:rPr>
        <w:t> </w:t>
      </w:r>
      <w:r w:rsidRPr="001D5AE1">
        <w:rPr>
          <w:rFonts w:eastAsia="SimSun" w:cs="Arial"/>
          <w:b/>
          <w:bCs/>
          <w:color w:val="002060"/>
          <w:szCs w:val="22"/>
          <w:u w:val="single"/>
          <w:lang w:eastAsia="zh-CN"/>
        </w:rPr>
        <w:t>–</w:t>
      </w:r>
      <w:r w:rsidR="00172412" w:rsidRPr="001D5AE1">
        <w:rPr>
          <w:rFonts w:eastAsia="SimSun" w:cs="Arial"/>
          <w:b/>
          <w:bCs/>
          <w:color w:val="002060"/>
          <w:szCs w:val="22"/>
          <w:u w:val="single"/>
          <w:lang w:eastAsia="zh-CN"/>
        </w:rPr>
        <w:t> </w:t>
      </w:r>
      <w:r w:rsidRPr="001D5AE1">
        <w:rPr>
          <w:rFonts w:eastAsia="SimSun" w:cs="Arial"/>
          <w:b/>
          <w:bCs/>
          <w:color w:val="002060"/>
          <w:szCs w:val="22"/>
          <w:u w:val="single"/>
          <w:lang w:eastAsia="zh-CN"/>
        </w:rPr>
        <w:t>Donner suite à la demande exprimée par l</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Assemblée de la COI à sa 30</w:t>
      </w:r>
      <w:r w:rsidRPr="001D5AE1">
        <w:rPr>
          <w:rFonts w:eastAsia="SimSun" w:cs="Arial"/>
          <w:b/>
          <w:bCs/>
          <w:color w:val="002060"/>
          <w:szCs w:val="22"/>
          <w:u w:val="single"/>
          <w:vertAlign w:val="superscript"/>
          <w:lang w:eastAsia="zh-CN"/>
        </w:rPr>
        <w:t>e</w:t>
      </w:r>
      <w:r w:rsidRPr="001D5AE1">
        <w:rPr>
          <w:rFonts w:eastAsia="SimSun" w:cs="Arial"/>
          <w:b/>
          <w:bCs/>
          <w:color w:val="002060"/>
          <w:szCs w:val="22"/>
          <w:u w:val="single"/>
          <w:lang w:eastAsia="zh-CN"/>
        </w:rPr>
        <w:t> session, en estimant les ressources nécessaires et en accélérant l</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application des dispositions de l</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article 10.4 des Statuts de la Commission de façon à optimiser le fonctionnement de la COI et à déterminer le cadre organisationnel le plus approprié au regard du rôle mondial qui est envisagé pour la COI dans la gestion de l</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océan sur des bases scientifiques, ainsi que de ses attributions de chef de file de la Décennie pour les sciences océaniques</w:t>
      </w:r>
    </w:p>
    <w:p w14:paraId="6A5C51D6" w14:textId="4CF2940E" w:rsidR="00BC4BD0" w:rsidRPr="001D5AE1" w:rsidRDefault="00145259" w:rsidP="009957F6">
      <w:pPr>
        <w:pStyle w:val="Marge"/>
        <w:rPr>
          <w:rFonts w:eastAsia="SimSun"/>
          <w:lang w:eastAsia="zh-CN"/>
        </w:rPr>
      </w:pPr>
      <w:r w:rsidRPr="001D5AE1">
        <w:rPr>
          <w:rFonts w:eastAsia="SimSun"/>
          <w:lang w:eastAsia="zh-CN"/>
        </w:rPr>
        <w:t>20.</w:t>
      </w:r>
      <w:r w:rsidRPr="001D5AE1">
        <w:rPr>
          <w:rFonts w:eastAsia="SimSun"/>
          <w:lang w:eastAsia="zh-CN"/>
        </w:rPr>
        <w:tab/>
      </w:r>
      <w:r w:rsidR="00BC4BD0" w:rsidRPr="001D5AE1">
        <w:rPr>
          <w:rFonts w:eastAsia="SimSun"/>
          <w:lang w:eastAsia="zh-CN"/>
        </w:rPr>
        <w:t>Certains États membres de la COI qui ne font pas partie de l</w:t>
      </w:r>
      <w:r w:rsidR="00577D76" w:rsidRPr="001D5AE1">
        <w:rPr>
          <w:rFonts w:eastAsia="SimSun"/>
          <w:lang w:eastAsia="zh-CN"/>
        </w:rPr>
        <w:t>’</w:t>
      </w:r>
      <w:r w:rsidR="00BC4BD0" w:rsidRPr="001D5AE1">
        <w:rPr>
          <w:rFonts w:eastAsia="SimSun"/>
          <w:lang w:eastAsia="zh-CN"/>
        </w:rPr>
        <w:t>UNESCO (par exemple les États</w:t>
      </w:r>
      <w:r w:rsidR="003068A2" w:rsidRPr="001D5AE1">
        <w:rPr>
          <w:rFonts w:eastAsia="SimSun"/>
          <w:lang w:eastAsia="zh-CN"/>
        </w:rPr>
        <w:noBreakHyphen/>
      </w:r>
      <w:r w:rsidR="00BC4BD0" w:rsidRPr="001D5AE1">
        <w:rPr>
          <w:rFonts w:eastAsia="SimSun"/>
          <w:lang w:eastAsia="zh-CN"/>
        </w:rPr>
        <w:t>Unis) ont exprimé leur intérêt à verser des contributions supplémentaires à la Commission, mais rencontrent des difficultés à le faire en dehors du cadre financier de l</w:t>
      </w:r>
      <w:r w:rsidR="00577D76" w:rsidRPr="001D5AE1">
        <w:rPr>
          <w:rFonts w:eastAsia="SimSun"/>
          <w:lang w:eastAsia="zh-CN"/>
        </w:rPr>
        <w:t>’</w:t>
      </w:r>
      <w:r w:rsidR="00BC4BD0" w:rsidRPr="001D5AE1">
        <w:rPr>
          <w:rFonts w:eastAsia="SimSun"/>
          <w:lang w:eastAsia="zh-CN"/>
        </w:rPr>
        <w:t>Organisation.</w:t>
      </w:r>
    </w:p>
    <w:p w14:paraId="72BC6877" w14:textId="17161ED2" w:rsidR="00BC4BD0" w:rsidRPr="001D5AE1" w:rsidRDefault="00145259" w:rsidP="009957F6">
      <w:pPr>
        <w:pStyle w:val="Marge"/>
        <w:rPr>
          <w:rFonts w:eastAsia="SimSun"/>
          <w:lang w:eastAsia="zh-CN"/>
        </w:rPr>
      </w:pPr>
      <w:r w:rsidRPr="001D5AE1">
        <w:rPr>
          <w:rFonts w:eastAsia="SimSun"/>
          <w:lang w:eastAsia="zh-CN"/>
        </w:rPr>
        <w:t>21.</w:t>
      </w:r>
      <w:r w:rsidRPr="001D5AE1">
        <w:rPr>
          <w:rFonts w:eastAsia="SimSun"/>
          <w:lang w:eastAsia="zh-CN"/>
        </w:rPr>
        <w:tab/>
      </w:r>
      <w:r w:rsidR="00BC4BD0" w:rsidRPr="001D5AE1">
        <w:rPr>
          <w:rFonts w:eastAsia="SimSun"/>
          <w:lang w:eastAsia="zh-CN"/>
        </w:rPr>
        <w:t>Les mécanismes de financement de la COI sont définis à l</w:t>
      </w:r>
      <w:r w:rsidR="00577D76" w:rsidRPr="001D5AE1">
        <w:rPr>
          <w:rFonts w:eastAsia="SimSun"/>
          <w:lang w:eastAsia="zh-CN"/>
        </w:rPr>
        <w:t>’</w:t>
      </w:r>
      <w:r w:rsidR="00BC4BD0" w:rsidRPr="001D5AE1">
        <w:rPr>
          <w:rFonts w:eastAsia="SimSun"/>
          <w:lang w:eastAsia="zh-CN"/>
        </w:rPr>
        <w:t>article 10 de ses Statuts –</w:t>
      </w:r>
      <w:r w:rsidR="007C648D" w:rsidRPr="001D5AE1">
        <w:rPr>
          <w:rFonts w:eastAsia="SimSun"/>
          <w:lang w:eastAsia="zh-CN"/>
        </w:rPr>
        <w:t> </w:t>
      </w:r>
      <w:r w:rsidR="00BC4BD0" w:rsidRPr="001D5AE1">
        <w:rPr>
          <w:rFonts w:eastAsia="SimSun"/>
          <w:lang w:eastAsia="zh-CN"/>
        </w:rPr>
        <w:t>Ressources financières et autres (voir encadré 1).</w:t>
      </w:r>
    </w:p>
    <w:p w14:paraId="41008262" w14:textId="6279B713" w:rsidR="00BC4BD0" w:rsidRPr="001D5AE1" w:rsidRDefault="00BC4BD0" w:rsidP="009957F6">
      <w:pPr>
        <w:pStyle w:val="Heading3"/>
        <w:jc w:val="center"/>
        <w:rPr>
          <w:rFonts w:eastAsia="SimSun"/>
          <w:lang w:eastAsia="zh-CN"/>
        </w:rPr>
      </w:pPr>
      <w:r w:rsidRPr="001D5AE1">
        <w:rPr>
          <w:rFonts w:eastAsia="SimSun"/>
          <w:lang w:eastAsia="zh-CN"/>
        </w:rPr>
        <w:t>Encadré 1 : Dispositions de l</w:t>
      </w:r>
      <w:r w:rsidR="00577D76" w:rsidRPr="001D5AE1">
        <w:rPr>
          <w:rFonts w:eastAsia="SimSun"/>
          <w:lang w:eastAsia="zh-CN"/>
        </w:rPr>
        <w:t>’</w:t>
      </w:r>
      <w:r w:rsidRPr="001D5AE1">
        <w:rPr>
          <w:rFonts w:eastAsia="SimSun"/>
          <w:lang w:eastAsia="zh-CN"/>
        </w:rPr>
        <w:t>article 10 des Statuts de la COI</w:t>
      </w:r>
    </w:p>
    <w:tbl>
      <w:tblPr>
        <w:tblStyle w:val="Grilledutableau2"/>
        <w:tblW w:w="0" w:type="auto"/>
        <w:jc w:val="center"/>
        <w:tblLayout w:type="fixed"/>
        <w:tblLook w:val="04A0" w:firstRow="1" w:lastRow="0" w:firstColumn="1" w:lastColumn="0" w:noHBand="0" w:noVBand="1"/>
      </w:tblPr>
      <w:tblGrid>
        <w:gridCol w:w="9010"/>
      </w:tblGrid>
      <w:tr w:rsidR="00BC4BD0" w:rsidRPr="001D5AE1" w14:paraId="3F16D2D4" w14:textId="77777777" w:rsidTr="007C648D">
        <w:trPr>
          <w:jc w:val="center"/>
        </w:trPr>
        <w:tc>
          <w:tcPr>
            <w:tcW w:w="9010" w:type="dxa"/>
          </w:tcPr>
          <w:p w14:paraId="4B96CBD5" w14:textId="5AFDD416" w:rsidR="00BC4BD0" w:rsidRPr="001D5AE1" w:rsidRDefault="00BC4BD0" w:rsidP="009957F6">
            <w:pPr>
              <w:pStyle w:val="Marge"/>
              <w:tabs>
                <w:tab w:val="clear" w:pos="567"/>
              </w:tabs>
              <w:spacing w:before="240"/>
              <w:ind w:left="171" w:right="115"/>
              <w:rPr>
                <w:lang w:eastAsia="zh-CN"/>
              </w:rPr>
            </w:pPr>
            <w:r w:rsidRPr="001D5AE1">
              <w:rPr>
                <w:lang w:eastAsia="zh-CN"/>
              </w:rPr>
              <w:t>1.</w:t>
            </w:r>
            <w:r w:rsidR="007C648D" w:rsidRPr="001D5AE1">
              <w:rPr>
                <w:lang w:eastAsia="zh-CN"/>
              </w:rPr>
              <w:tab/>
            </w:r>
            <w:r w:rsidRPr="001D5AE1">
              <w:rPr>
                <w:lang w:eastAsia="zh-CN"/>
              </w:rPr>
              <w:t>Les ressources financières de la Commission sont constituées par :</w:t>
            </w:r>
          </w:p>
          <w:p w14:paraId="7316893C" w14:textId="7F55B141" w:rsidR="00BC4BD0" w:rsidRPr="001D5AE1" w:rsidRDefault="007C648D" w:rsidP="009957F6">
            <w:pPr>
              <w:pStyle w:val="b"/>
              <w:tabs>
                <w:tab w:val="clear" w:pos="1134"/>
              </w:tabs>
              <w:ind w:left="1305" w:right="115"/>
              <w:rPr>
                <w:lang w:eastAsia="zh-CN"/>
              </w:rPr>
            </w:pPr>
            <w:r w:rsidRPr="001D5AE1">
              <w:rPr>
                <w:lang w:eastAsia="zh-CN"/>
              </w:rPr>
              <w:t>(</w:t>
            </w:r>
            <w:r w:rsidR="00BC4BD0" w:rsidRPr="001D5AE1">
              <w:rPr>
                <w:lang w:eastAsia="zh-CN"/>
              </w:rPr>
              <w:t>a)</w:t>
            </w:r>
            <w:r w:rsidR="00BC4BD0" w:rsidRPr="001D5AE1">
              <w:rPr>
                <w:lang w:eastAsia="zh-CN"/>
              </w:rPr>
              <w:tab/>
              <w:t>des crédits ouverts à cette fin par la Conférence générale de l</w:t>
            </w:r>
            <w:r w:rsidR="00577D76" w:rsidRPr="001D5AE1">
              <w:rPr>
                <w:lang w:eastAsia="zh-CN"/>
              </w:rPr>
              <w:t>’</w:t>
            </w:r>
            <w:r w:rsidR="00BC4BD0" w:rsidRPr="001D5AE1">
              <w:rPr>
                <w:lang w:eastAsia="zh-CN"/>
              </w:rPr>
              <w:t>UNESCO ;</w:t>
            </w:r>
          </w:p>
          <w:p w14:paraId="429BC15A" w14:textId="7CEF2D4D" w:rsidR="00BC4BD0" w:rsidRPr="001D5AE1" w:rsidRDefault="007C648D" w:rsidP="009957F6">
            <w:pPr>
              <w:pStyle w:val="b"/>
              <w:tabs>
                <w:tab w:val="clear" w:pos="1134"/>
              </w:tabs>
              <w:ind w:left="1305" w:right="115"/>
              <w:rPr>
                <w:lang w:eastAsia="zh-CN"/>
              </w:rPr>
            </w:pPr>
            <w:r w:rsidRPr="001D5AE1">
              <w:rPr>
                <w:lang w:eastAsia="zh-CN"/>
              </w:rPr>
              <w:t>(</w:t>
            </w:r>
            <w:r w:rsidR="00BC4BD0" w:rsidRPr="001D5AE1">
              <w:rPr>
                <w:lang w:eastAsia="zh-CN"/>
              </w:rPr>
              <w:t>b)</w:t>
            </w:r>
            <w:r w:rsidR="00BC4BD0" w:rsidRPr="001D5AE1">
              <w:rPr>
                <w:lang w:eastAsia="zh-CN"/>
              </w:rPr>
              <w:tab/>
              <w:t>des contributions d</w:t>
            </w:r>
            <w:r w:rsidR="00577D76" w:rsidRPr="001D5AE1">
              <w:rPr>
                <w:lang w:eastAsia="zh-CN"/>
              </w:rPr>
              <w:t>’</w:t>
            </w:r>
            <w:r w:rsidR="00BC4BD0" w:rsidRPr="001D5AE1">
              <w:rPr>
                <w:lang w:eastAsia="zh-CN"/>
              </w:rPr>
              <w:t>États membres de la Commission qui ne sont pas membres de l</w:t>
            </w:r>
            <w:r w:rsidR="00577D76" w:rsidRPr="001D5AE1">
              <w:rPr>
                <w:lang w:eastAsia="zh-CN"/>
              </w:rPr>
              <w:t>’</w:t>
            </w:r>
            <w:r w:rsidR="00BC4BD0" w:rsidRPr="001D5AE1">
              <w:rPr>
                <w:lang w:eastAsia="zh-CN"/>
              </w:rPr>
              <w:t>UNESCO ;</w:t>
            </w:r>
          </w:p>
          <w:p w14:paraId="6C556B97" w14:textId="57D8D75F" w:rsidR="00BC4BD0" w:rsidRPr="001D5AE1" w:rsidRDefault="007C648D" w:rsidP="009957F6">
            <w:pPr>
              <w:pStyle w:val="b"/>
              <w:tabs>
                <w:tab w:val="clear" w:pos="1134"/>
              </w:tabs>
              <w:ind w:left="1305" w:right="115"/>
              <w:rPr>
                <w:lang w:eastAsia="zh-CN"/>
              </w:rPr>
            </w:pPr>
            <w:r w:rsidRPr="001D5AE1">
              <w:rPr>
                <w:lang w:eastAsia="zh-CN"/>
              </w:rPr>
              <w:t>(</w:t>
            </w:r>
            <w:r w:rsidR="00BC4BD0" w:rsidRPr="001D5AE1">
              <w:rPr>
                <w:lang w:eastAsia="zh-CN"/>
              </w:rPr>
              <w:t>c)</w:t>
            </w:r>
            <w:r w:rsidR="00BC4BD0" w:rsidRPr="001D5AE1">
              <w:rPr>
                <w:lang w:eastAsia="zh-CN"/>
              </w:rPr>
              <w:tab/>
              <w:t xml:space="preserve">toutes ressources supplémentaires qui seraient fournies par des États membres de la Commission ou des organisations appropriées du système des </w:t>
            </w:r>
            <w:r w:rsidR="00172412" w:rsidRPr="001D5AE1">
              <w:rPr>
                <w:lang w:eastAsia="zh-CN"/>
              </w:rPr>
              <w:t>Nations Unies</w:t>
            </w:r>
            <w:r w:rsidR="00BC4BD0" w:rsidRPr="001D5AE1">
              <w:rPr>
                <w:lang w:eastAsia="zh-CN"/>
              </w:rPr>
              <w:t xml:space="preserve"> ou qui proviendraient d</w:t>
            </w:r>
            <w:r w:rsidR="00577D76" w:rsidRPr="001D5AE1">
              <w:rPr>
                <w:lang w:eastAsia="zh-CN"/>
              </w:rPr>
              <w:t>’</w:t>
            </w:r>
            <w:r w:rsidR="00BC4BD0" w:rsidRPr="001D5AE1">
              <w:rPr>
                <w:lang w:eastAsia="zh-CN"/>
              </w:rPr>
              <w:t>autres sources.</w:t>
            </w:r>
          </w:p>
          <w:p w14:paraId="240D6E27" w14:textId="72259BE2" w:rsidR="00BC4BD0" w:rsidRPr="001D5AE1" w:rsidRDefault="00BC4BD0" w:rsidP="009957F6">
            <w:pPr>
              <w:pStyle w:val="Marge"/>
              <w:tabs>
                <w:tab w:val="clear" w:pos="567"/>
                <w:tab w:val="left" w:pos="738"/>
              </w:tabs>
              <w:ind w:left="171" w:right="115"/>
              <w:rPr>
                <w:lang w:eastAsia="zh-CN"/>
              </w:rPr>
            </w:pPr>
            <w:r w:rsidRPr="001D5AE1">
              <w:rPr>
                <w:lang w:eastAsia="zh-CN"/>
              </w:rPr>
              <w:t>2.</w:t>
            </w:r>
            <w:r w:rsidR="007C648D" w:rsidRPr="001D5AE1">
              <w:rPr>
                <w:lang w:eastAsia="zh-CN"/>
              </w:rPr>
              <w:tab/>
            </w:r>
            <w:r w:rsidRPr="001D5AE1">
              <w:rPr>
                <w:lang w:eastAsia="zh-CN"/>
              </w:rPr>
              <w:t xml:space="preserve">Les programmes ou activités que la Commission </w:t>
            </w:r>
            <w:r w:rsidR="00DA22B1" w:rsidRPr="001D5AE1">
              <w:rPr>
                <w:lang w:eastAsia="zh-CN"/>
              </w:rPr>
              <w:t>parraine</w:t>
            </w:r>
            <w:r w:rsidRPr="001D5AE1">
              <w:rPr>
                <w:lang w:eastAsia="zh-CN"/>
              </w:rPr>
              <w:t>, coordonne et recommande à ses États membres en vue d</w:t>
            </w:r>
            <w:r w:rsidR="00577D76" w:rsidRPr="001D5AE1">
              <w:rPr>
                <w:lang w:eastAsia="zh-CN"/>
              </w:rPr>
              <w:t>’</w:t>
            </w:r>
            <w:r w:rsidRPr="001D5AE1">
              <w:rPr>
                <w:lang w:eastAsia="zh-CN"/>
              </w:rPr>
              <w:t>une action concertée de leur part sont exécutés grâce aux ressources des États membres participant à ses programmes ou activités, conformément aux engagements que chaque État est disposé à prendre.</w:t>
            </w:r>
          </w:p>
          <w:p w14:paraId="32479008" w14:textId="32A66BE0" w:rsidR="00BC4BD0" w:rsidRPr="001D5AE1" w:rsidRDefault="00BC4BD0" w:rsidP="009957F6">
            <w:pPr>
              <w:pStyle w:val="Marge"/>
              <w:tabs>
                <w:tab w:val="clear" w:pos="567"/>
                <w:tab w:val="left" w:pos="738"/>
              </w:tabs>
              <w:ind w:left="171" w:right="115"/>
              <w:rPr>
                <w:lang w:eastAsia="zh-CN"/>
              </w:rPr>
            </w:pPr>
            <w:r w:rsidRPr="001D5AE1">
              <w:rPr>
                <w:lang w:eastAsia="zh-CN"/>
              </w:rPr>
              <w:t>3.</w:t>
            </w:r>
            <w:r w:rsidR="007C648D" w:rsidRPr="001D5AE1">
              <w:rPr>
                <w:lang w:eastAsia="zh-CN"/>
              </w:rPr>
              <w:tab/>
            </w:r>
            <w:r w:rsidRPr="001D5AE1">
              <w:rPr>
                <w:lang w:eastAsia="zh-CN"/>
              </w:rPr>
              <w:t>Des contributions volontaires pourront être acceptées et constituées en fonds</w:t>
            </w:r>
            <w:r w:rsidR="007C648D" w:rsidRPr="001D5AE1">
              <w:rPr>
                <w:lang w:eastAsia="zh-CN"/>
              </w:rPr>
              <w:noBreakHyphen/>
            </w:r>
            <w:r w:rsidRPr="001D5AE1">
              <w:rPr>
                <w:lang w:eastAsia="zh-CN"/>
              </w:rPr>
              <w:t>en</w:t>
            </w:r>
            <w:r w:rsidR="007C648D" w:rsidRPr="001D5AE1">
              <w:rPr>
                <w:lang w:eastAsia="zh-CN"/>
              </w:rPr>
              <w:noBreakHyphen/>
            </w:r>
            <w:r w:rsidRPr="001D5AE1">
              <w:rPr>
                <w:lang w:eastAsia="zh-CN"/>
              </w:rPr>
              <w:t>dépôt, conformément au Règlement financier du compte spécial de la COI tel qu</w:t>
            </w:r>
            <w:r w:rsidR="00577D76" w:rsidRPr="001D5AE1">
              <w:rPr>
                <w:lang w:eastAsia="zh-CN"/>
              </w:rPr>
              <w:t>’</w:t>
            </w:r>
            <w:r w:rsidRPr="001D5AE1">
              <w:rPr>
                <w:lang w:eastAsia="zh-CN"/>
              </w:rPr>
              <w:t>adopté par l</w:t>
            </w:r>
            <w:r w:rsidR="00577D76" w:rsidRPr="001D5AE1">
              <w:rPr>
                <w:lang w:eastAsia="zh-CN"/>
              </w:rPr>
              <w:t>’</w:t>
            </w:r>
            <w:r w:rsidRPr="001D5AE1">
              <w:rPr>
                <w:lang w:eastAsia="zh-CN"/>
              </w:rPr>
              <w:t>Assemblée et l</w:t>
            </w:r>
            <w:r w:rsidR="00577D76" w:rsidRPr="001D5AE1">
              <w:rPr>
                <w:lang w:eastAsia="zh-CN"/>
              </w:rPr>
              <w:t>’</w:t>
            </w:r>
            <w:r w:rsidRPr="001D5AE1">
              <w:rPr>
                <w:lang w:eastAsia="zh-CN"/>
              </w:rPr>
              <w:t>UNESCO. Le montant de ces contributions est réparti par la Commission aux fins de son programme d</w:t>
            </w:r>
            <w:r w:rsidR="00577D76" w:rsidRPr="001D5AE1">
              <w:rPr>
                <w:lang w:eastAsia="zh-CN"/>
              </w:rPr>
              <w:t>’</w:t>
            </w:r>
            <w:r w:rsidRPr="001D5AE1">
              <w:rPr>
                <w:lang w:eastAsia="zh-CN"/>
              </w:rPr>
              <w:t>activités.</w:t>
            </w:r>
          </w:p>
          <w:p w14:paraId="7E6D4FC7" w14:textId="5454140F" w:rsidR="00BC4BD0" w:rsidRPr="001D5AE1" w:rsidRDefault="00BC4BD0" w:rsidP="009957F6">
            <w:pPr>
              <w:pStyle w:val="Marge"/>
              <w:tabs>
                <w:tab w:val="clear" w:pos="567"/>
                <w:tab w:val="left" w:pos="738"/>
              </w:tabs>
              <w:ind w:left="171" w:right="115"/>
              <w:rPr>
                <w:lang w:eastAsia="zh-CN"/>
              </w:rPr>
            </w:pPr>
            <w:r w:rsidRPr="001D5AE1">
              <w:rPr>
                <w:lang w:eastAsia="zh-CN"/>
              </w:rPr>
              <w:t>4.</w:t>
            </w:r>
            <w:r w:rsidR="007C648D" w:rsidRPr="001D5AE1">
              <w:rPr>
                <w:lang w:eastAsia="zh-CN"/>
              </w:rPr>
              <w:tab/>
            </w:r>
            <w:r w:rsidRPr="001D5AE1">
              <w:rPr>
                <w:lang w:eastAsia="zh-CN"/>
              </w:rPr>
              <w:t xml:space="preserve">La Commission peut </w:t>
            </w:r>
            <w:r w:rsidR="00DA22B1" w:rsidRPr="001D5AE1">
              <w:rPr>
                <w:lang w:eastAsia="zh-CN"/>
              </w:rPr>
              <w:t>mettre en place</w:t>
            </w:r>
            <w:r w:rsidRPr="001D5AE1">
              <w:rPr>
                <w:lang w:eastAsia="zh-CN"/>
              </w:rPr>
              <w:t>, promouvoir et coordonner tout arrangement financier supplémentaire qu</w:t>
            </w:r>
            <w:r w:rsidR="00577D76" w:rsidRPr="001D5AE1">
              <w:rPr>
                <w:lang w:eastAsia="zh-CN"/>
              </w:rPr>
              <w:t>’</w:t>
            </w:r>
            <w:r w:rsidRPr="001D5AE1">
              <w:rPr>
                <w:lang w:eastAsia="zh-CN"/>
              </w:rPr>
              <w:t>elle juge nécessaire à l</w:t>
            </w:r>
            <w:r w:rsidR="00577D76" w:rsidRPr="001D5AE1">
              <w:rPr>
                <w:lang w:eastAsia="zh-CN"/>
              </w:rPr>
              <w:t>’</w:t>
            </w:r>
            <w:r w:rsidRPr="001D5AE1">
              <w:rPr>
                <w:lang w:eastAsia="zh-CN"/>
              </w:rPr>
              <w:t>exécution d</w:t>
            </w:r>
            <w:r w:rsidR="00577D76" w:rsidRPr="001D5AE1">
              <w:rPr>
                <w:lang w:eastAsia="zh-CN"/>
              </w:rPr>
              <w:t>’</w:t>
            </w:r>
            <w:r w:rsidRPr="001D5AE1">
              <w:rPr>
                <w:lang w:eastAsia="zh-CN"/>
              </w:rPr>
              <w:t xml:space="preserve">un programme effectif et permanent </w:t>
            </w:r>
            <w:r w:rsidR="00DA22B1" w:rsidRPr="001D5AE1">
              <w:rPr>
                <w:lang w:eastAsia="zh-CN"/>
              </w:rPr>
              <w:t>sur les</w:t>
            </w:r>
            <w:r w:rsidRPr="001D5AE1">
              <w:rPr>
                <w:lang w:eastAsia="zh-CN"/>
              </w:rPr>
              <w:t xml:space="preserve"> plan</w:t>
            </w:r>
            <w:r w:rsidR="00DA22B1" w:rsidRPr="001D5AE1">
              <w:rPr>
                <w:lang w:eastAsia="zh-CN"/>
              </w:rPr>
              <w:t>s</w:t>
            </w:r>
            <w:r w:rsidRPr="001D5AE1">
              <w:rPr>
                <w:lang w:eastAsia="zh-CN"/>
              </w:rPr>
              <w:t xml:space="preserve"> mondial et/ou régional.</w:t>
            </w:r>
          </w:p>
          <w:p w14:paraId="429A936F" w14:textId="20705D0E" w:rsidR="00BC4BD0" w:rsidRPr="001D5AE1" w:rsidRDefault="00BC4BD0" w:rsidP="009957F6">
            <w:pPr>
              <w:pStyle w:val="Marge"/>
              <w:ind w:left="171"/>
              <w:rPr>
                <w:color w:val="0000FF"/>
                <w:sz w:val="18"/>
                <w:szCs w:val="18"/>
                <w:lang w:eastAsia="zh-CN"/>
              </w:rPr>
            </w:pPr>
            <w:r w:rsidRPr="001D5AE1">
              <w:rPr>
                <w:i/>
                <w:iCs/>
                <w:sz w:val="18"/>
                <w:szCs w:val="18"/>
                <w:lang w:eastAsia="zh-CN"/>
              </w:rPr>
              <w:t xml:space="preserve">Source : </w:t>
            </w:r>
            <w:hyperlink r:id="rId15" w:history="1">
              <w:r w:rsidRPr="001D5AE1">
                <w:rPr>
                  <w:i/>
                  <w:iCs/>
                  <w:color w:val="0000FF"/>
                  <w:sz w:val="18"/>
                  <w:szCs w:val="18"/>
                  <w:u w:val="single"/>
                  <w:lang w:eastAsia="zh-CN"/>
                </w:rPr>
                <w:t>Statuts de la COI</w:t>
              </w:r>
            </w:hyperlink>
            <w:r w:rsidR="007C648D" w:rsidRPr="001D5AE1">
              <w:rPr>
                <w:sz w:val="18"/>
                <w:szCs w:val="18"/>
                <w:lang w:eastAsia="zh-CN"/>
              </w:rPr>
              <w:t>.</w:t>
            </w:r>
          </w:p>
        </w:tc>
      </w:tr>
    </w:tbl>
    <w:p w14:paraId="69A2F01F" w14:textId="6436B8DA" w:rsidR="00BC4BD0" w:rsidRPr="001D5AE1" w:rsidRDefault="00145259" w:rsidP="009957F6">
      <w:pPr>
        <w:pStyle w:val="Marge"/>
        <w:spacing w:before="240"/>
        <w:rPr>
          <w:rFonts w:eastAsia="SimSun"/>
          <w:lang w:eastAsia="zh-CN"/>
        </w:rPr>
      </w:pPr>
      <w:r w:rsidRPr="001D5AE1">
        <w:rPr>
          <w:rFonts w:eastAsia="SimSun"/>
          <w:lang w:eastAsia="zh-CN"/>
        </w:rPr>
        <w:t>22.</w:t>
      </w:r>
      <w:r w:rsidRPr="001D5AE1">
        <w:rPr>
          <w:rFonts w:eastAsia="SimSun"/>
          <w:lang w:eastAsia="zh-CN"/>
        </w:rPr>
        <w:tab/>
      </w:r>
      <w:r w:rsidR="00BC4BD0" w:rsidRPr="001D5AE1">
        <w:rPr>
          <w:rFonts w:eastAsia="SimSun"/>
          <w:lang w:eastAsia="zh-CN"/>
        </w:rPr>
        <w:t>Outre un certain nombre de mécanismes spécifiques, l</w:t>
      </w:r>
      <w:r w:rsidR="00577D76" w:rsidRPr="001D5AE1">
        <w:rPr>
          <w:rFonts w:eastAsia="SimSun"/>
          <w:lang w:eastAsia="zh-CN"/>
        </w:rPr>
        <w:t>’</w:t>
      </w:r>
      <w:r w:rsidR="00BC4BD0" w:rsidRPr="001D5AE1">
        <w:rPr>
          <w:rFonts w:eastAsia="SimSun"/>
          <w:lang w:eastAsia="zh-CN"/>
        </w:rPr>
        <w:t xml:space="preserve">article 10 ouvre également la porte à « tout arrangement financier supplémentaire » que la Commission peut </w:t>
      </w:r>
      <w:r w:rsidR="00DA22B1" w:rsidRPr="001D5AE1">
        <w:rPr>
          <w:rFonts w:eastAsia="SimSun"/>
          <w:lang w:eastAsia="zh-CN"/>
        </w:rPr>
        <w:t>mettre en place</w:t>
      </w:r>
      <w:r w:rsidR="00BC4BD0" w:rsidRPr="001D5AE1">
        <w:rPr>
          <w:rFonts w:eastAsia="SimSun"/>
          <w:lang w:eastAsia="zh-CN"/>
        </w:rPr>
        <w:t>, promouvoir et coordonner pour assurer la bonne exécution de son programme.</w:t>
      </w:r>
    </w:p>
    <w:p w14:paraId="2AE2BEB0" w14:textId="067D98A6" w:rsidR="00BC4BD0" w:rsidRPr="001D5AE1" w:rsidRDefault="00145259" w:rsidP="009957F6">
      <w:pPr>
        <w:pStyle w:val="Marge"/>
        <w:rPr>
          <w:rFonts w:eastAsia="SimSun"/>
          <w:lang w:eastAsia="zh-CN"/>
        </w:rPr>
      </w:pPr>
      <w:r w:rsidRPr="001D5AE1">
        <w:rPr>
          <w:rFonts w:eastAsia="SimSun"/>
          <w:lang w:eastAsia="zh-CN"/>
        </w:rPr>
        <w:t>23.</w:t>
      </w:r>
      <w:r w:rsidRPr="001D5AE1">
        <w:rPr>
          <w:rFonts w:eastAsia="SimSun"/>
          <w:lang w:eastAsia="zh-CN"/>
        </w:rPr>
        <w:tab/>
      </w:r>
      <w:r w:rsidR="00BC4BD0" w:rsidRPr="001D5AE1">
        <w:rPr>
          <w:rFonts w:eastAsia="SimSun"/>
          <w:lang w:eastAsia="zh-CN"/>
        </w:rPr>
        <w:t>Le Secrétariat de la COI propose d</w:t>
      </w:r>
      <w:r w:rsidR="00577D76" w:rsidRPr="001D5AE1">
        <w:rPr>
          <w:rFonts w:eastAsia="SimSun"/>
          <w:lang w:eastAsia="zh-CN"/>
        </w:rPr>
        <w:t>’</w:t>
      </w:r>
      <w:r w:rsidR="00BC4BD0" w:rsidRPr="001D5AE1">
        <w:rPr>
          <w:rFonts w:eastAsia="SimSun"/>
          <w:lang w:eastAsia="zh-CN"/>
        </w:rPr>
        <w:t>obtenir un avis juridique adéquat sur la meilleure façon de mettre en œuvre les dispositions de l</w:t>
      </w:r>
      <w:r w:rsidR="00577D76" w:rsidRPr="001D5AE1">
        <w:rPr>
          <w:rFonts w:eastAsia="SimSun"/>
          <w:lang w:eastAsia="zh-CN"/>
        </w:rPr>
        <w:t>’</w:t>
      </w:r>
      <w:r w:rsidR="00BC4BD0" w:rsidRPr="001D5AE1">
        <w:rPr>
          <w:rFonts w:eastAsia="SimSun"/>
          <w:lang w:eastAsia="zh-CN"/>
        </w:rPr>
        <w:t>article 10 afin d</w:t>
      </w:r>
      <w:r w:rsidR="00577D76" w:rsidRPr="001D5AE1">
        <w:rPr>
          <w:rFonts w:eastAsia="SimSun"/>
          <w:lang w:eastAsia="zh-CN"/>
        </w:rPr>
        <w:t>’</w:t>
      </w:r>
      <w:r w:rsidR="00BC4BD0" w:rsidRPr="001D5AE1">
        <w:rPr>
          <w:rFonts w:eastAsia="SimSun"/>
          <w:lang w:eastAsia="zh-CN"/>
        </w:rPr>
        <w:t>assurer l</w:t>
      </w:r>
      <w:r w:rsidR="00577D76" w:rsidRPr="001D5AE1">
        <w:rPr>
          <w:rFonts w:eastAsia="SimSun"/>
          <w:lang w:eastAsia="zh-CN"/>
        </w:rPr>
        <w:t>’</w:t>
      </w:r>
      <w:r w:rsidR="00BC4BD0" w:rsidRPr="001D5AE1">
        <w:rPr>
          <w:rFonts w:eastAsia="SimSun"/>
          <w:lang w:eastAsia="zh-CN"/>
        </w:rPr>
        <w:t>exécution efficace et continue de ses programmes mondiaux et régionaux, y compris la Décennie de l</w:t>
      </w:r>
      <w:r w:rsidR="00577D76" w:rsidRPr="001D5AE1">
        <w:rPr>
          <w:rFonts w:eastAsia="SimSun"/>
          <w:lang w:eastAsia="zh-CN"/>
        </w:rPr>
        <w:t>’</w:t>
      </w:r>
      <w:r w:rsidR="00BC4BD0" w:rsidRPr="001D5AE1">
        <w:rPr>
          <w:rFonts w:eastAsia="SimSun"/>
          <w:lang w:eastAsia="zh-CN"/>
        </w:rPr>
        <w:t>Océan.</w:t>
      </w:r>
    </w:p>
    <w:p w14:paraId="57BA2F37" w14:textId="42529597" w:rsidR="00BC4BD0" w:rsidRPr="001D5AE1" w:rsidRDefault="00145259" w:rsidP="009957F6">
      <w:pPr>
        <w:pStyle w:val="Marge"/>
        <w:rPr>
          <w:rFonts w:eastAsia="SimSun"/>
          <w:lang w:eastAsia="zh-CN"/>
        </w:rPr>
      </w:pPr>
      <w:r w:rsidRPr="001D5AE1">
        <w:rPr>
          <w:rFonts w:eastAsia="SimSun"/>
          <w:lang w:eastAsia="zh-CN"/>
        </w:rPr>
        <w:t>24.</w:t>
      </w:r>
      <w:r w:rsidRPr="001D5AE1">
        <w:rPr>
          <w:rFonts w:eastAsia="SimSun"/>
          <w:lang w:eastAsia="zh-CN"/>
        </w:rPr>
        <w:tab/>
      </w:r>
      <w:r w:rsidR="00BC4BD0" w:rsidRPr="001D5AE1">
        <w:rPr>
          <w:rFonts w:eastAsia="SimSun"/>
          <w:lang w:eastAsia="zh-CN"/>
        </w:rPr>
        <w:t>Les programmes de la COI pourraient également être mieux présentés, par exemple sous la forme d</w:t>
      </w:r>
      <w:r w:rsidR="00577D76" w:rsidRPr="001D5AE1">
        <w:rPr>
          <w:rFonts w:eastAsia="SimSun"/>
          <w:lang w:eastAsia="zh-CN"/>
        </w:rPr>
        <w:t>’</w:t>
      </w:r>
      <w:r w:rsidR="00BC4BD0" w:rsidRPr="001D5AE1">
        <w:rPr>
          <w:rFonts w:eastAsia="SimSun"/>
          <w:lang w:eastAsia="zh-CN"/>
        </w:rPr>
        <w:t xml:space="preserve">un cadre directeur de planification et de gestion durables des océans qui fournirait un </w:t>
      </w:r>
      <w:r w:rsidR="00BC4BD0" w:rsidRPr="001D5AE1">
        <w:rPr>
          <w:rFonts w:eastAsia="SimSun"/>
          <w:lang w:eastAsia="zh-CN"/>
        </w:rPr>
        <w:lastRenderedPageBreak/>
        <w:t>thème ou un fil rouge aux travaux de la COI, afin que les décideurs de haut niveau soient plus enclins à verser des contributions financières. La COI pourrait mener un exercice de cadrage auprès de ses États membres pour recenser leurs priorités et savoir quels aspects de la gestion durable des océans ils privilégient. Elle pourrait ensuite utiliser ces connaissances pour attirer de nouveaux financements en soulignant les actions qu</w:t>
      </w:r>
      <w:r w:rsidR="00577D76" w:rsidRPr="001D5AE1">
        <w:rPr>
          <w:rFonts w:eastAsia="SimSun"/>
          <w:lang w:eastAsia="zh-CN"/>
        </w:rPr>
        <w:t>’</w:t>
      </w:r>
      <w:r w:rsidR="00BC4BD0" w:rsidRPr="001D5AE1">
        <w:rPr>
          <w:rFonts w:eastAsia="SimSun"/>
          <w:lang w:eastAsia="zh-CN"/>
        </w:rPr>
        <w:t>elle mène déjà pour les thèmes prioritaires et en expliquant aux donateurs ce qu</w:t>
      </w:r>
      <w:r w:rsidR="00577D76" w:rsidRPr="001D5AE1">
        <w:rPr>
          <w:rFonts w:eastAsia="SimSun"/>
          <w:lang w:eastAsia="zh-CN"/>
        </w:rPr>
        <w:t>’</w:t>
      </w:r>
      <w:r w:rsidR="00BC4BD0" w:rsidRPr="001D5AE1">
        <w:rPr>
          <w:rFonts w:eastAsia="SimSun"/>
          <w:lang w:eastAsia="zh-CN"/>
        </w:rPr>
        <w:t>ils peuvent apporter de plus. Cet exercice aurait une envergure régionale et porterait sur les groupes bénéficiaires prioritaires. De cette manière, la tâche de la COI serait plus « structurée », permettant ainsi d</w:t>
      </w:r>
      <w:r w:rsidR="00577D76" w:rsidRPr="001D5AE1">
        <w:rPr>
          <w:rFonts w:eastAsia="SimSun"/>
          <w:lang w:eastAsia="zh-CN"/>
        </w:rPr>
        <w:t>’</w:t>
      </w:r>
      <w:r w:rsidR="00BC4BD0" w:rsidRPr="001D5AE1">
        <w:rPr>
          <w:rFonts w:eastAsia="SimSun"/>
          <w:lang w:eastAsia="zh-CN"/>
        </w:rPr>
        <w:t>obtenir des fonds dévolus à des réalisations et à des objectifs spécifiques. Cette démarche pourrait compléter le dialogue structuré sur le financement de l</w:t>
      </w:r>
      <w:r w:rsidR="00577D76" w:rsidRPr="001D5AE1">
        <w:rPr>
          <w:rFonts w:eastAsia="SimSun"/>
          <w:lang w:eastAsia="zh-CN"/>
        </w:rPr>
        <w:t>’</w:t>
      </w:r>
      <w:r w:rsidR="00BC4BD0" w:rsidRPr="001D5AE1">
        <w:rPr>
          <w:rFonts w:eastAsia="SimSun"/>
          <w:lang w:eastAsia="zh-CN"/>
        </w:rPr>
        <w:t>UNESCO. Des rapports améliorés et une communication efficace seront également nécessaires pour faire ressortir les réussites et valoriser l</w:t>
      </w:r>
      <w:r w:rsidR="00577D76" w:rsidRPr="001D5AE1">
        <w:rPr>
          <w:rFonts w:eastAsia="SimSun"/>
          <w:lang w:eastAsia="zh-CN"/>
        </w:rPr>
        <w:t>’</w:t>
      </w:r>
      <w:r w:rsidR="00BC4BD0" w:rsidRPr="001D5AE1">
        <w:rPr>
          <w:rFonts w:eastAsia="SimSun"/>
          <w:lang w:eastAsia="zh-CN"/>
        </w:rPr>
        <w:t>investissement des donateurs. La COI pourrait également faire appel à des experts en communication stratégique pour l</w:t>
      </w:r>
      <w:r w:rsidR="00577D76" w:rsidRPr="001D5AE1">
        <w:rPr>
          <w:rFonts w:eastAsia="SimSun"/>
          <w:lang w:eastAsia="zh-CN"/>
        </w:rPr>
        <w:t>’</w:t>
      </w:r>
      <w:r w:rsidR="00BC4BD0" w:rsidRPr="001D5AE1">
        <w:rPr>
          <w:rFonts w:eastAsia="SimSun"/>
          <w:lang w:eastAsia="zh-CN"/>
        </w:rPr>
        <w:t>aider à élaborer un fil directeur et un message forts à l</w:t>
      </w:r>
      <w:r w:rsidR="00577D76" w:rsidRPr="001D5AE1">
        <w:rPr>
          <w:rFonts w:eastAsia="SimSun"/>
          <w:lang w:eastAsia="zh-CN"/>
        </w:rPr>
        <w:t>’</w:t>
      </w:r>
      <w:r w:rsidR="00BC4BD0" w:rsidRPr="001D5AE1">
        <w:rPr>
          <w:rFonts w:eastAsia="SimSun"/>
          <w:lang w:eastAsia="zh-CN"/>
        </w:rPr>
        <w:t>intention de différents groupes cibles dans le cadre de la planification et de la gestion durables des océans.</w:t>
      </w:r>
    </w:p>
    <w:p w14:paraId="1CB2438C" w14:textId="712BEE62" w:rsidR="00BC4BD0" w:rsidRPr="001D5AE1" w:rsidRDefault="00145259" w:rsidP="009957F6">
      <w:pPr>
        <w:pStyle w:val="Marge"/>
        <w:rPr>
          <w:rFonts w:eastAsia="SimSun"/>
          <w:lang w:eastAsia="zh-CN"/>
        </w:rPr>
      </w:pPr>
      <w:r w:rsidRPr="001D5AE1">
        <w:rPr>
          <w:rFonts w:eastAsia="SimSun"/>
          <w:lang w:eastAsia="zh-CN"/>
        </w:rPr>
        <w:t>25.</w:t>
      </w:r>
      <w:r w:rsidRPr="001D5AE1">
        <w:rPr>
          <w:rFonts w:eastAsia="SimSun"/>
          <w:lang w:eastAsia="zh-CN"/>
        </w:rPr>
        <w:tab/>
      </w:r>
      <w:r w:rsidR="00BC4BD0" w:rsidRPr="001D5AE1">
        <w:rPr>
          <w:rFonts w:eastAsia="SimSun"/>
          <w:lang w:eastAsia="zh-CN"/>
        </w:rPr>
        <w:t>En outre, il est foncièrement indispensable de remédier au manque de porte</w:t>
      </w:r>
      <w:r w:rsidR="00957223" w:rsidRPr="001D5AE1">
        <w:rPr>
          <w:rFonts w:eastAsia="SimSun"/>
          <w:lang w:eastAsia="zh-CN"/>
        </w:rPr>
        <w:noBreakHyphen/>
      </w:r>
      <w:r w:rsidR="00BC4BD0" w:rsidRPr="001D5AE1">
        <w:rPr>
          <w:rFonts w:eastAsia="SimSun"/>
          <w:lang w:eastAsia="zh-CN"/>
        </w:rPr>
        <w:t>drapeaux nationaux de la COI au sein des ministères. Comme indiqué ci-dessus, la plupart des pays ne disposent pas de ministères chargés des sciences océaniques. Étant donné que le mandat principal de la COI évoque ces dernières, la Commission ne dispose pas, contrairement à d</w:t>
      </w:r>
      <w:r w:rsidR="00577D76" w:rsidRPr="001D5AE1">
        <w:rPr>
          <w:rFonts w:eastAsia="SimSun"/>
          <w:lang w:eastAsia="zh-CN"/>
        </w:rPr>
        <w:t>’</w:t>
      </w:r>
      <w:r w:rsidR="00BC4BD0" w:rsidRPr="001D5AE1">
        <w:rPr>
          <w:rFonts w:eastAsia="SimSun"/>
          <w:lang w:eastAsia="zh-CN"/>
        </w:rPr>
        <w:t xml:space="preserve">autres institutions des </w:t>
      </w:r>
      <w:r w:rsidR="00172412" w:rsidRPr="001D5AE1">
        <w:rPr>
          <w:rFonts w:eastAsia="SimSun"/>
          <w:lang w:eastAsia="zh-CN"/>
        </w:rPr>
        <w:t>Nations Unies</w:t>
      </w:r>
      <w:r w:rsidR="00BC4BD0" w:rsidRPr="001D5AE1">
        <w:rPr>
          <w:rFonts w:eastAsia="SimSun"/>
          <w:lang w:eastAsia="zh-CN"/>
        </w:rPr>
        <w:t>, d</w:t>
      </w:r>
      <w:r w:rsidR="00577D76" w:rsidRPr="001D5AE1">
        <w:rPr>
          <w:rFonts w:eastAsia="SimSun"/>
          <w:lang w:eastAsia="zh-CN"/>
        </w:rPr>
        <w:t>’</w:t>
      </w:r>
      <w:r w:rsidR="00BC4BD0" w:rsidRPr="001D5AE1">
        <w:rPr>
          <w:rFonts w:eastAsia="SimSun"/>
          <w:lang w:eastAsia="zh-CN"/>
        </w:rPr>
        <w:t>interlocuteurs occupant une place stratégique et disposant de ressources généreuses. Cependant, la COI se fait une place en tant qu</w:t>
      </w:r>
      <w:r w:rsidR="00577D76" w:rsidRPr="001D5AE1">
        <w:rPr>
          <w:rFonts w:eastAsia="SimSun"/>
          <w:lang w:eastAsia="zh-CN"/>
        </w:rPr>
        <w:t>’</w:t>
      </w:r>
      <w:r w:rsidR="00BC4BD0" w:rsidRPr="001D5AE1">
        <w:rPr>
          <w:rFonts w:eastAsia="SimSun"/>
          <w:lang w:eastAsia="zh-CN"/>
        </w:rPr>
        <w:t>organisation mondiale chargée de fournir la base de connaissances et les capacités nécessaires à la planification et à la gestion durables des océans. Cette conjoncture découle de son expérience en matière de PEM et décrit de façon plus complète et axée sur les résultats sa contribution mondiale, notamment dans les domaines du changement climatique et des catastrophes naturelles ainsi que du bien</w:t>
      </w:r>
      <w:r w:rsidR="00577D76" w:rsidRPr="001D5AE1">
        <w:rPr>
          <w:rFonts w:eastAsia="SimSun"/>
          <w:lang w:eastAsia="zh-CN"/>
        </w:rPr>
        <w:noBreakHyphen/>
      </w:r>
      <w:r w:rsidR="00BC4BD0" w:rsidRPr="001D5AE1">
        <w:rPr>
          <w:rFonts w:eastAsia="SimSun"/>
          <w:lang w:eastAsia="zh-CN"/>
        </w:rPr>
        <w:t>être économique. Dans ce contexte, il y a lieu d</w:t>
      </w:r>
      <w:r w:rsidR="00577D76" w:rsidRPr="001D5AE1">
        <w:rPr>
          <w:rFonts w:eastAsia="SimSun"/>
          <w:lang w:eastAsia="zh-CN"/>
        </w:rPr>
        <w:t>’</w:t>
      </w:r>
      <w:r w:rsidR="00BC4BD0" w:rsidRPr="001D5AE1">
        <w:rPr>
          <w:rFonts w:eastAsia="SimSun"/>
          <w:lang w:eastAsia="zh-CN"/>
        </w:rPr>
        <w:t>étudier la manière dont la COI peut mobiliser les décideurs nationaux à ce niveau plus stratégique.</w:t>
      </w:r>
    </w:p>
    <w:p w14:paraId="7DD62148" w14:textId="126A4069" w:rsidR="00BC4BD0" w:rsidRPr="001D5AE1" w:rsidRDefault="00145259" w:rsidP="009957F6">
      <w:pPr>
        <w:pStyle w:val="Marge"/>
        <w:rPr>
          <w:rFonts w:eastAsia="SimSun"/>
          <w:lang w:eastAsia="zh-CN"/>
        </w:rPr>
      </w:pPr>
      <w:r w:rsidRPr="001D5AE1">
        <w:rPr>
          <w:rFonts w:eastAsia="SimSun"/>
          <w:lang w:eastAsia="zh-CN"/>
        </w:rPr>
        <w:t>26.</w:t>
      </w:r>
      <w:r w:rsidRPr="001D5AE1">
        <w:rPr>
          <w:rFonts w:eastAsia="SimSun"/>
          <w:lang w:eastAsia="zh-CN"/>
        </w:rPr>
        <w:tab/>
      </w:r>
      <w:r w:rsidR="00BC4BD0" w:rsidRPr="001D5AE1">
        <w:rPr>
          <w:rFonts w:eastAsia="SimSun"/>
          <w:lang w:eastAsia="zh-CN"/>
        </w:rPr>
        <w:t>Une solution pourrait consister à organiser régulièrement un forum destiné aux décideurs de haut niveau qui ont la capacité de participer à des discussions stratégiques sur la planification et la gestion durables ainsi qu</w:t>
      </w:r>
      <w:r w:rsidR="00577D76" w:rsidRPr="001D5AE1">
        <w:rPr>
          <w:rFonts w:eastAsia="SimSun"/>
          <w:lang w:eastAsia="zh-CN"/>
        </w:rPr>
        <w:t>’</w:t>
      </w:r>
      <w:r w:rsidR="00BC4BD0" w:rsidRPr="001D5AE1">
        <w:rPr>
          <w:rFonts w:eastAsia="SimSun"/>
          <w:lang w:eastAsia="zh-CN"/>
        </w:rPr>
        <w:t>au financement de la Commission. Cette rencontre pourrait avoir lieu tous les quatre ans, en phase avec le cycle budgétaire quadriennal. Elle pourrait permettre de faire évoluer la façon dont les décideurs perçoivent la mission de la COI (des sciences océaniques purement techniques aux sciences océaniques au service d</w:t>
      </w:r>
      <w:r w:rsidR="00577D76" w:rsidRPr="001D5AE1">
        <w:rPr>
          <w:rFonts w:eastAsia="SimSun"/>
          <w:lang w:eastAsia="zh-CN"/>
        </w:rPr>
        <w:t>’</w:t>
      </w:r>
      <w:r w:rsidR="00BC4BD0" w:rsidRPr="001D5AE1">
        <w:rPr>
          <w:rFonts w:eastAsia="SimSun"/>
          <w:lang w:eastAsia="zh-CN"/>
        </w:rPr>
        <w:t>un objectif, à savoir la planification et la gestion durables des océans) et d</w:t>
      </w:r>
      <w:r w:rsidR="00577D76" w:rsidRPr="001D5AE1">
        <w:rPr>
          <w:rFonts w:eastAsia="SimSun"/>
          <w:lang w:eastAsia="zh-CN"/>
        </w:rPr>
        <w:t>’</w:t>
      </w:r>
      <w:r w:rsidR="00BC4BD0" w:rsidRPr="001D5AE1">
        <w:rPr>
          <w:rFonts w:eastAsia="SimSun"/>
          <w:lang w:eastAsia="zh-CN"/>
        </w:rPr>
        <w:t>améliorer la visibilité de la Commission. Cela pourrait amorcer l</w:t>
      </w:r>
      <w:r w:rsidR="00577D76" w:rsidRPr="001D5AE1">
        <w:rPr>
          <w:rFonts w:eastAsia="SimSun"/>
          <w:lang w:eastAsia="zh-CN"/>
        </w:rPr>
        <w:t>’</w:t>
      </w:r>
      <w:r w:rsidR="00BC4BD0" w:rsidRPr="001D5AE1">
        <w:rPr>
          <w:rFonts w:eastAsia="SimSun"/>
          <w:lang w:eastAsia="zh-CN"/>
        </w:rPr>
        <w:t>élaboration d</w:t>
      </w:r>
      <w:r w:rsidR="00577D76" w:rsidRPr="001D5AE1">
        <w:rPr>
          <w:rFonts w:eastAsia="SimSun"/>
          <w:lang w:eastAsia="zh-CN"/>
        </w:rPr>
        <w:t>’</w:t>
      </w:r>
      <w:r w:rsidR="00BC4BD0" w:rsidRPr="001D5AE1">
        <w:rPr>
          <w:rFonts w:eastAsia="SimSun"/>
          <w:lang w:eastAsia="zh-CN"/>
        </w:rPr>
        <w:t>un mandat et d</w:t>
      </w:r>
      <w:r w:rsidR="00577D76" w:rsidRPr="001D5AE1">
        <w:rPr>
          <w:rFonts w:eastAsia="SimSun"/>
          <w:lang w:eastAsia="zh-CN"/>
        </w:rPr>
        <w:t>’</w:t>
      </w:r>
      <w:r w:rsidR="00BC4BD0" w:rsidRPr="001D5AE1">
        <w:rPr>
          <w:rFonts w:eastAsia="SimSun"/>
          <w:lang w:eastAsia="zh-CN"/>
        </w:rPr>
        <w:t>un cadre institutionnel qui reflètent les défis océaniques du XXI</w:t>
      </w:r>
      <w:r w:rsidR="00BC4BD0" w:rsidRPr="001D5AE1">
        <w:rPr>
          <w:rFonts w:eastAsia="SimSun"/>
          <w:vertAlign w:val="superscript"/>
          <w:lang w:eastAsia="zh-CN"/>
        </w:rPr>
        <w:t>e</w:t>
      </w:r>
      <w:r w:rsidR="00BC4BD0" w:rsidRPr="001D5AE1">
        <w:rPr>
          <w:rFonts w:eastAsia="SimSun"/>
          <w:lang w:eastAsia="zh-CN"/>
        </w:rPr>
        <w:t> siècle.</w:t>
      </w:r>
    </w:p>
    <w:p w14:paraId="1AC7B5AE" w14:textId="72B9CCEB" w:rsidR="00BC4BD0" w:rsidRPr="001D5AE1" w:rsidRDefault="00145259" w:rsidP="009957F6">
      <w:pPr>
        <w:pStyle w:val="Marge"/>
        <w:rPr>
          <w:rFonts w:eastAsia="SimSun"/>
          <w:lang w:eastAsia="zh-CN"/>
        </w:rPr>
      </w:pPr>
      <w:r w:rsidRPr="001D5AE1">
        <w:rPr>
          <w:rFonts w:eastAsia="SimSun"/>
          <w:lang w:eastAsia="zh-CN"/>
        </w:rPr>
        <w:t>27.</w:t>
      </w:r>
      <w:r w:rsidRPr="001D5AE1">
        <w:rPr>
          <w:rFonts w:eastAsia="SimSun"/>
          <w:lang w:eastAsia="zh-CN"/>
        </w:rPr>
        <w:tab/>
      </w:r>
      <w:r w:rsidR="00BC4BD0" w:rsidRPr="001D5AE1">
        <w:rPr>
          <w:rFonts w:eastAsia="SimSun"/>
          <w:lang w:eastAsia="zh-CN"/>
        </w:rPr>
        <w:t>La Décennie de l</w:t>
      </w:r>
      <w:r w:rsidR="00577D76" w:rsidRPr="001D5AE1">
        <w:rPr>
          <w:rFonts w:eastAsia="SimSun"/>
          <w:lang w:eastAsia="zh-CN"/>
        </w:rPr>
        <w:t>’</w:t>
      </w:r>
      <w:r w:rsidR="00BC4BD0" w:rsidRPr="001D5AE1">
        <w:rPr>
          <w:rFonts w:eastAsia="SimSun"/>
          <w:lang w:eastAsia="zh-CN"/>
        </w:rPr>
        <w:t>Océan ouvre la voie à des discussions avec de nouveaux partenaires financiers, notamment le secteur maritime et les organismes philanthropiques. Jusqu</w:t>
      </w:r>
      <w:r w:rsidR="00577D76" w:rsidRPr="001D5AE1">
        <w:rPr>
          <w:rFonts w:eastAsia="SimSun"/>
          <w:lang w:eastAsia="zh-CN"/>
        </w:rPr>
        <w:t>’</w:t>
      </w:r>
      <w:r w:rsidR="00BC4BD0" w:rsidRPr="001D5AE1">
        <w:rPr>
          <w:rFonts w:eastAsia="SimSun"/>
          <w:lang w:eastAsia="zh-CN"/>
        </w:rPr>
        <w:t>à présent, les efforts ont surtout été consacrés à nouer des relations avec ces partenaires, mais les discussions s</w:t>
      </w:r>
      <w:r w:rsidR="00577D76" w:rsidRPr="001D5AE1">
        <w:rPr>
          <w:rFonts w:eastAsia="SimSun"/>
          <w:lang w:eastAsia="zh-CN"/>
        </w:rPr>
        <w:t>’</w:t>
      </w:r>
      <w:r w:rsidR="00BC4BD0" w:rsidRPr="001D5AE1">
        <w:rPr>
          <w:rFonts w:eastAsia="SimSun"/>
          <w:lang w:eastAsia="zh-CN"/>
        </w:rPr>
        <w:t>orientent désormais sur la manière dont ces partenaires peuvent apporter un soutien en nature ou financier aux initiatives prioritaires dans le cadre de la Décennie de l</w:t>
      </w:r>
      <w:r w:rsidR="00577D76" w:rsidRPr="001D5AE1">
        <w:rPr>
          <w:rFonts w:eastAsia="SimSun"/>
          <w:lang w:eastAsia="zh-CN"/>
        </w:rPr>
        <w:t>’</w:t>
      </w:r>
      <w:r w:rsidR="00BC4BD0" w:rsidRPr="001D5AE1">
        <w:rPr>
          <w:rFonts w:eastAsia="SimSun"/>
          <w:lang w:eastAsia="zh-CN"/>
        </w:rPr>
        <w:t>Océan. Bien qu</w:t>
      </w:r>
      <w:r w:rsidR="00577D76" w:rsidRPr="001D5AE1">
        <w:rPr>
          <w:rFonts w:eastAsia="SimSun"/>
          <w:lang w:eastAsia="zh-CN"/>
        </w:rPr>
        <w:t>’</w:t>
      </w:r>
      <w:r w:rsidR="00BC4BD0" w:rsidRPr="001D5AE1">
        <w:rPr>
          <w:rFonts w:eastAsia="SimSun"/>
          <w:lang w:eastAsia="zh-CN"/>
        </w:rPr>
        <w:t>il soit nécessaire de séparer</w:t>
      </w:r>
      <w:r w:rsidR="00160D45" w:rsidRPr="001D5AE1">
        <w:rPr>
          <w:rFonts w:eastAsia="SimSun"/>
          <w:lang w:eastAsia="zh-CN"/>
        </w:rPr>
        <w:t>,</w:t>
      </w:r>
      <w:r w:rsidR="00BC4BD0" w:rsidRPr="001D5AE1">
        <w:rPr>
          <w:rFonts w:eastAsia="SimSun"/>
          <w:lang w:eastAsia="zh-CN"/>
        </w:rPr>
        <w:t xml:space="preserve"> dans une certaine mesure</w:t>
      </w:r>
      <w:r w:rsidR="00160D45" w:rsidRPr="001D5AE1">
        <w:rPr>
          <w:rFonts w:eastAsia="SimSun"/>
          <w:lang w:eastAsia="zh-CN"/>
        </w:rPr>
        <w:t>,</w:t>
      </w:r>
      <w:r w:rsidR="00BC4BD0" w:rsidRPr="001D5AE1">
        <w:rPr>
          <w:rFonts w:eastAsia="SimSun"/>
          <w:lang w:eastAsia="zh-CN"/>
        </w:rPr>
        <w:t xml:space="preserve"> le rôle de la COI en tant qu</w:t>
      </w:r>
      <w:r w:rsidR="00577D76" w:rsidRPr="001D5AE1">
        <w:rPr>
          <w:rFonts w:eastAsia="SimSun"/>
          <w:lang w:eastAsia="zh-CN"/>
        </w:rPr>
        <w:t>’</w:t>
      </w:r>
      <w:r w:rsidR="00BC4BD0" w:rsidRPr="001D5AE1">
        <w:rPr>
          <w:rFonts w:eastAsia="SimSun"/>
          <w:lang w:eastAsia="zh-CN"/>
        </w:rPr>
        <w:t>organisme de coordination de la Décennie de l</w:t>
      </w:r>
      <w:r w:rsidR="00577D76" w:rsidRPr="001D5AE1">
        <w:rPr>
          <w:rFonts w:eastAsia="SimSun"/>
          <w:lang w:eastAsia="zh-CN"/>
        </w:rPr>
        <w:t>’</w:t>
      </w:r>
      <w:r w:rsidR="00BC4BD0" w:rsidRPr="001D5AE1">
        <w:rPr>
          <w:rFonts w:eastAsia="SimSun"/>
          <w:lang w:eastAsia="zh-CN"/>
        </w:rPr>
        <w:t xml:space="preserve">Océan et son rôle dans la direction ou la </w:t>
      </w:r>
      <w:proofErr w:type="spellStart"/>
      <w:r w:rsidR="00BC4BD0" w:rsidRPr="001D5AE1">
        <w:rPr>
          <w:rFonts w:eastAsia="SimSun"/>
          <w:lang w:eastAsia="zh-CN"/>
        </w:rPr>
        <w:t>co</w:t>
      </w:r>
      <w:r w:rsidR="00160D45" w:rsidRPr="001D5AE1">
        <w:rPr>
          <w:rFonts w:eastAsia="SimSun"/>
          <w:lang w:eastAsia="zh-CN"/>
        </w:rPr>
        <w:noBreakHyphen/>
      </w:r>
      <w:r w:rsidR="00BC4BD0" w:rsidRPr="001D5AE1">
        <w:rPr>
          <w:rFonts w:eastAsia="SimSun"/>
          <w:lang w:eastAsia="zh-CN"/>
        </w:rPr>
        <w:t>direction</w:t>
      </w:r>
      <w:proofErr w:type="spellEnd"/>
      <w:r w:rsidR="00BC4BD0" w:rsidRPr="001D5AE1">
        <w:rPr>
          <w:rFonts w:eastAsia="SimSun"/>
          <w:lang w:eastAsia="zh-CN"/>
        </w:rPr>
        <w:t xml:space="preserve"> des actions de la Décennie, il convient d</w:t>
      </w:r>
      <w:r w:rsidR="00577D76" w:rsidRPr="001D5AE1">
        <w:rPr>
          <w:rFonts w:eastAsia="SimSun"/>
          <w:lang w:eastAsia="zh-CN"/>
        </w:rPr>
        <w:t>’</w:t>
      </w:r>
      <w:r w:rsidR="00BC4BD0" w:rsidRPr="001D5AE1">
        <w:rPr>
          <w:rFonts w:eastAsia="SimSun"/>
          <w:lang w:eastAsia="zh-CN"/>
        </w:rPr>
        <w:t>étudier en détail la possibilité que les initiatives menées par la COI bénéficient de ces nouveaux partenariats. Le positionnement du cadre directeur de la COI pour la planification et la gestion durables des océans dans le contexte de la Décennie de l</w:t>
      </w:r>
      <w:r w:rsidR="00577D76" w:rsidRPr="001D5AE1">
        <w:rPr>
          <w:rFonts w:eastAsia="SimSun"/>
          <w:lang w:eastAsia="zh-CN"/>
        </w:rPr>
        <w:t>’</w:t>
      </w:r>
      <w:r w:rsidR="00BC4BD0" w:rsidRPr="001D5AE1">
        <w:rPr>
          <w:rFonts w:eastAsia="SimSun"/>
          <w:lang w:eastAsia="zh-CN"/>
        </w:rPr>
        <w:t>Océan, par exemple par le biais de l</w:t>
      </w:r>
      <w:r w:rsidR="00577D76" w:rsidRPr="001D5AE1">
        <w:rPr>
          <w:rFonts w:eastAsia="SimSun"/>
          <w:lang w:eastAsia="zh-CN"/>
        </w:rPr>
        <w:t>’</w:t>
      </w:r>
      <w:r w:rsidR="00BC4BD0" w:rsidRPr="001D5AE1">
        <w:rPr>
          <w:rFonts w:eastAsia="SimSun"/>
          <w:lang w:eastAsia="zh-CN"/>
        </w:rPr>
        <w:t>élaboration d</w:t>
      </w:r>
      <w:r w:rsidR="00577D76" w:rsidRPr="001D5AE1">
        <w:rPr>
          <w:rFonts w:eastAsia="SimSun"/>
          <w:lang w:eastAsia="zh-CN"/>
        </w:rPr>
        <w:t>’</w:t>
      </w:r>
      <w:r w:rsidR="00BC4BD0" w:rsidRPr="001D5AE1">
        <w:rPr>
          <w:rFonts w:eastAsia="SimSun"/>
          <w:lang w:eastAsia="zh-CN"/>
        </w:rPr>
        <w:t>un programme de la Décennie sur la planification durable des océans, contribuerait à renforcer les messages et les liens.</w:t>
      </w:r>
    </w:p>
    <w:p w14:paraId="7A9184B0" w14:textId="77777777" w:rsidR="00BC4BD0" w:rsidRPr="001D5AE1" w:rsidRDefault="00BC4BD0" w:rsidP="009957F6">
      <w:pPr>
        <w:pStyle w:val="Heading3"/>
        <w:rPr>
          <w:rFonts w:eastAsia="SimSun"/>
          <w:lang w:eastAsia="zh-CN"/>
        </w:rPr>
      </w:pPr>
      <w:r w:rsidRPr="001D5AE1">
        <w:rPr>
          <w:rFonts w:eastAsia="SimSun"/>
          <w:lang w:eastAsia="zh-CN"/>
        </w:rPr>
        <w:t>Principales actions de mise en œuvre proposées :</w:t>
      </w:r>
    </w:p>
    <w:p w14:paraId="3B9C41C8" w14:textId="76356D74" w:rsidR="00BC4BD0" w:rsidRPr="001D5AE1" w:rsidRDefault="00145259" w:rsidP="009957F6">
      <w:pPr>
        <w:pStyle w:val="b"/>
        <w:rPr>
          <w:rFonts w:eastAsia="SimSun"/>
          <w:lang w:eastAsia="zh-CN"/>
        </w:rPr>
      </w:pPr>
      <w:r w:rsidRPr="001D5AE1">
        <w:rPr>
          <w:rFonts w:eastAsia="SimSun"/>
          <w:lang w:eastAsia="zh-CN"/>
        </w:rPr>
        <w:t>1.a.</w:t>
      </w:r>
      <w:r w:rsidRPr="001D5AE1">
        <w:rPr>
          <w:rFonts w:eastAsia="SimSun"/>
          <w:lang w:eastAsia="zh-CN"/>
        </w:rPr>
        <w:tab/>
      </w:r>
      <w:r w:rsidR="00BC4BD0" w:rsidRPr="001D5AE1">
        <w:rPr>
          <w:rFonts w:eastAsia="SimSun"/>
          <w:lang w:eastAsia="zh-CN"/>
        </w:rPr>
        <w:t>Obtenir des conseils juridiques professionnels sur les incidences de l</w:t>
      </w:r>
      <w:r w:rsidR="00577D76" w:rsidRPr="001D5AE1">
        <w:rPr>
          <w:rFonts w:eastAsia="SimSun"/>
          <w:lang w:eastAsia="zh-CN"/>
        </w:rPr>
        <w:t>’</w:t>
      </w:r>
      <w:r w:rsidR="00BC4BD0" w:rsidRPr="001D5AE1">
        <w:rPr>
          <w:rFonts w:eastAsia="SimSun"/>
          <w:lang w:eastAsia="zh-CN"/>
        </w:rPr>
        <w:t>application de l</w:t>
      </w:r>
      <w:r w:rsidR="00577D76" w:rsidRPr="001D5AE1">
        <w:rPr>
          <w:rFonts w:eastAsia="SimSun"/>
          <w:lang w:eastAsia="zh-CN"/>
        </w:rPr>
        <w:t>’</w:t>
      </w:r>
      <w:r w:rsidR="00BC4BD0" w:rsidRPr="001D5AE1">
        <w:rPr>
          <w:rFonts w:eastAsia="SimSun"/>
          <w:lang w:eastAsia="zh-CN"/>
        </w:rPr>
        <w:t>article 10.4 des statuts de la COI pour mobiliser des fonds supplémentaires en faveur de la Commission afin d</w:t>
      </w:r>
      <w:r w:rsidR="00577D76" w:rsidRPr="001D5AE1">
        <w:rPr>
          <w:rFonts w:eastAsia="SimSun"/>
          <w:lang w:eastAsia="zh-CN"/>
        </w:rPr>
        <w:t>’</w:t>
      </w:r>
      <w:r w:rsidR="00BC4BD0" w:rsidRPr="001D5AE1">
        <w:rPr>
          <w:rFonts w:eastAsia="SimSun"/>
          <w:lang w:eastAsia="zh-CN"/>
        </w:rPr>
        <w:t>assurer la mise en œuvre efficace et continue de ses programmes mondiaux et régionaux, y compris la Décennie de l</w:t>
      </w:r>
      <w:r w:rsidR="00577D76" w:rsidRPr="001D5AE1">
        <w:rPr>
          <w:rFonts w:eastAsia="SimSun"/>
          <w:lang w:eastAsia="zh-CN"/>
        </w:rPr>
        <w:t>’</w:t>
      </w:r>
      <w:r w:rsidR="00BC4BD0" w:rsidRPr="001D5AE1">
        <w:rPr>
          <w:rFonts w:eastAsia="SimSun"/>
          <w:lang w:eastAsia="zh-CN"/>
        </w:rPr>
        <w:t>Océan ;</w:t>
      </w:r>
    </w:p>
    <w:p w14:paraId="74947A95" w14:textId="2CCEF173" w:rsidR="00BC4BD0" w:rsidRPr="001D5AE1" w:rsidRDefault="00145259" w:rsidP="009957F6">
      <w:pPr>
        <w:pStyle w:val="b"/>
        <w:rPr>
          <w:rFonts w:eastAsia="SimSun"/>
          <w:lang w:eastAsia="zh-CN"/>
        </w:rPr>
      </w:pPr>
      <w:r w:rsidRPr="001D5AE1">
        <w:rPr>
          <w:rFonts w:eastAsia="SimSun"/>
          <w:lang w:eastAsia="zh-CN"/>
        </w:rPr>
        <w:lastRenderedPageBreak/>
        <w:t>1.b.</w:t>
      </w:r>
      <w:r w:rsidRPr="001D5AE1">
        <w:rPr>
          <w:rFonts w:eastAsia="SimSun"/>
          <w:lang w:eastAsia="zh-CN"/>
        </w:rPr>
        <w:tab/>
      </w:r>
      <w:r w:rsidR="00BC4BD0" w:rsidRPr="001D5AE1">
        <w:rPr>
          <w:rFonts w:eastAsia="SimSun"/>
          <w:lang w:eastAsia="zh-CN"/>
        </w:rPr>
        <w:t>En coopération avec le Bureau de la planification stratégique (BSP) de l</w:t>
      </w:r>
      <w:r w:rsidR="00577D76" w:rsidRPr="001D5AE1">
        <w:rPr>
          <w:rFonts w:eastAsia="SimSun"/>
          <w:lang w:eastAsia="zh-CN"/>
        </w:rPr>
        <w:t>’</w:t>
      </w:r>
      <w:r w:rsidR="00BC4BD0" w:rsidRPr="001D5AE1">
        <w:rPr>
          <w:rFonts w:eastAsia="SimSun"/>
          <w:lang w:eastAsia="zh-CN"/>
        </w:rPr>
        <w:t>UNESCO, mettre en place un dialogue structuré sur le financement en vue d</w:t>
      </w:r>
      <w:r w:rsidR="00577D76" w:rsidRPr="001D5AE1">
        <w:rPr>
          <w:rFonts w:eastAsia="SimSun"/>
          <w:lang w:eastAsia="zh-CN"/>
        </w:rPr>
        <w:t>’</w:t>
      </w:r>
      <w:r w:rsidR="00BC4BD0" w:rsidRPr="001D5AE1">
        <w:rPr>
          <w:rFonts w:eastAsia="SimSun"/>
          <w:lang w:eastAsia="zh-CN"/>
        </w:rPr>
        <w:t>attirer de nouveaux donateurs ; pour y parvenir, former un petit groupe d</w:t>
      </w:r>
      <w:r w:rsidR="00577D76" w:rsidRPr="001D5AE1">
        <w:rPr>
          <w:rFonts w:eastAsia="SimSun"/>
          <w:lang w:eastAsia="zh-CN"/>
        </w:rPr>
        <w:t>’</w:t>
      </w:r>
      <w:r w:rsidR="00BC4BD0" w:rsidRPr="001D5AE1">
        <w:rPr>
          <w:rFonts w:eastAsia="SimSun"/>
          <w:lang w:eastAsia="zh-CN"/>
        </w:rPr>
        <w:t>États membres, peut</w:t>
      </w:r>
      <w:r w:rsidR="00C8059E" w:rsidRPr="001D5AE1">
        <w:rPr>
          <w:rFonts w:eastAsia="SimSun"/>
          <w:lang w:eastAsia="zh-CN"/>
        </w:rPr>
        <w:noBreakHyphen/>
      </w:r>
      <w:r w:rsidR="00BC4BD0" w:rsidRPr="001D5AE1">
        <w:rPr>
          <w:rFonts w:eastAsia="SimSun"/>
          <w:lang w:eastAsia="zh-CN"/>
        </w:rPr>
        <w:t>être les principaux contributeurs actuels, qui pourraient servir d</w:t>
      </w:r>
      <w:r w:rsidR="00577D76" w:rsidRPr="001D5AE1">
        <w:rPr>
          <w:rFonts w:eastAsia="SimSun"/>
          <w:lang w:eastAsia="zh-CN"/>
        </w:rPr>
        <w:t>’</w:t>
      </w:r>
      <w:r w:rsidR="00BC4BD0" w:rsidRPr="001D5AE1">
        <w:rPr>
          <w:rFonts w:eastAsia="SimSun"/>
          <w:lang w:eastAsia="zh-CN"/>
        </w:rPr>
        <w:t>agents de plaidoyer et mener des discussions avec leurs homologues sur la mobilisation de ressources et l</w:t>
      </w:r>
      <w:r w:rsidR="00577D76" w:rsidRPr="001D5AE1">
        <w:rPr>
          <w:rFonts w:eastAsia="SimSun"/>
          <w:lang w:eastAsia="zh-CN"/>
        </w:rPr>
        <w:t>’</w:t>
      </w:r>
      <w:r w:rsidR="00BC4BD0" w:rsidRPr="001D5AE1">
        <w:rPr>
          <w:rFonts w:eastAsia="SimSun"/>
          <w:lang w:eastAsia="zh-CN"/>
        </w:rPr>
        <w:t>engagement ;</w:t>
      </w:r>
    </w:p>
    <w:p w14:paraId="7F2F99AA" w14:textId="44E64D42" w:rsidR="00BC4BD0" w:rsidRPr="001D5AE1" w:rsidRDefault="00145259" w:rsidP="009957F6">
      <w:pPr>
        <w:pStyle w:val="b"/>
        <w:rPr>
          <w:rFonts w:eastAsia="SimSun"/>
          <w:lang w:eastAsia="zh-CN"/>
        </w:rPr>
      </w:pPr>
      <w:r w:rsidRPr="001D5AE1">
        <w:rPr>
          <w:rFonts w:eastAsia="SimSun"/>
          <w:lang w:eastAsia="zh-CN"/>
        </w:rPr>
        <w:t>1.c.</w:t>
      </w:r>
      <w:r w:rsidRPr="001D5AE1">
        <w:rPr>
          <w:rFonts w:eastAsia="SimSun"/>
          <w:lang w:eastAsia="zh-CN"/>
        </w:rPr>
        <w:tab/>
      </w:r>
      <w:r w:rsidR="00BC4BD0" w:rsidRPr="001D5AE1">
        <w:rPr>
          <w:rFonts w:eastAsia="SimSun"/>
          <w:lang w:eastAsia="zh-CN"/>
        </w:rPr>
        <w:t>Étudier les possibilités d</w:t>
      </w:r>
      <w:r w:rsidR="00577D76" w:rsidRPr="001D5AE1">
        <w:rPr>
          <w:rFonts w:eastAsia="SimSun"/>
          <w:lang w:eastAsia="zh-CN"/>
        </w:rPr>
        <w:t>’</w:t>
      </w:r>
      <w:r w:rsidR="00BC4BD0" w:rsidRPr="001D5AE1">
        <w:rPr>
          <w:rFonts w:eastAsia="SimSun"/>
          <w:lang w:eastAsia="zh-CN"/>
        </w:rPr>
        <w:t>organiser tous les quatre ans un forum de haut niveau sur la prise de décision</w:t>
      </w:r>
      <w:r w:rsidR="00C8059E" w:rsidRPr="001D5AE1">
        <w:rPr>
          <w:rFonts w:eastAsia="SimSun"/>
          <w:lang w:eastAsia="zh-CN"/>
        </w:rPr>
        <w:t>s</w:t>
      </w:r>
      <w:r w:rsidR="00BC4BD0" w:rsidRPr="001D5AE1">
        <w:rPr>
          <w:rFonts w:eastAsia="SimSun"/>
          <w:lang w:eastAsia="zh-CN"/>
        </w:rPr>
        <w:t>, éventuellement en liaison avec l</w:t>
      </w:r>
      <w:r w:rsidR="00577D76" w:rsidRPr="001D5AE1">
        <w:rPr>
          <w:rFonts w:eastAsia="SimSun"/>
          <w:lang w:eastAsia="zh-CN"/>
        </w:rPr>
        <w:t>’</w:t>
      </w:r>
      <w:r w:rsidR="00BC4BD0" w:rsidRPr="001D5AE1">
        <w:rPr>
          <w:rFonts w:eastAsia="SimSun"/>
          <w:lang w:eastAsia="zh-CN"/>
        </w:rPr>
        <w:t>Assemblée de la COI ;</w:t>
      </w:r>
    </w:p>
    <w:p w14:paraId="6027128E" w14:textId="672D6B0B" w:rsidR="00BC4BD0" w:rsidRPr="001D5AE1" w:rsidRDefault="00145259" w:rsidP="009957F6">
      <w:pPr>
        <w:pStyle w:val="b"/>
        <w:rPr>
          <w:rFonts w:eastAsia="SimSun"/>
          <w:lang w:eastAsia="zh-CN"/>
        </w:rPr>
      </w:pPr>
      <w:r w:rsidRPr="001D5AE1">
        <w:rPr>
          <w:rFonts w:eastAsia="SimSun"/>
          <w:lang w:eastAsia="zh-CN"/>
        </w:rPr>
        <w:t>1.d.</w:t>
      </w:r>
      <w:r w:rsidRPr="001D5AE1">
        <w:rPr>
          <w:rFonts w:eastAsia="SimSun"/>
          <w:lang w:eastAsia="zh-CN"/>
        </w:rPr>
        <w:tab/>
      </w:r>
      <w:r w:rsidR="00BC4BD0" w:rsidRPr="001D5AE1">
        <w:rPr>
          <w:rFonts w:eastAsia="SimSun"/>
          <w:lang w:eastAsia="zh-CN"/>
        </w:rPr>
        <w:t>Produire un message stratégique autour d</w:t>
      </w:r>
      <w:r w:rsidR="00577D76" w:rsidRPr="001D5AE1">
        <w:rPr>
          <w:rFonts w:eastAsia="SimSun"/>
          <w:lang w:eastAsia="zh-CN"/>
        </w:rPr>
        <w:t>’</w:t>
      </w:r>
      <w:r w:rsidR="00BC4BD0" w:rsidRPr="001D5AE1">
        <w:rPr>
          <w:rFonts w:eastAsia="SimSun"/>
          <w:lang w:eastAsia="zh-CN"/>
        </w:rPr>
        <w:t>un cadre directeur à l</w:t>
      </w:r>
      <w:r w:rsidR="00577D76" w:rsidRPr="001D5AE1">
        <w:rPr>
          <w:rFonts w:eastAsia="SimSun"/>
          <w:lang w:eastAsia="zh-CN"/>
        </w:rPr>
        <w:t>’</w:t>
      </w:r>
      <w:r w:rsidR="00BC4BD0" w:rsidRPr="001D5AE1">
        <w:rPr>
          <w:rFonts w:eastAsia="SimSun"/>
          <w:lang w:eastAsia="zh-CN"/>
        </w:rPr>
        <w:t>échelle de la COI pour la planification et la gestion durables des océans et ancrer solidement ce cadre dans la Décennie de l</w:t>
      </w:r>
      <w:r w:rsidR="00577D76" w:rsidRPr="001D5AE1">
        <w:rPr>
          <w:rFonts w:eastAsia="SimSun"/>
          <w:lang w:eastAsia="zh-CN"/>
        </w:rPr>
        <w:t>’</w:t>
      </w:r>
      <w:r w:rsidR="00BC4BD0" w:rsidRPr="001D5AE1">
        <w:rPr>
          <w:rFonts w:eastAsia="SimSun"/>
          <w:lang w:eastAsia="zh-CN"/>
        </w:rPr>
        <w:t>Océan.</w:t>
      </w:r>
    </w:p>
    <w:p w14:paraId="55FFBEE8" w14:textId="60838BF9" w:rsidR="00BC4BD0" w:rsidRPr="001D5AE1" w:rsidRDefault="00BC4BD0" w:rsidP="009957F6">
      <w:pPr>
        <w:keepNext/>
        <w:keepLines/>
        <w:spacing w:after="240"/>
        <w:jc w:val="both"/>
        <w:rPr>
          <w:rFonts w:eastAsia="SimSun" w:cs="Arial"/>
          <w:b/>
          <w:bCs/>
          <w:color w:val="002060"/>
          <w:szCs w:val="22"/>
          <w:u w:val="single"/>
          <w:lang w:eastAsia="zh-CN"/>
        </w:rPr>
      </w:pPr>
      <w:r w:rsidRPr="001D5AE1">
        <w:rPr>
          <w:rFonts w:eastAsia="SimSun" w:cs="Arial"/>
          <w:b/>
          <w:bCs/>
          <w:color w:val="002060"/>
          <w:szCs w:val="22"/>
          <w:u w:val="single"/>
          <w:lang w:eastAsia="zh-CN"/>
        </w:rPr>
        <w:t>Recommandation 2 : D</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ici à juin 2022 – Élaborer, en partenariat avec d</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 xml:space="preserve">autres entités, un cadre de résultats de la Décennie des </w:t>
      </w:r>
      <w:r w:rsidR="00172412" w:rsidRPr="001D5AE1">
        <w:rPr>
          <w:rFonts w:eastAsia="SimSun" w:cs="Arial"/>
          <w:b/>
          <w:bCs/>
          <w:color w:val="002060"/>
          <w:szCs w:val="22"/>
          <w:u w:val="single"/>
          <w:lang w:eastAsia="zh-CN"/>
        </w:rPr>
        <w:t>Nations Unies</w:t>
      </w:r>
      <w:r w:rsidRPr="001D5AE1">
        <w:rPr>
          <w:rFonts w:eastAsia="SimSun" w:cs="Arial"/>
          <w:b/>
          <w:bCs/>
          <w:color w:val="002060"/>
          <w:szCs w:val="22"/>
          <w:u w:val="single"/>
          <w:lang w:eastAsia="zh-CN"/>
        </w:rPr>
        <w:t xml:space="preserve"> pour les sciences océaniques au service du développement durable, en définissant clairement les objectifs, les objectifs intermédiaires, les indicateurs et les responsables au sein du système des </w:t>
      </w:r>
      <w:r w:rsidR="00172412" w:rsidRPr="001D5AE1">
        <w:rPr>
          <w:rFonts w:eastAsia="SimSun" w:cs="Arial"/>
          <w:b/>
          <w:bCs/>
          <w:color w:val="002060"/>
          <w:szCs w:val="22"/>
          <w:u w:val="single"/>
          <w:lang w:eastAsia="zh-CN"/>
        </w:rPr>
        <w:t>Nations Unies</w:t>
      </w:r>
      <w:r w:rsidRPr="001D5AE1">
        <w:rPr>
          <w:rFonts w:eastAsia="SimSun" w:cs="Arial"/>
          <w:b/>
          <w:bCs/>
          <w:color w:val="002060"/>
          <w:szCs w:val="22"/>
          <w:u w:val="single"/>
          <w:lang w:eastAsia="zh-CN"/>
        </w:rPr>
        <w:t xml:space="preserve"> et au</w:t>
      </w:r>
      <w:r w:rsidR="00E57EE8" w:rsidRPr="001D5AE1">
        <w:rPr>
          <w:rFonts w:eastAsia="SimSun" w:cs="Arial"/>
          <w:b/>
          <w:bCs/>
          <w:color w:val="002060"/>
          <w:szCs w:val="22"/>
          <w:u w:val="single"/>
          <w:lang w:eastAsia="zh-CN"/>
        </w:rPr>
        <w:noBreakHyphen/>
      </w:r>
      <w:r w:rsidRPr="001D5AE1">
        <w:rPr>
          <w:rFonts w:eastAsia="SimSun" w:cs="Arial"/>
          <w:b/>
          <w:bCs/>
          <w:color w:val="002060"/>
          <w:szCs w:val="22"/>
          <w:u w:val="single"/>
          <w:lang w:eastAsia="zh-CN"/>
        </w:rPr>
        <w:t>delà, aux fins du suivi et de l</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évaluation des progrès accomplis par rapport aux objectifs de la Décennie</w:t>
      </w:r>
    </w:p>
    <w:p w14:paraId="4F4BA4A5" w14:textId="3BB834A4" w:rsidR="00BC4BD0" w:rsidRPr="001D5AE1" w:rsidRDefault="00145259" w:rsidP="009957F6">
      <w:pPr>
        <w:pStyle w:val="Marge"/>
        <w:keepNext/>
        <w:keepLines/>
        <w:rPr>
          <w:rFonts w:eastAsia="SimSun"/>
          <w:lang w:eastAsia="zh-CN"/>
        </w:rPr>
      </w:pPr>
      <w:r w:rsidRPr="001D5AE1">
        <w:rPr>
          <w:rFonts w:eastAsia="SimSun"/>
          <w:lang w:eastAsia="zh-CN"/>
        </w:rPr>
        <w:t>28.</w:t>
      </w:r>
      <w:r w:rsidRPr="001D5AE1">
        <w:rPr>
          <w:rFonts w:eastAsia="SimSun"/>
          <w:lang w:eastAsia="zh-CN"/>
        </w:rPr>
        <w:tab/>
      </w:r>
      <w:r w:rsidR="00BC4BD0" w:rsidRPr="001D5AE1">
        <w:rPr>
          <w:rFonts w:eastAsia="SimSun"/>
          <w:lang w:eastAsia="zh-CN"/>
        </w:rPr>
        <w:t>La Décennie de l</w:t>
      </w:r>
      <w:r w:rsidR="00577D76" w:rsidRPr="001D5AE1">
        <w:rPr>
          <w:rFonts w:eastAsia="SimSun"/>
          <w:lang w:eastAsia="zh-CN"/>
        </w:rPr>
        <w:t>’</w:t>
      </w:r>
      <w:r w:rsidR="00BC4BD0" w:rsidRPr="001D5AE1">
        <w:rPr>
          <w:rFonts w:eastAsia="SimSun"/>
          <w:lang w:eastAsia="zh-CN"/>
        </w:rPr>
        <w:t>Océan a le pouvoir de changer radicalement la capacité de la COI à intensifier et à raccorder ses activités tout au long de la chaîne de valeur des sciences océaniques, et donc à accroître les effets de ses travaux et à influencer les décideurs. Cette possibilité ne se matérialisera que si la Décennie devient également un cadre unificateur qui tire parti des efforts d</w:t>
      </w:r>
      <w:r w:rsidR="00577D76" w:rsidRPr="001D5AE1">
        <w:rPr>
          <w:rFonts w:eastAsia="SimSun"/>
          <w:lang w:eastAsia="zh-CN"/>
        </w:rPr>
        <w:t>’</w:t>
      </w:r>
      <w:r w:rsidR="00BC4BD0" w:rsidRPr="001D5AE1">
        <w:rPr>
          <w:rFonts w:eastAsia="SimSun"/>
          <w:lang w:eastAsia="zh-CN"/>
        </w:rPr>
        <w:t>autres organisations et répond à leurs besoins et à leurs priorités. Alors qu</w:t>
      </w:r>
      <w:r w:rsidR="00577D76" w:rsidRPr="001D5AE1">
        <w:rPr>
          <w:rFonts w:eastAsia="SimSun"/>
          <w:lang w:eastAsia="zh-CN"/>
        </w:rPr>
        <w:t>’</w:t>
      </w:r>
      <w:r w:rsidR="00BC4BD0" w:rsidRPr="001D5AE1">
        <w:rPr>
          <w:rFonts w:eastAsia="SimSun"/>
          <w:lang w:eastAsia="zh-CN"/>
        </w:rPr>
        <w:t>une grande partie des premières activités de la Décennie suivent délibérément une approche « ascendante » afin de stimuler et de galvaniser l</w:t>
      </w:r>
      <w:r w:rsidR="00577D76" w:rsidRPr="001D5AE1">
        <w:rPr>
          <w:rFonts w:eastAsia="SimSun"/>
          <w:lang w:eastAsia="zh-CN"/>
        </w:rPr>
        <w:t>’</w:t>
      </w:r>
      <w:r w:rsidR="00BC4BD0" w:rsidRPr="001D5AE1">
        <w:rPr>
          <w:rFonts w:eastAsia="SimSun"/>
          <w:lang w:eastAsia="zh-CN"/>
        </w:rPr>
        <w:t>engagement des parties prenantes, il existe désormais un besoin et une demande naturels de la part des partenaires pour compléter cette approche grâce à une structuration plus granulaire de l</w:t>
      </w:r>
      <w:r w:rsidR="00577D76" w:rsidRPr="001D5AE1">
        <w:rPr>
          <w:rFonts w:eastAsia="SimSun"/>
          <w:lang w:eastAsia="zh-CN"/>
        </w:rPr>
        <w:t>’</w:t>
      </w:r>
      <w:r w:rsidR="00BC4BD0" w:rsidRPr="001D5AE1">
        <w:rPr>
          <w:rFonts w:eastAsia="SimSun"/>
          <w:lang w:eastAsia="zh-CN"/>
        </w:rPr>
        <w:t>ambition stratégique de la Décennie, par exemple du point de vue des défis de la Décennie de l</w:t>
      </w:r>
      <w:r w:rsidR="00577D76" w:rsidRPr="001D5AE1">
        <w:rPr>
          <w:rFonts w:eastAsia="SimSun"/>
          <w:lang w:eastAsia="zh-CN"/>
        </w:rPr>
        <w:t>’</w:t>
      </w:r>
      <w:r w:rsidR="00BC4BD0" w:rsidRPr="001D5AE1">
        <w:rPr>
          <w:rFonts w:eastAsia="SimSun"/>
          <w:lang w:eastAsia="zh-CN"/>
        </w:rPr>
        <w:t>Océan. Ce processus d</w:t>
      </w:r>
      <w:r w:rsidR="00577D76" w:rsidRPr="001D5AE1">
        <w:rPr>
          <w:rFonts w:eastAsia="SimSun"/>
          <w:lang w:eastAsia="zh-CN"/>
        </w:rPr>
        <w:t>’</w:t>
      </w:r>
      <w:r w:rsidR="00BC4BD0" w:rsidRPr="001D5AE1">
        <w:rPr>
          <w:rFonts w:eastAsia="SimSun"/>
          <w:lang w:eastAsia="zh-CN"/>
        </w:rPr>
        <w:t>ambition stratégique et de définition d</w:t>
      </w:r>
      <w:r w:rsidR="00577D76" w:rsidRPr="001D5AE1">
        <w:rPr>
          <w:rFonts w:eastAsia="SimSun"/>
          <w:lang w:eastAsia="zh-CN"/>
        </w:rPr>
        <w:t>’</w:t>
      </w:r>
      <w:r w:rsidR="00BC4BD0" w:rsidRPr="001D5AE1">
        <w:rPr>
          <w:rFonts w:eastAsia="SimSun"/>
          <w:lang w:eastAsia="zh-CN"/>
        </w:rPr>
        <w:t>objectifs pour chaque défi renforcera le pouvoir fédérateur de la Décennie et aidera également la COI à se positionner par rapport à sa contribution aux ambitions de la Décennie.</w:t>
      </w:r>
    </w:p>
    <w:p w14:paraId="23F82A08" w14:textId="45DDB466" w:rsidR="00BC4BD0" w:rsidRPr="001D5AE1" w:rsidRDefault="00145259" w:rsidP="009957F6">
      <w:pPr>
        <w:pStyle w:val="Marge"/>
        <w:rPr>
          <w:rFonts w:eastAsia="SimSun"/>
          <w:lang w:eastAsia="zh-CN"/>
        </w:rPr>
      </w:pPr>
      <w:r w:rsidRPr="001D5AE1">
        <w:rPr>
          <w:rFonts w:eastAsia="SimSun"/>
          <w:lang w:eastAsia="zh-CN"/>
        </w:rPr>
        <w:t>29.</w:t>
      </w:r>
      <w:r w:rsidRPr="001D5AE1">
        <w:rPr>
          <w:rFonts w:eastAsia="SimSun"/>
          <w:lang w:eastAsia="zh-CN"/>
        </w:rPr>
        <w:tab/>
      </w:r>
      <w:r w:rsidR="00BC4BD0" w:rsidRPr="001D5AE1">
        <w:rPr>
          <w:rFonts w:eastAsia="SimSun"/>
          <w:lang w:eastAsia="zh-CN"/>
        </w:rPr>
        <w:t>Cette démarche nécessitera quant à elle un cadre de résultats global rassemblant les contributions et les efforts de suivi de ces autres contributeurs, pour lequel la COI coordonnera le suivi et l</w:t>
      </w:r>
      <w:r w:rsidR="00577D76" w:rsidRPr="001D5AE1">
        <w:rPr>
          <w:rFonts w:eastAsia="SimSun"/>
          <w:lang w:eastAsia="zh-CN"/>
        </w:rPr>
        <w:t>’</w:t>
      </w:r>
      <w:r w:rsidR="00BC4BD0" w:rsidRPr="001D5AE1">
        <w:rPr>
          <w:rFonts w:eastAsia="SimSun"/>
          <w:lang w:eastAsia="zh-CN"/>
        </w:rPr>
        <w:t>établissement de rapports. Ce cadre de résultats évoluera nécessairement au fil du temps, à mesure que les ambitions stratégiques seront arrêtées et affinées, et pourra suivre les étapes et les processus d</w:t>
      </w:r>
      <w:r w:rsidR="00577D76" w:rsidRPr="001D5AE1">
        <w:rPr>
          <w:rFonts w:eastAsia="SimSun"/>
          <w:lang w:eastAsia="zh-CN"/>
        </w:rPr>
        <w:t>’</w:t>
      </w:r>
      <w:r w:rsidR="00BC4BD0" w:rsidRPr="001D5AE1">
        <w:rPr>
          <w:rFonts w:eastAsia="SimSun"/>
          <w:lang w:eastAsia="zh-CN"/>
        </w:rPr>
        <w:t>examen de la Décennie de l</w:t>
      </w:r>
      <w:r w:rsidR="00577D76" w:rsidRPr="001D5AE1">
        <w:rPr>
          <w:rFonts w:eastAsia="SimSun"/>
          <w:lang w:eastAsia="zh-CN"/>
        </w:rPr>
        <w:t>’</w:t>
      </w:r>
      <w:r w:rsidR="00BC4BD0" w:rsidRPr="001D5AE1">
        <w:rPr>
          <w:rFonts w:eastAsia="SimSun"/>
          <w:lang w:eastAsia="zh-CN"/>
        </w:rPr>
        <w:t>Océan qui sont définis dans le résumé du plan de mise en œuvre (</w:t>
      </w:r>
      <w:hyperlink r:id="rId16" w:history="1">
        <w:r w:rsidR="00BC4BD0" w:rsidRPr="001D5AE1">
          <w:rPr>
            <w:rFonts w:eastAsia="SimSun"/>
            <w:color w:val="0000FF"/>
            <w:u w:val="single"/>
            <w:lang w:eastAsia="zh-CN"/>
          </w:rPr>
          <w:t>IOC/2021/ODS/19</w:t>
        </w:r>
      </w:hyperlink>
      <w:r w:rsidR="00BC4BD0" w:rsidRPr="001D5AE1">
        <w:rPr>
          <w:rFonts w:eastAsia="SimSun"/>
          <w:lang w:eastAsia="zh-CN"/>
        </w:rPr>
        <w:t>).</w:t>
      </w:r>
    </w:p>
    <w:p w14:paraId="02713174" w14:textId="74873EA2" w:rsidR="00BC4BD0" w:rsidRPr="001D5AE1" w:rsidRDefault="00145259" w:rsidP="009957F6">
      <w:pPr>
        <w:pStyle w:val="Marge"/>
        <w:rPr>
          <w:rFonts w:eastAsia="SimSun"/>
          <w:lang w:eastAsia="zh-CN"/>
        </w:rPr>
      </w:pPr>
      <w:r w:rsidRPr="001D5AE1">
        <w:rPr>
          <w:rFonts w:eastAsia="SimSun"/>
          <w:lang w:eastAsia="zh-CN"/>
        </w:rPr>
        <w:t>30.</w:t>
      </w:r>
      <w:r w:rsidRPr="001D5AE1">
        <w:rPr>
          <w:rFonts w:eastAsia="SimSun"/>
          <w:lang w:eastAsia="zh-CN"/>
        </w:rPr>
        <w:tab/>
      </w:r>
      <w:r w:rsidR="00BC4BD0" w:rsidRPr="001D5AE1">
        <w:rPr>
          <w:rFonts w:eastAsia="SimSun"/>
          <w:lang w:eastAsia="zh-CN"/>
        </w:rPr>
        <w:t>Au sein de la COI, il existe des produits susceptibles de favoriser la collecte de données à des fins de suivi et d</w:t>
      </w:r>
      <w:r w:rsidR="00577D76" w:rsidRPr="001D5AE1">
        <w:rPr>
          <w:rFonts w:eastAsia="SimSun"/>
          <w:lang w:eastAsia="zh-CN"/>
        </w:rPr>
        <w:t>’</w:t>
      </w:r>
      <w:r w:rsidR="00BC4BD0" w:rsidRPr="001D5AE1">
        <w:rPr>
          <w:rFonts w:eastAsia="SimSun"/>
          <w:lang w:eastAsia="zh-CN"/>
        </w:rPr>
        <w:t>évaluation. Il s</w:t>
      </w:r>
      <w:r w:rsidR="00577D76" w:rsidRPr="001D5AE1">
        <w:rPr>
          <w:rFonts w:eastAsia="SimSun"/>
          <w:lang w:eastAsia="zh-CN"/>
        </w:rPr>
        <w:t>’</w:t>
      </w:r>
      <w:r w:rsidR="00BC4BD0" w:rsidRPr="001D5AE1">
        <w:rPr>
          <w:rFonts w:eastAsia="SimSun"/>
          <w:lang w:eastAsia="zh-CN"/>
        </w:rPr>
        <w:t xml:space="preserve">agit notamment du </w:t>
      </w:r>
      <w:r w:rsidR="00BC4BD0" w:rsidRPr="001D5AE1">
        <w:rPr>
          <w:rFonts w:eastAsia="SimSun"/>
          <w:i/>
          <w:iCs/>
          <w:lang w:eastAsia="zh-CN"/>
        </w:rPr>
        <w:t>Rapport mondial sur les sciences océaniques,</w:t>
      </w:r>
      <w:r w:rsidR="00BC4BD0" w:rsidRPr="001D5AE1">
        <w:rPr>
          <w:rFonts w:eastAsia="SimSun"/>
          <w:lang w:eastAsia="zh-CN"/>
        </w:rPr>
        <w:t xml:space="preserve"> du nouveau rapport proposé sur l</w:t>
      </w:r>
      <w:r w:rsidR="00577D76" w:rsidRPr="001D5AE1">
        <w:rPr>
          <w:rFonts w:eastAsia="SimSun"/>
          <w:lang w:eastAsia="zh-CN"/>
        </w:rPr>
        <w:t>’</w:t>
      </w:r>
      <w:r w:rsidR="00BC4BD0" w:rsidRPr="001D5AE1">
        <w:rPr>
          <w:rFonts w:eastAsia="SimSun"/>
          <w:lang w:eastAsia="zh-CN"/>
        </w:rPr>
        <w:t>état de l</w:t>
      </w:r>
      <w:r w:rsidR="00577D76" w:rsidRPr="001D5AE1">
        <w:rPr>
          <w:rFonts w:eastAsia="SimSun"/>
          <w:lang w:eastAsia="zh-CN"/>
        </w:rPr>
        <w:t>’</w:t>
      </w:r>
      <w:r w:rsidR="00BC4BD0" w:rsidRPr="001D5AE1">
        <w:rPr>
          <w:rFonts w:eastAsia="SimSun"/>
          <w:lang w:eastAsia="zh-CN"/>
        </w:rPr>
        <w:t>océan, du GOOS ainsi que d</w:t>
      </w:r>
      <w:r w:rsidR="00577D76" w:rsidRPr="001D5AE1">
        <w:rPr>
          <w:rFonts w:eastAsia="SimSun"/>
          <w:lang w:eastAsia="zh-CN"/>
        </w:rPr>
        <w:t>’</w:t>
      </w:r>
      <w:r w:rsidR="00BC4BD0" w:rsidRPr="001D5AE1">
        <w:rPr>
          <w:rFonts w:eastAsia="SimSun"/>
          <w:lang w:eastAsia="zh-CN"/>
        </w:rPr>
        <w:t>autres programmes de la Décennie chapeautés par la COI. Dans ce contexte, les nouveaux principes directeurs et critères de suivi et d</w:t>
      </w:r>
      <w:r w:rsidR="00577D76" w:rsidRPr="001D5AE1">
        <w:rPr>
          <w:rFonts w:eastAsia="SimSun"/>
          <w:lang w:eastAsia="zh-CN"/>
        </w:rPr>
        <w:t>’</w:t>
      </w:r>
      <w:r w:rsidR="00BC4BD0" w:rsidRPr="001D5AE1">
        <w:rPr>
          <w:rFonts w:eastAsia="SimSun"/>
          <w:lang w:eastAsia="zh-CN"/>
        </w:rPr>
        <w:t>évaluation de la Décennie peuvent jouer un rôle central. Un examen à mi-parcours de la Décennie, en</w:t>
      </w:r>
      <w:r w:rsidR="00172412" w:rsidRPr="001D5AE1">
        <w:rPr>
          <w:rFonts w:eastAsia="SimSun"/>
          <w:lang w:eastAsia="zh-CN"/>
        </w:rPr>
        <w:t> </w:t>
      </w:r>
      <w:r w:rsidR="00BC4BD0" w:rsidRPr="001D5AE1">
        <w:rPr>
          <w:rFonts w:eastAsia="SimSun"/>
          <w:lang w:eastAsia="zh-CN"/>
        </w:rPr>
        <w:t>2025, permettrait de déterminer si la réalisation des objectifs de la période est en bonne voie.</w:t>
      </w:r>
    </w:p>
    <w:p w14:paraId="4B82D9A0" w14:textId="77777777" w:rsidR="00BC4BD0" w:rsidRPr="001D5AE1" w:rsidRDefault="00BC4BD0" w:rsidP="009957F6">
      <w:pPr>
        <w:pStyle w:val="Heading3"/>
        <w:rPr>
          <w:rFonts w:eastAsia="SimSun"/>
          <w:lang w:eastAsia="zh-CN"/>
        </w:rPr>
      </w:pPr>
      <w:r w:rsidRPr="001D5AE1">
        <w:rPr>
          <w:rFonts w:eastAsia="SimSun"/>
          <w:lang w:eastAsia="zh-CN"/>
        </w:rPr>
        <w:t>Principales actions de mise en œuvre proposées :</w:t>
      </w:r>
    </w:p>
    <w:p w14:paraId="75E3A897" w14:textId="79D6E4BE" w:rsidR="00BC4BD0" w:rsidRPr="001D5AE1" w:rsidRDefault="00145259" w:rsidP="009957F6">
      <w:pPr>
        <w:pStyle w:val="b"/>
        <w:rPr>
          <w:rFonts w:eastAsia="SimSun"/>
          <w:lang w:eastAsia="zh-CN"/>
        </w:rPr>
      </w:pPr>
      <w:r w:rsidRPr="001D5AE1">
        <w:rPr>
          <w:rFonts w:eastAsia="SimSun"/>
          <w:lang w:eastAsia="zh-CN"/>
        </w:rPr>
        <w:t>2.a.</w:t>
      </w:r>
      <w:r w:rsidRPr="001D5AE1">
        <w:rPr>
          <w:rFonts w:eastAsia="SimSun"/>
          <w:lang w:eastAsia="zh-CN"/>
        </w:rPr>
        <w:tab/>
      </w:r>
      <w:r w:rsidR="00BC4BD0" w:rsidRPr="001D5AE1">
        <w:rPr>
          <w:rFonts w:eastAsia="SimSun"/>
          <w:lang w:eastAsia="zh-CN"/>
        </w:rPr>
        <w:t>Commencer à déployer la première mouture du cadre de résultats pour la Décennie de l</w:t>
      </w:r>
      <w:r w:rsidR="00577D76" w:rsidRPr="001D5AE1">
        <w:rPr>
          <w:rFonts w:eastAsia="SimSun"/>
          <w:lang w:eastAsia="zh-CN"/>
        </w:rPr>
        <w:t>’</w:t>
      </w:r>
      <w:r w:rsidR="00BC4BD0" w:rsidRPr="001D5AE1">
        <w:rPr>
          <w:rFonts w:eastAsia="SimSun"/>
          <w:lang w:eastAsia="zh-CN"/>
        </w:rPr>
        <w:t>Océan d</w:t>
      </w:r>
      <w:r w:rsidR="00577D76" w:rsidRPr="001D5AE1">
        <w:rPr>
          <w:rFonts w:eastAsia="SimSun"/>
          <w:lang w:eastAsia="zh-CN"/>
        </w:rPr>
        <w:t>’</w:t>
      </w:r>
      <w:r w:rsidR="00BC4BD0" w:rsidRPr="001D5AE1">
        <w:rPr>
          <w:rFonts w:eastAsia="SimSun"/>
          <w:lang w:eastAsia="zh-CN"/>
        </w:rPr>
        <w:t xml:space="preserve">ici </w:t>
      </w:r>
      <w:r w:rsidR="00172412" w:rsidRPr="001D5AE1">
        <w:rPr>
          <w:rFonts w:eastAsia="SimSun"/>
          <w:lang w:eastAsia="zh-CN"/>
        </w:rPr>
        <w:t xml:space="preserve">à </w:t>
      </w:r>
      <w:r w:rsidR="00BC4BD0" w:rsidRPr="001D5AE1">
        <w:rPr>
          <w:rFonts w:eastAsia="SimSun"/>
          <w:lang w:eastAsia="zh-CN"/>
        </w:rPr>
        <w:t>mi-2022 au plus tard ; le cadre de résultats doit au moins comprendre des résultats, des résultats intermédiaires, des produits, des données de référence et des responsables indicatifs ;</w:t>
      </w:r>
    </w:p>
    <w:p w14:paraId="39C7950D" w14:textId="6900EFB4" w:rsidR="00BC4BD0" w:rsidRPr="001D5AE1" w:rsidRDefault="00145259" w:rsidP="009957F6">
      <w:pPr>
        <w:pStyle w:val="b"/>
        <w:rPr>
          <w:rFonts w:eastAsia="SimSun"/>
          <w:lang w:eastAsia="zh-CN"/>
        </w:rPr>
      </w:pPr>
      <w:r w:rsidRPr="001D5AE1">
        <w:rPr>
          <w:rFonts w:eastAsia="SimSun"/>
          <w:lang w:eastAsia="zh-CN"/>
        </w:rPr>
        <w:lastRenderedPageBreak/>
        <w:t>2.b.</w:t>
      </w:r>
      <w:r w:rsidRPr="001D5AE1">
        <w:rPr>
          <w:rFonts w:eastAsia="SimSun"/>
          <w:lang w:eastAsia="zh-CN"/>
        </w:rPr>
        <w:tab/>
      </w:r>
      <w:r w:rsidR="00BC4BD0" w:rsidRPr="001D5AE1">
        <w:rPr>
          <w:rFonts w:eastAsia="SimSun"/>
          <w:lang w:eastAsia="zh-CN"/>
        </w:rPr>
        <w:t>Mettre en place un processus pour fixer collectivement, avec les partenaires d</w:t>
      </w:r>
      <w:r w:rsidR="00577D76" w:rsidRPr="001D5AE1">
        <w:rPr>
          <w:rFonts w:eastAsia="SimSun"/>
          <w:lang w:eastAsia="zh-CN"/>
        </w:rPr>
        <w:t>’</w:t>
      </w:r>
      <w:r w:rsidR="00BC4BD0" w:rsidRPr="001D5AE1">
        <w:rPr>
          <w:rFonts w:eastAsia="SimSun"/>
          <w:lang w:eastAsia="zh-CN"/>
        </w:rPr>
        <w:t>ONU</w:t>
      </w:r>
      <w:r w:rsidR="00172412" w:rsidRPr="001D5AE1">
        <w:rPr>
          <w:rFonts w:eastAsia="SimSun"/>
          <w:lang w:eastAsia="zh-CN"/>
        </w:rPr>
        <w:noBreakHyphen/>
      </w:r>
      <w:r w:rsidR="00BC4BD0" w:rsidRPr="001D5AE1">
        <w:rPr>
          <w:rFonts w:eastAsia="SimSun"/>
          <w:lang w:eastAsia="zh-CN"/>
        </w:rPr>
        <w:t>Océans et toutes les parties prenantes concernées, des ambitions et des objectifs stratégiques pour les 10 défis de la Décennie de l</w:t>
      </w:r>
      <w:r w:rsidR="00577D76" w:rsidRPr="001D5AE1">
        <w:rPr>
          <w:rFonts w:eastAsia="SimSun"/>
          <w:lang w:eastAsia="zh-CN"/>
        </w:rPr>
        <w:t>’</w:t>
      </w:r>
      <w:r w:rsidR="00BC4BD0" w:rsidRPr="001D5AE1">
        <w:rPr>
          <w:rFonts w:eastAsia="SimSun"/>
          <w:lang w:eastAsia="zh-CN"/>
        </w:rPr>
        <w:t>Océan et les intégrer progressivement au cadre de résultats de la Décennie ;</w:t>
      </w:r>
    </w:p>
    <w:p w14:paraId="38ADF8A7" w14:textId="6D5F139E" w:rsidR="00BC4BD0" w:rsidRPr="001D5AE1" w:rsidRDefault="00145259" w:rsidP="009957F6">
      <w:pPr>
        <w:pStyle w:val="b"/>
        <w:rPr>
          <w:rFonts w:eastAsia="SimSun"/>
          <w:lang w:eastAsia="zh-CN"/>
        </w:rPr>
      </w:pPr>
      <w:r w:rsidRPr="001D5AE1">
        <w:rPr>
          <w:rFonts w:eastAsia="SimSun"/>
          <w:lang w:eastAsia="zh-CN"/>
        </w:rPr>
        <w:t>2.c.</w:t>
      </w:r>
      <w:r w:rsidRPr="001D5AE1">
        <w:rPr>
          <w:rFonts w:eastAsia="SimSun"/>
          <w:lang w:eastAsia="zh-CN"/>
        </w:rPr>
        <w:tab/>
      </w:r>
      <w:r w:rsidR="00BC4BD0" w:rsidRPr="001D5AE1">
        <w:rPr>
          <w:rFonts w:eastAsia="SimSun"/>
          <w:lang w:eastAsia="zh-CN"/>
        </w:rPr>
        <w:t>Donner effet aux mécanismes d</w:t>
      </w:r>
      <w:r w:rsidR="00577D76" w:rsidRPr="001D5AE1">
        <w:rPr>
          <w:rFonts w:eastAsia="SimSun"/>
          <w:lang w:eastAsia="zh-CN"/>
        </w:rPr>
        <w:t>’</w:t>
      </w:r>
      <w:r w:rsidR="00BC4BD0" w:rsidRPr="001D5AE1">
        <w:rPr>
          <w:rFonts w:eastAsia="SimSun"/>
          <w:lang w:eastAsia="zh-CN"/>
        </w:rPr>
        <w:t xml:space="preserve">examen prévus dans le </w:t>
      </w:r>
      <w:r w:rsidR="00BC4BD0" w:rsidRPr="001D5AE1">
        <w:rPr>
          <w:rFonts w:eastAsia="SimSun"/>
          <w:i/>
          <w:iCs/>
          <w:lang w:eastAsia="zh-CN"/>
        </w:rPr>
        <w:t xml:space="preserve">Plan de mise en œuvre de la Décennie des </w:t>
      </w:r>
      <w:r w:rsidR="00172412" w:rsidRPr="001D5AE1">
        <w:rPr>
          <w:rFonts w:eastAsia="SimSun"/>
          <w:i/>
          <w:iCs/>
          <w:lang w:eastAsia="zh-CN"/>
        </w:rPr>
        <w:t>Nations Unies</w:t>
      </w:r>
      <w:r w:rsidR="00BC4BD0" w:rsidRPr="001D5AE1">
        <w:rPr>
          <w:rFonts w:eastAsia="SimSun"/>
          <w:i/>
          <w:iCs/>
          <w:lang w:eastAsia="zh-CN"/>
        </w:rPr>
        <w:t xml:space="preserve"> pour les sciences océaniques au service du développement durable,</w:t>
      </w:r>
      <w:r w:rsidR="00BC4BD0" w:rsidRPr="001D5AE1">
        <w:rPr>
          <w:rFonts w:eastAsia="SimSun"/>
          <w:lang w:eastAsia="zh-CN"/>
        </w:rPr>
        <w:t xml:space="preserve"> notamment la série de conférences internationales et régionales sur la Décennie qui se tiendront tous les trois ans et qui serviront de plate</w:t>
      </w:r>
      <w:r w:rsidR="00D70B9E" w:rsidRPr="001D5AE1">
        <w:rPr>
          <w:rFonts w:eastAsia="SimSun"/>
          <w:lang w:eastAsia="zh-CN"/>
        </w:rPr>
        <w:noBreakHyphen/>
      </w:r>
      <w:r w:rsidR="00BC4BD0" w:rsidRPr="001D5AE1">
        <w:rPr>
          <w:rFonts w:eastAsia="SimSun"/>
          <w:lang w:eastAsia="zh-CN"/>
        </w:rPr>
        <w:t>forme pour dresser l</w:t>
      </w:r>
      <w:r w:rsidR="00577D76" w:rsidRPr="001D5AE1">
        <w:rPr>
          <w:rFonts w:eastAsia="SimSun"/>
          <w:lang w:eastAsia="zh-CN"/>
        </w:rPr>
        <w:t>’</w:t>
      </w:r>
      <w:r w:rsidR="00BC4BD0" w:rsidRPr="001D5AE1">
        <w:rPr>
          <w:rFonts w:eastAsia="SimSun"/>
          <w:lang w:eastAsia="zh-CN"/>
        </w:rPr>
        <w:t>état des lieux des priorités de la Décennie et les gérer de façon évolutive.</w:t>
      </w:r>
    </w:p>
    <w:p w14:paraId="0528EBD9" w14:textId="02E6AF97" w:rsidR="00BC4BD0" w:rsidRPr="001D5AE1" w:rsidRDefault="00BC4BD0" w:rsidP="009957F6">
      <w:pPr>
        <w:keepNext/>
        <w:keepLines/>
        <w:spacing w:after="240"/>
        <w:jc w:val="both"/>
        <w:rPr>
          <w:rFonts w:eastAsia="SimSun" w:cs="Arial"/>
          <w:b/>
          <w:bCs/>
          <w:color w:val="002060"/>
          <w:szCs w:val="22"/>
          <w:u w:val="single"/>
          <w:lang w:eastAsia="zh-CN"/>
        </w:rPr>
      </w:pPr>
      <w:r w:rsidRPr="001D5AE1">
        <w:rPr>
          <w:rFonts w:eastAsia="SimSun" w:cs="Arial"/>
          <w:b/>
          <w:bCs/>
          <w:color w:val="002060"/>
          <w:szCs w:val="22"/>
          <w:u w:val="single"/>
          <w:lang w:eastAsia="zh-CN"/>
        </w:rPr>
        <w:t>Recommandation 3 : D</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ici à juin 2022 – Déterminer comment l</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UNESCO peut soutenir</w:t>
      </w:r>
      <w:r w:rsidR="00D3664D" w:rsidRPr="001D5AE1">
        <w:rPr>
          <w:rFonts w:eastAsia="SimSun" w:cs="Arial"/>
          <w:b/>
          <w:bCs/>
          <w:color w:val="002060"/>
          <w:szCs w:val="22"/>
          <w:u w:val="single"/>
          <w:lang w:eastAsia="zh-CN"/>
        </w:rPr>
        <w:t xml:space="preserve"> </w:t>
      </w:r>
      <w:r w:rsidRPr="001D5AE1">
        <w:rPr>
          <w:rFonts w:eastAsia="SimSun" w:cs="Arial"/>
          <w:b/>
          <w:bCs/>
          <w:color w:val="002060"/>
          <w:szCs w:val="22"/>
          <w:u w:val="single"/>
          <w:lang w:eastAsia="zh-CN"/>
        </w:rPr>
        <w:t>la</w:t>
      </w:r>
      <w:r w:rsidR="00D3664D" w:rsidRPr="001D5AE1">
        <w:rPr>
          <w:rFonts w:eastAsia="SimSun" w:cs="Arial"/>
          <w:b/>
          <w:bCs/>
          <w:color w:val="002060"/>
          <w:szCs w:val="22"/>
          <w:u w:val="single"/>
          <w:lang w:eastAsia="zh-CN"/>
        </w:rPr>
        <w:t> </w:t>
      </w:r>
      <w:r w:rsidRPr="001D5AE1">
        <w:rPr>
          <w:rFonts w:eastAsia="SimSun" w:cs="Arial"/>
          <w:b/>
          <w:bCs/>
          <w:color w:val="002060"/>
          <w:szCs w:val="22"/>
          <w:u w:val="single"/>
          <w:lang w:eastAsia="zh-CN"/>
        </w:rPr>
        <w:t>Décennie</w:t>
      </w:r>
    </w:p>
    <w:p w14:paraId="0DEC9AC2" w14:textId="2BD2138B" w:rsidR="00BC4BD0" w:rsidRPr="001D5AE1" w:rsidRDefault="00145259" w:rsidP="009957F6">
      <w:pPr>
        <w:pStyle w:val="Marge"/>
        <w:rPr>
          <w:rFonts w:eastAsia="SimSun"/>
          <w:lang w:eastAsia="zh-CN"/>
        </w:rPr>
      </w:pPr>
      <w:r w:rsidRPr="001D5AE1">
        <w:rPr>
          <w:rFonts w:eastAsia="SimSun"/>
          <w:lang w:eastAsia="zh-CN"/>
        </w:rPr>
        <w:t>31.</w:t>
      </w:r>
      <w:r w:rsidRPr="001D5AE1">
        <w:rPr>
          <w:rFonts w:eastAsia="SimSun"/>
          <w:lang w:eastAsia="zh-CN"/>
        </w:rPr>
        <w:tab/>
      </w:r>
      <w:r w:rsidR="00BC4BD0" w:rsidRPr="001D5AE1">
        <w:rPr>
          <w:rFonts w:eastAsia="SimSun"/>
          <w:spacing w:val="-2"/>
          <w:lang w:eastAsia="zh-CN"/>
        </w:rPr>
        <w:t>Étant donné qu</w:t>
      </w:r>
      <w:r w:rsidR="00577D76" w:rsidRPr="001D5AE1">
        <w:rPr>
          <w:rFonts w:eastAsia="SimSun"/>
          <w:spacing w:val="-2"/>
          <w:lang w:eastAsia="zh-CN"/>
        </w:rPr>
        <w:t>’</w:t>
      </w:r>
      <w:r w:rsidR="00BC4BD0" w:rsidRPr="001D5AE1">
        <w:rPr>
          <w:rFonts w:eastAsia="SimSun"/>
          <w:spacing w:val="-2"/>
          <w:lang w:eastAsia="zh-CN"/>
        </w:rPr>
        <w:t>une partie du financement de base provient du budget du Programme ordinaire du Programme et budget approuvés pour 2022-2025 (41 C/5), la majorité du financement doit encore être assurée par la mobilisation de ressources extrabudgétaires. La Commission doit bâtir une Unité de coordination de la Décennie dotée des ressources et des moyens nécessaires tout en favorisant l</w:t>
      </w:r>
      <w:r w:rsidR="00577D76" w:rsidRPr="001D5AE1">
        <w:rPr>
          <w:rFonts w:eastAsia="SimSun"/>
          <w:spacing w:val="-2"/>
          <w:lang w:eastAsia="zh-CN"/>
        </w:rPr>
        <w:t>’</w:t>
      </w:r>
      <w:r w:rsidR="00BC4BD0" w:rsidRPr="001D5AE1">
        <w:rPr>
          <w:rFonts w:eastAsia="SimSun"/>
          <w:spacing w:val="-2"/>
          <w:lang w:eastAsia="zh-CN"/>
        </w:rPr>
        <w:t>établissement de liens entre les partenaires de la Décennie qui mènent des activités en sciences océaniques et les partenaires qui sont susceptibles de fournir des ressources.</w:t>
      </w:r>
    </w:p>
    <w:p w14:paraId="48F9BD6C" w14:textId="44C11389" w:rsidR="00BC4BD0" w:rsidRPr="00AA0836" w:rsidRDefault="00145259" w:rsidP="009957F6">
      <w:pPr>
        <w:pStyle w:val="Marge"/>
        <w:rPr>
          <w:rFonts w:eastAsia="SimSun"/>
          <w:lang w:eastAsia="zh-CN"/>
        </w:rPr>
      </w:pPr>
      <w:r w:rsidRPr="001D5AE1">
        <w:rPr>
          <w:rFonts w:eastAsia="SimSun"/>
          <w:lang w:eastAsia="zh-CN"/>
        </w:rPr>
        <w:t>32.</w:t>
      </w:r>
      <w:r w:rsidRPr="001D5AE1">
        <w:rPr>
          <w:rFonts w:eastAsia="SimSun"/>
          <w:lang w:eastAsia="zh-CN"/>
        </w:rPr>
        <w:tab/>
      </w:r>
      <w:r w:rsidR="00BC4BD0" w:rsidRPr="001D5AE1">
        <w:rPr>
          <w:rFonts w:eastAsia="SimSun"/>
          <w:lang w:eastAsia="zh-CN"/>
        </w:rPr>
        <w:t>Le manque récurrent de financement durable risque de compromettre le succès de la Décennie et de nuire à l</w:t>
      </w:r>
      <w:r w:rsidR="00577D76" w:rsidRPr="001D5AE1">
        <w:rPr>
          <w:rFonts w:eastAsia="SimSun"/>
          <w:lang w:eastAsia="zh-CN"/>
        </w:rPr>
        <w:t>’</w:t>
      </w:r>
      <w:r w:rsidR="00BC4BD0" w:rsidRPr="001D5AE1">
        <w:rPr>
          <w:rFonts w:eastAsia="SimSun"/>
          <w:lang w:eastAsia="zh-CN"/>
        </w:rPr>
        <w:t>image de marque de la COI. Il est essentiel que la COI intensifie ses discussions avec (i) ses homologues d</w:t>
      </w:r>
      <w:r w:rsidR="00577D76" w:rsidRPr="001D5AE1">
        <w:rPr>
          <w:rFonts w:eastAsia="SimSun"/>
          <w:lang w:eastAsia="zh-CN"/>
        </w:rPr>
        <w:t>’</w:t>
      </w:r>
      <w:r w:rsidR="00BC4BD0" w:rsidRPr="001D5AE1">
        <w:rPr>
          <w:rFonts w:eastAsia="SimSun"/>
          <w:lang w:eastAsia="zh-CN"/>
        </w:rPr>
        <w:t xml:space="preserve">ONU-Océans et (ii) des organisations extérieures au système des </w:t>
      </w:r>
      <w:r w:rsidR="00172412" w:rsidRPr="001D5AE1">
        <w:rPr>
          <w:rFonts w:eastAsia="SimSun"/>
          <w:lang w:eastAsia="zh-CN"/>
        </w:rPr>
        <w:t>Nations Unies</w:t>
      </w:r>
      <w:r w:rsidR="00BC4BD0" w:rsidRPr="001D5AE1">
        <w:rPr>
          <w:rFonts w:eastAsia="SimSun"/>
          <w:lang w:eastAsia="zh-CN"/>
        </w:rPr>
        <w:t xml:space="preserve">, notamment des organismes philanthropiques et le secteur privé. Dans ce contexte, un exemple positif est la contribution de </w:t>
      </w:r>
      <w:proofErr w:type="spellStart"/>
      <w:r w:rsidR="00BC4BD0" w:rsidRPr="001D5AE1">
        <w:rPr>
          <w:rFonts w:eastAsia="SimSun"/>
          <w:lang w:eastAsia="zh-CN"/>
        </w:rPr>
        <w:t>Fugro</w:t>
      </w:r>
      <w:proofErr w:type="spellEnd"/>
      <w:r w:rsidR="00BC4BD0" w:rsidRPr="001D5AE1">
        <w:rPr>
          <w:rFonts w:eastAsia="SimSun"/>
          <w:lang w:eastAsia="zh-CN"/>
        </w:rPr>
        <w:t>, qui a détaché un expert en données auprès de l</w:t>
      </w:r>
      <w:r w:rsidR="00577D76" w:rsidRPr="001D5AE1">
        <w:rPr>
          <w:rFonts w:eastAsia="SimSun"/>
          <w:lang w:eastAsia="zh-CN"/>
        </w:rPr>
        <w:t>’</w:t>
      </w:r>
      <w:r w:rsidR="00BC4BD0" w:rsidRPr="001D5AE1">
        <w:rPr>
          <w:rFonts w:eastAsia="SimSun"/>
          <w:lang w:eastAsia="zh-CN"/>
        </w:rPr>
        <w:t>Unité de coor</w:t>
      </w:r>
      <w:r w:rsidR="00BC4BD0" w:rsidRPr="00AA0836">
        <w:rPr>
          <w:rFonts w:eastAsia="SimSun"/>
          <w:lang w:eastAsia="zh-CN"/>
        </w:rPr>
        <w:t>dination de la Décennie, ainsi que les conversations naissantes avec des fondations philanthropiques par le biais du Dialogue avec les fondations. L</w:t>
      </w:r>
      <w:r w:rsidR="00577D76" w:rsidRPr="00AA0836">
        <w:rPr>
          <w:rFonts w:eastAsia="SimSun"/>
          <w:lang w:eastAsia="zh-CN"/>
        </w:rPr>
        <w:t>’</w:t>
      </w:r>
      <w:r w:rsidR="00BC4BD0" w:rsidRPr="00AA0836">
        <w:rPr>
          <w:rFonts w:eastAsia="SimSun"/>
          <w:lang w:eastAsia="zh-CN"/>
        </w:rPr>
        <w:t>Alliance pour la Décennie de l</w:t>
      </w:r>
      <w:r w:rsidR="00577D76" w:rsidRPr="00AA0836">
        <w:rPr>
          <w:rFonts w:eastAsia="SimSun"/>
          <w:lang w:eastAsia="zh-CN"/>
        </w:rPr>
        <w:t>’</w:t>
      </w:r>
      <w:r w:rsidR="00BC4BD0" w:rsidRPr="00AA0836">
        <w:rPr>
          <w:rFonts w:eastAsia="SimSun"/>
          <w:lang w:eastAsia="zh-CN"/>
        </w:rPr>
        <w:t>Océan se développe et pourrait devenir une plate-forme et un réseau très visibles pour débloquer des ressources en faveur de la Décennie, à la fois directement et indirectement. Des travaux supplémentaires sont nécessaires pour concrétiser les engagements des membres de l</w:t>
      </w:r>
      <w:r w:rsidR="00577D76" w:rsidRPr="00AA0836">
        <w:rPr>
          <w:rFonts w:eastAsia="SimSun"/>
          <w:lang w:eastAsia="zh-CN"/>
        </w:rPr>
        <w:t>’</w:t>
      </w:r>
      <w:r w:rsidR="00BC4BD0" w:rsidRPr="00AA0836">
        <w:rPr>
          <w:rFonts w:eastAsia="SimSun"/>
          <w:lang w:eastAsia="zh-CN"/>
        </w:rPr>
        <w:t>Alliance afin d</w:t>
      </w:r>
      <w:r w:rsidR="00577D76" w:rsidRPr="00AA0836">
        <w:rPr>
          <w:rFonts w:eastAsia="SimSun"/>
          <w:lang w:eastAsia="zh-CN"/>
        </w:rPr>
        <w:t>’</w:t>
      </w:r>
      <w:r w:rsidR="00BC4BD0" w:rsidRPr="00AA0836">
        <w:rPr>
          <w:rFonts w:eastAsia="SimSun"/>
          <w:lang w:eastAsia="zh-CN"/>
        </w:rPr>
        <w:t>apporter un soutien tangible aux actions et à la coordination de la Décennie.</w:t>
      </w:r>
    </w:p>
    <w:p w14:paraId="2FE4B3DF" w14:textId="34D9D1CD" w:rsidR="00BC4BD0" w:rsidRPr="001D5AE1" w:rsidRDefault="00145259" w:rsidP="009957F6">
      <w:pPr>
        <w:pStyle w:val="Marge"/>
        <w:rPr>
          <w:rFonts w:eastAsia="SimSun"/>
          <w:lang w:eastAsia="zh-CN"/>
        </w:rPr>
      </w:pPr>
      <w:r w:rsidRPr="00AA0836">
        <w:rPr>
          <w:rFonts w:eastAsia="SimSun"/>
          <w:lang w:eastAsia="zh-CN"/>
        </w:rPr>
        <w:t>33.</w:t>
      </w:r>
      <w:r w:rsidRPr="00AA0836">
        <w:rPr>
          <w:rFonts w:eastAsia="SimSun"/>
          <w:lang w:eastAsia="zh-CN"/>
        </w:rPr>
        <w:tab/>
      </w:r>
      <w:r w:rsidR="00BC4BD0" w:rsidRPr="00AA0836">
        <w:rPr>
          <w:rFonts w:eastAsia="SimSun"/>
          <w:lang w:eastAsia="zh-CN"/>
        </w:rPr>
        <w:t xml:space="preserve">Au niveau des États membres de la COI, </w:t>
      </w:r>
      <w:r w:rsidR="00F66C99" w:rsidRPr="00AA0836">
        <w:rPr>
          <w:rFonts w:eastAsia="SimSun"/>
          <w:lang w:eastAsia="zh-CN"/>
        </w:rPr>
        <w:t>34</w:t>
      </w:r>
      <w:r w:rsidR="00BC4BD0" w:rsidRPr="00AA0836">
        <w:rPr>
          <w:rFonts w:eastAsia="SimSun"/>
          <w:lang w:eastAsia="zh-CN"/>
        </w:rPr>
        <w:t> comités nationaux de la Décennie avaient été créés. Ce résultat est encourageant, mais il reste encore beaucoup à faire. Pour y parvenir, la COI devra : (i) intensifier ses actions de sensibilisation auprès des États membres pour expliquer les objectifs et le potentiel de la Décennie ; (ii) préciser comment la Décennie peut aider les États membres à atteindre leurs objectifs nationaux ; (iii) définir clairement les po</w:t>
      </w:r>
      <w:r w:rsidR="00BC4BD0" w:rsidRPr="001D5AE1">
        <w:rPr>
          <w:rFonts w:eastAsia="SimSun"/>
          <w:lang w:eastAsia="zh-CN"/>
        </w:rPr>
        <w:t>ssibilités pour les États membres d</w:t>
      </w:r>
      <w:r w:rsidR="00577D76" w:rsidRPr="001D5AE1">
        <w:rPr>
          <w:rFonts w:eastAsia="SimSun"/>
          <w:lang w:eastAsia="zh-CN"/>
        </w:rPr>
        <w:t>’</w:t>
      </w:r>
      <w:r w:rsidR="00BC4BD0" w:rsidRPr="001D5AE1">
        <w:rPr>
          <w:rFonts w:eastAsia="SimSun"/>
          <w:lang w:eastAsia="zh-CN"/>
        </w:rPr>
        <w:t>investir dans les actions et la coordination de la Décennie, y compris par des contributions en nature ; et (iv) mobiliser stratégiquement les États donateurs, y compris en collaborant avec des partenaires fiables actuels afin qu</w:t>
      </w:r>
      <w:r w:rsidR="00577D76" w:rsidRPr="001D5AE1">
        <w:rPr>
          <w:rFonts w:eastAsia="SimSun"/>
          <w:lang w:eastAsia="zh-CN"/>
        </w:rPr>
        <w:t>’</w:t>
      </w:r>
      <w:r w:rsidR="00BC4BD0" w:rsidRPr="001D5AE1">
        <w:rPr>
          <w:rFonts w:eastAsia="SimSun"/>
          <w:lang w:eastAsia="zh-CN"/>
        </w:rPr>
        <w:t>ils jouent un rôle d</w:t>
      </w:r>
      <w:r w:rsidR="00577D76" w:rsidRPr="001D5AE1">
        <w:rPr>
          <w:rFonts w:eastAsia="SimSun"/>
          <w:lang w:eastAsia="zh-CN"/>
        </w:rPr>
        <w:t>’</w:t>
      </w:r>
      <w:r w:rsidR="00BC4BD0" w:rsidRPr="001D5AE1">
        <w:rPr>
          <w:rFonts w:eastAsia="SimSun"/>
          <w:lang w:eastAsia="zh-CN"/>
        </w:rPr>
        <w:t>engagement et de plaidoyer auprès de leurs pairs. Suivre le niveau de participation et d</w:t>
      </w:r>
      <w:r w:rsidR="00577D76" w:rsidRPr="001D5AE1">
        <w:rPr>
          <w:rFonts w:eastAsia="SimSun"/>
          <w:lang w:eastAsia="zh-CN"/>
        </w:rPr>
        <w:t>’</w:t>
      </w:r>
      <w:r w:rsidR="00BC4BD0" w:rsidRPr="001D5AE1">
        <w:rPr>
          <w:rFonts w:eastAsia="SimSun"/>
          <w:lang w:eastAsia="zh-CN"/>
        </w:rPr>
        <w:t>investissement financier des pays et garantir une forte visibilité des effets et des résultats grâce au cadre de résultats pourrait contribuer à encourager de nouveaux investissements en faveur de la Décennie.</w:t>
      </w:r>
    </w:p>
    <w:p w14:paraId="73D55178" w14:textId="7AFD755C" w:rsidR="00BC4BD0" w:rsidRPr="001D5AE1" w:rsidRDefault="00145259" w:rsidP="00DB71D2">
      <w:pPr>
        <w:pStyle w:val="Marge"/>
        <w:rPr>
          <w:rFonts w:eastAsia="SimSun"/>
          <w:lang w:eastAsia="zh-CN"/>
        </w:rPr>
      </w:pPr>
      <w:r w:rsidRPr="001D5AE1">
        <w:rPr>
          <w:rFonts w:eastAsia="SimSun"/>
          <w:lang w:eastAsia="zh-CN"/>
        </w:rPr>
        <w:t>34.</w:t>
      </w:r>
      <w:r w:rsidRPr="001D5AE1">
        <w:rPr>
          <w:rFonts w:eastAsia="SimSun"/>
          <w:lang w:eastAsia="zh-CN"/>
        </w:rPr>
        <w:tab/>
      </w:r>
      <w:r w:rsidR="00BC4BD0" w:rsidRPr="001D5AE1">
        <w:rPr>
          <w:rFonts w:eastAsia="SimSun"/>
          <w:spacing w:val="-3"/>
          <w:lang w:eastAsia="zh-CN"/>
        </w:rPr>
        <w:t>La Commission a également la possibilité d</w:t>
      </w:r>
      <w:r w:rsidR="00577D76" w:rsidRPr="001D5AE1">
        <w:rPr>
          <w:rFonts w:eastAsia="SimSun"/>
          <w:spacing w:val="-3"/>
          <w:lang w:eastAsia="zh-CN"/>
        </w:rPr>
        <w:t>’</w:t>
      </w:r>
      <w:r w:rsidR="00BC4BD0" w:rsidRPr="001D5AE1">
        <w:rPr>
          <w:rFonts w:eastAsia="SimSun"/>
          <w:spacing w:val="-3"/>
          <w:lang w:eastAsia="zh-CN"/>
        </w:rPr>
        <w:t>utiliser ses sous-commissions régionales pour attirer des ressour</w:t>
      </w:r>
      <w:r w:rsidR="00BC4BD0" w:rsidRPr="00AA0836">
        <w:rPr>
          <w:rFonts w:eastAsia="SimSun"/>
          <w:spacing w:val="-3"/>
          <w:lang w:eastAsia="zh-CN"/>
        </w:rPr>
        <w:t>ces supplémentaires. Au sein de la Sous-Commission de la COI pour le Pacifique occidental (WESTPAC), la Décennie est déjà mise à profit pour renforcer les capacités humaines du Secrétariat à coordonner les actions de la Décennie dans la région. La Conférence africaine sur l</w:t>
      </w:r>
      <w:r w:rsidR="00577D76" w:rsidRPr="00AA0836">
        <w:rPr>
          <w:rFonts w:eastAsia="SimSun"/>
          <w:spacing w:val="-3"/>
          <w:lang w:eastAsia="zh-CN"/>
        </w:rPr>
        <w:t>’</w:t>
      </w:r>
      <w:r w:rsidR="00BC4BD0" w:rsidRPr="00AA0836">
        <w:rPr>
          <w:rFonts w:eastAsia="SimSun"/>
          <w:spacing w:val="-3"/>
          <w:lang w:eastAsia="zh-CN"/>
        </w:rPr>
        <w:t>établissement de priorités et la constitution de partenariats en vue de la Décennie de l</w:t>
      </w:r>
      <w:r w:rsidR="00577D76" w:rsidRPr="00AA0836">
        <w:rPr>
          <w:rFonts w:eastAsia="SimSun"/>
          <w:spacing w:val="-3"/>
          <w:lang w:eastAsia="zh-CN"/>
        </w:rPr>
        <w:t>’</w:t>
      </w:r>
      <w:r w:rsidR="00BC4BD0" w:rsidRPr="00AA0836">
        <w:rPr>
          <w:rFonts w:eastAsia="SimSun"/>
          <w:spacing w:val="-3"/>
          <w:lang w:eastAsia="zh-CN"/>
        </w:rPr>
        <w:t xml:space="preserve">Océan </w:t>
      </w:r>
      <w:r w:rsidR="00F37519" w:rsidRPr="00AA0836">
        <w:rPr>
          <w:rFonts w:eastAsia="SimSun"/>
          <w:spacing w:val="-3"/>
          <w:lang w:eastAsia="zh-CN"/>
        </w:rPr>
        <w:t>(</w:t>
      </w:r>
      <w:r w:rsidR="00BC4BD0" w:rsidRPr="00AA0836">
        <w:rPr>
          <w:rFonts w:eastAsia="SimSun"/>
          <w:spacing w:val="-3"/>
          <w:lang w:eastAsia="zh-CN"/>
        </w:rPr>
        <w:t>10</w:t>
      </w:r>
      <w:r w:rsidR="00AA0836" w:rsidRPr="00AA0836">
        <w:rPr>
          <w:rFonts w:eastAsia="SimSun"/>
          <w:spacing w:val="-3"/>
          <w:lang w:eastAsia="zh-CN"/>
        </w:rPr>
        <w:noBreakHyphen/>
      </w:r>
      <w:r w:rsidR="00BC4BD0" w:rsidRPr="00AA0836">
        <w:rPr>
          <w:rFonts w:eastAsia="SimSun"/>
          <w:spacing w:val="-3"/>
          <w:lang w:eastAsia="zh-CN"/>
        </w:rPr>
        <w:t>12 mai 2022</w:t>
      </w:r>
      <w:r w:rsidR="00F37519" w:rsidRPr="00AA0836">
        <w:rPr>
          <w:rFonts w:eastAsia="SimSun"/>
          <w:spacing w:val="-3"/>
          <w:lang w:eastAsia="zh-CN"/>
        </w:rPr>
        <w:t>, Le</w:t>
      </w:r>
      <w:r w:rsidR="00BC4BD0" w:rsidRPr="00AA0836">
        <w:rPr>
          <w:rFonts w:eastAsia="SimSun"/>
          <w:spacing w:val="-3"/>
          <w:lang w:eastAsia="zh-CN"/>
        </w:rPr>
        <w:t xml:space="preserve"> Caire) et </w:t>
      </w:r>
      <w:r w:rsidR="00F66C99" w:rsidRPr="00AA0836">
        <w:rPr>
          <w:rFonts w:eastAsia="SimSun"/>
          <w:spacing w:val="-3"/>
          <w:lang w:eastAsia="zh-CN"/>
        </w:rPr>
        <w:t>sa</w:t>
      </w:r>
      <w:r w:rsidR="00BC4BD0" w:rsidRPr="00AA0836">
        <w:rPr>
          <w:rFonts w:eastAsia="SimSun"/>
          <w:spacing w:val="-3"/>
          <w:lang w:eastAsia="zh-CN"/>
        </w:rPr>
        <w:t xml:space="preserve"> </w:t>
      </w:r>
      <w:r w:rsidR="00BC4BD0" w:rsidRPr="00AA0836">
        <w:rPr>
          <w:rFonts w:eastAsia="SimSun"/>
          <w:i/>
          <w:iCs/>
          <w:spacing w:val="-3"/>
          <w:lang w:eastAsia="zh-CN"/>
        </w:rPr>
        <w:t>Feuille de route de l</w:t>
      </w:r>
      <w:r w:rsidR="00577D76" w:rsidRPr="00AA0836">
        <w:rPr>
          <w:rFonts w:eastAsia="SimSun"/>
          <w:i/>
          <w:iCs/>
          <w:spacing w:val="-3"/>
          <w:lang w:eastAsia="zh-CN"/>
        </w:rPr>
        <w:t>’</w:t>
      </w:r>
      <w:r w:rsidR="00BC4BD0" w:rsidRPr="00AA0836">
        <w:rPr>
          <w:rFonts w:eastAsia="SimSun"/>
          <w:i/>
          <w:iCs/>
          <w:spacing w:val="-3"/>
          <w:lang w:eastAsia="zh-CN"/>
        </w:rPr>
        <w:t>Afrique pour la Décennie de l</w:t>
      </w:r>
      <w:r w:rsidR="00577D76" w:rsidRPr="00AA0836">
        <w:rPr>
          <w:rFonts w:eastAsia="SimSun"/>
          <w:i/>
          <w:iCs/>
          <w:spacing w:val="-3"/>
          <w:lang w:eastAsia="zh-CN"/>
        </w:rPr>
        <w:t>’</w:t>
      </w:r>
      <w:r w:rsidR="00BC4BD0" w:rsidRPr="00AA0836">
        <w:rPr>
          <w:rFonts w:eastAsia="SimSun"/>
          <w:i/>
          <w:iCs/>
          <w:spacing w:val="-3"/>
          <w:lang w:eastAsia="zh-CN"/>
        </w:rPr>
        <w:t>Océan</w:t>
      </w:r>
      <w:r w:rsidR="00BC4BD0" w:rsidRPr="00AA0836">
        <w:rPr>
          <w:rFonts w:eastAsia="SimSun"/>
          <w:spacing w:val="-3"/>
          <w:lang w:eastAsia="zh-CN"/>
        </w:rPr>
        <w:t xml:space="preserve"> (</w:t>
      </w:r>
      <w:hyperlink r:id="rId17" w:history="1">
        <w:r w:rsidR="00BC4BD0" w:rsidRPr="00AA0836">
          <w:rPr>
            <w:rFonts w:eastAsia="SimSun"/>
            <w:color w:val="0000FF"/>
            <w:spacing w:val="-3"/>
            <w:u w:val="single"/>
            <w:lang w:eastAsia="zh-CN"/>
          </w:rPr>
          <w:t>IOC/2022/ODS/36</w:t>
        </w:r>
      </w:hyperlink>
      <w:r w:rsidR="00BC4BD0" w:rsidRPr="00AA0836">
        <w:rPr>
          <w:rFonts w:eastAsia="SimSun"/>
          <w:spacing w:val="-3"/>
          <w:lang w:eastAsia="zh-CN"/>
        </w:rPr>
        <w:t>)</w:t>
      </w:r>
      <w:r w:rsidR="00F37519" w:rsidRPr="00AA0836">
        <w:rPr>
          <w:rFonts w:eastAsia="SimSun"/>
          <w:spacing w:val="-3"/>
          <w:lang w:eastAsia="zh-CN"/>
        </w:rPr>
        <w:t>, qui</w:t>
      </w:r>
      <w:r w:rsidR="00BC4BD0" w:rsidRPr="00AA0836">
        <w:rPr>
          <w:rFonts w:eastAsia="SimSun"/>
          <w:spacing w:val="-3"/>
          <w:lang w:eastAsia="zh-CN"/>
        </w:rPr>
        <w:t xml:space="preserve"> </w:t>
      </w:r>
      <w:r w:rsidR="00F37519" w:rsidRPr="00AA0836">
        <w:rPr>
          <w:rFonts w:eastAsia="SimSun"/>
          <w:spacing w:val="-3"/>
          <w:lang w:eastAsia="zh-CN"/>
        </w:rPr>
        <w:t>bénéficie du soutien d</w:t>
      </w:r>
      <w:r w:rsidR="00577D76" w:rsidRPr="00AA0836">
        <w:rPr>
          <w:rFonts w:eastAsia="SimSun"/>
          <w:spacing w:val="-3"/>
          <w:lang w:eastAsia="zh-CN"/>
        </w:rPr>
        <w:t>’</w:t>
      </w:r>
      <w:r w:rsidR="00F37519" w:rsidRPr="00AA0836">
        <w:rPr>
          <w:rFonts w:eastAsia="SimSun"/>
          <w:spacing w:val="-3"/>
          <w:lang w:eastAsia="zh-CN"/>
        </w:rPr>
        <w:t>une équipe spéciale pour l</w:t>
      </w:r>
      <w:r w:rsidR="00577D76" w:rsidRPr="00AA0836">
        <w:rPr>
          <w:rFonts w:eastAsia="SimSun"/>
          <w:spacing w:val="-3"/>
          <w:lang w:eastAsia="zh-CN"/>
        </w:rPr>
        <w:t>’</w:t>
      </w:r>
      <w:r w:rsidR="00F37519" w:rsidRPr="00AA0836">
        <w:rPr>
          <w:rFonts w:eastAsia="SimSun"/>
          <w:spacing w:val="-3"/>
          <w:lang w:eastAsia="zh-CN"/>
        </w:rPr>
        <w:t>Afrique (composée de 15</w:t>
      </w:r>
      <w:r w:rsidR="00AA0836" w:rsidRPr="00AA0836">
        <w:rPr>
          <w:rFonts w:eastAsia="SimSun"/>
          <w:spacing w:val="-3"/>
          <w:lang w:eastAsia="zh-CN"/>
        </w:rPr>
        <w:t> </w:t>
      </w:r>
      <w:r w:rsidR="00F37519" w:rsidRPr="00AA0836">
        <w:rPr>
          <w:rFonts w:eastAsia="SimSun"/>
          <w:spacing w:val="-3"/>
          <w:lang w:eastAsia="zh-CN"/>
        </w:rPr>
        <w:t xml:space="preserve">experts de haut niveau, dont des organisations régionales et des donateurs), </w:t>
      </w:r>
      <w:r w:rsidR="00BC4BD0" w:rsidRPr="00AA0836">
        <w:rPr>
          <w:rFonts w:eastAsia="SimSun"/>
          <w:spacing w:val="-3"/>
          <w:lang w:eastAsia="zh-CN"/>
        </w:rPr>
        <w:t>constituent</w:t>
      </w:r>
      <w:r w:rsidR="00BC4BD0" w:rsidRPr="001D5AE1">
        <w:rPr>
          <w:rFonts w:eastAsia="SimSun"/>
          <w:spacing w:val="-3"/>
          <w:lang w:eastAsia="zh-CN"/>
        </w:rPr>
        <w:t xml:space="preserve"> également des avancées extrêmement encourageantes et devraient servir de leviers pour mobiliser de nouvelles ressources afin de positionner la Sous-</w:t>
      </w:r>
      <w:r w:rsidR="00616CA3" w:rsidRPr="001D5AE1">
        <w:rPr>
          <w:rFonts w:eastAsia="SimSun"/>
          <w:spacing w:val="-3"/>
          <w:lang w:eastAsia="zh-CN"/>
        </w:rPr>
        <w:t>C</w:t>
      </w:r>
      <w:r w:rsidR="00BC4BD0" w:rsidRPr="001D5AE1">
        <w:rPr>
          <w:rFonts w:eastAsia="SimSun"/>
          <w:spacing w:val="-3"/>
          <w:lang w:eastAsia="zh-CN"/>
        </w:rPr>
        <w:t>ommission de la COI pour l</w:t>
      </w:r>
      <w:r w:rsidR="00577D76" w:rsidRPr="001D5AE1">
        <w:rPr>
          <w:rFonts w:eastAsia="SimSun"/>
          <w:spacing w:val="-3"/>
          <w:lang w:eastAsia="zh-CN"/>
        </w:rPr>
        <w:t>’</w:t>
      </w:r>
      <w:r w:rsidR="00BC4BD0" w:rsidRPr="001D5AE1">
        <w:rPr>
          <w:rFonts w:eastAsia="SimSun"/>
          <w:spacing w:val="-3"/>
          <w:lang w:eastAsia="zh-CN"/>
        </w:rPr>
        <w:t xml:space="preserve">Afrique et les États insulaires adjacents (IOCAFRICA) </w:t>
      </w:r>
      <w:r w:rsidR="00141FF4" w:rsidRPr="001D5AE1">
        <w:rPr>
          <w:rFonts w:eastAsia="SimSun"/>
          <w:spacing w:val="-3"/>
          <w:lang w:eastAsia="zh-CN"/>
        </w:rPr>
        <w:t>en tant que</w:t>
      </w:r>
      <w:r w:rsidR="00BC4BD0" w:rsidRPr="001D5AE1">
        <w:rPr>
          <w:rFonts w:eastAsia="SimSun"/>
          <w:spacing w:val="-3"/>
          <w:lang w:eastAsia="zh-CN"/>
        </w:rPr>
        <w:t xml:space="preserve"> centre de coordination régional doté de toutes les </w:t>
      </w:r>
      <w:r w:rsidR="00BC4BD0" w:rsidRPr="001D5AE1">
        <w:rPr>
          <w:rFonts w:eastAsia="SimSun"/>
          <w:spacing w:val="-3"/>
          <w:lang w:eastAsia="zh-CN"/>
        </w:rPr>
        <w:lastRenderedPageBreak/>
        <w:t>ressources nécessaires pour la Décennie. La participation de banques multilatérales de développement, d</w:t>
      </w:r>
      <w:r w:rsidR="00577D76" w:rsidRPr="001D5AE1">
        <w:rPr>
          <w:rFonts w:eastAsia="SimSun"/>
          <w:spacing w:val="-3"/>
          <w:lang w:eastAsia="zh-CN"/>
        </w:rPr>
        <w:t>’</w:t>
      </w:r>
      <w:r w:rsidR="00BC4BD0" w:rsidRPr="001D5AE1">
        <w:rPr>
          <w:rFonts w:eastAsia="SimSun"/>
          <w:spacing w:val="-3"/>
          <w:lang w:eastAsia="zh-CN"/>
        </w:rPr>
        <w:t>instruments de financement internationaux, tels que le Fonds vert pour le climat (FVC), et d</w:t>
      </w:r>
      <w:r w:rsidR="00577D76" w:rsidRPr="001D5AE1">
        <w:rPr>
          <w:rFonts w:eastAsia="SimSun"/>
          <w:spacing w:val="-3"/>
          <w:lang w:eastAsia="zh-CN"/>
        </w:rPr>
        <w:t>’</w:t>
      </w:r>
      <w:r w:rsidR="00BC4BD0" w:rsidRPr="001D5AE1">
        <w:rPr>
          <w:rFonts w:eastAsia="SimSun"/>
          <w:spacing w:val="-3"/>
          <w:lang w:eastAsia="zh-CN"/>
        </w:rPr>
        <w:t>organismes de financement régionaux, tels que l</w:t>
      </w:r>
      <w:r w:rsidR="00577D76" w:rsidRPr="001D5AE1">
        <w:rPr>
          <w:rFonts w:eastAsia="SimSun"/>
          <w:spacing w:val="-3"/>
          <w:lang w:eastAsia="zh-CN"/>
        </w:rPr>
        <w:t>’</w:t>
      </w:r>
      <w:r w:rsidR="00BC4BD0" w:rsidRPr="001D5AE1">
        <w:rPr>
          <w:rFonts w:eastAsia="SimSun"/>
          <w:spacing w:val="-3"/>
          <w:lang w:eastAsia="zh-CN"/>
        </w:rPr>
        <w:t>Union africaine ou la Banque africaine de développement, revêtirait une importance capitale. Ces institutions fournissent généralement un soutien en réponse à des demandes nationales et il sera donc essentiel d</w:t>
      </w:r>
      <w:r w:rsidR="00577D76" w:rsidRPr="001D5AE1">
        <w:rPr>
          <w:rFonts w:eastAsia="SimSun"/>
          <w:spacing w:val="-3"/>
          <w:lang w:eastAsia="zh-CN"/>
        </w:rPr>
        <w:t>’</w:t>
      </w:r>
      <w:r w:rsidR="00BC4BD0" w:rsidRPr="001D5AE1">
        <w:rPr>
          <w:rFonts w:eastAsia="SimSun"/>
          <w:spacing w:val="-3"/>
          <w:lang w:eastAsia="zh-CN"/>
        </w:rPr>
        <w:t>œuvrer par l</w:t>
      </w:r>
      <w:r w:rsidR="00577D76" w:rsidRPr="001D5AE1">
        <w:rPr>
          <w:rFonts w:eastAsia="SimSun"/>
          <w:spacing w:val="-3"/>
          <w:lang w:eastAsia="zh-CN"/>
        </w:rPr>
        <w:t>’</w:t>
      </w:r>
      <w:r w:rsidR="00BC4BD0" w:rsidRPr="001D5AE1">
        <w:rPr>
          <w:rFonts w:eastAsia="SimSun"/>
          <w:spacing w:val="-3"/>
          <w:lang w:eastAsia="zh-CN"/>
        </w:rPr>
        <w:t>entremise des États membres pour faire connaître les besoins financiers des sciences océaniques. Une autre solution consisterait à dialoguer avec BSP afin de relancer la conversation sur la recherche d</w:t>
      </w:r>
      <w:r w:rsidR="00577D76" w:rsidRPr="001D5AE1">
        <w:rPr>
          <w:rFonts w:eastAsia="SimSun"/>
          <w:spacing w:val="-3"/>
          <w:lang w:eastAsia="zh-CN"/>
        </w:rPr>
        <w:t>’</w:t>
      </w:r>
      <w:r w:rsidR="00BC4BD0" w:rsidRPr="001D5AE1">
        <w:rPr>
          <w:rFonts w:eastAsia="SimSun"/>
          <w:spacing w:val="-3"/>
          <w:lang w:eastAsia="zh-CN"/>
        </w:rPr>
        <w:t>un rôle officiel pour l</w:t>
      </w:r>
      <w:r w:rsidR="00577D76" w:rsidRPr="001D5AE1">
        <w:rPr>
          <w:rFonts w:eastAsia="SimSun"/>
          <w:spacing w:val="-3"/>
          <w:lang w:eastAsia="zh-CN"/>
        </w:rPr>
        <w:t>’</w:t>
      </w:r>
      <w:r w:rsidR="00BC4BD0" w:rsidRPr="001D5AE1">
        <w:rPr>
          <w:rFonts w:eastAsia="SimSun"/>
          <w:spacing w:val="-3"/>
          <w:lang w:eastAsia="zh-CN"/>
        </w:rPr>
        <w:t>UNESCO en tant qu</w:t>
      </w:r>
      <w:r w:rsidR="00577D76" w:rsidRPr="001D5AE1">
        <w:rPr>
          <w:rFonts w:eastAsia="SimSun"/>
          <w:spacing w:val="-3"/>
          <w:lang w:eastAsia="zh-CN"/>
        </w:rPr>
        <w:t>’</w:t>
      </w:r>
      <w:r w:rsidR="00BC4BD0" w:rsidRPr="001D5AE1">
        <w:rPr>
          <w:rFonts w:eastAsia="SimSun"/>
          <w:spacing w:val="-3"/>
          <w:lang w:eastAsia="zh-CN"/>
        </w:rPr>
        <w:t>institution responsable de la mise en œuvre du FVC et du Fonds pour l</w:t>
      </w:r>
      <w:r w:rsidR="00577D76" w:rsidRPr="001D5AE1">
        <w:rPr>
          <w:rFonts w:eastAsia="SimSun"/>
          <w:spacing w:val="-3"/>
          <w:lang w:eastAsia="zh-CN"/>
        </w:rPr>
        <w:t>’</w:t>
      </w:r>
      <w:r w:rsidR="00BC4BD0" w:rsidRPr="001D5AE1">
        <w:rPr>
          <w:rFonts w:eastAsia="SimSun"/>
          <w:spacing w:val="-3"/>
          <w:lang w:eastAsia="zh-CN"/>
        </w:rPr>
        <w:t>adaptation. D</w:t>
      </w:r>
      <w:r w:rsidR="00577D76" w:rsidRPr="001D5AE1">
        <w:rPr>
          <w:rFonts w:eastAsia="SimSun"/>
          <w:spacing w:val="-3"/>
          <w:lang w:eastAsia="zh-CN"/>
        </w:rPr>
        <w:t>’</w:t>
      </w:r>
      <w:r w:rsidR="00BC4BD0" w:rsidRPr="001D5AE1">
        <w:rPr>
          <w:rFonts w:eastAsia="SimSun"/>
          <w:spacing w:val="-3"/>
          <w:lang w:eastAsia="zh-CN"/>
        </w:rPr>
        <w:t>une manière générale, la création de comités nationaux dans les pays en développement peut contribuer à attirer des fonds d</w:t>
      </w:r>
      <w:r w:rsidR="00577D76" w:rsidRPr="001D5AE1">
        <w:rPr>
          <w:rFonts w:eastAsia="SimSun"/>
          <w:spacing w:val="-3"/>
          <w:lang w:eastAsia="zh-CN"/>
        </w:rPr>
        <w:t>’</w:t>
      </w:r>
      <w:r w:rsidR="00BC4BD0" w:rsidRPr="001D5AE1">
        <w:rPr>
          <w:rFonts w:eastAsia="SimSun"/>
          <w:spacing w:val="-3"/>
          <w:lang w:eastAsia="zh-CN"/>
        </w:rPr>
        <w:t>organismes d</w:t>
      </w:r>
      <w:r w:rsidR="00577D76" w:rsidRPr="001D5AE1">
        <w:rPr>
          <w:rFonts w:eastAsia="SimSun"/>
          <w:spacing w:val="-3"/>
          <w:lang w:eastAsia="zh-CN"/>
        </w:rPr>
        <w:t>’</w:t>
      </w:r>
      <w:r w:rsidR="00BC4BD0" w:rsidRPr="001D5AE1">
        <w:rPr>
          <w:rFonts w:eastAsia="SimSun"/>
          <w:spacing w:val="-3"/>
          <w:lang w:eastAsia="zh-CN"/>
        </w:rPr>
        <w:t>aide publique au développement (APD) en fixant des priorités nationales pour la Décennie, mais il faudra interagir et communiquer étroitement avec ces comités pour veiller à la cohérence des messages.</w:t>
      </w:r>
    </w:p>
    <w:p w14:paraId="59A3522B" w14:textId="0E3C64F0" w:rsidR="00BC4BD0" w:rsidRPr="001D5AE1" w:rsidRDefault="00145259" w:rsidP="009957F6">
      <w:pPr>
        <w:pStyle w:val="Marge"/>
        <w:rPr>
          <w:rFonts w:eastAsia="SimSun"/>
          <w:lang w:eastAsia="zh-CN"/>
        </w:rPr>
      </w:pPr>
      <w:r w:rsidRPr="001D5AE1">
        <w:rPr>
          <w:rFonts w:eastAsia="SimSun"/>
          <w:lang w:eastAsia="zh-CN"/>
        </w:rPr>
        <w:t>35.</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initiative de l</w:t>
      </w:r>
      <w:r w:rsidR="00577D76" w:rsidRPr="001D5AE1">
        <w:rPr>
          <w:rFonts w:eastAsia="SimSun"/>
          <w:lang w:eastAsia="zh-CN"/>
        </w:rPr>
        <w:t>’</w:t>
      </w:r>
      <w:r w:rsidR="00BC4BD0" w:rsidRPr="001D5AE1">
        <w:rPr>
          <w:rFonts w:eastAsia="SimSun"/>
          <w:lang w:eastAsia="zh-CN"/>
        </w:rPr>
        <w:t>Égypte soutenue par de nombreux États membres d</w:t>
      </w:r>
      <w:r w:rsidR="00577D76" w:rsidRPr="001D5AE1">
        <w:rPr>
          <w:rFonts w:eastAsia="SimSun"/>
          <w:lang w:eastAsia="zh-CN"/>
        </w:rPr>
        <w:t>’</w:t>
      </w:r>
      <w:r w:rsidR="00BC4BD0" w:rsidRPr="001D5AE1">
        <w:rPr>
          <w:rFonts w:eastAsia="SimSun"/>
          <w:lang w:eastAsia="zh-CN"/>
        </w:rPr>
        <w:t>ajouter le point « L</w:t>
      </w:r>
      <w:r w:rsidR="00577D76" w:rsidRPr="001D5AE1">
        <w:rPr>
          <w:rFonts w:eastAsia="SimSun"/>
          <w:lang w:eastAsia="zh-CN"/>
        </w:rPr>
        <w:t>’</w:t>
      </w:r>
      <w:r w:rsidR="00BC4BD0" w:rsidRPr="001D5AE1">
        <w:rPr>
          <w:rFonts w:eastAsia="SimSun"/>
          <w:lang w:eastAsia="zh-CN"/>
        </w:rPr>
        <w:t>UNESCO et l</w:t>
      </w:r>
      <w:r w:rsidR="00577D76" w:rsidRPr="001D5AE1">
        <w:rPr>
          <w:rFonts w:eastAsia="SimSun"/>
          <w:lang w:eastAsia="zh-CN"/>
        </w:rPr>
        <w:t>’</w:t>
      </w:r>
      <w:r w:rsidR="00BC4BD0" w:rsidRPr="001D5AE1">
        <w:rPr>
          <w:rFonts w:eastAsia="SimSun"/>
          <w:lang w:eastAsia="zh-CN"/>
        </w:rPr>
        <w:t>océan » à l</w:t>
      </w:r>
      <w:r w:rsidR="00577D76" w:rsidRPr="001D5AE1">
        <w:rPr>
          <w:rFonts w:eastAsia="SimSun"/>
          <w:lang w:eastAsia="zh-CN"/>
        </w:rPr>
        <w:t>’</w:t>
      </w:r>
      <w:r w:rsidR="00BC4BD0" w:rsidRPr="001D5AE1">
        <w:rPr>
          <w:rFonts w:eastAsia="SimSun"/>
          <w:lang w:eastAsia="zh-CN"/>
        </w:rPr>
        <w:t>ordre du jour de la 214</w:t>
      </w:r>
      <w:r w:rsidR="00BC4BD0" w:rsidRPr="001D5AE1">
        <w:rPr>
          <w:rFonts w:eastAsia="SimSun"/>
          <w:vertAlign w:val="superscript"/>
          <w:lang w:eastAsia="zh-CN"/>
        </w:rPr>
        <w:t>e</w:t>
      </w:r>
      <w:r w:rsidR="00BC4BD0" w:rsidRPr="001D5AE1">
        <w:rPr>
          <w:rFonts w:eastAsia="SimSun"/>
          <w:lang w:eastAsia="zh-CN"/>
        </w:rPr>
        <w:t> session du Conseil exécutif et la décision </w:t>
      </w:r>
      <w:hyperlink r:id="rId18" w:history="1">
        <w:r w:rsidR="00BC4BD0" w:rsidRPr="001D5AE1">
          <w:rPr>
            <w:rFonts w:eastAsia="SimSun"/>
            <w:color w:val="0000FF"/>
            <w:u w:val="single"/>
            <w:lang w:eastAsia="zh-CN"/>
          </w:rPr>
          <w:t>214 EX/29</w:t>
        </w:r>
      </w:hyperlink>
      <w:r w:rsidR="00BC4BD0" w:rsidRPr="001D5AE1">
        <w:rPr>
          <w:rFonts w:eastAsia="SimSun"/>
          <w:lang w:eastAsia="zh-CN"/>
        </w:rPr>
        <w:t xml:space="preserve"> qui en a découlé représentent une évolution capitale à cet égard.</w:t>
      </w:r>
    </w:p>
    <w:p w14:paraId="699412E9" w14:textId="77777777" w:rsidR="00BC4BD0" w:rsidRPr="001D5AE1" w:rsidRDefault="00BC4BD0" w:rsidP="009957F6">
      <w:pPr>
        <w:pStyle w:val="Heading3"/>
        <w:rPr>
          <w:rFonts w:eastAsia="SimSun"/>
          <w:lang w:eastAsia="zh-CN"/>
        </w:rPr>
      </w:pPr>
      <w:r w:rsidRPr="001D5AE1">
        <w:rPr>
          <w:rFonts w:eastAsia="SimSun"/>
          <w:lang w:eastAsia="zh-CN"/>
        </w:rPr>
        <w:t>Principales actions de mise en œuvre proposées :</w:t>
      </w:r>
    </w:p>
    <w:p w14:paraId="70A665EF" w14:textId="3907879C" w:rsidR="00BC4BD0" w:rsidRPr="001D5AE1" w:rsidRDefault="003346B4" w:rsidP="009957F6">
      <w:pPr>
        <w:pStyle w:val="b"/>
        <w:rPr>
          <w:rFonts w:eastAsia="SimSun"/>
          <w:lang w:eastAsia="zh-CN"/>
        </w:rPr>
      </w:pPr>
      <w:r w:rsidRPr="001D5AE1">
        <w:rPr>
          <w:rFonts w:eastAsia="SimSun"/>
          <w:lang w:eastAsia="zh-CN"/>
        </w:rPr>
        <w:t>3.a.</w:t>
      </w:r>
      <w:r w:rsidRPr="001D5AE1">
        <w:rPr>
          <w:rFonts w:eastAsia="SimSun"/>
          <w:lang w:eastAsia="zh-CN"/>
        </w:rPr>
        <w:tab/>
      </w:r>
      <w:r w:rsidR="00BC4BD0" w:rsidRPr="001D5AE1">
        <w:rPr>
          <w:rFonts w:eastAsia="SimSun"/>
          <w:lang w:eastAsia="zh-CN"/>
        </w:rPr>
        <w:t>Élaborer des messages clairs et ciblés à l</w:t>
      </w:r>
      <w:r w:rsidR="00577D76" w:rsidRPr="001D5AE1">
        <w:rPr>
          <w:rFonts w:eastAsia="SimSun"/>
          <w:lang w:eastAsia="zh-CN"/>
        </w:rPr>
        <w:t>’</w:t>
      </w:r>
      <w:r w:rsidR="00BC4BD0" w:rsidRPr="001D5AE1">
        <w:rPr>
          <w:rFonts w:eastAsia="SimSun"/>
          <w:lang w:eastAsia="zh-CN"/>
        </w:rPr>
        <w:t>intention des différents groupes de donateurs sur les avantages et les moyens d</w:t>
      </w:r>
      <w:r w:rsidR="00577D76" w:rsidRPr="001D5AE1">
        <w:rPr>
          <w:rFonts w:eastAsia="SimSun"/>
          <w:lang w:eastAsia="zh-CN"/>
        </w:rPr>
        <w:t>’</w:t>
      </w:r>
      <w:r w:rsidR="00BC4BD0" w:rsidRPr="001D5AE1">
        <w:rPr>
          <w:rFonts w:eastAsia="SimSun"/>
          <w:lang w:eastAsia="zh-CN"/>
        </w:rPr>
        <w:t>investir dans la Décennie de l</w:t>
      </w:r>
      <w:r w:rsidR="00577D76" w:rsidRPr="001D5AE1">
        <w:rPr>
          <w:rFonts w:eastAsia="SimSun"/>
          <w:lang w:eastAsia="zh-CN"/>
        </w:rPr>
        <w:t>’</w:t>
      </w:r>
      <w:r w:rsidR="00BC4BD0" w:rsidRPr="001D5AE1">
        <w:rPr>
          <w:rFonts w:eastAsia="SimSun"/>
          <w:lang w:eastAsia="zh-CN"/>
        </w:rPr>
        <w:t>Océan ;</w:t>
      </w:r>
    </w:p>
    <w:p w14:paraId="3AA1743E" w14:textId="67203CC2" w:rsidR="00BC4BD0" w:rsidRPr="001D5AE1" w:rsidRDefault="003346B4" w:rsidP="009957F6">
      <w:pPr>
        <w:pStyle w:val="b"/>
        <w:rPr>
          <w:rFonts w:eastAsia="SimSun"/>
          <w:lang w:eastAsia="zh-CN"/>
        </w:rPr>
      </w:pPr>
      <w:r w:rsidRPr="001D5AE1">
        <w:rPr>
          <w:rFonts w:eastAsia="SimSun"/>
          <w:lang w:eastAsia="zh-CN"/>
        </w:rPr>
        <w:t>3.b.</w:t>
      </w:r>
      <w:r w:rsidRPr="001D5AE1">
        <w:rPr>
          <w:rFonts w:eastAsia="SimSun"/>
          <w:lang w:eastAsia="zh-CN"/>
        </w:rPr>
        <w:tab/>
      </w:r>
      <w:r w:rsidR="00BC4BD0" w:rsidRPr="001D5AE1">
        <w:rPr>
          <w:rFonts w:eastAsia="SimSun"/>
          <w:spacing w:val="-3"/>
          <w:lang w:eastAsia="zh-CN"/>
        </w:rPr>
        <w:t>Évaluer de manière plus approfondie les besoins en ressources des programmes et des structures de la COI pour soutenir efficacement la mise en œuvre de la Décennie (au-delà des fonctions de coordination assurées par l</w:t>
      </w:r>
      <w:r w:rsidR="00577D76" w:rsidRPr="001D5AE1">
        <w:rPr>
          <w:rFonts w:eastAsia="SimSun"/>
          <w:spacing w:val="-3"/>
          <w:lang w:eastAsia="zh-CN"/>
        </w:rPr>
        <w:t>’</w:t>
      </w:r>
      <w:r w:rsidR="00BC4BD0" w:rsidRPr="001D5AE1">
        <w:rPr>
          <w:rFonts w:eastAsia="SimSun"/>
          <w:spacing w:val="-3"/>
          <w:lang w:eastAsia="zh-CN"/>
        </w:rPr>
        <w:t>Unité de coordination de la Décennie) ;</w:t>
      </w:r>
    </w:p>
    <w:p w14:paraId="5EF53016" w14:textId="2808F518" w:rsidR="00BC4BD0" w:rsidRPr="001D5AE1" w:rsidRDefault="003346B4" w:rsidP="009957F6">
      <w:pPr>
        <w:pStyle w:val="b"/>
        <w:rPr>
          <w:rFonts w:eastAsia="SimSun"/>
          <w:lang w:eastAsia="zh-CN"/>
        </w:rPr>
      </w:pPr>
      <w:r w:rsidRPr="001D5AE1">
        <w:rPr>
          <w:rFonts w:eastAsia="SimSun"/>
          <w:lang w:eastAsia="zh-CN"/>
        </w:rPr>
        <w:t>3.c.</w:t>
      </w:r>
      <w:r w:rsidRPr="001D5AE1">
        <w:rPr>
          <w:rFonts w:eastAsia="SimSun"/>
          <w:lang w:eastAsia="zh-CN"/>
        </w:rPr>
        <w:tab/>
      </w:r>
      <w:r w:rsidR="00BC4BD0" w:rsidRPr="001D5AE1">
        <w:rPr>
          <w:rFonts w:eastAsia="SimSun"/>
          <w:lang w:eastAsia="zh-CN"/>
        </w:rPr>
        <w:t>En se fondant sur la décision 214 EX/29 du Conseil exécutif de l</w:t>
      </w:r>
      <w:r w:rsidR="00577D76" w:rsidRPr="001D5AE1">
        <w:rPr>
          <w:rFonts w:eastAsia="SimSun"/>
          <w:lang w:eastAsia="zh-CN"/>
        </w:rPr>
        <w:t>’</w:t>
      </w:r>
      <w:r w:rsidR="00BC4BD0" w:rsidRPr="001D5AE1">
        <w:rPr>
          <w:rFonts w:eastAsia="SimSun"/>
          <w:lang w:eastAsia="zh-CN"/>
        </w:rPr>
        <w:t>UNESCO, travailler avec d</w:t>
      </w:r>
      <w:r w:rsidR="00577D76" w:rsidRPr="001D5AE1">
        <w:rPr>
          <w:rFonts w:eastAsia="SimSun"/>
          <w:lang w:eastAsia="zh-CN"/>
        </w:rPr>
        <w:t>’</w:t>
      </w:r>
      <w:r w:rsidR="00BC4BD0" w:rsidRPr="001D5AE1">
        <w:rPr>
          <w:rFonts w:eastAsia="SimSun"/>
          <w:lang w:eastAsia="zh-CN"/>
        </w:rPr>
        <w:t>autres secteurs de l</w:t>
      </w:r>
      <w:r w:rsidR="00577D76" w:rsidRPr="001D5AE1">
        <w:rPr>
          <w:rFonts w:eastAsia="SimSun"/>
          <w:lang w:eastAsia="zh-CN"/>
        </w:rPr>
        <w:t>’</w:t>
      </w:r>
      <w:r w:rsidR="00BC4BD0" w:rsidRPr="001D5AE1">
        <w:rPr>
          <w:rFonts w:eastAsia="SimSun"/>
          <w:lang w:eastAsia="zh-CN"/>
        </w:rPr>
        <w:t>Organisation pour faire des océans un thème prioritaire transversal et positionner la Décennie de l</w:t>
      </w:r>
      <w:r w:rsidR="00577D76" w:rsidRPr="001D5AE1">
        <w:rPr>
          <w:rFonts w:eastAsia="SimSun"/>
          <w:lang w:eastAsia="zh-CN"/>
        </w:rPr>
        <w:t>’</w:t>
      </w:r>
      <w:r w:rsidR="00BC4BD0" w:rsidRPr="001D5AE1">
        <w:rPr>
          <w:rFonts w:eastAsia="SimSun"/>
          <w:lang w:eastAsia="zh-CN"/>
        </w:rPr>
        <w:t xml:space="preserve">Océan </w:t>
      </w:r>
      <w:r w:rsidR="00141FF4" w:rsidRPr="001D5AE1">
        <w:rPr>
          <w:rFonts w:eastAsia="SimSun"/>
          <w:lang w:eastAsia="zh-CN"/>
        </w:rPr>
        <w:t>en tant que</w:t>
      </w:r>
      <w:r w:rsidR="00BC4BD0" w:rsidRPr="001D5AE1">
        <w:rPr>
          <w:rFonts w:eastAsia="SimSun"/>
          <w:lang w:eastAsia="zh-CN"/>
        </w:rPr>
        <w:t xml:space="preserve"> principal moyen pour les États membres d</w:t>
      </w:r>
      <w:r w:rsidR="00577D76" w:rsidRPr="001D5AE1">
        <w:rPr>
          <w:rFonts w:eastAsia="SimSun"/>
          <w:lang w:eastAsia="zh-CN"/>
        </w:rPr>
        <w:t>’</w:t>
      </w:r>
      <w:r w:rsidR="00BC4BD0" w:rsidRPr="001D5AE1">
        <w:rPr>
          <w:rFonts w:eastAsia="SimSun"/>
          <w:lang w:eastAsia="zh-CN"/>
        </w:rPr>
        <w:t>y contribuer.</w:t>
      </w:r>
    </w:p>
    <w:p w14:paraId="7F42935B" w14:textId="34702EF9" w:rsidR="00BC4BD0" w:rsidRPr="001D5AE1" w:rsidRDefault="00BC4BD0" w:rsidP="009957F6">
      <w:pPr>
        <w:pStyle w:val="Marge"/>
        <w:rPr>
          <w:rFonts w:eastAsia="SimSun"/>
          <w:i/>
          <w:iCs/>
          <w:lang w:eastAsia="zh-CN"/>
        </w:rPr>
      </w:pPr>
      <w:r w:rsidRPr="001D5AE1">
        <w:rPr>
          <w:rFonts w:eastAsia="SimSun"/>
          <w:i/>
          <w:iCs/>
          <w:lang w:eastAsia="zh-CN"/>
        </w:rPr>
        <w:t>Actions de soutien à l</w:t>
      </w:r>
      <w:r w:rsidR="00577D76" w:rsidRPr="001D5AE1">
        <w:rPr>
          <w:rFonts w:eastAsia="SimSun"/>
          <w:i/>
          <w:iCs/>
          <w:lang w:eastAsia="zh-CN"/>
        </w:rPr>
        <w:t>’</w:t>
      </w:r>
      <w:r w:rsidRPr="001D5AE1">
        <w:rPr>
          <w:rFonts w:eastAsia="SimSun"/>
          <w:i/>
          <w:iCs/>
          <w:lang w:eastAsia="zh-CN"/>
        </w:rPr>
        <w:t xml:space="preserve">échelle des </w:t>
      </w:r>
      <w:r w:rsidR="00172412" w:rsidRPr="001D5AE1">
        <w:rPr>
          <w:rFonts w:eastAsia="SimSun"/>
          <w:i/>
          <w:iCs/>
          <w:lang w:eastAsia="zh-CN"/>
        </w:rPr>
        <w:t>Nations Unies</w:t>
      </w:r>
      <w:r w:rsidRPr="001D5AE1">
        <w:rPr>
          <w:rFonts w:eastAsia="SimSun"/>
          <w:i/>
          <w:iCs/>
          <w:lang w:eastAsia="zh-CN"/>
        </w:rPr>
        <w:t> :</w:t>
      </w:r>
    </w:p>
    <w:p w14:paraId="381C0252" w14:textId="3BC335DF" w:rsidR="00BC4BD0" w:rsidRPr="001D5AE1" w:rsidRDefault="003346B4" w:rsidP="009957F6">
      <w:pPr>
        <w:pStyle w:val="b"/>
        <w:rPr>
          <w:rFonts w:eastAsia="SimSun"/>
          <w:lang w:eastAsia="zh-CN"/>
        </w:rPr>
      </w:pPr>
      <w:r w:rsidRPr="001D5AE1">
        <w:rPr>
          <w:rFonts w:eastAsia="SimSun"/>
          <w:lang w:eastAsia="zh-CN"/>
        </w:rPr>
        <w:t>3.d.</w:t>
      </w:r>
      <w:r w:rsidRPr="001D5AE1">
        <w:rPr>
          <w:rFonts w:eastAsia="SimSun"/>
          <w:lang w:eastAsia="zh-CN"/>
        </w:rPr>
        <w:tab/>
      </w:r>
      <w:r w:rsidR="00BC4BD0" w:rsidRPr="001D5AE1">
        <w:rPr>
          <w:rFonts w:eastAsia="SimSun"/>
          <w:lang w:eastAsia="zh-CN"/>
        </w:rPr>
        <w:t>Élaborer une « demande » claire et structurée de ressources financières ou en nature destinée à rallier le soutien de partenaires en faveur de l</w:t>
      </w:r>
      <w:r w:rsidR="00577D76" w:rsidRPr="001D5AE1">
        <w:rPr>
          <w:rFonts w:eastAsia="SimSun"/>
          <w:lang w:eastAsia="zh-CN"/>
        </w:rPr>
        <w:t>’</w:t>
      </w:r>
      <w:r w:rsidR="00BC4BD0" w:rsidRPr="001D5AE1">
        <w:rPr>
          <w:rFonts w:eastAsia="SimSun"/>
          <w:lang w:eastAsia="zh-CN"/>
        </w:rPr>
        <w:t>Unité de coordination de la Décennie ;</w:t>
      </w:r>
    </w:p>
    <w:p w14:paraId="2591CBCC" w14:textId="532F8F04" w:rsidR="00BC4BD0" w:rsidRPr="001D5AE1" w:rsidRDefault="003346B4" w:rsidP="009957F6">
      <w:pPr>
        <w:pStyle w:val="b"/>
        <w:rPr>
          <w:rFonts w:eastAsia="SimSun"/>
          <w:lang w:eastAsia="zh-CN"/>
        </w:rPr>
      </w:pPr>
      <w:r w:rsidRPr="001D5AE1">
        <w:rPr>
          <w:rFonts w:eastAsia="SimSun"/>
          <w:lang w:eastAsia="zh-CN"/>
        </w:rPr>
        <w:t>3.e.</w:t>
      </w:r>
      <w:r w:rsidRPr="001D5AE1">
        <w:rPr>
          <w:rFonts w:eastAsia="SimSun"/>
          <w:lang w:eastAsia="zh-CN"/>
        </w:rPr>
        <w:tab/>
      </w:r>
      <w:r w:rsidR="00BC4BD0" w:rsidRPr="001D5AE1">
        <w:rPr>
          <w:rFonts w:eastAsia="SimSun"/>
          <w:lang w:eastAsia="zh-CN"/>
        </w:rPr>
        <w:t>Entreprendre une cartographie et une analyse détaillées des activités et des intérêts des partenaires d</w:t>
      </w:r>
      <w:r w:rsidR="00577D76" w:rsidRPr="001D5AE1">
        <w:rPr>
          <w:rFonts w:eastAsia="SimSun"/>
          <w:lang w:eastAsia="zh-CN"/>
        </w:rPr>
        <w:t>’</w:t>
      </w:r>
      <w:r w:rsidR="00BC4BD0" w:rsidRPr="001D5AE1">
        <w:rPr>
          <w:rFonts w:eastAsia="SimSun"/>
          <w:lang w:eastAsia="zh-CN"/>
        </w:rPr>
        <w:t>ONU-Océans pour repérer les initiatives existantes ou potentielles liées à la Décennie, cerner les lacunes et formuler des recommandations pour renforcer l</w:t>
      </w:r>
      <w:r w:rsidR="00577D76" w:rsidRPr="001D5AE1">
        <w:rPr>
          <w:rFonts w:eastAsia="SimSun"/>
          <w:lang w:eastAsia="zh-CN"/>
        </w:rPr>
        <w:t>’</w:t>
      </w:r>
      <w:r w:rsidR="00BC4BD0" w:rsidRPr="001D5AE1">
        <w:rPr>
          <w:rFonts w:eastAsia="SimSun"/>
          <w:lang w:eastAsia="zh-CN"/>
        </w:rPr>
        <w:t>engagement et mobiliser des ressources ;</w:t>
      </w:r>
    </w:p>
    <w:p w14:paraId="654419F0" w14:textId="0C5038EA" w:rsidR="00BC4BD0" w:rsidRPr="001D5AE1" w:rsidRDefault="003346B4" w:rsidP="009957F6">
      <w:pPr>
        <w:pStyle w:val="b"/>
        <w:rPr>
          <w:rFonts w:eastAsia="SimSun"/>
          <w:lang w:eastAsia="zh-CN"/>
        </w:rPr>
      </w:pPr>
      <w:r w:rsidRPr="001D5AE1">
        <w:rPr>
          <w:rFonts w:eastAsia="SimSun"/>
          <w:lang w:eastAsia="zh-CN"/>
        </w:rPr>
        <w:t>3.f.</w:t>
      </w:r>
      <w:r w:rsidRPr="001D5AE1">
        <w:rPr>
          <w:rFonts w:eastAsia="SimSun"/>
          <w:lang w:eastAsia="zh-CN"/>
        </w:rPr>
        <w:tab/>
      </w:r>
      <w:r w:rsidR="00BC4BD0" w:rsidRPr="001D5AE1">
        <w:rPr>
          <w:rFonts w:eastAsia="SimSun"/>
          <w:lang w:eastAsia="zh-CN"/>
        </w:rPr>
        <w:t xml:space="preserve">Encourager les partenaires des </w:t>
      </w:r>
      <w:r w:rsidR="00172412" w:rsidRPr="001D5AE1">
        <w:rPr>
          <w:rFonts w:eastAsia="SimSun"/>
          <w:lang w:eastAsia="zh-CN"/>
        </w:rPr>
        <w:t>Nations Unies</w:t>
      </w:r>
      <w:r w:rsidR="00BC4BD0" w:rsidRPr="001D5AE1">
        <w:rPr>
          <w:rFonts w:eastAsia="SimSun"/>
          <w:lang w:eastAsia="zh-CN"/>
        </w:rPr>
        <w:t xml:space="preserve"> à mettre en place et à financer des bureaux de coordination de la Décennie afin d</w:t>
      </w:r>
      <w:r w:rsidR="00577D76" w:rsidRPr="001D5AE1">
        <w:rPr>
          <w:rFonts w:eastAsia="SimSun"/>
          <w:lang w:eastAsia="zh-CN"/>
        </w:rPr>
        <w:t>’</w:t>
      </w:r>
      <w:r w:rsidR="00BC4BD0" w:rsidRPr="001D5AE1">
        <w:rPr>
          <w:rFonts w:eastAsia="SimSun"/>
          <w:lang w:eastAsia="zh-CN"/>
        </w:rPr>
        <w:t>assurer la coordination des priorités régionales ou thématiques ;</w:t>
      </w:r>
    </w:p>
    <w:p w14:paraId="00A3FB4F" w14:textId="4ADFD4F1" w:rsidR="00BC4BD0" w:rsidRPr="001D5AE1" w:rsidRDefault="003346B4" w:rsidP="009957F6">
      <w:pPr>
        <w:pStyle w:val="b"/>
        <w:rPr>
          <w:rFonts w:eastAsia="SimSun"/>
          <w:lang w:eastAsia="zh-CN"/>
        </w:rPr>
      </w:pPr>
      <w:r w:rsidRPr="001D5AE1">
        <w:rPr>
          <w:rFonts w:eastAsia="SimSun"/>
          <w:lang w:eastAsia="zh-CN"/>
        </w:rPr>
        <w:t>3.g.</w:t>
      </w:r>
      <w:r w:rsidRPr="001D5AE1">
        <w:rPr>
          <w:rFonts w:eastAsia="SimSun"/>
          <w:lang w:eastAsia="zh-CN"/>
        </w:rPr>
        <w:tab/>
      </w:r>
      <w:r w:rsidR="00BC4BD0" w:rsidRPr="001D5AE1">
        <w:rPr>
          <w:rFonts w:eastAsia="SimSun"/>
          <w:lang w:eastAsia="zh-CN"/>
        </w:rPr>
        <w:t>Faire en sorte que le soutien financier ou en nature à l</w:t>
      </w:r>
      <w:r w:rsidR="00577D76" w:rsidRPr="001D5AE1">
        <w:rPr>
          <w:rFonts w:eastAsia="SimSun"/>
          <w:lang w:eastAsia="zh-CN"/>
        </w:rPr>
        <w:t>’</w:t>
      </w:r>
      <w:r w:rsidR="00BC4BD0" w:rsidRPr="001D5AE1">
        <w:rPr>
          <w:rFonts w:eastAsia="SimSun"/>
          <w:lang w:eastAsia="zh-CN"/>
        </w:rPr>
        <w:t>Unité de coordination de la Décennie soit une condition préalable à l</w:t>
      </w:r>
      <w:r w:rsidR="00577D76" w:rsidRPr="001D5AE1">
        <w:rPr>
          <w:rFonts w:eastAsia="SimSun"/>
          <w:lang w:eastAsia="zh-CN"/>
        </w:rPr>
        <w:t>’</w:t>
      </w:r>
      <w:r w:rsidR="00BC4BD0" w:rsidRPr="001D5AE1">
        <w:rPr>
          <w:rFonts w:eastAsia="SimSun"/>
          <w:lang w:eastAsia="zh-CN"/>
        </w:rPr>
        <w:t>adhésion à l</w:t>
      </w:r>
      <w:r w:rsidR="00577D76" w:rsidRPr="001D5AE1">
        <w:rPr>
          <w:rFonts w:eastAsia="SimSun"/>
          <w:lang w:eastAsia="zh-CN"/>
        </w:rPr>
        <w:t>’</w:t>
      </w:r>
      <w:r w:rsidR="00BC4BD0" w:rsidRPr="001D5AE1">
        <w:rPr>
          <w:rFonts w:eastAsia="SimSun"/>
          <w:lang w:eastAsia="zh-CN"/>
        </w:rPr>
        <w:t>Alliance pour la Décennie de l</w:t>
      </w:r>
      <w:r w:rsidR="00577D76" w:rsidRPr="001D5AE1">
        <w:rPr>
          <w:rFonts w:eastAsia="SimSun"/>
          <w:lang w:eastAsia="zh-CN"/>
        </w:rPr>
        <w:t>’</w:t>
      </w:r>
      <w:r w:rsidR="00BC4BD0" w:rsidRPr="001D5AE1">
        <w:rPr>
          <w:rFonts w:eastAsia="SimSun"/>
          <w:lang w:eastAsia="zh-CN"/>
        </w:rPr>
        <w:t>Océan.</w:t>
      </w:r>
    </w:p>
    <w:p w14:paraId="2DECC77D" w14:textId="754CC2F2" w:rsidR="00BC4BD0" w:rsidRPr="001D5AE1" w:rsidRDefault="00BC4BD0" w:rsidP="009957F6">
      <w:pPr>
        <w:spacing w:after="240"/>
        <w:jc w:val="both"/>
        <w:rPr>
          <w:rFonts w:eastAsia="SimSun" w:cs="Arial"/>
          <w:b/>
          <w:bCs/>
          <w:color w:val="002060"/>
          <w:szCs w:val="22"/>
          <w:u w:val="single"/>
          <w:lang w:eastAsia="zh-CN"/>
        </w:rPr>
      </w:pPr>
      <w:r w:rsidRPr="001D5AE1">
        <w:rPr>
          <w:rFonts w:eastAsia="SimSun" w:cs="Arial"/>
          <w:b/>
          <w:bCs/>
          <w:color w:val="002060"/>
          <w:szCs w:val="22"/>
          <w:u w:val="single"/>
          <w:lang w:eastAsia="zh-CN"/>
        </w:rPr>
        <w:t>Recommandation 4 : D</w:t>
      </w:r>
      <w:r w:rsidR="00577D76" w:rsidRPr="001D5AE1">
        <w:rPr>
          <w:rFonts w:eastAsia="SimSun" w:cs="Arial"/>
          <w:b/>
          <w:bCs/>
          <w:color w:val="002060"/>
          <w:szCs w:val="22"/>
          <w:u w:val="single"/>
          <w:lang w:eastAsia="zh-CN"/>
        </w:rPr>
        <w:t>’</w:t>
      </w:r>
      <w:r w:rsidRPr="001D5AE1">
        <w:rPr>
          <w:rFonts w:eastAsia="SimSun" w:cs="Arial"/>
          <w:b/>
          <w:bCs/>
          <w:color w:val="002060"/>
          <w:szCs w:val="22"/>
          <w:u w:val="single"/>
          <w:lang w:eastAsia="zh-CN"/>
        </w:rPr>
        <w:t>ici à juin 2024</w:t>
      </w:r>
      <w:r w:rsidR="00172412" w:rsidRPr="001D5AE1">
        <w:rPr>
          <w:rFonts w:eastAsia="SimSun" w:cs="Arial"/>
          <w:b/>
          <w:bCs/>
          <w:color w:val="002060"/>
          <w:szCs w:val="22"/>
          <w:u w:val="single"/>
          <w:lang w:eastAsia="zh-CN"/>
        </w:rPr>
        <w:t> </w:t>
      </w:r>
      <w:r w:rsidRPr="001D5AE1">
        <w:rPr>
          <w:rFonts w:eastAsia="SimSun" w:cs="Arial"/>
          <w:b/>
          <w:bCs/>
          <w:color w:val="002060"/>
          <w:szCs w:val="22"/>
          <w:u w:val="single"/>
          <w:lang w:eastAsia="zh-CN"/>
        </w:rPr>
        <w:t>–</w:t>
      </w:r>
      <w:r w:rsidR="00172412" w:rsidRPr="001D5AE1">
        <w:rPr>
          <w:rFonts w:eastAsia="SimSun" w:cs="Arial"/>
          <w:b/>
          <w:bCs/>
          <w:color w:val="002060"/>
          <w:szCs w:val="22"/>
          <w:u w:val="single"/>
          <w:lang w:eastAsia="zh-CN"/>
        </w:rPr>
        <w:t> </w:t>
      </w:r>
      <w:r w:rsidRPr="001D5AE1">
        <w:rPr>
          <w:rFonts w:eastAsia="SimSun" w:cs="Arial"/>
          <w:b/>
          <w:bCs/>
          <w:color w:val="002060"/>
          <w:szCs w:val="22"/>
          <w:u w:val="single"/>
          <w:lang w:eastAsia="zh-CN"/>
        </w:rPr>
        <w:t>Examiner les options pour une plus ample utilisation de la base de données et de connaissances de la COI</w:t>
      </w:r>
    </w:p>
    <w:p w14:paraId="6FADCC51" w14:textId="32718530" w:rsidR="00BC4BD0" w:rsidRPr="001D5AE1" w:rsidRDefault="003346B4" w:rsidP="009957F6">
      <w:pPr>
        <w:pStyle w:val="Marge"/>
        <w:rPr>
          <w:rFonts w:eastAsia="SimSun"/>
          <w:lang w:eastAsia="zh-CN"/>
        </w:rPr>
      </w:pPr>
      <w:r w:rsidRPr="001D5AE1">
        <w:rPr>
          <w:rFonts w:eastAsia="SimSun"/>
          <w:lang w:eastAsia="zh-CN"/>
        </w:rPr>
        <w:t>36.</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un des principaux atouts de la Commission est sa capacité à coordonner les recherches scientifiques et à faire office de mécanisme de coordination mondial chargé de diffuser les données et les informations sur les océans. Cependant, certains utilisateurs finaux éprouvent encore des difficultés à s</w:t>
      </w:r>
      <w:r w:rsidR="00577D76" w:rsidRPr="001D5AE1">
        <w:rPr>
          <w:rFonts w:eastAsia="SimSun"/>
          <w:lang w:eastAsia="zh-CN"/>
        </w:rPr>
        <w:t>’</w:t>
      </w:r>
      <w:r w:rsidR="00DA22B1" w:rsidRPr="001D5AE1">
        <w:rPr>
          <w:rFonts w:eastAsia="SimSun"/>
          <w:lang w:eastAsia="zh-CN"/>
        </w:rPr>
        <w:t>y</w:t>
      </w:r>
      <w:r w:rsidR="00BC4BD0" w:rsidRPr="001D5AE1">
        <w:rPr>
          <w:rFonts w:eastAsia="SimSun"/>
          <w:lang w:eastAsia="zh-CN"/>
        </w:rPr>
        <w:t xml:space="preserve"> retrouver entre les multiples sources de données et d</w:t>
      </w:r>
      <w:r w:rsidR="00577D76" w:rsidRPr="001D5AE1">
        <w:rPr>
          <w:rFonts w:eastAsia="SimSun"/>
          <w:lang w:eastAsia="zh-CN"/>
        </w:rPr>
        <w:t>’</w:t>
      </w:r>
      <w:r w:rsidR="00BC4BD0" w:rsidRPr="001D5AE1">
        <w:rPr>
          <w:rFonts w:eastAsia="SimSun"/>
          <w:lang w:eastAsia="zh-CN"/>
        </w:rPr>
        <w:t xml:space="preserve">informations en </w:t>
      </w:r>
      <w:r w:rsidR="00BC4BD0" w:rsidRPr="001D5AE1">
        <w:rPr>
          <w:rFonts w:eastAsia="SimSun"/>
          <w:lang w:eastAsia="zh-CN"/>
        </w:rPr>
        <w:lastRenderedPageBreak/>
        <w:t>ligne (il en existe plus de 3 000), dont la facilité d</w:t>
      </w:r>
      <w:r w:rsidR="00577D76" w:rsidRPr="001D5AE1">
        <w:rPr>
          <w:rFonts w:eastAsia="SimSun"/>
          <w:lang w:eastAsia="zh-CN"/>
        </w:rPr>
        <w:t>’</w:t>
      </w:r>
      <w:r w:rsidR="00BC4BD0" w:rsidRPr="001D5AE1">
        <w:rPr>
          <w:rFonts w:eastAsia="SimSun"/>
          <w:lang w:eastAsia="zh-CN"/>
        </w:rPr>
        <w:t>utilisation varie considérablement en raison de leur grande hétérogénéité. Le Système de données et d</w:t>
      </w:r>
      <w:r w:rsidR="00577D76" w:rsidRPr="001D5AE1">
        <w:rPr>
          <w:rFonts w:eastAsia="SimSun"/>
          <w:lang w:eastAsia="zh-CN"/>
        </w:rPr>
        <w:t>’</w:t>
      </w:r>
      <w:r w:rsidR="00BC4BD0" w:rsidRPr="001D5AE1">
        <w:rPr>
          <w:rFonts w:eastAsia="SimSun"/>
          <w:lang w:eastAsia="zh-CN"/>
        </w:rPr>
        <w:t>information océanographiques (ODIS) vise à créer un écosystème mondial de données océaniques fondé sur des accords d</w:t>
      </w:r>
      <w:r w:rsidR="00577D76" w:rsidRPr="001D5AE1">
        <w:rPr>
          <w:rFonts w:eastAsia="SimSun"/>
          <w:lang w:eastAsia="zh-CN"/>
        </w:rPr>
        <w:t>’</w:t>
      </w:r>
      <w:r w:rsidR="00BC4BD0" w:rsidRPr="001D5AE1">
        <w:rPr>
          <w:rFonts w:eastAsia="SimSun"/>
          <w:lang w:eastAsia="zh-CN"/>
        </w:rPr>
        <w:t>interopérabilité qui permettent à toute partie prenante de partager ou d</w:t>
      </w:r>
      <w:r w:rsidR="00577D76" w:rsidRPr="001D5AE1">
        <w:rPr>
          <w:rFonts w:eastAsia="SimSun"/>
          <w:lang w:eastAsia="zh-CN"/>
        </w:rPr>
        <w:t>’</w:t>
      </w:r>
      <w:r w:rsidR="00BC4BD0" w:rsidRPr="001D5AE1">
        <w:rPr>
          <w:rFonts w:eastAsia="SimSun"/>
          <w:lang w:eastAsia="zh-CN"/>
        </w:rPr>
        <w:t>utiliser équitablement des données en son sein. L</w:t>
      </w:r>
      <w:r w:rsidR="00577D76" w:rsidRPr="001D5AE1">
        <w:rPr>
          <w:rFonts w:eastAsia="SimSun"/>
          <w:lang w:eastAsia="zh-CN"/>
        </w:rPr>
        <w:t>’</w:t>
      </w:r>
      <w:r w:rsidR="00BC4BD0" w:rsidRPr="001D5AE1">
        <w:rPr>
          <w:rFonts w:eastAsia="SimSun"/>
          <w:lang w:eastAsia="zh-CN"/>
        </w:rPr>
        <w:t>accélération de la mise en place de l</w:t>
      </w:r>
      <w:r w:rsidR="00577D76" w:rsidRPr="001D5AE1">
        <w:rPr>
          <w:rFonts w:eastAsia="SimSun"/>
          <w:lang w:eastAsia="zh-CN"/>
        </w:rPr>
        <w:t>’</w:t>
      </w:r>
      <w:r w:rsidR="00BC4BD0" w:rsidRPr="001D5AE1">
        <w:rPr>
          <w:rFonts w:eastAsia="SimSun"/>
          <w:lang w:eastAsia="zh-CN"/>
        </w:rPr>
        <w:t>ODIS et l</w:t>
      </w:r>
      <w:r w:rsidR="00577D76" w:rsidRPr="001D5AE1">
        <w:rPr>
          <w:rFonts w:eastAsia="SimSun"/>
          <w:lang w:eastAsia="zh-CN"/>
        </w:rPr>
        <w:t>’</w:t>
      </w:r>
      <w:r w:rsidR="00BC4BD0" w:rsidRPr="001D5AE1">
        <w:rPr>
          <w:rFonts w:eastAsia="SimSun"/>
          <w:lang w:eastAsia="zh-CN"/>
        </w:rPr>
        <w:t>élargissement de sa contribution à la Décennie de l</w:t>
      </w:r>
      <w:r w:rsidR="00577D76" w:rsidRPr="001D5AE1">
        <w:rPr>
          <w:rFonts w:eastAsia="SimSun"/>
          <w:lang w:eastAsia="zh-CN"/>
        </w:rPr>
        <w:t>’</w:t>
      </w:r>
      <w:r w:rsidR="00BC4BD0" w:rsidRPr="001D5AE1">
        <w:rPr>
          <w:rFonts w:eastAsia="SimSun"/>
          <w:lang w:eastAsia="zh-CN"/>
        </w:rPr>
        <w:t>Océan représenteraient une évolution très positive et doivent donc être considérés comme une priorité pour la mobilisation de ressources.</w:t>
      </w:r>
    </w:p>
    <w:p w14:paraId="798436D2" w14:textId="4A15EBE6" w:rsidR="00BC4BD0" w:rsidRPr="001D5AE1" w:rsidRDefault="00255528" w:rsidP="009957F6">
      <w:pPr>
        <w:pStyle w:val="Marge"/>
        <w:rPr>
          <w:rFonts w:eastAsia="SimSun"/>
          <w:lang w:eastAsia="zh-CN"/>
        </w:rPr>
      </w:pPr>
      <w:r w:rsidRPr="001D5AE1">
        <w:rPr>
          <w:rFonts w:eastAsia="SimSun"/>
          <w:lang w:eastAsia="zh-CN"/>
        </w:rPr>
        <w:t>37.</w:t>
      </w:r>
      <w:r w:rsidRPr="001D5AE1">
        <w:rPr>
          <w:rFonts w:eastAsia="SimSun"/>
          <w:lang w:eastAsia="zh-CN"/>
        </w:rPr>
        <w:tab/>
      </w:r>
      <w:r w:rsidR="00BC4BD0" w:rsidRPr="001D5AE1">
        <w:rPr>
          <w:rFonts w:eastAsia="SimSun"/>
          <w:lang w:eastAsia="zh-CN"/>
        </w:rPr>
        <w:t>Une autre solution consisterait à élaborer un ensemble d</w:t>
      </w:r>
      <w:r w:rsidR="00577D76" w:rsidRPr="001D5AE1">
        <w:rPr>
          <w:rFonts w:eastAsia="SimSun"/>
          <w:lang w:eastAsia="zh-CN"/>
        </w:rPr>
        <w:t>’</w:t>
      </w:r>
      <w:r w:rsidR="00BC4BD0" w:rsidRPr="001D5AE1">
        <w:rPr>
          <w:rFonts w:eastAsia="SimSun"/>
          <w:lang w:eastAsia="zh-CN"/>
        </w:rPr>
        <w:t>indicateurs océaniques accessibles aux milieux non scientifiques. Cette démarche contribuerait à renforcer la capacité des utilisateurs finaux à appréhender les nombreuses données produites par la Commission, non seulement du point de vue de la description de l</w:t>
      </w:r>
      <w:r w:rsidR="00577D76" w:rsidRPr="001D5AE1">
        <w:rPr>
          <w:rFonts w:eastAsia="SimSun"/>
          <w:lang w:eastAsia="zh-CN"/>
        </w:rPr>
        <w:t>’</w:t>
      </w:r>
      <w:r w:rsidR="00BC4BD0" w:rsidRPr="001D5AE1">
        <w:rPr>
          <w:rFonts w:eastAsia="SimSun"/>
          <w:lang w:eastAsia="zh-CN"/>
        </w:rPr>
        <w:t>état des océans, mais aussi de notre faculté à prendre la mesure de problématiques liées aux océans, à les comprendre et à y apporter des solutions.</w:t>
      </w:r>
    </w:p>
    <w:p w14:paraId="60381464" w14:textId="37488A23" w:rsidR="00BC4BD0" w:rsidRPr="001D5AE1" w:rsidRDefault="00255528" w:rsidP="009957F6">
      <w:pPr>
        <w:pStyle w:val="Marge"/>
        <w:rPr>
          <w:rFonts w:eastAsia="SimSun"/>
          <w:lang w:eastAsia="zh-CN"/>
        </w:rPr>
      </w:pPr>
      <w:r w:rsidRPr="001D5AE1">
        <w:rPr>
          <w:rFonts w:eastAsia="SimSun"/>
          <w:lang w:eastAsia="zh-CN"/>
        </w:rPr>
        <w:t>38.</w:t>
      </w:r>
      <w:r w:rsidRPr="001D5AE1">
        <w:rPr>
          <w:rFonts w:eastAsia="SimSun"/>
          <w:lang w:eastAsia="zh-CN"/>
        </w:rPr>
        <w:tab/>
      </w:r>
      <w:r w:rsidR="00BC4BD0" w:rsidRPr="001D5AE1">
        <w:rPr>
          <w:rFonts w:eastAsia="SimSun"/>
          <w:lang w:eastAsia="zh-CN"/>
        </w:rPr>
        <w:t>Des variables océaniques essentielles ont déjà été définies dans le cadre du GOOS, mais les autres sections de la COI ont toute latitude d</w:t>
      </w:r>
      <w:r w:rsidR="00577D76" w:rsidRPr="001D5AE1">
        <w:rPr>
          <w:rFonts w:eastAsia="SimSun"/>
          <w:lang w:eastAsia="zh-CN"/>
        </w:rPr>
        <w:t>’</w:t>
      </w:r>
      <w:r w:rsidR="00BC4BD0" w:rsidRPr="001D5AE1">
        <w:rPr>
          <w:rFonts w:eastAsia="SimSun"/>
          <w:lang w:eastAsia="zh-CN"/>
        </w:rPr>
        <w:t>approfondir cette initiative. Il est en outre envisageable que d</w:t>
      </w:r>
      <w:r w:rsidR="00577D76" w:rsidRPr="001D5AE1">
        <w:rPr>
          <w:rFonts w:eastAsia="SimSun"/>
          <w:lang w:eastAsia="zh-CN"/>
        </w:rPr>
        <w:t>’</w:t>
      </w:r>
      <w:r w:rsidR="00BC4BD0" w:rsidRPr="001D5AE1">
        <w:rPr>
          <w:rFonts w:eastAsia="SimSun"/>
          <w:lang w:eastAsia="zh-CN"/>
        </w:rPr>
        <w:t>autres organes d</w:t>
      </w:r>
      <w:r w:rsidR="00577D76" w:rsidRPr="001D5AE1">
        <w:rPr>
          <w:rFonts w:eastAsia="SimSun"/>
          <w:lang w:eastAsia="zh-CN"/>
        </w:rPr>
        <w:t>’</w:t>
      </w:r>
      <w:r w:rsidR="00BC4BD0" w:rsidRPr="001D5AE1">
        <w:rPr>
          <w:rFonts w:eastAsia="SimSun"/>
          <w:lang w:eastAsia="zh-CN"/>
        </w:rPr>
        <w:t>ONU-Océans apportent leur contribution. Tout indicateur produit doit correspondre aux quatre thèmes arrêtés dans l</w:t>
      </w:r>
      <w:r w:rsidR="00577D76" w:rsidRPr="001D5AE1">
        <w:rPr>
          <w:rFonts w:eastAsia="SimSun"/>
          <w:lang w:eastAsia="zh-CN"/>
        </w:rPr>
        <w:t>’</w:t>
      </w:r>
      <w:r w:rsidR="00BC4BD0" w:rsidRPr="001D5AE1">
        <w:rPr>
          <w:rFonts w:eastAsia="SimSun"/>
          <w:lang w:eastAsia="zh-CN"/>
        </w:rPr>
        <w:t>approche en matière de communication (voir recommandation 5 ci-dessous). Ces indicateurs peuvent accompagner les efforts déployés par les gouvernements pour gérer durablement les océans et investir davantage dans les projets et l</w:t>
      </w:r>
      <w:r w:rsidR="00577D76" w:rsidRPr="001D5AE1">
        <w:rPr>
          <w:rFonts w:eastAsia="SimSun"/>
          <w:lang w:eastAsia="zh-CN"/>
        </w:rPr>
        <w:t>’</w:t>
      </w:r>
      <w:r w:rsidR="00BC4BD0" w:rsidRPr="001D5AE1">
        <w:rPr>
          <w:rFonts w:eastAsia="SimSun"/>
          <w:lang w:eastAsia="zh-CN"/>
        </w:rPr>
        <w:t>infrastructure de recherche en sciences océaniques.</w:t>
      </w:r>
    </w:p>
    <w:p w14:paraId="62733524" w14:textId="5FA68988" w:rsidR="00BC4BD0" w:rsidRPr="001D5AE1" w:rsidRDefault="00255528" w:rsidP="009957F6">
      <w:pPr>
        <w:pStyle w:val="Marge"/>
        <w:rPr>
          <w:rFonts w:eastAsia="SimSun"/>
          <w:lang w:eastAsia="zh-CN"/>
        </w:rPr>
      </w:pPr>
      <w:r w:rsidRPr="001D5AE1">
        <w:rPr>
          <w:rFonts w:eastAsia="SimSun"/>
          <w:lang w:eastAsia="zh-CN"/>
        </w:rPr>
        <w:t>39.</w:t>
      </w:r>
      <w:r w:rsidRPr="001D5AE1">
        <w:rPr>
          <w:rFonts w:eastAsia="SimSun"/>
          <w:lang w:eastAsia="zh-CN"/>
        </w:rPr>
        <w:tab/>
      </w:r>
      <w:r w:rsidR="00BC4BD0" w:rsidRPr="001D5AE1">
        <w:rPr>
          <w:rFonts w:eastAsia="SimSun"/>
          <w:lang w:eastAsia="zh-CN"/>
        </w:rPr>
        <w:t>La prévision des principales variables océaniques pourrait également constituer un moyen important d</w:t>
      </w:r>
      <w:r w:rsidR="00577D76" w:rsidRPr="001D5AE1">
        <w:rPr>
          <w:rFonts w:eastAsia="SimSun"/>
          <w:lang w:eastAsia="zh-CN"/>
        </w:rPr>
        <w:t>’</w:t>
      </w:r>
      <w:r w:rsidR="00BC4BD0" w:rsidRPr="001D5AE1">
        <w:rPr>
          <w:rFonts w:eastAsia="SimSun"/>
          <w:lang w:eastAsia="zh-CN"/>
        </w:rPr>
        <w:t>exploiter les données et les informations de la Commission et de générer des résultats utiles, comme cela a déjà été envisagé dans le cadre de la Décennie de l</w:t>
      </w:r>
      <w:r w:rsidR="00577D76" w:rsidRPr="001D5AE1">
        <w:rPr>
          <w:rFonts w:eastAsia="SimSun"/>
          <w:lang w:eastAsia="zh-CN"/>
        </w:rPr>
        <w:t>’</w:t>
      </w:r>
      <w:r w:rsidR="00BC4BD0" w:rsidRPr="001D5AE1">
        <w:rPr>
          <w:rFonts w:eastAsia="SimSun"/>
          <w:lang w:eastAsia="zh-CN"/>
        </w:rPr>
        <w:t>Océan. Cependant, la conception, la maintenance et la bonne utilisation d</w:t>
      </w:r>
      <w:r w:rsidR="00577D76" w:rsidRPr="001D5AE1">
        <w:rPr>
          <w:rFonts w:eastAsia="SimSun"/>
          <w:lang w:eastAsia="zh-CN"/>
        </w:rPr>
        <w:t>’</w:t>
      </w:r>
      <w:r w:rsidR="00BC4BD0" w:rsidRPr="001D5AE1">
        <w:rPr>
          <w:rFonts w:eastAsia="SimSun"/>
          <w:lang w:eastAsia="zh-CN"/>
        </w:rPr>
        <w:t>un tel modèle seraient très exigeantes. Elles nécessiteraient une approche à l</w:t>
      </w:r>
      <w:r w:rsidR="00577D76" w:rsidRPr="001D5AE1">
        <w:rPr>
          <w:rFonts w:eastAsia="SimSun"/>
          <w:lang w:eastAsia="zh-CN"/>
        </w:rPr>
        <w:t>’</w:t>
      </w:r>
      <w:r w:rsidR="00BC4BD0" w:rsidRPr="001D5AE1">
        <w:rPr>
          <w:rFonts w:eastAsia="SimSun"/>
          <w:lang w:eastAsia="zh-CN"/>
        </w:rPr>
        <w:t>échelle du système terrestre et donc, la contribution d</w:t>
      </w:r>
      <w:r w:rsidR="00577D76" w:rsidRPr="001D5AE1">
        <w:rPr>
          <w:rFonts w:eastAsia="SimSun"/>
          <w:lang w:eastAsia="zh-CN"/>
        </w:rPr>
        <w:t>’</w:t>
      </w:r>
      <w:r w:rsidR="00BC4BD0" w:rsidRPr="001D5AE1">
        <w:rPr>
          <w:rFonts w:eastAsia="SimSun"/>
          <w:lang w:eastAsia="zh-CN"/>
        </w:rPr>
        <w:t>autres partenaires. Elles solliciteraient également les compétences techniques de toutes les sections de la COI.</w:t>
      </w:r>
    </w:p>
    <w:p w14:paraId="78CA86BC" w14:textId="7217771B" w:rsidR="00BC4BD0" w:rsidRPr="001D5AE1" w:rsidRDefault="00255528" w:rsidP="009957F6">
      <w:pPr>
        <w:pStyle w:val="Marge"/>
        <w:rPr>
          <w:rFonts w:eastAsia="SimSun"/>
          <w:lang w:eastAsia="zh-CN"/>
        </w:rPr>
      </w:pPr>
      <w:r w:rsidRPr="001D5AE1">
        <w:rPr>
          <w:rFonts w:eastAsia="SimSun"/>
          <w:lang w:eastAsia="zh-CN"/>
        </w:rPr>
        <w:t>40.</w:t>
      </w:r>
      <w:r w:rsidRPr="001D5AE1">
        <w:rPr>
          <w:rFonts w:eastAsia="SimSun"/>
          <w:lang w:eastAsia="zh-CN"/>
        </w:rPr>
        <w:tab/>
      </w:r>
      <w:r w:rsidR="00BC4BD0" w:rsidRPr="001D5AE1">
        <w:rPr>
          <w:rFonts w:eastAsia="SimSun"/>
          <w:lang w:eastAsia="zh-CN"/>
        </w:rPr>
        <w:t>Plusieurs grandes évaluations de la santé des océans existent déjà, dont l</w:t>
      </w:r>
      <w:r w:rsidR="00577D76" w:rsidRPr="001D5AE1">
        <w:rPr>
          <w:rFonts w:eastAsia="SimSun"/>
          <w:lang w:eastAsia="zh-CN"/>
        </w:rPr>
        <w:t>’</w:t>
      </w:r>
      <w:r w:rsidR="00BC4BD0" w:rsidRPr="001D5AE1">
        <w:rPr>
          <w:rFonts w:eastAsia="SimSun"/>
          <w:lang w:eastAsia="zh-CN"/>
        </w:rPr>
        <w:t>Évaluation mondiale de l</w:t>
      </w:r>
      <w:r w:rsidR="00577D76" w:rsidRPr="001D5AE1">
        <w:rPr>
          <w:rFonts w:eastAsia="SimSun"/>
          <w:lang w:eastAsia="zh-CN"/>
        </w:rPr>
        <w:t>’</w:t>
      </w:r>
      <w:r w:rsidR="00BC4BD0" w:rsidRPr="001D5AE1">
        <w:rPr>
          <w:rFonts w:eastAsia="SimSun"/>
          <w:lang w:eastAsia="zh-CN"/>
        </w:rPr>
        <w:t xml:space="preserve">océan et le </w:t>
      </w:r>
      <w:r w:rsidR="00BC4BD0" w:rsidRPr="001D5AE1">
        <w:rPr>
          <w:rFonts w:eastAsia="SimSun"/>
          <w:i/>
          <w:iCs/>
          <w:lang w:eastAsia="zh-CN"/>
        </w:rPr>
        <w:t>Rapport sur l</w:t>
      </w:r>
      <w:r w:rsidR="00577D76" w:rsidRPr="001D5AE1">
        <w:rPr>
          <w:rFonts w:eastAsia="SimSun"/>
          <w:i/>
          <w:iCs/>
          <w:lang w:eastAsia="zh-CN"/>
        </w:rPr>
        <w:t>’</w:t>
      </w:r>
      <w:r w:rsidR="00BC4BD0" w:rsidRPr="001D5AE1">
        <w:rPr>
          <w:rFonts w:eastAsia="SimSun"/>
          <w:i/>
          <w:iCs/>
          <w:lang w:eastAsia="zh-CN"/>
        </w:rPr>
        <w:t>état de l</w:t>
      </w:r>
      <w:r w:rsidR="00577D76" w:rsidRPr="001D5AE1">
        <w:rPr>
          <w:rFonts w:eastAsia="SimSun"/>
          <w:i/>
          <w:iCs/>
          <w:lang w:eastAsia="zh-CN"/>
        </w:rPr>
        <w:t>’</w:t>
      </w:r>
      <w:r w:rsidR="00BC4BD0" w:rsidRPr="001D5AE1">
        <w:rPr>
          <w:rFonts w:eastAsia="SimSun"/>
          <w:i/>
          <w:iCs/>
          <w:lang w:eastAsia="zh-CN"/>
        </w:rPr>
        <w:t xml:space="preserve">océan du Service marin de </w:t>
      </w:r>
      <w:proofErr w:type="spellStart"/>
      <w:r w:rsidR="00BC4BD0" w:rsidRPr="001D5AE1">
        <w:rPr>
          <w:rFonts w:eastAsia="SimSun"/>
          <w:i/>
          <w:iCs/>
          <w:lang w:eastAsia="zh-CN"/>
        </w:rPr>
        <w:t>Copernicus</w:t>
      </w:r>
      <w:proofErr w:type="spellEnd"/>
      <w:r w:rsidR="00BC4BD0" w:rsidRPr="001D5AE1">
        <w:rPr>
          <w:rFonts w:eastAsia="SimSun"/>
          <w:lang w:eastAsia="zh-CN"/>
        </w:rPr>
        <w:t xml:space="preserve">. Pour sa part, la COI publie le </w:t>
      </w:r>
      <w:r w:rsidR="00BC4BD0" w:rsidRPr="001D5AE1">
        <w:rPr>
          <w:rFonts w:eastAsia="SimSun"/>
          <w:i/>
          <w:iCs/>
          <w:lang w:eastAsia="zh-CN"/>
        </w:rPr>
        <w:t>Rapport mondial sur les sciences océaniques.</w:t>
      </w:r>
      <w:r w:rsidR="00BC4BD0" w:rsidRPr="001D5AE1">
        <w:rPr>
          <w:rFonts w:eastAsia="SimSun"/>
          <w:lang w:eastAsia="zh-CN"/>
        </w:rPr>
        <w:t xml:space="preserve"> Cependant, il n</w:t>
      </w:r>
      <w:r w:rsidR="00577D76" w:rsidRPr="001D5AE1">
        <w:rPr>
          <w:rFonts w:eastAsia="SimSun"/>
          <w:lang w:eastAsia="zh-CN"/>
        </w:rPr>
        <w:t>’</w:t>
      </w:r>
      <w:r w:rsidR="00BC4BD0" w:rsidRPr="001D5AE1">
        <w:rPr>
          <w:rFonts w:eastAsia="SimSun"/>
          <w:lang w:eastAsia="zh-CN"/>
        </w:rPr>
        <w:t>existe actuellement aucun rapport annuel sur l</w:t>
      </w:r>
      <w:r w:rsidR="00577D76" w:rsidRPr="001D5AE1">
        <w:rPr>
          <w:rFonts w:eastAsia="SimSun"/>
          <w:lang w:eastAsia="zh-CN"/>
        </w:rPr>
        <w:t>’</w:t>
      </w:r>
      <w:r w:rsidR="00BC4BD0" w:rsidRPr="001D5AE1">
        <w:rPr>
          <w:rFonts w:eastAsia="SimSun"/>
          <w:lang w:eastAsia="zh-CN"/>
        </w:rPr>
        <w:t>état de l</w:t>
      </w:r>
      <w:r w:rsidR="00577D76" w:rsidRPr="001D5AE1">
        <w:rPr>
          <w:rFonts w:eastAsia="SimSun"/>
          <w:lang w:eastAsia="zh-CN"/>
        </w:rPr>
        <w:t>’</w:t>
      </w:r>
      <w:r w:rsidR="00BC4BD0" w:rsidRPr="001D5AE1">
        <w:rPr>
          <w:rFonts w:eastAsia="SimSun"/>
          <w:lang w:eastAsia="zh-CN"/>
        </w:rPr>
        <w:t>océan fournissant un instantané des océans qui soit facile à assimiler tout en faisant autorité et qui repose, par exemple, sur les variables océaniques essentielles et d</w:t>
      </w:r>
      <w:r w:rsidR="00577D76" w:rsidRPr="001D5AE1">
        <w:rPr>
          <w:rFonts w:eastAsia="SimSun"/>
          <w:lang w:eastAsia="zh-CN"/>
        </w:rPr>
        <w:t>’</w:t>
      </w:r>
      <w:r w:rsidR="00BC4BD0" w:rsidRPr="001D5AE1">
        <w:rPr>
          <w:rFonts w:eastAsia="SimSun"/>
          <w:lang w:eastAsia="zh-CN"/>
        </w:rPr>
        <w:t>autres travaux de recherche de la COI. Un tel document permettrait également à d</w:t>
      </w:r>
      <w:r w:rsidR="00577D76" w:rsidRPr="001D5AE1">
        <w:rPr>
          <w:rFonts w:eastAsia="SimSun"/>
          <w:lang w:eastAsia="zh-CN"/>
        </w:rPr>
        <w:t>’</w:t>
      </w:r>
      <w:r w:rsidR="00BC4BD0" w:rsidRPr="001D5AE1">
        <w:rPr>
          <w:rFonts w:eastAsia="SimSun"/>
          <w:lang w:eastAsia="zh-CN"/>
        </w:rPr>
        <w:t>autres acteurs d</w:t>
      </w:r>
      <w:r w:rsidR="00577D76" w:rsidRPr="001D5AE1">
        <w:rPr>
          <w:rFonts w:eastAsia="SimSun"/>
          <w:lang w:eastAsia="zh-CN"/>
        </w:rPr>
        <w:t>’</w:t>
      </w:r>
      <w:r w:rsidR="00BC4BD0" w:rsidRPr="001D5AE1">
        <w:rPr>
          <w:rFonts w:eastAsia="SimSun"/>
          <w:lang w:eastAsia="zh-CN"/>
        </w:rPr>
        <w:t>apporter leur contribution et pourrait déboucher sur d</w:t>
      </w:r>
      <w:r w:rsidR="00577D76" w:rsidRPr="001D5AE1">
        <w:rPr>
          <w:rFonts w:eastAsia="SimSun"/>
          <w:lang w:eastAsia="zh-CN"/>
        </w:rPr>
        <w:t>’</w:t>
      </w:r>
      <w:r w:rsidR="00BC4BD0" w:rsidRPr="001D5AE1">
        <w:rPr>
          <w:rFonts w:eastAsia="SimSun"/>
          <w:lang w:eastAsia="zh-CN"/>
        </w:rPr>
        <w:t xml:space="preserve">autres partenariats, voire sur des possibilités de financement. Le </w:t>
      </w:r>
      <w:r w:rsidR="00452C1F" w:rsidRPr="001D5AE1">
        <w:rPr>
          <w:rFonts w:eastAsia="SimSun"/>
          <w:lang w:eastAsia="zh-CN"/>
        </w:rPr>
        <w:t>R</w:t>
      </w:r>
      <w:r w:rsidR="00BC4BD0" w:rsidRPr="001D5AE1">
        <w:rPr>
          <w:rFonts w:eastAsia="SimSun"/>
          <w:lang w:eastAsia="zh-CN"/>
        </w:rPr>
        <w:t>apport sur l</w:t>
      </w:r>
      <w:r w:rsidR="00577D76" w:rsidRPr="001D5AE1">
        <w:rPr>
          <w:rFonts w:eastAsia="SimSun"/>
          <w:lang w:eastAsia="zh-CN"/>
        </w:rPr>
        <w:t>’</w:t>
      </w:r>
      <w:r w:rsidR="00BC4BD0" w:rsidRPr="001D5AE1">
        <w:rPr>
          <w:rFonts w:eastAsia="SimSun"/>
          <w:lang w:eastAsia="zh-CN"/>
        </w:rPr>
        <w:t>état de l</w:t>
      </w:r>
      <w:r w:rsidR="00577D76" w:rsidRPr="001D5AE1">
        <w:rPr>
          <w:rFonts w:eastAsia="SimSun"/>
          <w:lang w:eastAsia="zh-CN"/>
        </w:rPr>
        <w:t>’</w:t>
      </w:r>
      <w:r w:rsidR="00BC4BD0" w:rsidRPr="001D5AE1">
        <w:rPr>
          <w:rFonts w:eastAsia="SimSun"/>
          <w:lang w:eastAsia="zh-CN"/>
        </w:rPr>
        <w:t>océan pourrait également faire appel à de multiples contributeurs, la Commission jouant un rôle de médiateur et de coord</w:t>
      </w:r>
      <w:r w:rsidR="00452C1F" w:rsidRPr="001D5AE1">
        <w:rPr>
          <w:rFonts w:eastAsia="SimSun"/>
          <w:lang w:eastAsia="zh-CN"/>
        </w:rPr>
        <w:t>on</w:t>
      </w:r>
      <w:r w:rsidR="00BC4BD0" w:rsidRPr="001D5AE1">
        <w:rPr>
          <w:rFonts w:eastAsia="SimSun"/>
          <w:lang w:eastAsia="zh-CN"/>
        </w:rPr>
        <w:t>nateur, et viendrait compléter les rapports régulièrement présentés sur la Décennie de l</w:t>
      </w:r>
      <w:r w:rsidR="00577D76" w:rsidRPr="001D5AE1">
        <w:rPr>
          <w:rFonts w:eastAsia="SimSun"/>
          <w:lang w:eastAsia="zh-CN"/>
        </w:rPr>
        <w:t>’</w:t>
      </w:r>
      <w:r w:rsidR="00BC4BD0" w:rsidRPr="001D5AE1">
        <w:rPr>
          <w:rFonts w:eastAsia="SimSun"/>
          <w:lang w:eastAsia="zh-CN"/>
        </w:rPr>
        <w:t>Océan. En outre, il pourrait servir à se faire une idée des lacunes des connaissances scientifiques ainsi qu</w:t>
      </w:r>
      <w:r w:rsidR="00577D76" w:rsidRPr="001D5AE1">
        <w:rPr>
          <w:rFonts w:eastAsia="SimSun"/>
          <w:lang w:eastAsia="zh-CN"/>
        </w:rPr>
        <w:t>’</w:t>
      </w:r>
      <w:r w:rsidR="00BC4BD0" w:rsidRPr="001D5AE1">
        <w:rPr>
          <w:rFonts w:eastAsia="SimSun"/>
          <w:lang w:eastAsia="zh-CN"/>
        </w:rPr>
        <w:t>à spécifier et souligner la nécessité d</w:t>
      </w:r>
      <w:r w:rsidR="00577D76" w:rsidRPr="001D5AE1">
        <w:rPr>
          <w:rFonts w:eastAsia="SimSun"/>
          <w:lang w:eastAsia="zh-CN"/>
        </w:rPr>
        <w:t>’</w:t>
      </w:r>
      <w:r w:rsidR="00BC4BD0" w:rsidRPr="001D5AE1">
        <w:rPr>
          <w:rFonts w:eastAsia="SimSun"/>
          <w:lang w:eastAsia="zh-CN"/>
        </w:rPr>
        <w:t>amplifier les travaux de recherche menés par la COI et les besoins en ressources qui s</w:t>
      </w:r>
      <w:r w:rsidR="00577D76" w:rsidRPr="001D5AE1">
        <w:rPr>
          <w:rFonts w:eastAsia="SimSun"/>
          <w:lang w:eastAsia="zh-CN"/>
        </w:rPr>
        <w:t>’</w:t>
      </w:r>
      <w:r w:rsidR="00BC4BD0" w:rsidRPr="001D5AE1">
        <w:rPr>
          <w:rFonts w:eastAsia="SimSun"/>
          <w:lang w:eastAsia="zh-CN"/>
        </w:rPr>
        <w:t>y rapportent.</w:t>
      </w:r>
    </w:p>
    <w:p w14:paraId="0C9FC047" w14:textId="77777777" w:rsidR="00BC4BD0" w:rsidRPr="001D5AE1" w:rsidRDefault="00BC4BD0" w:rsidP="009957F6">
      <w:pPr>
        <w:pStyle w:val="Heading3"/>
        <w:rPr>
          <w:rFonts w:eastAsia="SimSun"/>
          <w:lang w:eastAsia="zh-CN"/>
        </w:rPr>
      </w:pPr>
      <w:r w:rsidRPr="001D5AE1">
        <w:rPr>
          <w:rFonts w:eastAsia="SimSun"/>
          <w:lang w:eastAsia="zh-CN"/>
        </w:rPr>
        <w:t>Principales actions de mise en œuvre proposées :</w:t>
      </w:r>
    </w:p>
    <w:p w14:paraId="67A01F82" w14:textId="3DDBD628" w:rsidR="00BC4BD0" w:rsidRPr="001D5AE1" w:rsidRDefault="00255528" w:rsidP="009957F6">
      <w:pPr>
        <w:pStyle w:val="b"/>
        <w:rPr>
          <w:rFonts w:eastAsia="SimSun"/>
          <w:lang w:eastAsia="zh-CN"/>
        </w:rPr>
      </w:pPr>
      <w:r w:rsidRPr="001D5AE1">
        <w:rPr>
          <w:rFonts w:eastAsia="SimSun"/>
          <w:lang w:eastAsia="zh-CN"/>
        </w:rPr>
        <w:t>4.a.</w:t>
      </w:r>
      <w:r w:rsidRPr="001D5AE1">
        <w:rPr>
          <w:rFonts w:eastAsia="SimSun"/>
          <w:lang w:eastAsia="zh-CN"/>
        </w:rPr>
        <w:tab/>
      </w:r>
      <w:r w:rsidR="00BC4BD0" w:rsidRPr="001D5AE1">
        <w:rPr>
          <w:rFonts w:eastAsia="SimSun"/>
          <w:lang w:eastAsia="zh-CN"/>
        </w:rPr>
        <w:t>Instituer un groupe de travail rassemblant les sections de la Commission afin d</w:t>
      </w:r>
      <w:r w:rsidR="00577D76" w:rsidRPr="001D5AE1">
        <w:rPr>
          <w:rFonts w:eastAsia="SimSun"/>
          <w:lang w:eastAsia="zh-CN"/>
        </w:rPr>
        <w:t>’</w:t>
      </w:r>
      <w:r w:rsidR="00BC4BD0" w:rsidRPr="001D5AE1">
        <w:rPr>
          <w:rFonts w:eastAsia="SimSun"/>
          <w:lang w:eastAsia="zh-CN"/>
        </w:rPr>
        <w:t>établir une liste d</w:t>
      </w:r>
      <w:r w:rsidR="00577D76" w:rsidRPr="001D5AE1">
        <w:rPr>
          <w:rFonts w:eastAsia="SimSun"/>
          <w:lang w:eastAsia="zh-CN"/>
        </w:rPr>
        <w:t>’</w:t>
      </w:r>
      <w:r w:rsidR="00BC4BD0" w:rsidRPr="001D5AE1">
        <w:rPr>
          <w:rFonts w:eastAsia="SimSun"/>
          <w:lang w:eastAsia="zh-CN"/>
        </w:rPr>
        <w:t xml:space="preserve">indicateurs socioéconomiques, par exemple en vue de leur utilisation dans le </w:t>
      </w:r>
      <w:r w:rsidR="00452C1F" w:rsidRPr="001D5AE1">
        <w:rPr>
          <w:rFonts w:eastAsia="SimSun"/>
          <w:lang w:eastAsia="zh-CN"/>
        </w:rPr>
        <w:t>R</w:t>
      </w:r>
      <w:r w:rsidR="00BC4BD0" w:rsidRPr="001D5AE1">
        <w:rPr>
          <w:rFonts w:eastAsia="SimSun"/>
          <w:lang w:eastAsia="zh-CN"/>
        </w:rPr>
        <w:t>apport sur l</w:t>
      </w:r>
      <w:r w:rsidR="00577D76" w:rsidRPr="001D5AE1">
        <w:rPr>
          <w:rFonts w:eastAsia="SimSun"/>
          <w:lang w:eastAsia="zh-CN"/>
        </w:rPr>
        <w:t>’</w:t>
      </w:r>
      <w:r w:rsidR="00BC4BD0" w:rsidRPr="001D5AE1">
        <w:rPr>
          <w:rFonts w:eastAsia="SimSun"/>
          <w:lang w:eastAsia="zh-CN"/>
        </w:rPr>
        <w:t>état de l</w:t>
      </w:r>
      <w:r w:rsidR="00577D76" w:rsidRPr="001D5AE1">
        <w:rPr>
          <w:rFonts w:eastAsia="SimSun"/>
          <w:lang w:eastAsia="zh-CN"/>
        </w:rPr>
        <w:t>’</w:t>
      </w:r>
      <w:r w:rsidR="00BC4BD0" w:rsidRPr="001D5AE1">
        <w:rPr>
          <w:rFonts w:eastAsia="SimSun"/>
          <w:lang w:eastAsia="zh-CN"/>
        </w:rPr>
        <w:t>océan ; si nécessaire, élargir le groupe de travail pour y associer d</w:t>
      </w:r>
      <w:r w:rsidR="00577D76" w:rsidRPr="001D5AE1">
        <w:rPr>
          <w:rFonts w:eastAsia="SimSun"/>
          <w:lang w:eastAsia="zh-CN"/>
        </w:rPr>
        <w:t>’</w:t>
      </w:r>
      <w:r w:rsidR="00BC4BD0" w:rsidRPr="001D5AE1">
        <w:rPr>
          <w:rFonts w:eastAsia="SimSun"/>
          <w:lang w:eastAsia="zh-CN"/>
        </w:rPr>
        <w:t>autres acteurs, tels que des organismes partenaires d</w:t>
      </w:r>
      <w:r w:rsidR="00577D76" w:rsidRPr="001D5AE1">
        <w:rPr>
          <w:rFonts w:eastAsia="SimSun"/>
          <w:lang w:eastAsia="zh-CN"/>
        </w:rPr>
        <w:t>’</w:t>
      </w:r>
      <w:r w:rsidR="00BC4BD0" w:rsidRPr="001D5AE1">
        <w:rPr>
          <w:rFonts w:eastAsia="SimSun"/>
          <w:lang w:eastAsia="zh-CN"/>
        </w:rPr>
        <w:t>ONU-Océans ;</w:t>
      </w:r>
    </w:p>
    <w:p w14:paraId="04E5B584" w14:textId="437D44A0" w:rsidR="00BC4BD0" w:rsidRPr="001D5AE1" w:rsidRDefault="00255528" w:rsidP="009957F6">
      <w:pPr>
        <w:pStyle w:val="b"/>
        <w:rPr>
          <w:rFonts w:eastAsia="SimSun"/>
          <w:lang w:eastAsia="zh-CN"/>
        </w:rPr>
      </w:pPr>
      <w:r w:rsidRPr="001D5AE1">
        <w:rPr>
          <w:rFonts w:eastAsia="SimSun"/>
          <w:lang w:eastAsia="zh-CN"/>
        </w:rPr>
        <w:t>4.b.</w:t>
      </w:r>
      <w:r w:rsidRPr="001D5AE1">
        <w:rPr>
          <w:rFonts w:eastAsia="SimSun"/>
          <w:lang w:eastAsia="zh-CN"/>
        </w:rPr>
        <w:tab/>
      </w:r>
      <w:r w:rsidR="00BC4BD0" w:rsidRPr="001D5AE1">
        <w:rPr>
          <w:rFonts w:eastAsia="SimSun"/>
          <w:lang w:eastAsia="zh-CN"/>
        </w:rPr>
        <w:t>Concevoir des processus pour rationaliser et simplifier le pipeline de données de la Commission afin que celui-ci puisse contribuer à l</w:t>
      </w:r>
      <w:r w:rsidR="00577D76" w:rsidRPr="001D5AE1">
        <w:rPr>
          <w:rFonts w:eastAsia="SimSun"/>
          <w:lang w:eastAsia="zh-CN"/>
        </w:rPr>
        <w:t>’</w:t>
      </w:r>
      <w:r w:rsidR="00BC4BD0" w:rsidRPr="001D5AE1">
        <w:rPr>
          <w:rFonts w:eastAsia="SimSun"/>
          <w:lang w:eastAsia="zh-CN"/>
        </w:rPr>
        <w:t>élaboration des indicateurs proposés ci-dessus ;</w:t>
      </w:r>
    </w:p>
    <w:p w14:paraId="7B714305" w14:textId="571E89A3" w:rsidR="00BC4BD0" w:rsidRPr="001D5AE1" w:rsidRDefault="00255528" w:rsidP="009957F6">
      <w:pPr>
        <w:pStyle w:val="b"/>
        <w:rPr>
          <w:rFonts w:eastAsia="SimSun"/>
          <w:lang w:eastAsia="zh-CN"/>
        </w:rPr>
      </w:pPr>
      <w:r w:rsidRPr="001D5AE1">
        <w:rPr>
          <w:rFonts w:eastAsia="SimSun"/>
          <w:lang w:eastAsia="zh-CN"/>
        </w:rPr>
        <w:t>4.c.</w:t>
      </w:r>
      <w:r w:rsidRPr="001D5AE1">
        <w:rPr>
          <w:rFonts w:eastAsia="SimSun"/>
          <w:lang w:eastAsia="zh-CN"/>
        </w:rPr>
        <w:tab/>
      </w:r>
      <w:r w:rsidR="00BC4BD0" w:rsidRPr="001D5AE1">
        <w:rPr>
          <w:rFonts w:eastAsia="SimSun"/>
          <w:lang w:eastAsia="zh-CN"/>
        </w:rPr>
        <w:t>Accélérer la mise en place de l</w:t>
      </w:r>
      <w:r w:rsidR="00577D76" w:rsidRPr="001D5AE1">
        <w:rPr>
          <w:rFonts w:eastAsia="SimSun"/>
          <w:lang w:eastAsia="zh-CN"/>
        </w:rPr>
        <w:t>’</w:t>
      </w:r>
      <w:r w:rsidR="00BC4BD0" w:rsidRPr="001D5AE1">
        <w:rPr>
          <w:rFonts w:eastAsia="SimSun"/>
          <w:lang w:eastAsia="zh-CN"/>
        </w:rPr>
        <w:t>ODIS et renforcer sa contribution à la Décennie de l</w:t>
      </w:r>
      <w:r w:rsidR="00577D76" w:rsidRPr="001D5AE1">
        <w:rPr>
          <w:rFonts w:eastAsia="SimSun"/>
          <w:lang w:eastAsia="zh-CN"/>
        </w:rPr>
        <w:t>’</w:t>
      </w:r>
      <w:r w:rsidR="00BC4BD0" w:rsidRPr="001D5AE1">
        <w:rPr>
          <w:rFonts w:eastAsia="SimSun"/>
          <w:lang w:eastAsia="zh-CN"/>
        </w:rPr>
        <w:t>Océan ;</w:t>
      </w:r>
    </w:p>
    <w:p w14:paraId="43250E41" w14:textId="4A4FF353" w:rsidR="00BC4BD0" w:rsidRPr="001D5AE1" w:rsidRDefault="00255528" w:rsidP="009957F6">
      <w:pPr>
        <w:pStyle w:val="b"/>
        <w:rPr>
          <w:rFonts w:eastAsia="SimSun"/>
          <w:b/>
          <w:bCs/>
          <w:lang w:eastAsia="zh-CN"/>
        </w:rPr>
      </w:pPr>
      <w:r w:rsidRPr="001D5AE1">
        <w:rPr>
          <w:rFonts w:eastAsia="SimSun"/>
          <w:lang w:eastAsia="zh-CN"/>
        </w:rPr>
        <w:lastRenderedPageBreak/>
        <w:t>4.d.</w:t>
      </w:r>
      <w:r w:rsidRPr="001D5AE1">
        <w:rPr>
          <w:rFonts w:eastAsia="SimSun"/>
          <w:lang w:eastAsia="zh-CN"/>
        </w:rPr>
        <w:tab/>
      </w:r>
      <w:r w:rsidR="00BC4BD0" w:rsidRPr="001D5AE1">
        <w:rPr>
          <w:rFonts w:eastAsia="SimSun"/>
          <w:lang w:eastAsia="zh-CN"/>
        </w:rPr>
        <w:t xml:space="preserve">Rechercher des financements pour préparer le premier </w:t>
      </w:r>
      <w:r w:rsidR="00452C1F" w:rsidRPr="001D5AE1">
        <w:rPr>
          <w:rFonts w:eastAsia="SimSun"/>
          <w:lang w:eastAsia="zh-CN"/>
        </w:rPr>
        <w:t>R</w:t>
      </w:r>
      <w:r w:rsidR="00BC4BD0" w:rsidRPr="001D5AE1">
        <w:rPr>
          <w:rFonts w:eastAsia="SimSun"/>
          <w:lang w:eastAsia="zh-CN"/>
        </w:rPr>
        <w:t>apport sur l</w:t>
      </w:r>
      <w:r w:rsidR="00577D76" w:rsidRPr="001D5AE1">
        <w:rPr>
          <w:rFonts w:eastAsia="SimSun"/>
          <w:lang w:eastAsia="zh-CN"/>
        </w:rPr>
        <w:t>’</w:t>
      </w:r>
      <w:r w:rsidR="00BC4BD0" w:rsidRPr="001D5AE1">
        <w:rPr>
          <w:rFonts w:eastAsia="SimSun"/>
          <w:lang w:eastAsia="zh-CN"/>
        </w:rPr>
        <w:t>état de l</w:t>
      </w:r>
      <w:r w:rsidR="00577D76" w:rsidRPr="001D5AE1">
        <w:rPr>
          <w:rFonts w:eastAsia="SimSun"/>
          <w:lang w:eastAsia="zh-CN"/>
        </w:rPr>
        <w:t>’</w:t>
      </w:r>
      <w:r w:rsidR="00BC4BD0" w:rsidRPr="001D5AE1">
        <w:rPr>
          <w:rFonts w:eastAsia="SimSun"/>
          <w:lang w:eastAsia="zh-CN"/>
        </w:rPr>
        <w:t>océan d</w:t>
      </w:r>
      <w:r w:rsidR="00577D76" w:rsidRPr="001D5AE1">
        <w:rPr>
          <w:rFonts w:eastAsia="SimSun"/>
          <w:lang w:eastAsia="zh-CN"/>
        </w:rPr>
        <w:t>’</w:t>
      </w:r>
      <w:r w:rsidR="00BC4BD0" w:rsidRPr="001D5AE1">
        <w:rPr>
          <w:rFonts w:eastAsia="SimSun"/>
          <w:lang w:eastAsia="zh-CN"/>
        </w:rPr>
        <w:t>ici à la 32</w:t>
      </w:r>
      <w:r w:rsidR="00BC4BD0" w:rsidRPr="001D5AE1">
        <w:rPr>
          <w:rFonts w:eastAsia="SimSun"/>
          <w:vertAlign w:val="superscript"/>
          <w:lang w:eastAsia="zh-CN"/>
        </w:rPr>
        <w:t>e</w:t>
      </w:r>
      <w:r w:rsidR="00BC4BD0" w:rsidRPr="001D5AE1">
        <w:rPr>
          <w:rFonts w:eastAsia="SimSun"/>
          <w:lang w:eastAsia="zh-CN"/>
        </w:rPr>
        <w:t> session de l</w:t>
      </w:r>
      <w:r w:rsidR="00577D76" w:rsidRPr="001D5AE1">
        <w:rPr>
          <w:rFonts w:eastAsia="SimSun"/>
          <w:lang w:eastAsia="zh-CN"/>
        </w:rPr>
        <w:t>’</w:t>
      </w:r>
      <w:r w:rsidR="00BC4BD0" w:rsidRPr="001D5AE1">
        <w:rPr>
          <w:rFonts w:eastAsia="SimSun"/>
          <w:lang w:eastAsia="zh-CN"/>
        </w:rPr>
        <w:t>Assemblée en</w:t>
      </w:r>
      <w:r w:rsidR="00172412" w:rsidRPr="001D5AE1">
        <w:rPr>
          <w:rFonts w:eastAsia="SimSun"/>
          <w:lang w:eastAsia="zh-CN"/>
        </w:rPr>
        <w:t> </w:t>
      </w:r>
      <w:r w:rsidR="00BC4BD0" w:rsidRPr="001D5AE1">
        <w:rPr>
          <w:rFonts w:eastAsia="SimSun"/>
          <w:lang w:eastAsia="zh-CN"/>
        </w:rPr>
        <w:t>2023.</w:t>
      </w:r>
    </w:p>
    <w:p w14:paraId="7FA09BC4" w14:textId="78B68CF2" w:rsidR="00BC4BD0" w:rsidRPr="001D5AE1" w:rsidRDefault="00BC4BD0" w:rsidP="009957F6">
      <w:pPr>
        <w:keepNext/>
        <w:spacing w:before="240" w:after="240"/>
        <w:jc w:val="both"/>
        <w:rPr>
          <w:rFonts w:eastAsia="SimSun" w:cs="Arial"/>
          <w:b/>
          <w:bCs/>
          <w:color w:val="1F3864" w:themeColor="accent5" w:themeShade="80"/>
          <w:szCs w:val="22"/>
          <w:u w:val="single"/>
          <w:lang w:eastAsia="zh-CN"/>
        </w:rPr>
      </w:pPr>
      <w:r w:rsidRPr="001D5AE1">
        <w:rPr>
          <w:rFonts w:eastAsia="SimSun" w:cs="Arial"/>
          <w:b/>
          <w:bCs/>
          <w:color w:val="1F3864" w:themeColor="accent5" w:themeShade="80"/>
          <w:szCs w:val="22"/>
          <w:u w:val="single"/>
          <w:lang w:eastAsia="zh-CN"/>
        </w:rPr>
        <w:t>Recommandation 5 : D</w:t>
      </w:r>
      <w:r w:rsidR="00577D76" w:rsidRPr="001D5AE1">
        <w:rPr>
          <w:rFonts w:eastAsia="SimSun" w:cs="Arial"/>
          <w:b/>
          <w:bCs/>
          <w:color w:val="1F3864" w:themeColor="accent5" w:themeShade="80"/>
          <w:szCs w:val="22"/>
          <w:u w:val="single"/>
          <w:lang w:eastAsia="zh-CN"/>
        </w:rPr>
        <w:t>’</w:t>
      </w:r>
      <w:r w:rsidRPr="001D5AE1">
        <w:rPr>
          <w:rFonts w:eastAsia="SimSun" w:cs="Arial"/>
          <w:b/>
          <w:bCs/>
          <w:color w:val="1F3864" w:themeColor="accent5" w:themeShade="80"/>
          <w:szCs w:val="22"/>
          <w:u w:val="single"/>
          <w:lang w:eastAsia="zh-CN"/>
        </w:rPr>
        <w:t>ici à juin 2022 – Explorer les moyens de s</w:t>
      </w:r>
      <w:r w:rsidR="00577D76" w:rsidRPr="001D5AE1">
        <w:rPr>
          <w:rFonts w:eastAsia="SimSun" w:cs="Arial"/>
          <w:b/>
          <w:bCs/>
          <w:color w:val="1F3864" w:themeColor="accent5" w:themeShade="80"/>
          <w:szCs w:val="22"/>
          <w:u w:val="single"/>
          <w:lang w:eastAsia="zh-CN"/>
        </w:rPr>
        <w:t>’</w:t>
      </w:r>
      <w:r w:rsidRPr="001D5AE1">
        <w:rPr>
          <w:rFonts w:eastAsia="SimSun" w:cs="Arial"/>
          <w:b/>
          <w:bCs/>
          <w:color w:val="1F3864" w:themeColor="accent5" w:themeShade="80"/>
          <w:szCs w:val="22"/>
          <w:u w:val="single"/>
          <w:lang w:eastAsia="zh-CN"/>
        </w:rPr>
        <w:t>assurer le concours additionnel de décideurs de haut niveau aux activités de la COI</w:t>
      </w:r>
    </w:p>
    <w:p w14:paraId="4F84AB55" w14:textId="1CB3ADCC" w:rsidR="00BC4BD0" w:rsidRPr="001D5AE1" w:rsidRDefault="00255528" w:rsidP="009957F6">
      <w:pPr>
        <w:pStyle w:val="Marge"/>
        <w:rPr>
          <w:rFonts w:eastAsia="SimSun"/>
          <w:lang w:eastAsia="zh-CN"/>
        </w:rPr>
      </w:pPr>
      <w:r w:rsidRPr="001D5AE1">
        <w:rPr>
          <w:rFonts w:eastAsia="SimSun"/>
          <w:lang w:eastAsia="zh-CN"/>
        </w:rPr>
        <w:t>41.</w:t>
      </w:r>
      <w:r w:rsidRPr="001D5AE1">
        <w:rPr>
          <w:rFonts w:eastAsia="SimSun"/>
          <w:lang w:eastAsia="zh-CN"/>
        </w:rPr>
        <w:tab/>
      </w:r>
      <w:r w:rsidR="00BC4BD0" w:rsidRPr="001D5AE1">
        <w:rPr>
          <w:rFonts w:eastAsia="SimSun"/>
          <w:lang w:eastAsia="zh-CN"/>
        </w:rPr>
        <w:t>Alors que le thème central des travaux de la COI, les océans, possède un pouvoir fédérateur inégalé dans l</w:t>
      </w:r>
      <w:r w:rsidR="00577D76" w:rsidRPr="001D5AE1">
        <w:rPr>
          <w:rFonts w:eastAsia="SimSun"/>
          <w:lang w:eastAsia="zh-CN"/>
        </w:rPr>
        <w:t>’</w:t>
      </w:r>
      <w:r w:rsidR="00BC4BD0" w:rsidRPr="001D5AE1">
        <w:rPr>
          <w:rFonts w:eastAsia="SimSun"/>
          <w:lang w:eastAsia="zh-CN"/>
        </w:rPr>
        <w:t>esprit du public, la Commission est confrontée à des difficultés de taille pour communiquer avec les décideurs et les influencer. Outre les facteurs structurels mentionnés ci</w:t>
      </w:r>
      <w:r w:rsidR="005F1D4B" w:rsidRPr="001D5AE1">
        <w:rPr>
          <w:rFonts w:eastAsia="SimSun"/>
          <w:lang w:eastAsia="zh-CN"/>
        </w:rPr>
        <w:noBreakHyphen/>
      </w:r>
      <w:r w:rsidR="00BC4BD0" w:rsidRPr="001D5AE1">
        <w:rPr>
          <w:rFonts w:eastAsia="SimSun"/>
          <w:lang w:eastAsia="zh-CN"/>
        </w:rPr>
        <w:t>dessus, notamment l</w:t>
      </w:r>
      <w:r w:rsidR="00577D76" w:rsidRPr="001D5AE1">
        <w:rPr>
          <w:rFonts w:eastAsia="SimSun"/>
          <w:lang w:eastAsia="zh-CN"/>
        </w:rPr>
        <w:t>’</w:t>
      </w:r>
      <w:r w:rsidR="00BC4BD0" w:rsidRPr="001D5AE1">
        <w:rPr>
          <w:rFonts w:eastAsia="SimSun"/>
          <w:lang w:eastAsia="zh-CN"/>
        </w:rPr>
        <w:t xml:space="preserve">absence de porte-drapeaux nationaux au sein des ministères, ces difficultés comprennent : (i) une image de marque floue ; (ii) un milieu compétitif, avec de nombreuses organisations du système des </w:t>
      </w:r>
      <w:r w:rsidR="00172412" w:rsidRPr="001D5AE1">
        <w:rPr>
          <w:rFonts w:eastAsia="SimSun"/>
          <w:lang w:eastAsia="zh-CN"/>
        </w:rPr>
        <w:t>Nations Unies</w:t>
      </w:r>
      <w:r w:rsidR="00BC4BD0" w:rsidRPr="001D5AE1">
        <w:rPr>
          <w:rFonts w:eastAsia="SimSun"/>
          <w:lang w:eastAsia="zh-CN"/>
        </w:rPr>
        <w:t xml:space="preserve"> qui interviennent dans ce domaine ; et (iii) le caractère intangible de la mission de la COI telle qu</w:t>
      </w:r>
      <w:r w:rsidR="00577D76" w:rsidRPr="001D5AE1">
        <w:rPr>
          <w:rFonts w:eastAsia="SimSun"/>
          <w:lang w:eastAsia="zh-CN"/>
        </w:rPr>
        <w:t>’</w:t>
      </w:r>
      <w:r w:rsidR="00BC4BD0" w:rsidRPr="001D5AE1">
        <w:rPr>
          <w:rFonts w:eastAsia="SimSun"/>
          <w:lang w:eastAsia="zh-CN"/>
        </w:rPr>
        <w:t>actuellement définie, à savoir « les sciences océaniques ».</w:t>
      </w:r>
    </w:p>
    <w:p w14:paraId="2FADC2E8" w14:textId="7F3AFD48" w:rsidR="00BC4BD0" w:rsidRPr="001D5AE1" w:rsidRDefault="00255528" w:rsidP="009957F6">
      <w:pPr>
        <w:pStyle w:val="Marge"/>
        <w:rPr>
          <w:rFonts w:eastAsia="SimSun"/>
          <w:color w:val="000000"/>
          <w:lang w:eastAsia="zh-CN"/>
        </w:rPr>
      </w:pPr>
      <w:r w:rsidRPr="001D5AE1">
        <w:rPr>
          <w:rFonts w:eastAsia="SimSun"/>
          <w:lang w:eastAsia="zh-CN"/>
        </w:rPr>
        <w:t>42.</w:t>
      </w:r>
      <w:r w:rsidRPr="001D5AE1">
        <w:rPr>
          <w:rFonts w:eastAsia="SimSun"/>
          <w:lang w:eastAsia="zh-CN"/>
        </w:rPr>
        <w:tab/>
      </w:r>
      <w:r w:rsidR="00BC4BD0" w:rsidRPr="001D5AE1">
        <w:rPr>
          <w:rFonts w:eastAsia="SimSun"/>
          <w:lang w:eastAsia="zh-CN"/>
        </w:rPr>
        <w:t>Pour la COI, le défi consiste à la fois à préciser le produit et les services qu</w:t>
      </w:r>
      <w:r w:rsidR="00577D76" w:rsidRPr="001D5AE1">
        <w:rPr>
          <w:rFonts w:eastAsia="SimSun"/>
          <w:lang w:eastAsia="zh-CN"/>
        </w:rPr>
        <w:t>’</w:t>
      </w:r>
      <w:r w:rsidR="00BC4BD0" w:rsidRPr="001D5AE1">
        <w:rPr>
          <w:rFonts w:eastAsia="SimSun"/>
          <w:lang w:eastAsia="zh-CN"/>
        </w:rPr>
        <w:t>elle propose et à s</w:t>
      </w:r>
      <w:r w:rsidR="00577D76" w:rsidRPr="001D5AE1">
        <w:rPr>
          <w:rFonts w:eastAsia="SimSun"/>
          <w:lang w:eastAsia="zh-CN"/>
        </w:rPr>
        <w:t>’</w:t>
      </w:r>
      <w:r w:rsidR="00BC4BD0" w:rsidRPr="001D5AE1">
        <w:rPr>
          <w:rFonts w:eastAsia="SimSun"/>
          <w:lang w:eastAsia="zh-CN"/>
        </w:rPr>
        <w:t>assurer que cette information est efficacement présentée et communiquée aux gouvernements, en désignant clairement la Commission comme source.</w:t>
      </w:r>
    </w:p>
    <w:p w14:paraId="381B0EC1" w14:textId="01BEE586" w:rsidR="00BC4BD0" w:rsidRPr="001D5AE1" w:rsidRDefault="00255528" w:rsidP="009957F6">
      <w:pPr>
        <w:pStyle w:val="Marge"/>
        <w:rPr>
          <w:rFonts w:eastAsia="SimSun"/>
          <w:lang w:eastAsia="zh-CN"/>
        </w:rPr>
      </w:pPr>
      <w:r w:rsidRPr="001D5AE1">
        <w:rPr>
          <w:rFonts w:eastAsia="SimSun"/>
          <w:lang w:eastAsia="zh-CN"/>
        </w:rPr>
        <w:t>43.</w:t>
      </w:r>
      <w:r w:rsidRPr="001D5AE1">
        <w:rPr>
          <w:rFonts w:eastAsia="SimSun"/>
          <w:lang w:eastAsia="zh-CN"/>
        </w:rPr>
        <w:tab/>
      </w:r>
      <w:r w:rsidR="00BC4BD0" w:rsidRPr="001D5AE1">
        <w:rPr>
          <w:rFonts w:eastAsia="SimSun"/>
          <w:lang w:eastAsia="zh-CN"/>
        </w:rPr>
        <w:t>La COI peut tirer des enseignements de la manière dont d</w:t>
      </w:r>
      <w:r w:rsidR="00577D76" w:rsidRPr="001D5AE1">
        <w:rPr>
          <w:rFonts w:eastAsia="SimSun"/>
          <w:lang w:eastAsia="zh-CN"/>
        </w:rPr>
        <w:t>’</w:t>
      </w:r>
      <w:r w:rsidR="00BC4BD0" w:rsidRPr="001D5AE1">
        <w:rPr>
          <w:rFonts w:eastAsia="SimSun"/>
          <w:lang w:eastAsia="zh-CN"/>
        </w:rPr>
        <w:t xml:space="preserve">autres institutions des </w:t>
      </w:r>
      <w:r w:rsidR="00172412" w:rsidRPr="001D5AE1">
        <w:rPr>
          <w:rFonts w:eastAsia="SimSun"/>
          <w:lang w:eastAsia="zh-CN"/>
        </w:rPr>
        <w:t>Nations Unies</w:t>
      </w:r>
      <w:r w:rsidR="00BC4BD0" w:rsidRPr="001D5AE1">
        <w:rPr>
          <w:rFonts w:eastAsia="SimSun"/>
          <w:lang w:eastAsia="zh-CN"/>
        </w:rPr>
        <w:t xml:space="preserve"> confrontées à des difficultés similaires (par exemple, le Bureau des </w:t>
      </w:r>
      <w:r w:rsidR="00172412" w:rsidRPr="001D5AE1">
        <w:rPr>
          <w:rFonts w:eastAsia="SimSun"/>
          <w:lang w:eastAsia="zh-CN"/>
        </w:rPr>
        <w:t>Nations Unies</w:t>
      </w:r>
      <w:r w:rsidR="00BC4BD0" w:rsidRPr="001D5AE1">
        <w:rPr>
          <w:rFonts w:eastAsia="SimSun"/>
          <w:lang w:eastAsia="zh-CN"/>
        </w:rPr>
        <w:t xml:space="preserve"> pour la prévention des catastrophes) ont fait évoluer leur stratégie de communication. Il s</w:t>
      </w:r>
      <w:r w:rsidR="00577D76" w:rsidRPr="001D5AE1">
        <w:rPr>
          <w:rFonts w:eastAsia="SimSun"/>
          <w:lang w:eastAsia="zh-CN"/>
        </w:rPr>
        <w:t>’</w:t>
      </w:r>
      <w:r w:rsidR="00BC4BD0" w:rsidRPr="001D5AE1">
        <w:rPr>
          <w:rFonts w:eastAsia="SimSun"/>
          <w:lang w:eastAsia="zh-CN"/>
        </w:rPr>
        <w:t>agit notamment de s</w:t>
      </w:r>
      <w:r w:rsidR="00577D76" w:rsidRPr="001D5AE1">
        <w:rPr>
          <w:rFonts w:eastAsia="SimSun"/>
          <w:lang w:eastAsia="zh-CN"/>
        </w:rPr>
        <w:t>’</w:t>
      </w:r>
      <w:r w:rsidR="00BC4BD0" w:rsidRPr="001D5AE1">
        <w:rPr>
          <w:rFonts w:eastAsia="SimSun"/>
          <w:lang w:eastAsia="zh-CN"/>
        </w:rPr>
        <w:t xml:space="preserve">attacher davantage à nouer des partenariats avec des institutions des </w:t>
      </w:r>
      <w:r w:rsidR="00172412" w:rsidRPr="001D5AE1">
        <w:rPr>
          <w:rFonts w:eastAsia="SimSun"/>
          <w:lang w:eastAsia="zh-CN"/>
        </w:rPr>
        <w:t>Nations Unies</w:t>
      </w:r>
      <w:r w:rsidR="00BC4BD0" w:rsidRPr="001D5AE1">
        <w:rPr>
          <w:rFonts w:eastAsia="SimSun"/>
          <w:lang w:eastAsia="zh-CN"/>
        </w:rPr>
        <w:t xml:space="preserve"> et d</w:t>
      </w:r>
      <w:r w:rsidR="00577D76" w:rsidRPr="001D5AE1">
        <w:rPr>
          <w:rFonts w:eastAsia="SimSun"/>
          <w:lang w:eastAsia="zh-CN"/>
        </w:rPr>
        <w:t>’</w:t>
      </w:r>
      <w:r w:rsidR="00BC4BD0" w:rsidRPr="001D5AE1">
        <w:rPr>
          <w:rFonts w:eastAsia="SimSun"/>
          <w:lang w:eastAsia="zh-CN"/>
        </w:rPr>
        <w:t xml:space="preserve">autres organisations qui </w:t>
      </w:r>
      <w:r w:rsidR="00141FF4" w:rsidRPr="001D5AE1">
        <w:rPr>
          <w:rFonts w:eastAsia="SimSun"/>
          <w:lang w:eastAsia="zh-CN"/>
        </w:rPr>
        <w:t>deviendraient</w:t>
      </w:r>
      <w:r w:rsidR="00BC4BD0" w:rsidRPr="001D5AE1">
        <w:rPr>
          <w:rFonts w:eastAsia="SimSun"/>
          <w:lang w:eastAsia="zh-CN"/>
        </w:rPr>
        <w:t xml:space="preserve"> les champions des travaux de la COI ; de revoir la présentation de ses supports de communication sur différents médias (par exemple blogs, vlogs, discours, etc.) et de déployer des efforts considérables pour accroître l</w:t>
      </w:r>
      <w:r w:rsidR="00577D76" w:rsidRPr="001D5AE1">
        <w:rPr>
          <w:rFonts w:eastAsia="SimSun"/>
          <w:lang w:eastAsia="zh-CN"/>
        </w:rPr>
        <w:t>’</w:t>
      </w:r>
      <w:r w:rsidR="00BC4BD0" w:rsidRPr="001D5AE1">
        <w:rPr>
          <w:rFonts w:eastAsia="SimSun"/>
          <w:lang w:eastAsia="zh-CN"/>
        </w:rPr>
        <w:t xml:space="preserve">audience de ses réseaux sociaux, qui reste bien inférieure à celle des autres entités des </w:t>
      </w:r>
      <w:r w:rsidR="00172412" w:rsidRPr="001D5AE1">
        <w:rPr>
          <w:rFonts w:eastAsia="SimSun"/>
          <w:lang w:eastAsia="zh-CN"/>
        </w:rPr>
        <w:t>Nations Unies</w:t>
      </w:r>
      <w:r w:rsidR="00BC4BD0" w:rsidRPr="001D5AE1">
        <w:rPr>
          <w:rFonts w:eastAsia="SimSun"/>
          <w:lang w:eastAsia="zh-CN"/>
        </w:rPr>
        <w:t>, afin d</w:t>
      </w:r>
      <w:r w:rsidR="00577D76" w:rsidRPr="001D5AE1">
        <w:rPr>
          <w:rFonts w:eastAsia="SimSun"/>
          <w:lang w:eastAsia="zh-CN"/>
        </w:rPr>
        <w:t>’</w:t>
      </w:r>
      <w:r w:rsidR="00BC4BD0" w:rsidRPr="001D5AE1">
        <w:rPr>
          <w:rFonts w:eastAsia="SimSun"/>
          <w:lang w:eastAsia="zh-CN"/>
        </w:rPr>
        <w:t>améliorer sa visibilité de manière plus générale ; et de s</w:t>
      </w:r>
      <w:r w:rsidR="00577D76" w:rsidRPr="001D5AE1">
        <w:rPr>
          <w:rFonts w:eastAsia="SimSun"/>
          <w:lang w:eastAsia="zh-CN"/>
        </w:rPr>
        <w:t>’</w:t>
      </w:r>
      <w:r w:rsidR="00BC4BD0" w:rsidRPr="001D5AE1">
        <w:rPr>
          <w:rFonts w:eastAsia="SimSun"/>
          <w:lang w:eastAsia="zh-CN"/>
        </w:rPr>
        <w:t>efforcer de diffuser des informations concernant les régions plutôt que de se focaliser sur le Siège.</w:t>
      </w:r>
    </w:p>
    <w:p w14:paraId="0111DF1A" w14:textId="1F666E9A" w:rsidR="00BC4BD0" w:rsidRPr="001D5AE1" w:rsidRDefault="00255528" w:rsidP="009957F6">
      <w:pPr>
        <w:pStyle w:val="Marge"/>
        <w:rPr>
          <w:rFonts w:eastAsia="SimSun"/>
          <w:lang w:eastAsia="zh-CN"/>
        </w:rPr>
      </w:pPr>
      <w:r w:rsidRPr="001D5AE1">
        <w:rPr>
          <w:rFonts w:eastAsia="SimSun"/>
          <w:lang w:eastAsia="zh-CN"/>
        </w:rPr>
        <w:t>44.</w:t>
      </w:r>
      <w:r w:rsidRPr="001D5AE1">
        <w:rPr>
          <w:rFonts w:eastAsia="SimSun"/>
          <w:lang w:eastAsia="zh-CN"/>
        </w:rPr>
        <w:tab/>
      </w:r>
      <w:r w:rsidR="00BC4BD0" w:rsidRPr="001D5AE1">
        <w:rPr>
          <w:rFonts w:eastAsia="SimSun"/>
          <w:lang w:eastAsia="zh-CN"/>
        </w:rPr>
        <w:t xml:space="preserve">Les actions que la COI peut envisager sont les suivantes : définir les publics cibles et les messages clés ; aider les scientifiques à raconter une histoire afin que leur savoir-faire se </w:t>
      </w:r>
      <w:r w:rsidR="00141FF4" w:rsidRPr="001D5AE1">
        <w:rPr>
          <w:rFonts w:eastAsia="SimSun"/>
          <w:lang w:eastAsia="zh-CN"/>
        </w:rPr>
        <w:t>transforme</w:t>
      </w:r>
      <w:r w:rsidR="00BC4BD0" w:rsidRPr="001D5AE1">
        <w:rPr>
          <w:rFonts w:eastAsia="SimSun"/>
          <w:lang w:eastAsia="zh-CN"/>
        </w:rPr>
        <w:t xml:space="preserve"> en messages et en récits à partager ; restreindre les communications de la COI à deux ou trois thèmes et les diffuser sur l</w:t>
      </w:r>
      <w:r w:rsidR="00577D76" w:rsidRPr="001D5AE1">
        <w:rPr>
          <w:rFonts w:eastAsia="SimSun"/>
          <w:lang w:eastAsia="zh-CN"/>
        </w:rPr>
        <w:t>’</w:t>
      </w:r>
      <w:r w:rsidR="00BC4BD0" w:rsidRPr="001D5AE1">
        <w:rPr>
          <w:rFonts w:eastAsia="SimSun"/>
          <w:lang w:eastAsia="zh-CN"/>
        </w:rPr>
        <w:t>ensemble des canaux ; privilégier les activités de communication qui fournissent le meilleur effet de levier à la COI ; concevoir des stratégies de communication régionales plus efficaces avec les sous-commissions régionales, qui ont également une certaine influence politique ; rationaliser davantage l</w:t>
      </w:r>
      <w:r w:rsidR="00577D76" w:rsidRPr="001D5AE1">
        <w:rPr>
          <w:rFonts w:eastAsia="SimSun"/>
          <w:lang w:eastAsia="zh-CN"/>
        </w:rPr>
        <w:t>’</w:t>
      </w:r>
      <w:r w:rsidR="00BC4BD0" w:rsidRPr="001D5AE1">
        <w:rPr>
          <w:rFonts w:eastAsia="SimSun"/>
          <w:lang w:eastAsia="zh-CN"/>
        </w:rPr>
        <w:t>utilisation du logo de la COI dans les régions afin de minimiser le risque de confusion ; tirer parti des initiatives de communication d</w:t>
      </w:r>
      <w:r w:rsidR="00577D76" w:rsidRPr="001D5AE1">
        <w:rPr>
          <w:rFonts w:eastAsia="SimSun"/>
          <w:lang w:eastAsia="zh-CN"/>
        </w:rPr>
        <w:t>’</w:t>
      </w:r>
      <w:r w:rsidR="00BC4BD0" w:rsidRPr="001D5AE1">
        <w:rPr>
          <w:rFonts w:eastAsia="SimSun"/>
          <w:lang w:eastAsia="zh-CN"/>
        </w:rPr>
        <w:t>autres organisations ; et se concentrer sur les réseaux sociaux et les supports numériques afin de mesurer l</w:t>
      </w:r>
      <w:r w:rsidR="00577D76" w:rsidRPr="001D5AE1">
        <w:rPr>
          <w:rFonts w:eastAsia="SimSun"/>
          <w:lang w:eastAsia="zh-CN"/>
        </w:rPr>
        <w:t>’</w:t>
      </w:r>
      <w:r w:rsidR="00BC4BD0" w:rsidRPr="001D5AE1">
        <w:rPr>
          <w:rFonts w:eastAsia="SimSun"/>
          <w:lang w:eastAsia="zh-CN"/>
        </w:rPr>
        <w:t>audience et de suivre l</w:t>
      </w:r>
      <w:r w:rsidR="00577D76" w:rsidRPr="001D5AE1">
        <w:rPr>
          <w:rFonts w:eastAsia="SimSun"/>
          <w:lang w:eastAsia="zh-CN"/>
        </w:rPr>
        <w:t>’</w:t>
      </w:r>
      <w:r w:rsidR="00BC4BD0" w:rsidRPr="001D5AE1">
        <w:rPr>
          <w:rFonts w:eastAsia="SimSun"/>
          <w:lang w:eastAsia="zh-CN"/>
        </w:rPr>
        <w:t>opinion.</w:t>
      </w:r>
    </w:p>
    <w:p w14:paraId="25A8ABE2" w14:textId="77777777" w:rsidR="00BC4BD0" w:rsidRPr="001D5AE1" w:rsidRDefault="00BC4BD0" w:rsidP="009957F6">
      <w:pPr>
        <w:pStyle w:val="Heading3"/>
        <w:rPr>
          <w:rFonts w:eastAsia="SimSun"/>
          <w:lang w:eastAsia="zh-CN"/>
        </w:rPr>
      </w:pPr>
      <w:r w:rsidRPr="001D5AE1">
        <w:rPr>
          <w:rFonts w:eastAsia="SimSun"/>
          <w:lang w:eastAsia="zh-CN"/>
        </w:rPr>
        <w:t>Principales actions de mise en œuvre proposées :</w:t>
      </w:r>
    </w:p>
    <w:p w14:paraId="52D6C2DC" w14:textId="5689023A" w:rsidR="00BC4BD0" w:rsidRPr="001D5AE1" w:rsidRDefault="00255528" w:rsidP="009957F6">
      <w:pPr>
        <w:pStyle w:val="b"/>
        <w:rPr>
          <w:rFonts w:eastAsia="SimSun"/>
          <w:lang w:eastAsia="zh-CN"/>
        </w:rPr>
      </w:pPr>
      <w:r w:rsidRPr="001D5AE1">
        <w:rPr>
          <w:rFonts w:eastAsia="SimSun"/>
          <w:lang w:eastAsia="zh-CN"/>
        </w:rPr>
        <w:t>5.a.</w:t>
      </w:r>
      <w:r w:rsidRPr="001D5AE1">
        <w:rPr>
          <w:rFonts w:eastAsia="SimSun"/>
          <w:lang w:eastAsia="zh-CN"/>
        </w:rPr>
        <w:tab/>
      </w:r>
      <w:r w:rsidR="00BC4BD0" w:rsidRPr="001D5AE1">
        <w:rPr>
          <w:rFonts w:eastAsia="SimSun"/>
          <w:lang w:eastAsia="zh-CN"/>
        </w:rPr>
        <w:t>Dresser un état des lieux avec les principales organisations nationales et régionales issues de différents secteurs et jouant un rôle dans la formulation de politiques afin de mettre en évidence les points d</w:t>
      </w:r>
      <w:r w:rsidR="00577D76" w:rsidRPr="001D5AE1">
        <w:rPr>
          <w:rFonts w:eastAsia="SimSun"/>
          <w:lang w:eastAsia="zh-CN"/>
        </w:rPr>
        <w:t>’</w:t>
      </w:r>
      <w:r w:rsidR="00BC4BD0" w:rsidRPr="001D5AE1">
        <w:rPr>
          <w:rFonts w:eastAsia="SimSun"/>
          <w:lang w:eastAsia="zh-CN"/>
        </w:rPr>
        <w:t>entrée prioritaires pour renforcer l</w:t>
      </w:r>
      <w:r w:rsidR="00577D76" w:rsidRPr="001D5AE1">
        <w:rPr>
          <w:rFonts w:eastAsia="SimSun"/>
          <w:lang w:eastAsia="zh-CN"/>
        </w:rPr>
        <w:t>’</w:t>
      </w:r>
      <w:r w:rsidR="00BC4BD0" w:rsidRPr="001D5AE1">
        <w:rPr>
          <w:rFonts w:eastAsia="SimSun"/>
          <w:lang w:eastAsia="zh-CN"/>
        </w:rPr>
        <w:t>engagement par le biais de la Décennie de l</w:t>
      </w:r>
      <w:r w:rsidR="00577D76" w:rsidRPr="001D5AE1">
        <w:rPr>
          <w:rFonts w:eastAsia="SimSun"/>
          <w:lang w:eastAsia="zh-CN"/>
        </w:rPr>
        <w:t>’</w:t>
      </w:r>
      <w:r w:rsidR="00BC4BD0" w:rsidRPr="001D5AE1">
        <w:rPr>
          <w:rFonts w:eastAsia="SimSun"/>
          <w:lang w:eastAsia="zh-CN"/>
        </w:rPr>
        <w:t>Océan et des activités de programme de la COI ;</w:t>
      </w:r>
    </w:p>
    <w:p w14:paraId="13FE5B63" w14:textId="4768C88E" w:rsidR="00BC4BD0" w:rsidRPr="001D5AE1" w:rsidRDefault="00255528" w:rsidP="009957F6">
      <w:pPr>
        <w:pStyle w:val="b"/>
        <w:rPr>
          <w:rFonts w:eastAsia="SimSun"/>
          <w:lang w:eastAsia="zh-CN"/>
        </w:rPr>
      </w:pPr>
      <w:r w:rsidRPr="001D5AE1">
        <w:rPr>
          <w:rFonts w:eastAsia="SimSun"/>
          <w:lang w:eastAsia="zh-CN"/>
        </w:rPr>
        <w:t>5.b.</w:t>
      </w:r>
      <w:r w:rsidRPr="001D5AE1">
        <w:rPr>
          <w:rFonts w:eastAsia="SimSun"/>
          <w:lang w:eastAsia="zh-CN"/>
        </w:rPr>
        <w:tab/>
      </w:r>
      <w:r w:rsidR="00BC4BD0" w:rsidRPr="001D5AE1">
        <w:rPr>
          <w:rFonts w:eastAsia="SimSun"/>
          <w:lang w:eastAsia="zh-CN"/>
        </w:rPr>
        <w:t>Améliorer radicalement l</w:t>
      </w:r>
      <w:r w:rsidR="00577D76" w:rsidRPr="001D5AE1">
        <w:rPr>
          <w:rFonts w:eastAsia="SimSun"/>
          <w:lang w:eastAsia="zh-CN"/>
        </w:rPr>
        <w:t>’</w:t>
      </w:r>
      <w:r w:rsidR="00BC4BD0" w:rsidRPr="001D5AE1">
        <w:rPr>
          <w:rFonts w:eastAsia="SimSun"/>
          <w:lang w:eastAsia="zh-CN"/>
        </w:rPr>
        <w:t>efficacité des communications en commençant par élaborer une stratégie de communication pour la COI avec l</w:t>
      </w:r>
      <w:r w:rsidR="00577D76" w:rsidRPr="001D5AE1">
        <w:rPr>
          <w:rFonts w:eastAsia="SimSun"/>
          <w:lang w:eastAsia="zh-CN"/>
        </w:rPr>
        <w:t>’</w:t>
      </w:r>
      <w:r w:rsidR="00BC4BD0" w:rsidRPr="001D5AE1">
        <w:rPr>
          <w:rFonts w:eastAsia="SimSun"/>
          <w:lang w:eastAsia="zh-CN"/>
        </w:rPr>
        <w:t>aide d</w:t>
      </w:r>
      <w:r w:rsidR="00577D76" w:rsidRPr="001D5AE1">
        <w:rPr>
          <w:rFonts w:eastAsia="SimSun"/>
          <w:lang w:eastAsia="zh-CN"/>
        </w:rPr>
        <w:t>’</w:t>
      </w:r>
      <w:r w:rsidR="00BC4BD0" w:rsidRPr="001D5AE1">
        <w:rPr>
          <w:rFonts w:eastAsia="SimSun"/>
          <w:lang w:eastAsia="zh-CN"/>
        </w:rPr>
        <w:t>un spécialiste en communication ; ce processus doit être participatif et inclure les membres de l</w:t>
      </w:r>
      <w:r w:rsidR="00577D76" w:rsidRPr="001D5AE1">
        <w:rPr>
          <w:rFonts w:eastAsia="SimSun"/>
          <w:lang w:eastAsia="zh-CN"/>
        </w:rPr>
        <w:t>’</w:t>
      </w:r>
      <w:r w:rsidR="00BC4BD0" w:rsidRPr="001D5AE1">
        <w:rPr>
          <w:rFonts w:eastAsia="SimSun"/>
          <w:lang w:eastAsia="zh-CN"/>
        </w:rPr>
        <w:t>équipe dirigeante afin de décider de l</w:t>
      </w:r>
      <w:r w:rsidR="00577D76" w:rsidRPr="001D5AE1">
        <w:rPr>
          <w:rFonts w:eastAsia="SimSun"/>
          <w:lang w:eastAsia="zh-CN"/>
        </w:rPr>
        <w:t>’</w:t>
      </w:r>
      <w:r w:rsidR="00BC4BD0" w:rsidRPr="001D5AE1">
        <w:rPr>
          <w:rFonts w:eastAsia="SimSun"/>
          <w:lang w:eastAsia="zh-CN"/>
        </w:rPr>
        <w:t>énoncé de la vision de la Commission, des thèmes de communication, des publics et des canaux prioritaires, tout en tenant compte du fait que la COI est une composante de l</w:t>
      </w:r>
      <w:r w:rsidR="00577D76" w:rsidRPr="001D5AE1">
        <w:rPr>
          <w:rFonts w:eastAsia="SimSun"/>
          <w:lang w:eastAsia="zh-CN"/>
        </w:rPr>
        <w:t>’</w:t>
      </w:r>
      <w:r w:rsidR="00BC4BD0" w:rsidRPr="001D5AE1">
        <w:rPr>
          <w:rFonts w:eastAsia="SimSun"/>
          <w:lang w:eastAsia="zh-CN"/>
        </w:rPr>
        <w:t>UNESCO ;</w:t>
      </w:r>
    </w:p>
    <w:p w14:paraId="20049E83" w14:textId="60EE4AB5" w:rsidR="00BC4BD0" w:rsidRPr="001D5AE1" w:rsidRDefault="00255528" w:rsidP="009957F6">
      <w:pPr>
        <w:pStyle w:val="b"/>
        <w:rPr>
          <w:rFonts w:eastAsia="SimSun"/>
          <w:lang w:eastAsia="zh-CN"/>
        </w:rPr>
      </w:pPr>
      <w:r w:rsidRPr="001D5AE1">
        <w:rPr>
          <w:rFonts w:eastAsia="SimSun"/>
          <w:lang w:eastAsia="zh-CN"/>
        </w:rPr>
        <w:t>5.c.</w:t>
      </w:r>
      <w:r w:rsidRPr="001D5AE1">
        <w:rPr>
          <w:rFonts w:eastAsia="SimSun"/>
          <w:lang w:eastAsia="zh-CN"/>
        </w:rPr>
        <w:tab/>
      </w:r>
      <w:r w:rsidR="00BC4BD0" w:rsidRPr="001D5AE1">
        <w:rPr>
          <w:rFonts w:eastAsia="SimSun"/>
          <w:spacing w:val="-3"/>
          <w:lang w:eastAsia="zh-CN"/>
        </w:rPr>
        <w:t>Publier un bulletin annuel ou semestriel sur les « meilleurs résultats » de la Commission, qui met en évidence ses principales réalisations et démontre sa valeur renouvelée ;</w:t>
      </w:r>
    </w:p>
    <w:p w14:paraId="6C41CE3F" w14:textId="61A1F59F" w:rsidR="00BC4BD0" w:rsidRPr="001D5AE1" w:rsidRDefault="00255528" w:rsidP="009957F6">
      <w:pPr>
        <w:pStyle w:val="b"/>
        <w:rPr>
          <w:rFonts w:eastAsia="SimSun"/>
          <w:lang w:eastAsia="zh-CN"/>
        </w:rPr>
      </w:pPr>
      <w:r w:rsidRPr="001D5AE1">
        <w:rPr>
          <w:rFonts w:eastAsia="SimSun"/>
          <w:lang w:eastAsia="zh-CN"/>
        </w:rPr>
        <w:lastRenderedPageBreak/>
        <w:t>5.d.</w:t>
      </w:r>
      <w:r w:rsidRPr="001D5AE1">
        <w:rPr>
          <w:rFonts w:eastAsia="SimSun"/>
          <w:lang w:eastAsia="zh-CN"/>
        </w:rPr>
        <w:tab/>
      </w:r>
      <w:r w:rsidR="00BC4BD0" w:rsidRPr="001D5AE1">
        <w:rPr>
          <w:rFonts w:eastAsia="SimSun"/>
          <w:lang w:eastAsia="zh-CN"/>
        </w:rPr>
        <w:t>Clarifier la politique relative à l</w:t>
      </w:r>
      <w:r w:rsidR="00577D76" w:rsidRPr="001D5AE1">
        <w:rPr>
          <w:rFonts w:eastAsia="SimSun"/>
          <w:lang w:eastAsia="zh-CN"/>
        </w:rPr>
        <w:t>’</w:t>
      </w:r>
      <w:r w:rsidR="00BC4BD0" w:rsidRPr="001D5AE1">
        <w:rPr>
          <w:rFonts w:eastAsia="SimSun"/>
          <w:lang w:eastAsia="zh-CN"/>
        </w:rPr>
        <w:t>utilisation du logo de la COI afin de garantir la cohérence de l</w:t>
      </w:r>
      <w:r w:rsidR="00577D76" w:rsidRPr="001D5AE1">
        <w:rPr>
          <w:rFonts w:eastAsia="SimSun"/>
          <w:lang w:eastAsia="zh-CN"/>
        </w:rPr>
        <w:t>’</w:t>
      </w:r>
      <w:r w:rsidR="00BC4BD0" w:rsidRPr="001D5AE1">
        <w:rPr>
          <w:rFonts w:eastAsia="SimSun"/>
          <w:lang w:eastAsia="zh-CN"/>
        </w:rPr>
        <w:t>image de marque de la Commission.</w:t>
      </w:r>
    </w:p>
    <w:p w14:paraId="33922BBE" w14:textId="4944B60D" w:rsidR="00BC4BD0" w:rsidRPr="001D5AE1" w:rsidRDefault="00BC4BD0" w:rsidP="009957F6">
      <w:pPr>
        <w:keepNext/>
        <w:keepLines/>
        <w:spacing w:after="240"/>
        <w:jc w:val="both"/>
        <w:rPr>
          <w:rFonts w:eastAsia="SimSun" w:cs="Arial"/>
          <w:b/>
          <w:bCs/>
          <w:color w:val="1F3864" w:themeColor="accent5" w:themeShade="80"/>
          <w:szCs w:val="22"/>
          <w:u w:val="single"/>
          <w:lang w:eastAsia="zh-CN"/>
        </w:rPr>
      </w:pPr>
      <w:r w:rsidRPr="001D5AE1">
        <w:rPr>
          <w:rFonts w:eastAsia="SimSun" w:cs="Arial"/>
          <w:b/>
          <w:bCs/>
          <w:color w:val="1F3864" w:themeColor="accent5" w:themeShade="80"/>
          <w:szCs w:val="22"/>
          <w:u w:val="single"/>
          <w:lang w:eastAsia="zh-CN"/>
        </w:rPr>
        <w:t>Recommandation 6 : D</w:t>
      </w:r>
      <w:r w:rsidR="00577D76" w:rsidRPr="001D5AE1">
        <w:rPr>
          <w:rFonts w:eastAsia="SimSun" w:cs="Arial"/>
          <w:b/>
          <w:bCs/>
          <w:color w:val="1F3864" w:themeColor="accent5" w:themeShade="80"/>
          <w:szCs w:val="22"/>
          <w:u w:val="single"/>
          <w:lang w:eastAsia="zh-CN"/>
        </w:rPr>
        <w:t>’</w:t>
      </w:r>
      <w:r w:rsidRPr="001D5AE1">
        <w:rPr>
          <w:rFonts w:eastAsia="SimSun" w:cs="Arial"/>
          <w:b/>
          <w:bCs/>
          <w:color w:val="1F3864" w:themeColor="accent5" w:themeShade="80"/>
          <w:szCs w:val="22"/>
          <w:u w:val="single"/>
          <w:lang w:eastAsia="zh-CN"/>
        </w:rPr>
        <w:t>ici à juin 2022</w:t>
      </w:r>
      <w:r w:rsidR="00577D76" w:rsidRPr="001D5AE1">
        <w:rPr>
          <w:rFonts w:eastAsia="SimSun" w:cs="Arial"/>
          <w:b/>
          <w:bCs/>
          <w:color w:val="1F3864" w:themeColor="accent5" w:themeShade="80"/>
          <w:szCs w:val="22"/>
          <w:u w:val="single"/>
          <w:lang w:eastAsia="zh-CN"/>
        </w:rPr>
        <w:t> </w:t>
      </w:r>
      <w:r w:rsidRPr="001D5AE1">
        <w:rPr>
          <w:rFonts w:eastAsia="SimSun" w:cs="Arial"/>
          <w:b/>
          <w:bCs/>
          <w:color w:val="1F3864" w:themeColor="accent5" w:themeShade="80"/>
          <w:szCs w:val="22"/>
          <w:u w:val="single"/>
          <w:lang w:eastAsia="zh-CN"/>
        </w:rPr>
        <w:t>–</w:t>
      </w:r>
      <w:r w:rsidR="00577D76" w:rsidRPr="001D5AE1">
        <w:rPr>
          <w:rFonts w:eastAsia="SimSun" w:cs="Arial"/>
          <w:b/>
          <w:bCs/>
          <w:color w:val="1F3864" w:themeColor="accent5" w:themeShade="80"/>
          <w:szCs w:val="22"/>
          <w:u w:val="single"/>
          <w:lang w:eastAsia="zh-CN"/>
        </w:rPr>
        <w:t> </w:t>
      </w:r>
      <w:r w:rsidRPr="001D5AE1">
        <w:rPr>
          <w:rFonts w:eastAsia="SimSun" w:cs="Arial"/>
          <w:b/>
          <w:bCs/>
          <w:color w:val="1F3864" w:themeColor="accent5" w:themeShade="80"/>
          <w:szCs w:val="22"/>
          <w:u w:val="single"/>
          <w:lang w:eastAsia="zh-CN"/>
        </w:rPr>
        <w:t>Jouer un rôle moteur en ce qui concerne l</w:t>
      </w:r>
      <w:r w:rsidR="00577D76" w:rsidRPr="001D5AE1">
        <w:rPr>
          <w:rFonts w:eastAsia="SimSun" w:cs="Arial"/>
          <w:b/>
          <w:bCs/>
          <w:color w:val="1F3864" w:themeColor="accent5" w:themeShade="80"/>
          <w:szCs w:val="22"/>
          <w:u w:val="single"/>
          <w:lang w:eastAsia="zh-CN"/>
        </w:rPr>
        <w:t>’</w:t>
      </w:r>
      <w:r w:rsidRPr="001D5AE1">
        <w:rPr>
          <w:rFonts w:eastAsia="SimSun" w:cs="Arial"/>
          <w:b/>
          <w:bCs/>
          <w:color w:val="1F3864" w:themeColor="accent5" w:themeShade="80"/>
          <w:szCs w:val="22"/>
          <w:u w:val="single"/>
          <w:lang w:eastAsia="zh-CN"/>
        </w:rPr>
        <w:t>égalité des genres et l</w:t>
      </w:r>
      <w:r w:rsidR="00577D76" w:rsidRPr="001D5AE1">
        <w:rPr>
          <w:rFonts w:eastAsia="SimSun" w:cs="Arial"/>
          <w:b/>
          <w:bCs/>
          <w:color w:val="1F3864" w:themeColor="accent5" w:themeShade="80"/>
          <w:szCs w:val="22"/>
          <w:u w:val="single"/>
          <w:lang w:eastAsia="zh-CN"/>
        </w:rPr>
        <w:t>’</w:t>
      </w:r>
      <w:r w:rsidRPr="001D5AE1">
        <w:rPr>
          <w:rFonts w:eastAsia="SimSun" w:cs="Arial"/>
          <w:b/>
          <w:bCs/>
          <w:color w:val="1F3864" w:themeColor="accent5" w:themeShade="80"/>
          <w:szCs w:val="22"/>
          <w:u w:val="single"/>
          <w:lang w:eastAsia="zh-CN"/>
        </w:rPr>
        <w:t>avancement des femmes dans les sciences marines, en appuyant les efforts existants en matière de données, tels que le Rapport mondial sur les sciences océaniques par des actions spécifiques</w:t>
      </w:r>
    </w:p>
    <w:p w14:paraId="09A4DE62" w14:textId="42657899" w:rsidR="00BC4BD0" w:rsidRPr="005A4AC1" w:rsidRDefault="00255528" w:rsidP="009957F6">
      <w:pPr>
        <w:pStyle w:val="Marge"/>
        <w:rPr>
          <w:rFonts w:eastAsia="SimSun"/>
          <w:lang w:eastAsia="zh-CN"/>
        </w:rPr>
      </w:pPr>
      <w:r w:rsidRPr="001D5AE1">
        <w:rPr>
          <w:rFonts w:eastAsia="SimSun"/>
          <w:lang w:eastAsia="zh-CN"/>
        </w:rPr>
        <w:t>45.</w:t>
      </w:r>
      <w:r w:rsidRPr="001D5AE1">
        <w:rPr>
          <w:rFonts w:eastAsia="SimSun"/>
          <w:lang w:eastAsia="zh-CN"/>
        </w:rPr>
        <w:tab/>
      </w:r>
      <w:r w:rsidR="00BC4BD0" w:rsidRPr="001D5AE1">
        <w:rPr>
          <w:rFonts w:eastAsia="SimSun"/>
          <w:lang w:eastAsia="zh-CN"/>
        </w:rPr>
        <w:t>L</w:t>
      </w:r>
      <w:r w:rsidR="00577D76" w:rsidRPr="001D5AE1">
        <w:rPr>
          <w:rFonts w:eastAsia="SimSun"/>
          <w:lang w:eastAsia="zh-CN"/>
        </w:rPr>
        <w:t>’</w:t>
      </w:r>
      <w:r w:rsidR="00BC4BD0" w:rsidRPr="001D5AE1">
        <w:rPr>
          <w:rFonts w:eastAsia="SimSun"/>
          <w:lang w:eastAsia="zh-CN"/>
        </w:rPr>
        <w:t>égalité des genres est l</w:t>
      </w:r>
      <w:r w:rsidR="00577D76" w:rsidRPr="001D5AE1">
        <w:rPr>
          <w:rFonts w:eastAsia="SimSun"/>
          <w:lang w:eastAsia="zh-CN"/>
        </w:rPr>
        <w:t>’</w:t>
      </w:r>
      <w:r w:rsidR="00BC4BD0" w:rsidRPr="001D5AE1">
        <w:rPr>
          <w:rFonts w:eastAsia="SimSun"/>
          <w:lang w:eastAsia="zh-CN"/>
        </w:rPr>
        <w:t>une des priorités globales de l</w:t>
      </w:r>
      <w:r w:rsidR="00577D76" w:rsidRPr="001D5AE1">
        <w:rPr>
          <w:rFonts w:eastAsia="SimSun"/>
          <w:lang w:eastAsia="zh-CN"/>
        </w:rPr>
        <w:t>’</w:t>
      </w:r>
      <w:r w:rsidR="00BC4BD0" w:rsidRPr="001D5AE1">
        <w:rPr>
          <w:rFonts w:eastAsia="SimSun"/>
          <w:lang w:eastAsia="zh-CN"/>
        </w:rPr>
        <w:t>UNESCO. Pourtant, la COI n</w:t>
      </w:r>
      <w:r w:rsidR="00577D76" w:rsidRPr="001D5AE1">
        <w:rPr>
          <w:rFonts w:eastAsia="SimSun"/>
          <w:lang w:eastAsia="zh-CN"/>
        </w:rPr>
        <w:t>’</w:t>
      </w:r>
      <w:r w:rsidR="00BC4BD0" w:rsidRPr="001D5AE1">
        <w:rPr>
          <w:rFonts w:eastAsia="SimSun"/>
          <w:lang w:eastAsia="zh-CN"/>
        </w:rPr>
        <w:t>a toujours pas de stratégie en matière d</w:t>
      </w:r>
      <w:r w:rsidR="00577D76" w:rsidRPr="001D5AE1">
        <w:rPr>
          <w:rFonts w:eastAsia="SimSun"/>
          <w:lang w:eastAsia="zh-CN"/>
        </w:rPr>
        <w:t>’</w:t>
      </w:r>
      <w:r w:rsidR="00BC4BD0" w:rsidRPr="001D5AE1">
        <w:rPr>
          <w:rFonts w:eastAsia="SimSun"/>
          <w:lang w:eastAsia="zh-CN"/>
        </w:rPr>
        <w:t>égalité des genres et d</w:t>
      </w:r>
      <w:r w:rsidR="00577D76" w:rsidRPr="001D5AE1">
        <w:rPr>
          <w:rFonts w:eastAsia="SimSun"/>
          <w:lang w:eastAsia="zh-CN"/>
        </w:rPr>
        <w:t>’</w:t>
      </w:r>
      <w:r w:rsidR="00BC4BD0" w:rsidRPr="001D5AE1">
        <w:rPr>
          <w:rFonts w:eastAsia="SimSun"/>
          <w:lang w:eastAsia="zh-CN"/>
        </w:rPr>
        <w:t>autonomisation des femmes et doit faire évoluer la façon dont elle traite ce sujet. Cette démarche nécessitera la participation non seulem</w:t>
      </w:r>
      <w:r w:rsidR="00BC4BD0" w:rsidRPr="005A4AC1">
        <w:rPr>
          <w:rFonts w:eastAsia="SimSun"/>
          <w:lang w:eastAsia="zh-CN"/>
        </w:rPr>
        <w:t>ent du point focal pour le genre de la COI, mais aussi de l</w:t>
      </w:r>
      <w:r w:rsidR="00577D76" w:rsidRPr="005A4AC1">
        <w:rPr>
          <w:rFonts w:eastAsia="SimSun"/>
          <w:lang w:eastAsia="zh-CN"/>
        </w:rPr>
        <w:t>’</w:t>
      </w:r>
      <w:r w:rsidR="00BC4BD0" w:rsidRPr="005A4AC1">
        <w:rPr>
          <w:rFonts w:eastAsia="SimSun"/>
          <w:lang w:eastAsia="zh-CN"/>
        </w:rPr>
        <w:t>ensemble de l</w:t>
      </w:r>
      <w:r w:rsidR="00577D76" w:rsidRPr="005A4AC1">
        <w:rPr>
          <w:rFonts w:eastAsia="SimSun"/>
          <w:lang w:eastAsia="zh-CN"/>
        </w:rPr>
        <w:t>’</w:t>
      </w:r>
      <w:r w:rsidR="00BC4BD0" w:rsidRPr="005A4AC1">
        <w:rPr>
          <w:rFonts w:eastAsia="SimSun"/>
          <w:lang w:eastAsia="zh-CN"/>
        </w:rPr>
        <w:t>Organisation.</w:t>
      </w:r>
    </w:p>
    <w:p w14:paraId="14F41E96" w14:textId="31708E65" w:rsidR="00BC4BD0" w:rsidRPr="001D5AE1" w:rsidRDefault="00255528" w:rsidP="009957F6">
      <w:pPr>
        <w:pStyle w:val="Marge"/>
        <w:rPr>
          <w:rFonts w:eastAsia="SimSun"/>
          <w:lang w:eastAsia="zh-CN"/>
        </w:rPr>
      </w:pPr>
      <w:r w:rsidRPr="005A4AC1">
        <w:rPr>
          <w:rFonts w:eastAsia="SimSun"/>
          <w:lang w:eastAsia="zh-CN"/>
        </w:rPr>
        <w:t>46.</w:t>
      </w:r>
      <w:r w:rsidRPr="005A4AC1">
        <w:rPr>
          <w:rFonts w:eastAsia="SimSun"/>
          <w:lang w:eastAsia="zh-CN"/>
        </w:rPr>
        <w:tab/>
      </w:r>
      <w:r w:rsidR="00BC4BD0" w:rsidRPr="005A4AC1">
        <w:rPr>
          <w:rFonts w:eastAsia="SimSun"/>
          <w:lang w:eastAsia="zh-CN"/>
        </w:rPr>
        <w:t>La quasi-totalité des membres élus du Bureau et de l</w:t>
      </w:r>
      <w:r w:rsidR="00577D76" w:rsidRPr="005A4AC1">
        <w:rPr>
          <w:rFonts w:eastAsia="SimSun"/>
          <w:lang w:eastAsia="zh-CN"/>
        </w:rPr>
        <w:t>’</w:t>
      </w:r>
      <w:r w:rsidR="00BC4BD0" w:rsidRPr="005A4AC1">
        <w:rPr>
          <w:rFonts w:eastAsia="SimSun"/>
          <w:lang w:eastAsia="zh-CN"/>
        </w:rPr>
        <w:t>équipe dirigeante de la COI sont des hommes. Un effort coll</w:t>
      </w:r>
      <w:r w:rsidR="00BC4BD0" w:rsidRPr="001D5AE1">
        <w:rPr>
          <w:rFonts w:eastAsia="SimSun"/>
          <w:lang w:eastAsia="zh-CN"/>
        </w:rPr>
        <w:t>ectif visant à améliorer la parité des candidatures dans chacune des régions de la Commission pourrait s</w:t>
      </w:r>
      <w:r w:rsidR="00577D76" w:rsidRPr="001D5AE1">
        <w:rPr>
          <w:rFonts w:eastAsia="SimSun"/>
          <w:lang w:eastAsia="zh-CN"/>
        </w:rPr>
        <w:t>’</w:t>
      </w:r>
      <w:r w:rsidR="00BC4BD0" w:rsidRPr="001D5AE1">
        <w:rPr>
          <w:rFonts w:eastAsia="SimSun"/>
          <w:lang w:eastAsia="zh-CN"/>
        </w:rPr>
        <w:t>avérer efficace pour aborder et accroître la présence des femmes aux postes de direction. La COI pourrait également élaborer des directives sur l</w:t>
      </w:r>
      <w:r w:rsidR="00577D76" w:rsidRPr="001D5AE1">
        <w:rPr>
          <w:rFonts w:eastAsia="SimSun"/>
          <w:lang w:eastAsia="zh-CN"/>
        </w:rPr>
        <w:t>’</w:t>
      </w:r>
      <w:r w:rsidR="00BC4BD0" w:rsidRPr="001D5AE1">
        <w:rPr>
          <w:rFonts w:eastAsia="SimSun"/>
          <w:lang w:eastAsia="zh-CN"/>
        </w:rPr>
        <w:t>égalité des genres à l</w:t>
      </w:r>
      <w:r w:rsidR="00577D76" w:rsidRPr="001D5AE1">
        <w:rPr>
          <w:rFonts w:eastAsia="SimSun"/>
          <w:lang w:eastAsia="zh-CN"/>
        </w:rPr>
        <w:t>’</w:t>
      </w:r>
      <w:r w:rsidR="00BC4BD0" w:rsidRPr="001D5AE1">
        <w:rPr>
          <w:rFonts w:eastAsia="SimSun"/>
          <w:lang w:eastAsia="zh-CN"/>
        </w:rPr>
        <w:t>intention de ses comités d</w:t>
      </w:r>
      <w:r w:rsidR="00577D76" w:rsidRPr="001D5AE1">
        <w:rPr>
          <w:rFonts w:eastAsia="SimSun"/>
          <w:lang w:eastAsia="zh-CN"/>
        </w:rPr>
        <w:t>’</w:t>
      </w:r>
      <w:r w:rsidR="00BC4BD0" w:rsidRPr="001D5AE1">
        <w:rPr>
          <w:rFonts w:eastAsia="SimSun"/>
          <w:lang w:eastAsia="zh-CN"/>
        </w:rPr>
        <w:t>experts et de ses autres organes, selon que de besoin, et remettre une proposition à l</w:t>
      </w:r>
      <w:r w:rsidR="00577D76" w:rsidRPr="001D5AE1">
        <w:rPr>
          <w:rFonts w:eastAsia="SimSun"/>
          <w:lang w:eastAsia="zh-CN"/>
        </w:rPr>
        <w:t>’</w:t>
      </w:r>
      <w:r w:rsidR="00BC4BD0" w:rsidRPr="001D5AE1">
        <w:rPr>
          <w:rFonts w:eastAsia="SimSun"/>
          <w:lang w:eastAsia="zh-CN"/>
        </w:rPr>
        <w:t>Assemblée de la COI à sa 32</w:t>
      </w:r>
      <w:r w:rsidR="00BC4BD0" w:rsidRPr="001D5AE1">
        <w:rPr>
          <w:rFonts w:eastAsia="SimSun"/>
          <w:vertAlign w:val="superscript"/>
          <w:lang w:eastAsia="zh-CN"/>
        </w:rPr>
        <w:t>e</w:t>
      </w:r>
      <w:r w:rsidR="00BC4BD0" w:rsidRPr="001D5AE1">
        <w:rPr>
          <w:rFonts w:eastAsia="SimSun"/>
          <w:lang w:eastAsia="zh-CN"/>
        </w:rPr>
        <w:t> session.</w:t>
      </w:r>
    </w:p>
    <w:p w14:paraId="744610D1" w14:textId="6BCF9524" w:rsidR="00BC4BD0" w:rsidRPr="001D5AE1" w:rsidRDefault="00255528" w:rsidP="009957F6">
      <w:pPr>
        <w:pStyle w:val="Marge"/>
        <w:rPr>
          <w:rFonts w:eastAsia="SimSun"/>
          <w:lang w:eastAsia="zh-CN"/>
        </w:rPr>
      </w:pPr>
      <w:r w:rsidRPr="001D5AE1">
        <w:rPr>
          <w:rFonts w:eastAsia="SimSun"/>
          <w:lang w:eastAsia="zh-CN"/>
        </w:rPr>
        <w:t>47.</w:t>
      </w:r>
      <w:r w:rsidRPr="001D5AE1">
        <w:rPr>
          <w:rFonts w:eastAsia="SimSun"/>
          <w:lang w:eastAsia="zh-CN"/>
        </w:rPr>
        <w:tab/>
      </w:r>
      <w:r w:rsidR="00BC4BD0" w:rsidRPr="001D5AE1">
        <w:rPr>
          <w:rFonts w:eastAsia="SimSun"/>
          <w:lang w:eastAsia="zh-CN"/>
        </w:rPr>
        <w:t>Plus généralement, la Commission doit faire davantage pour encourager les femmes à se porter candidates à des postes au sein de sa structure, en particulier à des fonctions de direction. Il ne s</w:t>
      </w:r>
      <w:r w:rsidR="00577D76" w:rsidRPr="001D5AE1">
        <w:rPr>
          <w:rFonts w:eastAsia="SimSun"/>
          <w:lang w:eastAsia="zh-CN"/>
        </w:rPr>
        <w:t>’</w:t>
      </w:r>
      <w:r w:rsidR="00BC4BD0" w:rsidRPr="001D5AE1">
        <w:rPr>
          <w:rFonts w:eastAsia="SimSun"/>
          <w:lang w:eastAsia="zh-CN"/>
        </w:rPr>
        <w:t>agit pas seulement de garantir l</w:t>
      </w:r>
      <w:r w:rsidR="00577D76" w:rsidRPr="001D5AE1">
        <w:rPr>
          <w:rFonts w:eastAsia="SimSun"/>
          <w:lang w:eastAsia="zh-CN"/>
        </w:rPr>
        <w:t>’</w:t>
      </w:r>
      <w:r w:rsidR="00BC4BD0" w:rsidRPr="001D5AE1">
        <w:rPr>
          <w:rFonts w:eastAsia="SimSun"/>
          <w:lang w:eastAsia="zh-CN"/>
        </w:rPr>
        <w:t xml:space="preserve">égalité des genres, mais aussi de remédier aux éventuelles disparités dans la représentation géographique. Le </w:t>
      </w:r>
      <w:r w:rsidR="00BC4BD0" w:rsidRPr="001D5AE1">
        <w:rPr>
          <w:rFonts w:eastAsia="SimSun"/>
          <w:i/>
          <w:iCs/>
          <w:lang w:eastAsia="zh-CN"/>
        </w:rPr>
        <w:t>Rapport mondial sur les sciences océaniques</w:t>
      </w:r>
      <w:r w:rsidR="00BC4BD0" w:rsidRPr="001D5AE1">
        <w:rPr>
          <w:rFonts w:eastAsia="SimSun"/>
          <w:lang w:eastAsia="zh-CN"/>
        </w:rPr>
        <w:t xml:space="preserve"> représente un outil précieux pour mesurer les progrès accomplis à cet égard.</w:t>
      </w:r>
    </w:p>
    <w:p w14:paraId="3F002833" w14:textId="3EC08163" w:rsidR="00BC4BD0" w:rsidRPr="001D5AE1" w:rsidRDefault="00255528" w:rsidP="009957F6">
      <w:pPr>
        <w:pStyle w:val="Marge"/>
        <w:rPr>
          <w:rFonts w:eastAsia="SimSun"/>
          <w:lang w:eastAsia="zh-CN"/>
        </w:rPr>
      </w:pPr>
      <w:r w:rsidRPr="001D5AE1">
        <w:rPr>
          <w:rFonts w:eastAsia="SimSun"/>
          <w:lang w:eastAsia="zh-CN"/>
        </w:rPr>
        <w:t>48.</w:t>
      </w:r>
      <w:r w:rsidRPr="001D5AE1">
        <w:rPr>
          <w:rFonts w:eastAsia="SimSun"/>
          <w:lang w:eastAsia="zh-CN"/>
        </w:rPr>
        <w:tab/>
      </w:r>
      <w:r w:rsidR="00BC4BD0" w:rsidRPr="001D5AE1">
        <w:rPr>
          <w:rFonts w:eastAsia="SimSun"/>
          <w:lang w:eastAsia="zh-CN"/>
        </w:rPr>
        <w:t>En ce qui concerne la Décennie de l</w:t>
      </w:r>
      <w:r w:rsidR="00577D76" w:rsidRPr="001D5AE1">
        <w:rPr>
          <w:rFonts w:eastAsia="SimSun"/>
          <w:lang w:eastAsia="zh-CN"/>
        </w:rPr>
        <w:t>’</w:t>
      </w:r>
      <w:r w:rsidR="00BC4BD0" w:rsidRPr="001D5AE1">
        <w:rPr>
          <w:rFonts w:eastAsia="SimSun"/>
          <w:lang w:eastAsia="zh-CN"/>
        </w:rPr>
        <w:t>Océan, un groupe de travail pourrait être formé pour mieux intégrer la dimension de genre aux activités de la période, y compris celles menées par la</w:t>
      </w:r>
      <w:r w:rsidR="00172412" w:rsidRPr="001D5AE1">
        <w:rPr>
          <w:rFonts w:eastAsia="SimSun"/>
          <w:lang w:eastAsia="zh-CN"/>
        </w:rPr>
        <w:t> </w:t>
      </w:r>
      <w:r w:rsidR="00BC4BD0" w:rsidRPr="001D5AE1">
        <w:rPr>
          <w:rFonts w:eastAsia="SimSun"/>
          <w:lang w:eastAsia="zh-CN"/>
        </w:rPr>
        <w:t>COI. Ses activités devraient aller de pair avec le programme approuvé de la Décennie sur l</w:t>
      </w:r>
      <w:r w:rsidR="00577D76" w:rsidRPr="001D5AE1">
        <w:rPr>
          <w:rFonts w:eastAsia="SimSun"/>
          <w:lang w:eastAsia="zh-CN"/>
        </w:rPr>
        <w:t>’</w:t>
      </w:r>
      <w:r w:rsidR="00BC4BD0" w:rsidRPr="001D5AE1">
        <w:rPr>
          <w:rFonts w:eastAsia="SimSun"/>
          <w:lang w:eastAsia="zh-CN"/>
        </w:rPr>
        <w:t>égalité des genres (https://empoweringwomen.wmu.se).</w:t>
      </w:r>
    </w:p>
    <w:p w14:paraId="0412F330" w14:textId="1BD811B4" w:rsidR="00BC4BD0" w:rsidRPr="001D5AE1" w:rsidRDefault="00255528" w:rsidP="009957F6">
      <w:pPr>
        <w:pStyle w:val="Marge"/>
        <w:rPr>
          <w:rFonts w:eastAsia="SimSun"/>
          <w:lang w:eastAsia="zh-CN"/>
        </w:rPr>
      </w:pPr>
      <w:r w:rsidRPr="001D5AE1">
        <w:rPr>
          <w:rFonts w:eastAsia="SimSun"/>
          <w:lang w:eastAsia="zh-CN"/>
        </w:rPr>
        <w:t>49.</w:t>
      </w:r>
      <w:r w:rsidRPr="001D5AE1">
        <w:rPr>
          <w:rFonts w:eastAsia="SimSun"/>
          <w:lang w:eastAsia="zh-CN"/>
        </w:rPr>
        <w:tab/>
      </w:r>
      <w:r w:rsidR="00BC4BD0" w:rsidRPr="001D5AE1">
        <w:rPr>
          <w:rFonts w:eastAsia="SimSun"/>
          <w:lang w:eastAsia="zh-CN"/>
        </w:rPr>
        <w:t>La COI pourrait également créer et administrer une bourse ou un prix pour reconnaître les réalisations des femmes dans les sciences océaniques.</w:t>
      </w:r>
    </w:p>
    <w:p w14:paraId="660836ED" w14:textId="77777777" w:rsidR="00BC4BD0" w:rsidRPr="001D5AE1" w:rsidRDefault="00BC4BD0" w:rsidP="009957F6">
      <w:pPr>
        <w:pStyle w:val="Heading3"/>
        <w:rPr>
          <w:rFonts w:eastAsia="SimSun"/>
          <w:lang w:eastAsia="zh-CN"/>
        </w:rPr>
      </w:pPr>
      <w:r w:rsidRPr="001D5AE1">
        <w:rPr>
          <w:rFonts w:eastAsia="SimSun"/>
          <w:lang w:eastAsia="zh-CN"/>
        </w:rPr>
        <w:t>Principales actions de mise en œuvre proposées :</w:t>
      </w:r>
    </w:p>
    <w:p w14:paraId="64300EAB" w14:textId="7FE22EAF" w:rsidR="00BC4BD0" w:rsidRPr="001D5AE1" w:rsidRDefault="00255528" w:rsidP="009957F6">
      <w:pPr>
        <w:pStyle w:val="b"/>
        <w:rPr>
          <w:rFonts w:eastAsia="SimSun"/>
          <w:lang w:eastAsia="zh-CN"/>
        </w:rPr>
      </w:pPr>
      <w:r w:rsidRPr="001D5AE1">
        <w:rPr>
          <w:rFonts w:eastAsia="SimSun"/>
          <w:lang w:eastAsia="zh-CN"/>
        </w:rPr>
        <w:t>6.a.</w:t>
      </w:r>
      <w:r w:rsidRPr="001D5AE1">
        <w:rPr>
          <w:rFonts w:eastAsia="SimSun"/>
          <w:lang w:eastAsia="zh-CN"/>
        </w:rPr>
        <w:tab/>
        <w:t>D</w:t>
      </w:r>
      <w:r w:rsidR="00BC4BD0" w:rsidRPr="001D5AE1">
        <w:rPr>
          <w:rFonts w:eastAsia="SimSun"/>
          <w:lang w:eastAsia="zh-CN"/>
        </w:rPr>
        <w:t>emander conseil à la Division pour l</w:t>
      </w:r>
      <w:r w:rsidR="00577D76" w:rsidRPr="001D5AE1">
        <w:rPr>
          <w:rFonts w:eastAsia="SimSun"/>
          <w:lang w:eastAsia="zh-CN"/>
        </w:rPr>
        <w:t>’</w:t>
      </w:r>
      <w:r w:rsidR="00BC4BD0" w:rsidRPr="001D5AE1">
        <w:rPr>
          <w:rFonts w:eastAsia="SimSun"/>
          <w:lang w:eastAsia="zh-CN"/>
        </w:rPr>
        <w:t>égalité des genres de l</w:t>
      </w:r>
      <w:r w:rsidR="00577D76" w:rsidRPr="001D5AE1">
        <w:rPr>
          <w:rFonts w:eastAsia="SimSun"/>
          <w:lang w:eastAsia="zh-CN"/>
        </w:rPr>
        <w:t>’</w:t>
      </w:r>
      <w:r w:rsidR="00BC4BD0" w:rsidRPr="001D5AE1">
        <w:rPr>
          <w:rFonts w:eastAsia="SimSun"/>
          <w:lang w:eastAsia="zh-CN"/>
        </w:rPr>
        <w:t>UNESCO afin d</w:t>
      </w:r>
      <w:r w:rsidR="00577D76" w:rsidRPr="001D5AE1">
        <w:rPr>
          <w:rFonts w:eastAsia="SimSun"/>
          <w:lang w:eastAsia="zh-CN"/>
        </w:rPr>
        <w:t>’</w:t>
      </w:r>
      <w:r w:rsidR="00BC4BD0" w:rsidRPr="001D5AE1">
        <w:rPr>
          <w:rFonts w:eastAsia="SimSun"/>
          <w:lang w:eastAsia="zh-CN"/>
        </w:rPr>
        <w:t>élaborer des directives sur l</w:t>
      </w:r>
      <w:r w:rsidR="00577D76" w:rsidRPr="001D5AE1">
        <w:rPr>
          <w:rFonts w:eastAsia="SimSun"/>
          <w:lang w:eastAsia="zh-CN"/>
        </w:rPr>
        <w:t>’</w:t>
      </w:r>
      <w:r w:rsidR="00BC4BD0" w:rsidRPr="001D5AE1">
        <w:rPr>
          <w:rFonts w:eastAsia="SimSun"/>
          <w:lang w:eastAsia="zh-CN"/>
        </w:rPr>
        <w:t>égalité des genres à l</w:t>
      </w:r>
      <w:r w:rsidR="00577D76" w:rsidRPr="001D5AE1">
        <w:rPr>
          <w:rFonts w:eastAsia="SimSun"/>
          <w:lang w:eastAsia="zh-CN"/>
        </w:rPr>
        <w:t>’</w:t>
      </w:r>
      <w:r w:rsidR="00BC4BD0" w:rsidRPr="001D5AE1">
        <w:rPr>
          <w:rFonts w:eastAsia="SimSun"/>
          <w:lang w:eastAsia="zh-CN"/>
        </w:rPr>
        <w:t>intention des comités d</w:t>
      </w:r>
      <w:r w:rsidR="00577D76" w:rsidRPr="001D5AE1">
        <w:rPr>
          <w:rFonts w:eastAsia="SimSun"/>
          <w:lang w:eastAsia="zh-CN"/>
        </w:rPr>
        <w:t>’</w:t>
      </w:r>
      <w:r w:rsidR="00BC4BD0" w:rsidRPr="001D5AE1">
        <w:rPr>
          <w:rFonts w:eastAsia="SimSun"/>
          <w:lang w:eastAsia="zh-CN"/>
        </w:rPr>
        <w:t>experts et d</w:t>
      </w:r>
      <w:r w:rsidR="00577D76" w:rsidRPr="001D5AE1">
        <w:rPr>
          <w:rFonts w:eastAsia="SimSun"/>
          <w:lang w:eastAsia="zh-CN"/>
        </w:rPr>
        <w:t>’</w:t>
      </w:r>
      <w:r w:rsidR="00BC4BD0" w:rsidRPr="001D5AE1">
        <w:rPr>
          <w:rFonts w:eastAsia="SimSun"/>
          <w:lang w:eastAsia="zh-CN"/>
        </w:rPr>
        <w:t>autres organes, selon que de besoin ; présenter cette proposition à l</w:t>
      </w:r>
      <w:r w:rsidR="00577D76" w:rsidRPr="001D5AE1">
        <w:rPr>
          <w:rFonts w:eastAsia="SimSun"/>
          <w:lang w:eastAsia="zh-CN"/>
        </w:rPr>
        <w:t>’</w:t>
      </w:r>
      <w:r w:rsidR="00BC4BD0" w:rsidRPr="001D5AE1">
        <w:rPr>
          <w:rFonts w:eastAsia="SimSun"/>
          <w:lang w:eastAsia="zh-CN"/>
        </w:rPr>
        <w:t>Assemblée de la COI à sa 32</w:t>
      </w:r>
      <w:r w:rsidR="00BC4BD0" w:rsidRPr="001D5AE1">
        <w:rPr>
          <w:rFonts w:eastAsia="SimSun"/>
          <w:vertAlign w:val="superscript"/>
          <w:lang w:eastAsia="zh-CN"/>
        </w:rPr>
        <w:t>e</w:t>
      </w:r>
      <w:r w:rsidR="00BC4BD0" w:rsidRPr="001D5AE1">
        <w:rPr>
          <w:rFonts w:eastAsia="SimSun"/>
          <w:lang w:eastAsia="zh-CN"/>
        </w:rPr>
        <w:t> session ;</w:t>
      </w:r>
    </w:p>
    <w:p w14:paraId="22AF9788" w14:textId="63B59A21" w:rsidR="00BC4BD0" w:rsidRPr="001D5AE1" w:rsidRDefault="00255528" w:rsidP="009957F6">
      <w:pPr>
        <w:pStyle w:val="b"/>
        <w:rPr>
          <w:rFonts w:eastAsia="SimSun"/>
          <w:lang w:eastAsia="zh-CN"/>
        </w:rPr>
      </w:pPr>
      <w:r w:rsidRPr="001D5AE1">
        <w:rPr>
          <w:rFonts w:eastAsia="SimSun"/>
          <w:lang w:eastAsia="zh-CN"/>
        </w:rPr>
        <w:t>6.b.</w:t>
      </w:r>
      <w:r w:rsidRPr="001D5AE1">
        <w:rPr>
          <w:rFonts w:eastAsia="SimSun"/>
          <w:lang w:eastAsia="zh-CN"/>
        </w:rPr>
        <w:tab/>
      </w:r>
      <w:r w:rsidR="00BC4BD0" w:rsidRPr="001D5AE1">
        <w:rPr>
          <w:rFonts w:eastAsia="SimSun"/>
          <w:lang w:eastAsia="zh-CN"/>
        </w:rPr>
        <w:t>Continuer à encourager les États membres de la COI à assurer l</w:t>
      </w:r>
      <w:r w:rsidR="00577D76" w:rsidRPr="001D5AE1">
        <w:rPr>
          <w:rFonts w:eastAsia="SimSun"/>
          <w:lang w:eastAsia="zh-CN"/>
        </w:rPr>
        <w:t>’</w:t>
      </w:r>
      <w:r w:rsidR="00BC4BD0" w:rsidRPr="001D5AE1">
        <w:rPr>
          <w:rFonts w:eastAsia="SimSun"/>
          <w:lang w:eastAsia="zh-CN"/>
        </w:rPr>
        <w:t>égalité des genres dans leurs délégations auprès des organes directeurs de la Commission ; fournir des statistiques à l</w:t>
      </w:r>
      <w:r w:rsidR="00577D76" w:rsidRPr="001D5AE1">
        <w:rPr>
          <w:rFonts w:eastAsia="SimSun"/>
          <w:lang w:eastAsia="zh-CN"/>
        </w:rPr>
        <w:t>’</w:t>
      </w:r>
      <w:r w:rsidR="00BC4BD0" w:rsidRPr="001D5AE1">
        <w:rPr>
          <w:rFonts w:eastAsia="SimSun"/>
          <w:lang w:eastAsia="zh-CN"/>
        </w:rPr>
        <w:t>issue de chaque session pour suivre les progrès réalisés ;</w:t>
      </w:r>
    </w:p>
    <w:p w14:paraId="4554F4FA" w14:textId="6F177CAD" w:rsidR="00BC4BD0" w:rsidRPr="001D5AE1" w:rsidRDefault="00255528" w:rsidP="009957F6">
      <w:pPr>
        <w:pStyle w:val="b"/>
        <w:rPr>
          <w:rFonts w:eastAsia="SimSun"/>
          <w:lang w:eastAsia="zh-CN"/>
        </w:rPr>
      </w:pPr>
      <w:r w:rsidRPr="001D5AE1">
        <w:rPr>
          <w:rFonts w:eastAsia="SimSun"/>
          <w:lang w:eastAsia="zh-CN"/>
        </w:rPr>
        <w:t>6.c.</w:t>
      </w:r>
      <w:r w:rsidRPr="001D5AE1">
        <w:rPr>
          <w:rFonts w:eastAsia="SimSun"/>
          <w:lang w:eastAsia="zh-CN"/>
        </w:rPr>
        <w:tab/>
      </w:r>
      <w:r w:rsidR="00BC4BD0" w:rsidRPr="001D5AE1">
        <w:rPr>
          <w:rFonts w:eastAsia="SimSun"/>
          <w:lang w:eastAsia="zh-CN"/>
        </w:rPr>
        <w:t>Créer un groupe de travail (comprenant des spécialistes en égalité des genres choisis parmi les homologues de la Commission au sein d</w:t>
      </w:r>
      <w:r w:rsidR="00577D76" w:rsidRPr="001D5AE1">
        <w:rPr>
          <w:rFonts w:eastAsia="SimSun"/>
          <w:lang w:eastAsia="zh-CN"/>
        </w:rPr>
        <w:t>’</w:t>
      </w:r>
      <w:r w:rsidR="00BC4BD0" w:rsidRPr="001D5AE1">
        <w:rPr>
          <w:rFonts w:eastAsia="SimSun"/>
          <w:lang w:eastAsia="zh-CN"/>
        </w:rPr>
        <w:t>ONU-Océans ainsi qu</w:t>
      </w:r>
      <w:r w:rsidR="00577D76" w:rsidRPr="001D5AE1">
        <w:rPr>
          <w:rFonts w:eastAsia="SimSun"/>
          <w:lang w:eastAsia="zh-CN"/>
        </w:rPr>
        <w:t>’</w:t>
      </w:r>
      <w:r w:rsidR="00BC4BD0" w:rsidRPr="001D5AE1">
        <w:rPr>
          <w:rFonts w:eastAsia="SimSun"/>
          <w:lang w:eastAsia="zh-CN"/>
        </w:rPr>
        <w:t>à l</w:t>
      </w:r>
      <w:r w:rsidR="00577D76" w:rsidRPr="001D5AE1">
        <w:rPr>
          <w:rFonts w:eastAsia="SimSun"/>
          <w:lang w:eastAsia="zh-CN"/>
        </w:rPr>
        <w:t>’</w:t>
      </w:r>
      <w:r w:rsidR="00BC4BD0" w:rsidRPr="001D5AE1">
        <w:rPr>
          <w:rFonts w:eastAsia="SimSun"/>
          <w:lang w:eastAsia="zh-CN"/>
        </w:rPr>
        <w:t>UNESCO) afin d</w:t>
      </w:r>
      <w:r w:rsidR="00577D76" w:rsidRPr="001D5AE1">
        <w:rPr>
          <w:rFonts w:eastAsia="SimSun"/>
          <w:lang w:eastAsia="zh-CN"/>
        </w:rPr>
        <w:t>’</w:t>
      </w:r>
      <w:r w:rsidR="00BC4BD0" w:rsidRPr="001D5AE1">
        <w:rPr>
          <w:rFonts w:eastAsia="SimSun"/>
          <w:lang w:eastAsia="zh-CN"/>
        </w:rPr>
        <w:t>élaborer une feuille de route permettant de mieux intégrer l</w:t>
      </w:r>
      <w:r w:rsidR="00577D76" w:rsidRPr="001D5AE1">
        <w:rPr>
          <w:rFonts w:eastAsia="SimSun"/>
          <w:lang w:eastAsia="zh-CN"/>
        </w:rPr>
        <w:t>’</w:t>
      </w:r>
      <w:r w:rsidR="00BC4BD0" w:rsidRPr="001D5AE1">
        <w:rPr>
          <w:rFonts w:eastAsia="SimSun"/>
          <w:lang w:eastAsia="zh-CN"/>
        </w:rPr>
        <w:t>égalité des genres tout au long de la Décennie de l</w:t>
      </w:r>
      <w:r w:rsidR="00577D76" w:rsidRPr="001D5AE1">
        <w:rPr>
          <w:rFonts w:eastAsia="SimSun"/>
          <w:lang w:eastAsia="zh-CN"/>
        </w:rPr>
        <w:t>’</w:t>
      </w:r>
      <w:r w:rsidR="00BC4BD0" w:rsidRPr="001D5AE1">
        <w:rPr>
          <w:rFonts w:eastAsia="SimSun"/>
          <w:lang w:eastAsia="zh-CN"/>
        </w:rPr>
        <w:t>Océan ;</w:t>
      </w:r>
    </w:p>
    <w:p w14:paraId="6746F9FA" w14:textId="14F3EA5B" w:rsidR="00BC4BD0" w:rsidRPr="001D5AE1" w:rsidRDefault="00255528" w:rsidP="009957F6">
      <w:pPr>
        <w:pStyle w:val="b"/>
        <w:rPr>
          <w:rFonts w:eastAsia="SimSun"/>
          <w:lang w:eastAsia="zh-CN"/>
        </w:rPr>
      </w:pPr>
      <w:r w:rsidRPr="001D5AE1">
        <w:rPr>
          <w:rFonts w:eastAsia="SimSun"/>
          <w:lang w:eastAsia="zh-CN"/>
        </w:rPr>
        <w:t>6.d.</w:t>
      </w:r>
      <w:r w:rsidRPr="001D5AE1">
        <w:rPr>
          <w:rFonts w:eastAsia="SimSun"/>
          <w:lang w:eastAsia="zh-CN"/>
        </w:rPr>
        <w:tab/>
      </w:r>
      <w:r w:rsidR="00BC4BD0" w:rsidRPr="001D5AE1">
        <w:rPr>
          <w:rFonts w:eastAsia="SimSun"/>
          <w:lang w:eastAsia="zh-CN"/>
        </w:rPr>
        <w:t xml:space="preserve">Rechercher des partenaires qui pourraient vouloir apporter leur soutien à un prix pour les femmes dans le domaine des sciences océaniques, notamment par le biais du Pacte mondial des </w:t>
      </w:r>
      <w:r w:rsidR="00172412" w:rsidRPr="001D5AE1">
        <w:rPr>
          <w:rFonts w:eastAsia="SimSun"/>
          <w:lang w:eastAsia="zh-CN"/>
        </w:rPr>
        <w:t>Nations Unies</w:t>
      </w:r>
      <w:r w:rsidR="00BC4BD0" w:rsidRPr="001D5AE1">
        <w:rPr>
          <w:rFonts w:eastAsia="SimSun"/>
          <w:lang w:eastAsia="zh-CN"/>
        </w:rPr>
        <w:t> ;</w:t>
      </w:r>
    </w:p>
    <w:p w14:paraId="3164793B" w14:textId="50CDD6F4" w:rsidR="00007A87" w:rsidRPr="001D5AE1" w:rsidRDefault="00255528" w:rsidP="00577D76">
      <w:pPr>
        <w:pStyle w:val="b"/>
        <w:spacing w:after="0"/>
        <w:rPr>
          <w:rFonts w:eastAsia="SimSun"/>
          <w:lang w:eastAsia="zh-CN"/>
        </w:rPr>
      </w:pPr>
      <w:r w:rsidRPr="001D5AE1">
        <w:rPr>
          <w:rFonts w:eastAsia="SimSun"/>
          <w:lang w:eastAsia="zh-CN"/>
        </w:rPr>
        <w:t>6.e.</w:t>
      </w:r>
      <w:r w:rsidRPr="001D5AE1">
        <w:rPr>
          <w:rFonts w:eastAsia="SimSun"/>
          <w:lang w:eastAsia="zh-CN"/>
        </w:rPr>
        <w:tab/>
      </w:r>
      <w:r w:rsidR="00BC4BD0" w:rsidRPr="001D5AE1">
        <w:rPr>
          <w:rFonts w:eastAsia="SimSun"/>
          <w:lang w:eastAsia="zh-CN"/>
        </w:rPr>
        <w:t>Travailler avec des spécialistes en ressources humaines afin de cibler des candidates qualifiées pour les postes de direction au sein de la Commission et d</w:t>
      </w:r>
      <w:r w:rsidR="00577D76" w:rsidRPr="001D5AE1">
        <w:rPr>
          <w:rFonts w:eastAsia="SimSun"/>
          <w:lang w:eastAsia="zh-CN"/>
        </w:rPr>
        <w:t>’</w:t>
      </w:r>
      <w:r w:rsidR="00BC4BD0" w:rsidRPr="001D5AE1">
        <w:rPr>
          <w:rFonts w:eastAsia="SimSun"/>
          <w:lang w:eastAsia="zh-CN"/>
        </w:rPr>
        <w:t>équilibrer la répartition géographique.</w:t>
      </w:r>
    </w:p>
    <w:p w14:paraId="577A6298" w14:textId="77777777" w:rsidR="00007A87" w:rsidRPr="001D5AE1" w:rsidRDefault="00007A87" w:rsidP="009957F6">
      <w:pPr>
        <w:pStyle w:val="b"/>
        <w:rPr>
          <w:rFonts w:eastAsia="SimSun"/>
          <w:lang w:eastAsia="zh-CN"/>
        </w:rPr>
        <w:sectPr w:rsidR="00007A87" w:rsidRPr="001D5AE1" w:rsidSect="003C29BC">
          <w:headerReference w:type="even" r:id="rId19"/>
          <w:headerReference w:type="default" r:id="rId20"/>
          <w:footerReference w:type="even" r:id="rId21"/>
          <w:headerReference w:type="first" r:id="rId22"/>
          <w:footerReference w:type="first" r:id="rId23"/>
          <w:type w:val="oddPage"/>
          <w:pgSz w:w="11920" w:h="16840"/>
          <w:pgMar w:top="1216" w:right="1210" w:bottom="1152" w:left="1267" w:header="630" w:footer="288" w:gutter="0"/>
          <w:pgNumType w:start="1"/>
          <w:cols w:space="720"/>
          <w:titlePg/>
          <w:docGrid w:linePitch="299"/>
        </w:sectPr>
      </w:pPr>
    </w:p>
    <w:p w14:paraId="7B01BD75" w14:textId="66B29F23" w:rsidR="00B021FB" w:rsidRPr="001D5AE1" w:rsidRDefault="00B021FB" w:rsidP="00577D76">
      <w:pPr>
        <w:keepNext/>
        <w:keepLines/>
        <w:adjustRightInd w:val="0"/>
        <w:spacing w:after="240"/>
        <w:ind w:left="567" w:hanging="567"/>
        <w:jc w:val="both"/>
        <w:textAlignment w:val="baseline"/>
        <w:outlineLvl w:val="1"/>
        <w:rPr>
          <w:rFonts w:cs="Arial"/>
          <w:b/>
          <w:bCs/>
          <w:caps/>
          <w:szCs w:val="22"/>
        </w:rPr>
      </w:pPr>
      <w:r w:rsidRPr="001D5AE1">
        <w:rPr>
          <w:rFonts w:cs="Arial"/>
          <w:b/>
          <w:bCs/>
          <w:caps/>
          <w:szCs w:val="22"/>
        </w:rPr>
        <w:lastRenderedPageBreak/>
        <w:t>SYNTHÈSE DES ACTIONS PROPOSÉES</w:t>
      </w:r>
      <w:r w:rsidR="00F77863" w:rsidRPr="001D5AE1">
        <w:rPr>
          <w:rFonts w:cs="Arial"/>
          <w:b/>
          <w:bCs/>
          <w:caps/>
          <w:szCs w:val="22"/>
        </w:rPr>
        <w:t xml:space="preserve"> et informations actualisÉes sur l</w:t>
      </w:r>
      <w:r w:rsidR="000E7B9D" w:rsidRPr="001D5AE1">
        <w:rPr>
          <w:rFonts w:cs="Arial"/>
          <w:b/>
          <w:bCs/>
          <w:caps/>
          <w:szCs w:val="22"/>
        </w:rPr>
        <w:t>eur État d</w:t>
      </w:r>
      <w:r w:rsidR="00577D76" w:rsidRPr="001D5AE1">
        <w:rPr>
          <w:rFonts w:cs="Arial"/>
          <w:b/>
          <w:bCs/>
          <w:caps/>
          <w:szCs w:val="22"/>
        </w:rPr>
        <w:t>’</w:t>
      </w:r>
      <w:r w:rsidR="000E7B9D" w:rsidRPr="001D5AE1">
        <w:rPr>
          <w:rFonts w:cs="Arial"/>
          <w:b/>
          <w:bCs/>
          <w:caps/>
          <w:szCs w:val="22"/>
        </w:rPr>
        <w:t>avancement</w:t>
      </w:r>
    </w:p>
    <w:tbl>
      <w:tblPr>
        <w:tblStyle w:val="Grilledutableau1"/>
        <w:tblW w:w="0" w:type="auto"/>
        <w:tblLook w:val="01E0" w:firstRow="1" w:lastRow="1" w:firstColumn="1" w:lastColumn="1" w:noHBand="0" w:noVBand="0"/>
      </w:tblPr>
      <w:tblGrid>
        <w:gridCol w:w="3114"/>
        <w:gridCol w:w="3827"/>
        <w:gridCol w:w="3544"/>
        <w:gridCol w:w="1781"/>
        <w:gridCol w:w="2126"/>
      </w:tblGrid>
      <w:tr w:rsidR="00362839" w:rsidRPr="001D5AE1" w14:paraId="7C4E4073" w14:textId="77777777" w:rsidTr="005B57F5">
        <w:trPr>
          <w:tblHeader/>
        </w:trPr>
        <w:tc>
          <w:tcPr>
            <w:tcW w:w="3114" w:type="dxa"/>
            <w:shd w:val="clear" w:color="auto" w:fill="D9D9D9" w:themeFill="background1" w:themeFillShade="D9"/>
          </w:tcPr>
          <w:p w14:paraId="0DE2D520" w14:textId="77777777" w:rsidR="00F77863" w:rsidRPr="001D5AE1" w:rsidRDefault="00F77863" w:rsidP="00577D76">
            <w:pPr>
              <w:adjustRightInd w:val="0"/>
              <w:spacing w:before="120" w:after="120"/>
              <w:jc w:val="center"/>
              <w:textAlignment w:val="baseline"/>
              <w:rPr>
                <w:sz w:val="18"/>
                <w:szCs w:val="18"/>
                <w:lang w:val="fr-FR"/>
              </w:rPr>
            </w:pPr>
            <w:bookmarkStart w:id="0" w:name="_Hlk104964973"/>
          </w:p>
        </w:tc>
        <w:tc>
          <w:tcPr>
            <w:tcW w:w="3827" w:type="dxa"/>
            <w:shd w:val="clear" w:color="auto" w:fill="D9D9D9" w:themeFill="background1" w:themeFillShade="D9"/>
          </w:tcPr>
          <w:p w14:paraId="5216D529" w14:textId="4F02652F" w:rsidR="00F77863" w:rsidRPr="001D5AE1" w:rsidRDefault="00262A6A" w:rsidP="00577D76">
            <w:pPr>
              <w:adjustRightInd w:val="0"/>
              <w:spacing w:before="240" w:after="120"/>
              <w:jc w:val="center"/>
              <w:textAlignment w:val="baseline"/>
              <w:rPr>
                <w:b/>
                <w:bCs/>
                <w:sz w:val="18"/>
                <w:szCs w:val="18"/>
                <w:lang w:val="fr-FR"/>
              </w:rPr>
            </w:pPr>
            <w:r w:rsidRPr="001D5AE1">
              <w:rPr>
                <w:b/>
                <w:bCs/>
                <w:sz w:val="18"/>
                <w:szCs w:val="18"/>
                <w:lang w:val="fr-FR"/>
              </w:rPr>
              <w:t>Actions prévues</w:t>
            </w:r>
          </w:p>
        </w:tc>
        <w:tc>
          <w:tcPr>
            <w:tcW w:w="3544" w:type="dxa"/>
            <w:shd w:val="clear" w:color="auto" w:fill="D9D9D9" w:themeFill="background1" w:themeFillShade="D9"/>
          </w:tcPr>
          <w:p w14:paraId="50FC69FF" w14:textId="4875883E" w:rsidR="00F77863" w:rsidRPr="001D5AE1" w:rsidRDefault="00C3768B" w:rsidP="00577D76">
            <w:pPr>
              <w:adjustRightInd w:val="0"/>
              <w:spacing w:before="240" w:after="120"/>
              <w:jc w:val="center"/>
              <w:textAlignment w:val="baseline"/>
              <w:rPr>
                <w:b/>
                <w:bCs/>
                <w:sz w:val="18"/>
                <w:szCs w:val="18"/>
                <w:lang w:val="fr-FR"/>
              </w:rPr>
            </w:pPr>
            <w:r w:rsidRPr="001D5AE1">
              <w:rPr>
                <w:b/>
                <w:bCs/>
                <w:sz w:val="18"/>
                <w:szCs w:val="18"/>
                <w:lang w:val="fr-FR"/>
              </w:rPr>
              <w:t>État d</w:t>
            </w:r>
            <w:r w:rsidR="00577D76" w:rsidRPr="001D5AE1">
              <w:rPr>
                <w:b/>
                <w:bCs/>
                <w:sz w:val="18"/>
                <w:szCs w:val="18"/>
                <w:lang w:val="fr-FR"/>
              </w:rPr>
              <w:t>’</w:t>
            </w:r>
            <w:r w:rsidRPr="001D5AE1">
              <w:rPr>
                <w:b/>
                <w:bCs/>
                <w:sz w:val="18"/>
                <w:szCs w:val="18"/>
                <w:lang w:val="fr-FR"/>
              </w:rPr>
              <w:t>avancement</w:t>
            </w:r>
            <w:r w:rsidR="00262A6A" w:rsidRPr="001D5AE1">
              <w:rPr>
                <w:b/>
                <w:bCs/>
                <w:sz w:val="18"/>
                <w:szCs w:val="18"/>
                <w:lang w:val="fr-FR"/>
              </w:rPr>
              <w:t xml:space="preserve"> en mai 2023</w:t>
            </w:r>
          </w:p>
        </w:tc>
        <w:tc>
          <w:tcPr>
            <w:tcW w:w="1781" w:type="dxa"/>
            <w:shd w:val="clear" w:color="auto" w:fill="D9D9D9" w:themeFill="background1" w:themeFillShade="D9"/>
          </w:tcPr>
          <w:p w14:paraId="7E7B4F3F" w14:textId="3AC85630" w:rsidR="00F77863" w:rsidRPr="001D5AE1" w:rsidRDefault="00262A6A" w:rsidP="00577D76">
            <w:pPr>
              <w:adjustRightInd w:val="0"/>
              <w:spacing w:before="120" w:after="120"/>
              <w:jc w:val="center"/>
              <w:textAlignment w:val="baseline"/>
              <w:rPr>
                <w:b/>
                <w:bCs/>
                <w:sz w:val="18"/>
                <w:szCs w:val="18"/>
                <w:lang w:val="fr-FR"/>
              </w:rPr>
            </w:pPr>
            <w:r w:rsidRPr="001D5AE1">
              <w:rPr>
                <w:b/>
                <w:bCs/>
                <w:sz w:val="18"/>
                <w:szCs w:val="18"/>
                <w:lang w:val="fr-FR"/>
              </w:rPr>
              <w:t>Unité(s) responsable(s)</w:t>
            </w:r>
          </w:p>
        </w:tc>
        <w:tc>
          <w:tcPr>
            <w:tcW w:w="2126" w:type="dxa"/>
            <w:shd w:val="clear" w:color="auto" w:fill="D9D9D9" w:themeFill="background1" w:themeFillShade="D9"/>
          </w:tcPr>
          <w:p w14:paraId="5B9C2E81" w14:textId="5C1F699D" w:rsidR="00F77863" w:rsidRPr="001D5AE1" w:rsidRDefault="00262A6A" w:rsidP="00577D76">
            <w:pPr>
              <w:adjustRightInd w:val="0"/>
              <w:spacing w:before="120" w:after="120"/>
              <w:jc w:val="center"/>
              <w:textAlignment w:val="baseline"/>
              <w:rPr>
                <w:b/>
                <w:bCs/>
                <w:sz w:val="18"/>
                <w:szCs w:val="18"/>
                <w:lang w:val="fr-FR"/>
              </w:rPr>
            </w:pPr>
            <w:r w:rsidRPr="001D5AE1">
              <w:rPr>
                <w:b/>
                <w:bCs/>
                <w:sz w:val="18"/>
                <w:szCs w:val="18"/>
                <w:lang w:val="fr-FR"/>
              </w:rPr>
              <w:t>Date d</w:t>
            </w:r>
            <w:r w:rsidR="00577D76" w:rsidRPr="001D5AE1">
              <w:rPr>
                <w:b/>
                <w:bCs/>
                <w:sz w:val="18"/>
                <w:szCs w:val="18"/>
                <w:lang w:val="fr-FR"/>
              </w:rPr>
              <w:t>’</w:t>
            </w:r>
            <w:r w:rsidRPr="001D5AE1">
              <w:rPr>
                <w:b/>
                <w:bCs/>
                <w:sz w:val="18"/>
                <w:szCs w:val="18"/>
                <w:lang w:val="fr-FR"/>
              </w:rPr>
              <w:t>achèvement estimée</w:t>
            </w:r>
          </w:p>
        </w:tc>
      </w:tr>
      <w:tr w:rsidR="00727867" w:rsidRPr="001D5AE1" w14:paraId="3D8FA5DB" w14:textId="77777777" w:rsidTr="00262A6A">
        <w:tc>
          <w:tcPr>
            <w:tcW w:w="3114" w:type="dxa"/>
          </w:tcPr>
          <w:p w14:paraId="23822DEB" w14:textId="77777777" w:rsidR="00262A6A" w:rsidRPr="001D5AE1" w:rsidRDefault="00262A6A" w:rsidP="005B57F5">
            <w:pPr>
              <w:adjustRightInd w:val="0"/>
              <w:spacing w:before="120" w:after="120"/>
              <w:textAlignment w:val="baseline"/>
              <w:rPr>
                <w:b/>
                <w:bCs/>
                <w:sz w:val="18"/>
                <w:szCs w:val="18"/>
                <w:lang w:val="fr-FR" w:eastAsia="zh-CN"/>
              </w:rPr>
            </w:pPr>
            <w:r w:rsidRPr="001D5AE1">
              <w:rPr>
                <w:b/>
                <w:bCs/>
                <w:sz w:val="18"/>
                <w:szCs w:val="18"/>
                <w:lang w:val="fr-FR" w:eastAsia="zh-CN"/>
              </w:rPr>
              <w:t>Recommandation 1 :</w:t>
            </w:r>
          </w:p>
          <w:p w14:paraId="4A7C1C7A" w14:textId="224B1EA3" w:rsidR="00F77863" w:rsidRPr="001D5AE1" w:rsidRDefault="00262A6A" w:rsidP="005B57F5">
            <w:pPr>
              <w:adjustRightInd w:val="0"/>
              <w:spacing w:before="120" w:after="120"/>
              <w:textAlignment w:val="baseline"/>
              <w:rPr>
                <w:sz w:val="18"/>
                <w:szCs w:val="18"/>
                <w:lang w:val="fr-FR"/>
              </w:rPr>
            </w:pPr>
            <w:r w:rsidRPr="001D5AE1">
              <w:rPr>
                <w:sz w:val="18"/>
                <w:szCs w:val="18"/>
                <w:lang w:val="fr-FR" w:eastAsia="zh-CN"/>
              </w:rPr>
              <w:t>D</w:t>
            </w:r>
            <w:r w:rsidR="00577D76" w:rsidRPr="001D5AE1">
              <w:rPr>
                <w:sz w:val="18"/>
                <w:szCs w:val="18"/>
                <w:lang w:val="fr-FR" w:eastAsia="zh-CN"/>
              </w:rPr>
              <w:t>’</w:t>
            </w:r>
            <w:r w:rsidRPr="001D5AE1">
              <w:rPr>
                <w:sz w:val="18"/>
                <w:szCs w:val="18"/>
                <w:lang w:val="fr-FR" w:eastAsia="zh-CN"/>
              </w:rPr>
              <w:t>ici à septembre 2022</w:t>
            </w:r>
            <w:r w:rsidR="005B57F5" w:rsidRPr="001D5AE1">
              <w:rPr>
                <w:sz w:val="18"/>
                <w:szCs w:val="18"/>
                <w:lang w:val="fr-FR" w:eastAsia="zh-CN"/>
              </w:rPr>
              <w:t> </w:t>
            </w:r>
            <w:r w:rsidRPr="001D5AE1">
              <w:rPr>
                <w:sz w:val="18"/>
                <w:szCs w:val="18"/>
                <w:lang w:val="fr-FR" w:eastAsia="zh-CN"/>
              </w:rPr>
              <w:t>–</w:t>
            </w:r>
            <w:r w:rsidR="005B57F5" w:rsidRPr="001D5AE1">
              <w:rPr>
                <w:sz w:val="18"/>
                <w:szCs w:val="18"/>
                <w:lang w:val="fr-FR" w:eastAsia="zh-CN"/>
              </w:rPr>
              <w:t> </w:t>
            </w:r>
            <w:r w:rsidRPr="001D5AE1">
              <w:rPr>
                <w:sz w:val="18"/>
                <w:szCs w:val="18"/>
                <w:lang w:val="fr-FR" w:eastAsia="zh-CN"/>
              </w:rPr>
              <w:t>Donner suite à la demande exprimée par l</w:t>
            </w:r>
            <w:r w:rsidR="00577D76" w:rsidRPr="001D5AE1">
              <w:rPr>
                <w:sz w:val="18"/>
                <w:szCs w:val="18"/>
                <w:lang w:val="fr-FR" w:eastAsia="zh-CN"/>
              </w:rPr>
              <w:t>’</w:t>
            </w:r>
            <w:r w:rsidRPr="001D5AE1">
              <w:rPr>
                <w:sz w:val="18"/>
                <w:szCs w:val="18"/>
                <w:lang w:val="fr-FR" w:eastAsia="zh-CN"/>
              </w:rPr>
              <w:t>Assemblée de la COI à sa 30</w:t>
            </w:r>
            <w:r w:rsidRPr="001D5AE1">
              <w:rPr>
                <w:sz w:val="18"/>
                <w:szCs w:val="18"/>
                <w:vertAlign w:val="superscript"/>
                <w:lang w:val="fr-FR" w:eastAsia="zh-CN"/>
              </w:rPr>
              <w:t>e</w:t>
            </w:r>
            <w:r w:rsidRPr="001D5AE1">
              <w:rPr>
                <w:sz w:val="18"/>
                <w:szCs w:val="18"/>
                <w:lang w:val="fr-FR" w:eastAsia="zh-CN"/>
              </w:rPr>
              <w:t> session, en estimant les ressources nécessaires et en accélérant l</w:t>
            </w:r>
            <w:r w:rsidR="00577D76" w:rsidRPr="001D5AE1">
              <w:rPr>
                <w:sz w:val="18"/>
                <w:szCs w:val="18"/>
                <w:lang w:val="fr-FR" w:eastAsia="zh-CN"/>
              </w:rPr>
              <w:t>’</w:t>
            </w:r>
            <w:r w:rsidRPr="001D5AE1">
              <w:rPr>
                <w:sz w:val="18"/>
                <w:szCs w:val="18"/>
                <w:lang w:val="fr-FR" w:eastAsia="zh-CN"/>
              </w:rPr>
              <w:t>application des dispositions de l</w:t>
            </w:r>
            <w:r w:rsidR="00577D76" w:rsidRPr="001D5AE1">
              <w:rPr>
                <w:sz w:val="18"/>
                <w:szCs w:val="18"/>
                <w:lang w:val="fr-FR" w:eastAsia="zh-CN"/>
              </w:rPr>
              <w:t>’</w:t>
            </w:r>
            <w:r w:rsidRPr="001D5AE1">
              <w:rPr>
                <w:sz w:val="18"/>
                <w:szCs w:val="18"/>
                <w:lang w:val="fr-FR" w:eastAsia="zh-CN"/>
              </w:rPr>
              <w:t>article 10.4 des Statuts de la Commission de façon à optimiser le fonctionnement de la</w:t>
            </w:r>
            <w:r w:rsidR="005B57F5" w:rsidRPr="001D5AE1">
              <w:rPr>
                <w:sz w:val="18"/>
                <w:szCs w:val="18"/>
                <w:lang w:val="fr-FR" w:eastAsia="zh-CN"/>
              </w:rPr>
              <w:t> </w:t>
            </w:r>
            <w:r w:rsidRPr="001D5AE1">
              <w:rPr>
                <w:sz w:val="18"/>
                <w:szCs w:val="18"/>
                <w:lang w:val="fr-FR" w:eastAsia="zh-CN"/>
              </w:rPr>
              <w:t>COI et à déterminer le cadre organisationnel le plus approprié au</w:t>
            </w:r>
            <w:r w:rsidR="005B57F5" w:rsidRPr="001D5AE1">
              <w:rPr>
                <w:sz w:val="18"/>
                <w:szCs w:val="18"/>
                <w:lang w:val="fr-FR" w:eastAsia="zh-CN"/>
              </w:rPr>
              <w:t> </w:t>
            </w:r>
            <w:r w:rsidRPr="001D5AE1">
              <w:rPr>
                <w:sz w:val="18"/>
                <w:szCs w:val="18"/>
                <w:lang w:val="fr-FR" w:eastAsia="zh-CN"/>
              </w:rPr>
              <w:t>regard du rôle mondial qui est envisagé pour la COI dans la gestion de l</w:t>
            </w:r>
            <w:r w:rsidR="00577D76" w:rsidRPr="001D5AE1">
              <w:rPr>
                <w:sz w:val="18"/>
                <w:szCs w:val="18"/>
                <w:lang w:val="fr-FR" w:eastAsia="zh-CN"/>
              </w:rPr>
              <w:t>’</w:t>
            </w:r>
            <w:r w:rsidRPr="001D5AE1">
              <w:rPr>
                <w:sz w:val="18"/>
                <w:szCs w:val="18"/>
                <w:lang w:val="fr-FR" w:eastAsia="zh-CN"/>
              </w:rPr>
              <w:t>océan sur des bases scientifiques, ainsi que de ses attributions de chef de file de la Décennie pour les sciences océaniques.</w:t>
            </w:r>
          </w:p>
        </w:tc>
        <w:tc>
          <w:tcPr>
            <w:tcW w:w="3827" w:type="dxa"/>
          </w:tcPr>
          <w:p w14:paraId="165D4805" w14:textId="40E37E46" w:rsidR="00F77863" w:rsidRPr="001D5AE1" w:rsidRDefault="00362839" w:rsidP="005B57F5">
            <w:pPr>
              <w:adjustRightInd w:val="0"/>
              <w:spacing w:before="120" w:after="120"/>
              <w:textAlignment w:val="baseline"/>
              <w:rPr>
                <w:sz w:val="18"/>
                <w:szCs w:val="18"/>
                <w:lang w:val="fr-FR"/>
              </w:rPr>
            </w:pPr>
            <w:r w:rsidRPr="001D5AE1">
              <w:rPr>
                <w:sz w:val="18"/>
                <w:szCs w:val="18"/>
                <w:lang w:val="fr-FR"/>
              </w:rPr>
              <w:t>1.1 Obtenir des conseils juridiques professionnels sur les incidences de l</w:t>
            </w:r>
            <w:r w:rsidR="00577D76" w:rsidRPr="001D5AE1">
              <w:rPr>
                <w:sz w:val="18"/>
                <w:szCs w:val="18"/>
                <w:lang w:val="fr-FR"/>
              </w:rPr>
              <w:t>’</w:t>
            </w:r>
            <w:r w:rsidRPr="001D5AE1">
              <w:rPr>
                <w:sz w:val="18"/>
                <w:szCs w:val="18"/>
                <w:lang w:val="fr-FR"/>
              </w:rPr>
              <w:t>application de l</w:t>
            </w:r>
            <w:r w:rsidR="00577D76" w:rsidRPr="001D5AE1">
              <w:rPr>
                <w:sz w:val="18"/>
                <w:szCs w:val="18"/>
                <w:lang w:val="fr-FR"/>
              </w:rPr>
              <w:t>’</w:t>
            </w:r>
            <w:r w:rsidRPr="001D5AE1">
              <w:rPr>
                <w:sz w:val="18"/>
                <w:szCs w:val="18"/>
                <w:lang w:val="fr-FR"/>
              </w:rPr>
              <w:t>article</w:t>
            </w:r>
            <w:r w:rsidR="005B57F5" w:rsidRPr="001D5AE1">
              <w:rPr>
                <w:sz w:val="18"/>
                <w:szCs w:val="18"/>
                <w:lang w:val="fr-FR"/>
              </w:rPr>
              <w:t> </w:t>
            </w:r>
            <w:r w:rsidRPr="001D5AE1">
              <w:rPr>
                <w:sz w:val="18"/>
                <w:szCs w:val="18"/>
                <w:lang w:val="fr-FR"/>
              </w:rPr>
              <w:t xml:space="preserve">10.4 des </w:t>
            </w:r>
            <w:r w:rsidR="00C13813" w:rsidRPr="001D5AE1">
              <w:rPr>
                <w:sz w:val="18"/>
                <w:szCs w:val="18"/>
                <w:lang w:val="fr-FR"/>
              </w:rPr>
              <w:t>S</w:t>
            </w:r>
            <w:r w:rsidRPr="001D5AE1">
              <w:rPr>
                <w:sz w:val="18"/>
                <w:szCs w:val="18"/>
                <w:lang w:val="fr-FR"/>
              </w:rPr>
              <w:t>tatuts de la</w:t>
            </w:r>
            <w:r w:rsidR="005B57F5" w:rsidRPr="001D5AE1">
              <w:rPr>
                <w:sz w:val="18"/>
                <w:szCs w:val="18"/>
                <w:lang w:val="fr-FR"/>
              </w:rPr>
              <w:t> </w:t>
            </w:r>
            <w:r w:rsidRPr="001D5AE1">
              <w:rPr>
                <w:sz w:val="18"/>
                <w:szCs w:val="18"/>
                <w:lang w:val="fr-FR"/>
              </w:rPr>
              <w:t>COI pour mobiliser des fonds supplémentaires en faveur de la Commission afin d</w:t>
            </w:r>
            <w:r w:rsidR="00577D76" w:rsidRPr="001D5AE1">
              <w:rPr>
                <w:sz w:val="18"/>
                <w:szCs w:val="18"/>
                <w:lang w:val="fr-FR"/>
              </w:rPr>
              <w:t>’</w:t>
            </w:r>
            <w:r w:rsidRPr="001D5AE1">
              <w:rPr>
                <w:sz w:val="18"/>
                <w:szCs w:val="18"/>
                <w:lang w:val="fr-FR"/>
              </w:rPr>
              <w:t>assurer la mise en œuvre efficace et continue de ses programmes mondiaux et régionaux, y compris la Décennie de l</w:t>
            </w:r>
            <w:r w:rsidR="00577D76" w:rsidRPr="001D5AE1">
              <w:rPr>
                <w:sz w:val="18"/>
                <w:szCs w:val="18"/>
                <w:lang w:val="fr-FR"/>
              </w:rPr>
              <w:t>’</w:t>
            </w:r>
            <w:r w:rsidRPr="001D5AE1">
              <w:rPr>
                <w:sz w:val="18"/>
                <w:szCs w:val="18"/>
                <w:lang w:val="fr-FR"/>
              </w:rPr>
              <w:t>Océan</w:t>
            </w:r>
            <w:r w:rsidR="000E7B9D" w:rsidRPr="001D5AE1">
              <w:rPr>
                <w:sz w:val="18"/>
                <w:szCs w:val="18"/>
                <w:lang w:val="fr-FR"/>
              </w:rPr>
              <w:t> ;</w:t>
            </w:r>
          </w:p>
        </w:tc>
        <w:tc>
          <w:tcPr>
            <w:tcW w:w="3544" w:type="dxa"/>
          </w:tcPr>
          <w:p w14:paraId="13A0972D" w14:textId="26CE25D4" w:rsidR="00F77863" w:rsidRPr="00514137" w:rsidRDefault="00362839" w:rsidP="005B57F5">
            <w:pPr>
              <w:adjustRightInd w:val="0"/>
              <w:spacing w:before="120" w:after="120"/>
              <w:textAlignment w:val="baseline"/>
              <w:rPr>
                <w:spacing w:val="-3"/>
                <w:sz w:val="18"/>
                <w:szCs w:val="18"/>
                <w:lang w:val="fr-FR"/>
              </w:rPr>
            </w:pPr>
            <w:r w:rsidRPr="00514137">
              <w:rPr>
                <w:spacing w:val="-3"/>
                <w:sz w:val="18"/>
                <w:szCs w:val="18"/>
                <w:lang w:val="fr-FR"/>
              </w:rPr>
              <w:t>L</w:t>
            </w:r>
            <w:r w:rsidRPr="005A4AC1">
              <w:rPr>
                <w:spacing w:val="-3"/>
                <w:sz w:val="18"/>
                <w:szCs w:val="18"/>
                <w:lang w:val="fr-FR"/>
              </w:rPr>
              <w:t xml:space="preserve">a </w:t>
            </w:r>
            <w:r w:rsidR="005A4AC1" w:rsidRPr="005A4AC1">
              <w:rPr>
                <w:spacing w:val="-3"/>
                <w:sz w:val="18"/>
                <w:szCs w:val="18"/>
                <w:lang w:val="fr-FR"/>
              </w:rPr>
              <w:t>L</w:t>
            </w:r>
            <w:r w:rsidRPr="005A4AC1">
              <w:rPr>
                <w:spacing w:val="-3"/>
                <w:sz w:val="18"/>
                <w:szCs w:val="18"/>
                <w:lang w:val="fr-FR"/>
              </w:rPr>
              <w:t xml:space="preserve">ettre circulaire n°2912 a permis de mettre en œuvre la décision </w:t>
            </w:r>
            <w:r w:rsidR="00055014" w:rsidRPr="005A4AC1">
              <w:rPr>
                <w:spacing w:val="-3"/>
                <w:sz w:val="18"/>
                <w:szCs w:val="18"/>
                <w:lang w:val="fr-FR"/>
              </w:rPr>
              <w:t>du</w:t>
            </w:r>
            <w:r w:rsidRPr="005A4AC1">
              <w:rPr>
                <w:spacing w:val="-3"/>
                <w:sz w:val="18"/>
                <w:szCs w:val="18"/>
                <w:lang w:val="fr-FR"/>
              </w:rPr>
              <w:t xml:space="preserve"> Conseil exécutif </w:t>
            </w:r>
            <w:r w:rsidR="00055014" w:rsidRPr="005A4AC1">
              <w:rPr>
                <w:spacing w:val="-3"/>
                <w:sz w:val="18"/>
                <w:szCs w:val="18"/>
                <w:lang w:val="fr-FR"/>
              </w:rPr>
              <w:t xml:space="preserve">de la COI </w:t>
            </w:r>
            <w:r w:rsidRPr="005A4AC1">
              <w:rPr>
                <w:spacing w:val="-3"/>
                <w:sz w:val="18"/>
                <w:szCs w:val="18"/>
                <w:lang w:val="fr-FR"/>
              </w:rPr>
              <w:t>à sa 55</w:t>
            </w:r>
            <w:r w:rsidRPr="005A4AC1">
              <w:rPr>
                <w:spacing w:val="-3"/>
                <w:sz w:val="18"/>
                <w:szCs w:val="18"/>
                <w:vertAlign w:val="superscript"/>
                <w:lang w:val="fr-FR"/>
              </w:rPr>
              <w:t>e</w:t>
            </w:r>
            <w:r w:rsidR="005B57F5" w:rsidRPr="005A4AC1">
              <w:rPr>
                <w:spacing w:val="-3"/>
                <w:sz w:val="18"/>
                <w:szCs w:val="18"/>
                <w:lang w:val="fr-FR"/>
              </w:rPr>
              <w:t> </w:t>
            </w:r>
            <w:r w:rsidRPr="005A4AC1">
              <w:rPr>
                <w:spacing w:val="-3"/>
                <w:sz w:val="18"/>
                <w:szCs w:val="18"/>
                <w:lang w:val="fr-FR"/>
              </w:rPr>
              <w:t>session</w:t>
            </w:r>
            <w:r w:rsidR="00514137" w:rsidRPr="005A4AC1">
              <w:rPr>
                <w:spacing w:val="-3"/>
                <w:sz w:val="18"/>
                <w:szCs w:val="18"/>
                <w:lang w:val="fr-FR"/>
              </w:rPr>
              <w:t>,</w:t>
            </w:r>
            <w:r w:rsidRPr="005A4AC1">
              <w:rPr>
                <w:spacing w:val="-3"/>
                <w:sz w:val="18"/>
                <w:szCs w:val="18"/>
                <w:lang w:val="fr-FR"/>
              </w:rPr>
              <w:t xml:space="preserve"> dans laquelle il prie le Sec</w:t>
            </w:r>
            <w:r w:rsidRPr="00514137">
              <w:rPr>
                <w:spacing w:val="-3"/>
                <w:sz w:val="18"/>
                <w:szCs w:val="18"/>
                <w:lang w:val="fr-FR"/>
              </w:rPr>
              <w:t>rétaire exécutif d</w:t>
            </w:r>
            <w:r w:rsidR="00577D76" w:rsidRPr="00514137">
              <w:rPr>
                <w:spacing w:val="-3"/>
                <w:sz w:val="18"/>
                <w:szCs w:val="18"/>
                <w:lang w:val="fr-FR"/>
              </w:rPr>
              <w:t>’</w:t>
            </w:r>
            <w:r w:rsidRPr="00514137">
              <w:rPr>
                <w:spacing w:val="-3"/>
                <w:sz w:val="18"/>
                <w:szCs w:val="18"/>
                <w:lang w:val="fr-FR"/>
              </w:rPr>
              <w:t>élaborer « une estimation du budget nécessaire, y compris des besoins en ressources humaines, pour exécuter dans la durée les programmes fondamentaux de la COI et développer les activités de la Commission en réponse au nombre croissant de demandes des États membres et d</w:t>
            </w:r>
            <w:r w:rsidR="00577D76" w:rsidRPr="00514137">
              <w:rPr>
                <w:spacing w:val="-3"/>
                <w:sz w:val="18"/>
                <w:szCs w:val="18"/>
                <w:lang w:val="fr-FR"/>
              </w:rPr>
              <w:t>’</w:t>
            </w:r>
            <w:r w:rsidRPr="00514137">
              <w:rPr>
                <w:spacing w:val="-3"/>
                <w:sz w:val="18"/>
                <w:szCs w:val="18"/>
                <w:lang w:val="fr-FR"/>
              </w:rPr>
              <w:t>autres parties prenantes » (voir résolution</w:t>
            </w:r>
            <w:r w:rsidR="002E1318" w:rsidRPr="00514137">
              <w:rPr>
                <w:spacing w:val="-3"/>
                <w:sz w:val="18"/>
                <w:szCs w:val="18"/>
                <w:lang w:val="fr-FR"/>
              </w:rPr>
              <w:t>s</w:t>
            </w:r>
            <w:r w:rsidRPr="00514137">
              <w:rPr>
                <w:spacing w:val="-3"/>
                <w:sz w:val="18"/>
                <w:szCs w:val="18"/>
                <w:lang w:val="fr-FR"/>
              </w:rPr>
              <w:t xml:space="preserve"> IOC-XXX-3 et EC-55/2</w:t>
            </w:r>
            <w:r w:rsidR="00055014" w:rsidRPr="00514137">
              <w:rPr>
                <w:spacing w:val="-3"/>
                <w:sz w:val="18"/>
                <w:szCs w:val="18"/>
                <w:lang w:val="fr-FR"/>
              </w:rPr>
              <w:t>)</w:t>
            </w:r>
            <w:r w:rsidRPr="00514137">
              <w:rPr>
                <w:spacing w:val="-3"/>
                <w:sz w:val="18"/>
                <w:szCs w:val="18"/>
                <w:lang w:val="fr-FR"/>
              </w:rPr>
              <w:t>. Compte tenu de sa portée stratégique et de son ambition à moyen et long terme</w:t>
            </w:r>
            <w:r w:rsidR="00514137" w:rsidRPr="00514137">
              <w:rPr>
                <w:spacing w:val="-3"/>
                <w:sz w:val="18"/>
                <w:szCs w:val="18"/>
                <w:lang w:val="fr-FR"/>
              </w:rPr>
              <w:t>s</w:t>
            </w:r>
            <w:r w:rsidRPr="00514137">
              <w:rPr>
                <w:spacing w:val="-3"/>
                <w:sz w:val="18"/>
                <w:szCs w:val="18"/>
                <w:lang w:val="fr-FR"/>
              </w:rPr>
              <w:t>, la proposition doit être examiné</w:t>
            </w:r>
            <w:r w:rsidR="002E1318" w:rsidRPr="00514137">
              <w:rPr>
                <w:spacing w:val="-3"/>
                <w:sz w:val="18"/>
                <w:szCs w:val="18"/>
                <w:lang w:val="fr-FR"/>
              </w:rPr>
              <w:t>e</w:t>
            </w:r>
            <w:r w:rsidRPr="00514137">
              <w:rPr>
                <w:spacing w:val="-3"/>
                <w:sz w:val="18"/>
                <w:szCs w:val="18"/>
                <w:lang w:val="fr-FR"/>
              </w:rPr>
              <w:t xml:space="preserve"> plus avant par les États membres et est donc inscrite à l</w:t>
            </w:r>
            <w:r w:rsidR="00577D76" w:rsidRPr="00514137">
              <w:rPr>
                <w:spacing w:val="-3"/>
                <w:sz w:val="18"/>
                <w:szCs w:val="18"/>
                <w:lang w:val="fr-FR"/>
              </w:rPr>
              <w:t>’</w:t>
            </w:r>
            <w:r w:rsidRPr="00514137">
              <w:rPr>
                <w:spacing w:val="-3"/>
                <w:sz w:val="18"/>
                <w:szCs w:val="18"/>
                <w:lang w:val="fr-FR"/>
              </w:rPr>
              <w:t>ordre du jour en tant que point distinct 5 –</w:t>
            </w:r>
            <w:r w:rsidR="005B57F5" w:rsidRPr="00514137">
              <w:rPr>
                <w:spacing w:val="-3"/>
                <w:sz w:val="18"/>
                <w:szCs w:val="18"/>
                <w:lang w:val="fr-FR"/>
              </w:rPr>
              <w:t> </w:t>
            </w:r>
            <w:r w:rsidRPr="00514137">
              <w:rPr>
                <w:spacing w:val="-3"/>
                <w:sz w:val="18"/>
                <w:szCs w:val="18"/>
                <w:lang w:val="fr-FR"/>
              </w:rPr>
              <w:t>« La COI et l</w:t>
            </w:r>
            <w:r w:rsidR="00577D76" w:rsidRPr="00514137">
              <w:rPr>
                <w:spacing w:val="-3"/>
                <w:sz w:val="18"/>
                <w:szCs w:val="18"/>
                <w:lang w:val="fr-FR"/>
              </w:rPr>
              <w:t>’</w:t>
            </w:r>
            <w:r w:rsidRPr="00514137">
              <w:rPr>
                <w:spacing w:val="-3"/>
                <w:sz w:val="18"/>
                <w:szCs w:val="18"/>
                <w:lang w:val="fr-FR"/>
              </w:rPr>
              <w:t>avenir de l</w:t>
            </w:r>
            <w:r w:rsidR="00577D76" w:rsidRPr="00514137">
              <w:rPr>
                <w:spacing w:val="-3"/>
                <w:sz w:val="18"/>
                <w:szCs w:val="18"/>
                <w:lang w:val="fr-FR"/>
              </w:rPr>
              <w:t>’</w:t>
            </w:r>
            <w:r w:rsidRPr="00514137">
              <w:rPr>
                <w:spacing w:val="-3"/>
                <w:sz w:val="18"/>
                <w:szCs w:val="18"/>
                <w:lang w:val="fr-FR"/>
              </w:rPr>
              <w:t>océan »</w:t>
            </w:r>
          </w:p>
        </w:tc>
        <w:tc>
          <w:tcPr>
            <w:tcW w:w="1781" w:type="dxa"/>
          </w:tcPr>
          <w:p w14:paraId="12D44509" w14:textId="1C0E9E1A" w:rsidR="00F77863" w:rsidRPr="001D5AE1" w:rsidRDefault="00055014" w:rsidP="005B57F5">
            <w:pPr>
              <w:adjustRightInd w:val="0"/>
              <w:spacing w:before="120" w:after="120"/>
              <w:textAlignment w:val="baseline"/>
              <w:rPr>
                <w:sz w:val="18"/>
                <w:szCs w:val="18"/>
                <w:lang w:val="fr-FR"/>
              </w:rPr>
            </w:pPr>
            <w:r w:rsidRPr="001D5AE1">
              <w:rPr>
                <w:sz w:val="18"/>
                <w:szCs w:val="18"/>
                <w:lang w:val="fr-FR"/>
              </w:rPr>
              <w:t>Secrétaire exécutif de la COI, en consultation avec BSP et LA</w:t>
            </w:r>
          </w:p>
        </w:tc>
        <w:tc>
          <w:tcPr>
            <w:tcW w:w="2126" w:type="dxa"/>
          </w:tcPr>
          <w:p w14:paraId="746919C5" w14:textId="278AFC3E" w:rsidR="00F77863" w:rsidRPr="001D5AE1" w:rsidRDefault="00055014"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 –</w:t>
            </w:r>
            <w:r w:rsidR="005B57F5" w:rsidRPr="001D5AE1">
              <w:rPr>
                <w:sz w:val="18"/>
                <w:szCs w:val="18"/>
                <w:lang w:val="fr-FR"/>
              </w:rPr>
              <w:t> </w:t>
            </w:r>
            <w:r w:rsidRPr="001D5AE1">
              <w:rPr>
                <w:sz w:val="18"/>
                <w:szCs w:val="18"/>
                <w:lang w:val="fr-FR"/>
              </w:rPr>
              <w:t>document pour la 57</w:t>
            </w:r>
            <w:r w:rsidRPr="001D5AE1">
              <w:rPr>
                <w:sz w:val="18"/>
                <w:szCs w:val="18"/>
                <w:vertAlign w:val="superscript"/>
                <w:lang w:val="fr-FR"/>
              </w:rPr>
              <w:t>e</w:t>
            </w:r>
            <w:r w:rsidR="005B57F5" w:rsidRPr="001D5AE1">
              <w:rPr>
                <w:sz w:val="18"/>
                <w:szCs w:val="18"/>
                <w:lang w:val="fr-FR"/>
              </w:rPr>
              <w:t> </w:t>
            </w:r>
            <w:r w:rsidRPr="001D5AE1">
              <w:rPr>
                <w:sz w:val="18"/>
                <w:szCs w:val="18"/>
                <w:lang w:val="fr-FR"/>
              </w:rPr>
              <w:t>session du Conseil exécutif de la COI</w:t>
            </w:r>
          </w:p>
        </w:tc>
      </w:tr>
      <w:tr w:rsidR="00727867" w:rsidRPr="001D5AE1" w14:paraId="5CC96D8A" w14:textId="77777777" w:rsidTr="00262A6A">
        <w:tc>
          <w:tcPr>
            <w:tcW w:w="3114" w:type="dxa"/>
          </w:tcPr>
          <w:p w14:paraId="6F3FFEB5"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051B4D89" w14:textId="09FD613D" w:rsidR="00F77863" w:rsidRPr="001D5AE1" w:rsidRDefault="00055014" w:rsidP="005B57F5">
            <w:pPr>
              <w:adjustRightInd w:val="0"/>
              <w:spacing w:before="120" w:after="120"/>
              <w:textAlignment w:val="baseline"/>
              <w:rPr>
                <w:sz w:val="18"/>
                <w:szCs w:val="18"/>
                <w:lang w:val="fr-FR"/>
              </w:rPr>
            </w:pPr>
            <w:r w:rsidRPr="001D5AE1">
              <w:rPr>
                <w:sz w:val="18"/>
                <w:szCs w:val="18"/>
                <w:lang w:val="fr-FR"/>
              </w:rPr>
              <w:t xml:space="preserve">1.2 </w:t>
            </w:r>
            <w:r w:rsidR="00727867" w:rsidRPr="001D5AE1">
              <w:rPr>
                <w:sz w:val="18"/>
                <w:szCs w:val="18"/>
                <w:lang w:val="fr-FR"/>
              </w:rPr>
              <w:t>En coopération avec le Bureau de la</w:t>
            </w:r>
            <w:r w:rsidR="00A9065E">
              <w:rPr>
                <w:sz w:val="18"/>
                <w:szCs w:val="18"/>
                <w:lang w:val="fr-FR"/>
              </w:rPr>
              <w:t> </w:t>
            </w:r>
            <w:r w:rsidR="00727867" w:rsidRPr="001D5AE1">
              <w:rPr>
                <w:sz w:val="18"/>
                <w:szCs w:val="18"/>
                <w:lang w:val="fr-FR"/>
              </w:rPr>
              <w:t>planification stratégique (BSP) de l</w:t>
            </w:r>
            <w:r w:rsidR="00577D76" w:rsidRPr="001D5AE1">
              <w:rPr>
                <w:sz w:val="18"/>
                <w:szCs w:val="18"/>
                <w:lang w:val="fr-FR"/>
              </w:rPr>
              <w:t>’</w:t>
            </w:r>
            <w:r w:rsidR="00727867" w:rsidRPr="001D5AE1">
              <w:rPr>
                <w:sz w:val="18"/>
                <w:szCs w:val="18"/>
                <w:lang w:val="fr-FR"/>
              </w:rPr>
              <w:t>UNESCO, mettre en place un dialogue structuré sur le financement en vue d</w:t>
            </w:r>
            <w:r w:rsidR="00577D76" w:rsidRPr="001D5AE1">
              <w:rPr>
                <w:sz w:val="18"/>
                <w:szCs w:val="18"/>
                <w:lang w:val="fr-FR"/>
              </w:rPr>
              <w:t>’</w:t>
            </w:r>
            <w:r w:rsidR="00727867" w:rsidRPr="001D5AE1">
              <w:rPr>
                <w:sz w:val="18"/>
                <w:szCs w:val="18"/>
                <w:lang w:val="fr-FR"/>
              </w:rPr>
              <w:t>attirer de nouveaux donateurs ; pour y parvenir, former un petit groupe d</w:t>
            </w:r>
            <w:r w:rsidR="00577D76" w:rsidRPr="001D5AE1">
              <w:rPr>
                <w:sz w:val="18"/>
                <w:szCs w:val="18"/>
                <w:lang w:val="fr-FR"/>
              </w:rPr>
              <w:t>’</w:t>
            </w:r>
            <w:r w:rsidR="00727867" w:rsidRPr="001D5AE1">
              <w:rPr>
                <w:sz w:val="18"/>
                <w:szCs w:val="18"/>
                <w:lang w:val="fr-FR"/>
              </w:rPr>
              <w:t>États membres, peut</w:t>
            </w:r>
            <w:r w:rsidR="00A9065E">
              <w:rPr>
                <w:sz w:val="18"/>
                <w:szCs w:val="18"/>
                <w:lang w:val="fr-FR"/>
              </w:rPr>
              <w:noBreakHyphen/>
            </w:r>
            <w:r w:rsidR="00727867" w:rsidRPr="001D5AE1">
              <w:rPr>
                <w:sz w:val="18"/>
                <w:szCs w:val="18"/>
                <w:lang w:val="fr-FR"/>
              </w:rPr>
              <w:t>être les principaux contributeurs actuels, qui pourraient servir d</w:t>
            </w:r>
            <w:r w:rsidR="00577D76" w:rsidRPr="001D5AE1">
              <w:rPr>
                <w:sz w:val="18"/>
                <w:szCs w:val="18"/>
                <w:lang w:val="fr-FR"/>
              </w:rPr>
              <w:t>’</w:t>
            </w:r>
            <w:r w:rsidR="00727867" w:rsidRPr="001D5AE1">
              <w:rPr>
                <w:sz w:val="18"/>
                <w:szCs w:val="18"/>
                <w:lang w:val="fr-FR"/>
              </w:rPr>
              <w:t>agents de plaidoyer et mener des discussions avec leurs homologues sur la mobilisation de ressources et l</w:t>
            </w:r>
            <w:r w:rsidR="00577D76" w:rsidRPr="001D5AE1">
              <w:rPr>
                <w:sz w:val="18"/>
                <w:szCs w:val="18"/>
                <w:lang w:val="fr-FR"/>
              </w:rPr>
              <w:t>’</w:t>
            </w:r>
            <w:r w:rsidR="00727867" w:rsidRPr="001D5AE1">
              <w:rPr>
                <w:sz w:val="18"/>
                <w:szCs w:val="18"/>
                <w:lang w:val="fr-FR"/>
              </w:rPr>
              <w:t>engagement</w:t>
            </w:r>
            <w:r w:rsidR="002E1318" w:rsidRPr="001D5AE1">
              <w:rPr>
                <w:sz w:val="18"/>
                <w:szCs w:val="18"/>
                <w:lang w:val="fr-FR"/>
              </w:rPr>
              <w:t> ;</w:t>
            </w:r>
          </w:p>
        </w:tc>
        <w:tc>
          <w:tcPr>
            <w:tcW w:w="3544" w:type="dxa"/>
          </w:tcPr>
          <w:p w14:paraId="037A23EA" w14:textId="77777777" w:rsidR="00F77863" w:rsidRPr="001D5AE1" w:rsidRDefault="00F77863" w:rsidP="005B57F5">
            <w:pPr>
              <w:adjustRightInd w:val="0"/>
              <w:spacing w:before="120" w:after="120"/>
              <w:textAlignment w:val="baseline"/>
              <w:rPr>
                <w:sz w:val="18"/>
                <w:szCs w:val="18"/>
                <w:lang w:val="fr-FR"/>
              </w:rPr>
            </w:pPr>
          </w:p>
        </w:tc>
        <w:tc>
          <w:tcPr>
            <w:tcW w:w="1781" w:type="dxa"/>
          </w:tcPr>
          <w:p w14:paraId="7FC082BF" w14:textId="56E45B05" w:rsidR="00F77863" w:rsidRPr="001D5AE1" w:rsidRDefault="00727867" w:rsidP="005B57F5">
            <w:pPr>
              <w:adjustRightInd w:val="0"/>
              <w:spacing w:before="120" w:after="120"/>
              <w:textAlignment w:val="baseline"/>
              <w:rPr>
                <w:sz w:val="18"/>
                <w:szCs w:val="18"/>
                <w:lang w:val="fr-FR"/>
              </w:rPr>
            </w:pPr>
            <w:r w:rsidRPr="001D5AE1">
              <w:rPr>
                <w:sz w:val="18"/>
                <w:szCs w:val="18"/>
                <w:lang w:val="fr-FR"/>
              </w:rPr>
              <w:t>Secrétaire exécutif de la COI, en consultation avec BSP et le Bureau de la COI</w:t>
            </w:r>
          </w:p>
        </w:tc>
        <w:tc>
          <w:tcPr>
            <w:tcW w:w="2126" w:type="dxa"/>
          </w:tcPr>
          <w:p w14:paraId="1764E92D" w14:textId="76B629EE" w:rsidR="00F77863" w:rsidRPr="001D5AE1" w:rsidRDefault="00727867" w:rsidP="005B57F5">
            <w:pPr>
              <w:adjustRightInd w:val="0"/>
              <w:spacing w:before="120" w:after="120"/>
              <w:textAlignment w:val="baseline"/>
              <w:rPr>
                <w:sz w:val="18"/>
                <w:szCs w:val="18"/>
                <w:lang w:val="fr-FR"/>
              </w:rPr>
            </w:pPr>
            <w:r w:rsidRPr="001D5AE1">
              <w:rPr>
                <w:sz w:val="18"/>
                <w:szCs w:val="18"/>
                <w:lang w:val="fr-FR"/>
              </w:rPr>
              <w:t>Courant 2024</w:t>
            </w:r>
          </w:p>
        </w:tc>
      </w:tr>
      <w:tr w:rsidR="00727867" w:rsidRPr="001D5AE1" w14:paraId="165B51D5" w14:textId="77777777" w:rsidTr="00262A6A">
        <w:tc>
          <w:tcPr>
            <w:tcW w:w="3114" w:type="dxa"/>
          </w:tcPr>
          <w:p w14:paraId="0C89C891"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1CE0079E" w14:textId="59E6BB76" w:rsidR="00F77863" w:rsidRPr="001D5AE1" w:rsidRDefault="00055014" w:rsidP="005B57F5">
            <w:pPr>
              <w:adjustRightInd w:val="0"/>
              <w:spacing w:before="120" w:after="120"/>
              <w:textAlignment w:val="baseline"/>
              <w:rPr>
                <w:sz w:val="18"/>
                <w:szCs w:val="18"/>
                <w:lang w:val="fr-FR"/>
              </w:rPr>
            </w:pPr>
            <w:r w:rsidRPr="001D5AE1">
              <w:rPr>
                <w:sz w:val="18"/>
                <w:szCs w:val="18"/>
                <w:lang w:val="fr-FR"/>
              </w:rPr>
              <w:t xml:space="preserve">1.3 </w:t>
            </w:r>
            <w:r w:rsidR="00727867" w:rsidRPr="001D5AE1">
              <w:rPr>
                <w:sz w:val="18"/>
                <w:szCs w:val="18"/>
                <w:lang w:val="fr-FR"/>
              </w:rPr>
              <w:t>Étudier les possibilités d</w:t>
            </w:r>
            <w:r w:rsidR="00577D76" w:rsidRPr="001D5AE1">
              <w:rPr>
                <w:sz w:val="18"/>
                <w:szCs w:val="18"/>
                <w:lang w:val="fr-FR"/>
              </w:rPr>
              <w:t>’</w:t>
            </w:r>
            <w:r w:rsidR="00727867" w:rsidRPr="001D5AE1">
              <w:rPr>
                <w:sz w:val="18"/>
                <w:szCs w:val="18"/>
                <w:lang w:val="fr-FR"/>
              </w:rPr>
              <w:t>organiser tous les quatre ans un forum de haut niveau sur la prise de décisions, éventuellement en liaison avec l</w:t>
            </w:r>
            <w:r w:rsidR="00577D76" w:rsidRPr="001D5AE1">
              <w:rPr>
                <w:sz w:val="18"/>
                <w:szCs w:val="18"/>
                <w:lang w:val="fr-FR"/>
              </w:rPr>
              <w:t>’</w:t>
            </w:r>
            <w:r w:rsidR="00727867" w:rsidRPr="001D5AE1">
              <w:rPr>
                <w:sz w:val="18"/>
                <w:szCs w:val="18"/>
                <w:lang w:val="fr-FR"/>
              </w:rPr>
              <w:t>Assemblée de la COI</w:t>
            </w:r>
            <w:r w:rsidR="002E1318" w:rsidRPr="001D5AE1">
              <w:rPr>
                <w:sz w:val="18"/>
                <w:szCs w:val="18"/>
                <w:lang w:val="fr-FR"/>
              </w:rPr>
              <w:t> ;</w:t>
            </w:r>
          </w:p>
        </w:tc>
        <w:tc>
          <w:tcPr>
            <w:tcW w:w="3544" w:type="dxa"/>
          </w:tcPr>
          <w:p w14:paraId="599100EE" w14:textId="77777777" w:rsidR="00F77863" w:rsidRPr="001D5AE1" w:rsidRDefault="00F77863" w:rsidP="005B57F5">
            <w:pPr>
              <w:adjustRightInd w:val="0"/>
              <w:spacing w:before="120" w:after="120"/>
              <w:textAlignment w:val="baseline"/>
              <w:rPr>
                <w:sz w:val="18"/>
                <w:szCs w:val="18"/>
                <w:lang w:val="fr-FR"/>
              </w:rPr>
            </w:pPr>
          </w:p>
        </w:tc>
        <w:tc>
          <w:tcPr>
            <w:tcW w:w="1781" w:type="dxa"/>
          </w:tcPr>
          <w:p w14:paraId="2ADD7DB5" w14:textId="7CC8CBB2" w:rsidR="00F77863" w:rsidRPr="001D5AE1" w:rsidRDefault="00727867" w:rsidP="005B57F5">
            <w:pPr>
              <w:adjustRightInd w:val="0"/>
              <w:spacing w:before="120" w:after="120"/>
              <w:textAlignment w:val="baseline"/>
              <w:rPr>
                <w:sz w:val="18"/>
                <w:szCs w:val="18"/>
                <w:lang w:val="fr-FR"/>
              </w:rPr>
            </w:pPr>
            <w:r w:rsidRPr="001D5AE1">
              <w:rPr>
                <w:sz w:val="18"/>
                <w:szCs w:val="18"/>
                <w:lang w:val="fr-FR"/>
              </w:rPr>
              <w:t xml:space="preserve">Secrétaire exécutif de la COI et coordonnateur de la Décennie </w:t>
            </w:r>
            <w:proofErr w:type="spellStart"/>
            <w:r w:rsidRPr="001D5AE1">
              <w:rPr>
                <w:sz w:val="18"/>
                <w:szCs w:val="18"/>
                <w:lang w:val="fr-FR"/>
              </w:rPr>
              <w:t>p.i</w:t>
            </w:r>
            <w:proofErr w:type="spellEnd"/>
            <w:r w:rsidRPr="001D5AE1">
              <w:rPr>
                <w:sz w:val="18"/>
                <w:szCs w:val="18"/>
                <w:lang w:val="fr-FR"/>
              </w:rPr>
              <w:t>.</w:t>
            </w:r>
          </w:p>
        </w:tc>
        <w:tc>
          <w:tcPr>
            <w:tcW w:w="2126" w:type="dxa"/>
          </w:tcPr>
          <w:p w14:paraId="0E2C5B07" w14:textId="77777777" w:rsidR="00F77863" w:rsidRPr="001D5AE1" w:rsidRDefault="00727867" w:rsidP="005B57F5">
            <w:pPr>
              <w:adjustRightInd w:val="0"/>
              <w:spacing w:before="120" w:after="120"/>
              <w:textAlignment w:val="baseline"/>
              <w:rPr>
                <w:sz w:val="18"/>
                <w:szCs w:val="18"/>
                <w:lang w:val="fr-FR"/>
              </w:rPr>
            </w:pPr>
            <w:r w:rsidRPr="001D5AE1">
              <w:rPr>
                <w:sz w:val="18"/>
                <w:szCs w:val="18"/>
                <w:lang w:val="fr-FR"/>
              </w:rPr>
              <w:t>1</w:t>
            </w:r>
            <w:r w:rsidRPr="001D5AE1">
              <w:rPr>
                <w:sz w:val="18"/>
                <w:szCs w:val="18"/>
                <w:vertAlign w:val="superscript"/>
                <w:lang w:val="fr-FR"/>
              </w:rPr>
              <w:t>er</w:t>
            </w:r>
            <w:r w:rsidRPr="001D5AE1">
              <w:rPr>
                <w:sz w:val="18"/>
                <w:szCs w:val="18"/>
                <w:lang w:val="fr-FR"/>
              </w:rPr>
              <w:t xml:space="preserve"> trimestre 2025</w:t>
            </w:r>
          </w:p>
        </w:tc>
      </w:tr>
      <w:tr w:rsidR="00727867" w:rsidRPr="001D5AE1" w14:paraId="48D9A1E5" w14:textId="77777777" w:rsidTr="00262A6A">
        <w:tc>
          <w:tcPr>
            <w:tcW w:w="3114" w:type="dxa"/>
          </w:tcPr>
          <w:p w14:paraId="41186743"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603E4416" w14:textId="6CC6B2A6" w:rsidR="00F77863" w:rsidRPr="001D5AE1" w:rsidRDefault="00055014" w:rsidP="005B57F5">
            <w:pPr>
              <w:adjustRightInd w:val="0"/>
              <w:spacing w:before="120" w:after="120"/>
              <w:textAlignment w:val="baseline"/>
              <w:rPr>
                <w:sz w:val="18"/>
                <w:szCs w:val="18"/>
                <w:lang w:val="fr-FR"/>
              </w:rPr>
            </w:pPr>
            <w:r w:rsidRPr="001D5AE1">
              <w:rPr>
                <w:sz w:val="18"/>
                <w:szCs w:val="18"/>
                <w:lang w:val="fr-FR"/>
              </w:rPr>
              <w:t xml:space="preserve">1.4 </w:t>
            </w:r>
            <w:r w:rsidR="00727867" w:rsidRPr="001D5AE1">
              <w:rPr>
                <w:sz w:val="18"/>
                <w:szCs w:val="18"/>
                <w:lang w:val="fr-FR"/>
              </w:rPr>
              <w:t>Produire un message stratégique autour d</w:t>
            </w:r>
            <w:r w:rsidR="00577D76" w:rsidRPr="001D5AE1">
              <w:rPr>
                <w:sz w:val="18"/>
                <w:szCs w:val="18"/>
                <w:lang w:val="fr-FR"/>
              </w:rPr>
              <w:t>’</w:t>
            </w:r>
            <w:r w:rsidR="00727867" w:rsidRPr="001D5AE1">
              <w:rPr>
                <w:sz w:val="18"/>
                <w:szCs w:val="18"/>
                <w:lang w:val="fr-FR"/>
              </w:rPr>
              <w:t>un cadre directeur à l</w:t>
            </w:r>
            <w:r w:rsidR="00577D76" w:rsidRPr="001D5AE1">
              <w:rPr>
                <w:sz w:val="18"/>
                <w:szCs w:val="18"/>
                <w:lang w:val="fr-FR"/>
              </w:rPr>
              <w:t>’</w:t>
            </w:r>
            <w:r w:rsidR="00727867" w:rsidRPr="001D5AE1">
              <w:rPr>
                <w:sz w:val="18"/>
                <w:szCs w:val="18"/>
                <w:lang w:val="fr-FR"/>
              </w:rPr>
              <w:t>échelle de la COI pour la planification et la gestion durables des océans et ancrer solidement ce cadre dans la Décennie de l</w:t>
            </w:r>
            <w:r w:rsidR="00577D76" w:rsidRPr="001D5AE1">
              <w:rPr>
                <w:sz w:val="18"/>
                <w:szCs w:val="18"/>
                <w:lang w:val="fr-FR"/>
              </w:rPr>
              <w:t>’</w:t>
            </w:r>
            <w:r w:rsidR="00727867" w:rsidRPr="001D5AE1">
              <w:rPr>
                <w:sz w:val="18"/>
                <w:szCs w:val="18"/>
                <w:lang w:val="fr-FR"/>
              </w:rPr>
              <w:t>Océan</w:t>
            </w:r>
            <w:r w:rsidR="00EC74F3">
              <w:rPr>
                <w:sz w:val="18"/>
                <w:szCs w:val="18"/>
                <w:lang w:val="fr-FR"/>
              </w:rPr>
              <w:t>.</w:t>
            </w:r>
          </w:p>
        </w:tc>
        <w:tc>
          <w:tcPr>
            <w:tcW w:w="3544" w:type="dxa"/>
          </w:tcPr>
          <w:p w14:paraId="4FC6FC86" w14:textId="49933FD8" w:rsidR="00F77863" w:rsidRPr="001D5AE1" w:rsidRDefault="003D6FD7" w:rsidP="005B57F5">
            <w:pPr>
              <w:adjustRightInd w:val="0"/>
              <w:spacing w:before="120" w:after="120"/>
              <w:textAlignment w:val="baseline"/>
              <w:rPr>
                <w:sz w:val="18"/>
                <w:szCs w:val="18"/>
                <w:lang w:val="fr-FR"/>
              </w:rPr>
            </w:pPr>
            <w:r w:rsidRPr="001D5AE1">
              <w:rPr>
                <w:sz w:val="18"/>
                <w:szCs w:val="18"/>
                <w:lang w:val="fr-FR"/>
              </w:rPr>
              <w:t xml:space="preserve">En cours. </w:t>
            </w:r>
            <w:r w:rsidR="00D63B73" w:rsidRPr="001D5AE1">
              <w:rPr>
                <w:sz w:val="18"/>
                <w:szCs w:val="18"/>
                <w:lang w:val="fr-FR"/>
              </w:rPr>
              <w:t>Des</w:t>
            </w:r>
            <w:r w:rsidR="00DD6D3E" w:rsidRPr="001D5AE1">
              <w:rPr>
                <w:sz w:val="18"/>
                <w:szCs w:val="18"/>
                <w:lang w:val="fr-FR"/>
              </w:rPr>
              <w:t xml:space="preserve"> fonds d</w:t>
            </w:r>
            <w:r w:rsidR="00577D76" w:rsidRPr="001D5AE1">
              <w:rPr>
                <w:sz w:val="18"/>
                <w:szCs w:val="18"/>
                <w:lang w:val="fr-FR"/>
              </w:rPr>
              <w:t>’</w:t>
            </w:r>
            <w:r w:rsidR="00DD6D3E" w:rsidRPr="001D5AE1">
              <w:rPr>
                <w:sz w:val="18"/>
                <w:szCs w:val="18"/>
                <w:lang w:val="fr-FR"/>
              </w:rPr>
              <w:t xml:space="preserve">amorçage </w:t>
            </w:r>
            <w:r w:rsidR="00D63B73" w:rsidRPr="001D5AE1">
              <w:rPr>
                <w:sz w:val="18"/>
                <w:szCs w:val="18"/>
                <w:lang w:val="fr-FR"/>
              </w:rPr>
              <w:t>ont été obtenus</w:t>
            </w:r>
            <w:r w:rsidR="0052708B" w:rsidRPr="001D5AE1">
              <w:rPr>
                <w:sz w:val="18"/>
                <w:szCs w:val="18"/>
                <w:lang w:val="fr-FR"/>
              </w:rPr>
              <w:t xml:space="preserve"> pour engager</w:t>
            </w:r>
            <w:r w:rsidR="00DD6D3E" w:rsidRPr="001D5AE1">
              <w:rPr>
                <w:sz w:val="18"/>
                <w:szCs w:val="18"/>
                <w:lang w:val="fr-FR"/>
              </w:rPr>
              <w:t xml:space="preserve"> une assistance technique afin d</w:t>
            </w:r>
            <w:r w:rsidR="00577D76" w:rsidRPr="001D5AE1">
              <w:rPr>
                <w:sz w:val="18"/>
                <w:szCs w:val="18"/>
                <w:lang w:val="fr-FR"/>
              </w:rPr>
              <w:t>’</w:t>
            </w:r>
            <w:r w:rsidR="00DD6D3E" w:rsidRPr="001D5AE1">
              <w:rPr>
                <w:sz w:val="18"/>
                <w:szCs w:val="18"/>
                <w:lang w:val="fr-FR"/>
              </w:rPr>
              <w:t>élaborer un cadre dans le contexte de la Décennie de l</w:t>
            </w:r>
            <w:r w:rsidR="00577D76" w:rsidRPr="001D5AE1">
              <w:rPr>
                <w:sz w:val="18"/>
                <w:szCs w:val="18"/>
                <w:lang w:val="fr-FR"/>
              </w:rPr>
              <w:t>’</w:t>
            </w:r>
            <w:r w:rsidR="00DD6D3E" w:rsidRPr="001D5AE1">
              <w:rPr>
                <w:sz w:val="18"/>
                <w:szCs w:val="18"/>
                <w:lang w:val="fr-FR"/>
              </w:rPr>
              <w:t>Océan.</w:t>
            </w:r>
          </w:p>
        </w:tc>
        <w:tc>
          <w:tcPr>
            <w:tcW w:w="1781" w:type="dxa"/>
          </w:tcPr>
          <w:p w14:paraId="1FD2762D" w14:textId="1AC40676" w:rsidR="00F77863" w:rsidRPr="001D5AE1" w:rsidRDefault="00DD6D3E" w:rsidP="005B57F5">
            <w:pPr>
              <w:adjustRightInd w:val="0"/>
              <w:spacing w:before="120" w:after="120"/>
              <w:textAlignment w:val="baseline"/>
              <w:rPr>
                <w:sz w:val="18"/>
                <w:szCs w:val="18"/>
                <w:lang w:val="fr-FR"/>
              </w:rPr>
            </w:pPr>
            <w:r w:rsidRPr="001D5AE1">
              <w:rPr>
                <w:sz w:val="18"/>
                <w:szCs w:val="18"/>
                <w:lang w:val="fr-FR"/>
              </w:rPr>
              <w:t xml:space="preserve">Secrétaire exécutif de la COI et coordonnateur de la Décennie </w:t>
            </w:r>
            <w:proofErr w:type="spellStart"/>
            <w:r w:rsidRPr="001D5AE1">
              <w:rPr>
                <w:sz w:val="18"/>
                <w:szCs w:val="18"/>
                <w:lang w:val="fr-FR"/>
              </w:rPr>
              <w:t>p.i</w:t>
            </w:r>
            <w:proofErr w:type="spellEnd"/>
            <w:r w:rsidRPr="001D5AE1">
              <w:rPr>
                <w:sz w:val="18"/>
                <w:szCs w:val="18"/>
                <w:lang w:val="fr-FR"/>
              </w:rPr>
              <w:t>.</w:t>
            </w:r>
          </w:p>
        </w:tc>
        <w:tc>
          <w:tcPr>
            <w:tcW w:w="2126" w:type="dxa"/>
          </w:tcPr>
          <w:p w14:paraId="680C597D" w14:textId="38234FEE" w:rsidR="00F77863" w:rsidRPr="001D5AE1" w:rsidRDefault="003D6FD7" w:rsidP="005B57F5">
            <w:pPr>
              <w:adjustRightInd w:val="0"/>
              <w:spacing w:before="120" w:after="120"/>
              <w:textAlignment w:val="baseline"/>
              <w:rPr>
                <w:sz w:val="18"/>
                <w:szCs w:val="18"/>
                <w:lang w:val="fr-FR"/>
              </w:rPr>
            </w:pPr>
            <w:r w:rsidRPr="001D5AE1">
              <w:rPr>
                <w:sz w:val="18"/>
                <w:szCs w:val="18"/>
                <w:lang w:val="fr-FR"/>
              </w:rPr>
              <w:t>Décembre 2023</w:t>
            </w:r>
          </w:p>
        </w:tc>
      </w:tr>
      <w:tr w:rsidR="00727867" w:rsidRPr="001D5AE1" w14:paraId="2A6BF620" w14:textId="77777777" w:rsidTr="00262A6A">
        <w:tc>
          <w:tcPr>
            <w:tcW w:w="3114" w:type="dxa"/>
          </w:tcPr>
          <w:p w14:paraId="7F209987" w14:textId="77777777" w:rsidR="009B6D6E" w:rsidRPr="001D5AE1" w:rsidRDefault="009B6D6E" w:rsidP="005B57F5">
            <w:pPr>
              <w:adjustRightInd w:val="0"/>
              <w:spacing w:before="120" w:after="120"/>
              <w:textAlignment w:val="baseline"/>
              <w:rPr>
                <w:b/>
                <w:bCs/>
                <w:sz w:val="18"/>
                <w:szCs w:val="18"/>
                <w:lang w:val="fr-FR"/>
              </w:rPr>
            </w:pPr>
            <w:r w:rsidRPr="001D5AE1">
              <w:rPr>
                <w:b/>
                <w:bCs/>
                <w:sz w:val="18"/>
                <w:szCs w:val="18"/>
                <w:lang w:val="fr-FR"/>
              </w:rPr>
              <w:t xml:space="preserve">Recommandation 2 : </w:t>
            </w:r>
          </w:p>
          <w:p w14:paraId="5D565C70" w14:textId="4DAF6EF2" w:rsidR="00F77863" w:rsidRPr="001D5AE1" w:rsidRDefault="009B6D6E" w:rsidP="005B57F5">
            <w:pPr>
              <w:adjustRightInd w:val="0"/>
              <w:spacing w:before="120" w:after="120"/>
              <w:textAlignment w:val="baseline"/>
              <w:rPr>
                <w:sz w:val="18"/>
                <w:szCs w:val="18"/>
                <w:lang w:val="fr-FR"/>
              </w:rPr>
            </w:pPr>
            <w:r w:rsidRPr="001D5AE1">
              <w:rPr>
                <w:sz w:val="18"/>
                <w:szCs w:val="18"/>
                <w:lang w:val="fr-FR"/>
              </w:rPr>
              <w:t>D</w:t>
            </w:r>
            <w:r w:rsidR="00577D76" w:rsidRPr="001D5AE1">
              <w:rPr>
                <w:sz w:val="18"/>
                <w:szCs w:val="18"/>
                <w:lang w:val="fr-FR"/>
              </w:rPr>
              <w:t>’</w:t>
            </w:r>
            <w:r w:rsidRPr="001D5AE1">
              <w:rPr>
                <w:sz w:val="18"/>
                <w:szCs w:val="18"/>
                <w:lang w:val="fr-FR"/>
              </w:rPr>
              <w:t>ici à juin 2022 – Élaborer, en partenariat avec d</w:t>
            </w:r>
            <w:r w:rsidR="00577D76" w:rsidRPr="001D5AE1">
              <w:rPr>
                <w:sz w:val="18"/>
                <w:szCs w:val="18"/>
                <w:lang w:val="fr-FR"/>
              </w:rPr>
              <w:t>’</w:t>
            </w:r>
            <w:r w:rsidRPr="001D5AE1">
              <w:rPr>
                <w:sz w:val="18"/>
                <w:szCs w:val="18"/>
                <w:lang w:val="fr-FR"/>
              </w:rPr>
              <w:t>autres entités, un cadre de résultats de la Décennie des Nations Unies pour les sciences océaniques au service du développement durable, en définissant clairement les objectifs, les objectifs intermédiaires, les indicateurs et les responsables au sein du système des Nations Unies et au-delà, aux fins du suivi et de l</w:t>
            </w:r>
            <w:r w:rsidR="00577D76" w:rsidRPr="001D5AE1">
              <w:rPr>
                <w:sz w:val="18"/>
                <w:szCs w:val="18"/>
                <w:lang w:val="fr-FR"/>
              </w:rPr>
              <w:t>’</w:t>
            </w:r>
            <w:r w:rsidRPr="001D5AE1">
              <w:rPr>
                <w:sz w:val="18"/>
                <w:szCs w:val="18"/>
                <w:lang w:val="fr-FR"/>
              </w:rPr>
              <w:t>évaluation des progrès accomplis par rapport aux objectifs de la Décennie.</w:t>
            </w:r>
          </w:p>
        </w:tc>
        <w:tc>
          <w:tcPr>
            <w:tcW w:w="3827" w:type="dxa"/>
          </w:tcPr>
          <w:p w14:paraId="55250CE1" w14:textId="2378D7C6" w:rsidR="00F77863" w:rsidRPr="001D5AE1" w:rsidRDefault="009A3A68" w:rsidP="005B57F5">
            <w:pPr>
              <w:adjustRightInd w:val="0"/>
              <w:spacing w:before="120" w:after="120"/>
              <w:textAlignment w:val="baseline"/>
              <w:rPr>
                <w:sz w:val="18"/>
                <w:szCs w:val="18"/>
                <w:lang w:val="fr-FR"/>
              </w:rPr>
            </w:pPr>
            <w:r w:rsidRPr="001D5AE1">
              <w:rPr>
                <w:sz w:val="18"/>
                <w:szCs w:val="18"/>
                <w:lang w:val="fr-FR"/>
              </w:rPr>
              <w:t>2.1 Commencer à déployer la première mouture du cadre de résultats pour la Décennie de l</w:t>
            </w:r>
            <w:r w:rsidR="00577D76" w:rsidRPr="001D5AE1">
              <w:rPr>
                <w:sz w:val="18"/>
                <w:szCs w:val="18"/>
                <w:lang w:val="fr-FR"/>
              </w:rPr>
              <w:t>’</w:t>
            </w:r>
            <w:r w:rsidRPr="001D5AE1">
              <w:rPr>
                <w:sz w:val="18"/>
                <w:szCs w:val="18"/>
                <w:lang w:val="fr-FR"/>
              </w:rPr>
              <w:t>Océan</w:t>
            </w:r>
            <w:r w:rsidR="00BB1793" w:rsidRPr="001D5AE1">
              <w:rPr>
                <w:sz w:val="18"/>
                <w:szCs w:val="18"/>
                <w:lang w:val="fr-FR"/>
              </w:rPr>
              <w:t xml:space="preserve"> d</w:t>
            </w:r>
            <w:r w:rsidR="00577D76" w:rsidRPr="001D5AE1">
              <w:rPr>
                <w:sz w:val="18"/>
                <w:szCs w:val="18"/>
                <w:lang w:val="fr-FR"/>
              </w:rPr>
              <w:t>’</w:t>
            </w:r>
            <w:r w:rsidR="00BB1793" w:rsidRPr="001D5AE1">
              <w:rPr>
                <w:sz w:val="18"/>
                <w:szCs w:val="18"/>
                <w:lang w:val="fr-FR"/>
              </w:rPr>
              <w:t xml:space="preserve">ici à mi-2022 au plus tard. </w:t>
            </w:r>
            <w:r w:rsidR="00D63B73" w:rsidRPr="001D5AE1">
              <w:rPr>
                <w:sz w:val="18"/>
                <w:szCs w:val="18"/>
                <w:lang w:val="fr-FR"/>
              </w:rPr>
              <w:t>L</w:t>
            </w:r>
            <w:r w:rsidR="00BB1793" w:rsidRPr="001D5AE1">
              <w:rPr>
                <w:sz w:val="18"/>
                <w:szCs w:val="18"/>
                <w:lang w:val="fr-FR"/>
              </w:rPr>
              <w:t>e cadre de résultats doit au moins comprendre des résultats, des résultats intermédiaires, des produits, des données de référence et des responsables indicatifs</w:t>
            </w:r>
            <w:r w:rsidR="00D63B73" w:rsidRPr="001D5AE1">
              <w:rPr>
                <w:sz w:val="18"/>
                <w:szCs w:val="18"/>
                <w:lang w:val="fr-FR"/>
              </w:rPr>
              <w:t> ;</w:t>
            </w:r>
          </w:p>
        </w:tc>
        <w:tc>
          <w:tcPr>
            <w:tcW w:w="3544" w:type="dxa"/>
          </w:tcPr>
          <w:p w14:paraId="096BE590" w14:textId="7B88E52C" w:rsidR="00F77863" w:rsidRPr="001D5AE1" w:rsidRDefault="00BB1793" w:rsidP="005B57F5">
            <w:pPr>
              <w:adjustRightInd w:val="0"/>
              <w:spacing w:before="120" w:after="120"/>
              <w:textAlignment w:val="baseline"/>
              <w:rPr>
                <w:sz w:val="18"/>
                <w:szCs w:val="18"/>
                <w:lang w:val="fr-FR"/>
              </w:rPr>
            </w:pPr>
            <w:r w:rsidRPr="001D5AE1">
              <w:rPr>
                <w:sz w:val="18"/>
                <w:szCs w:val="18"/>
                <w:lang w:val="fr-FR"/>
              </w:rPr>
              <w:t>Déploiement achevé en janvier 2023.</w:t>
            </w:r>
          </w:p>
        </w:tc>
        <w:tc>
          <w:tcPr>
            <w:tcW w:w="1781" w:type="dxa"/>
          </w:tcPr>
          <w:p w14:paraId="0B528647" w14:textId="57FAD999" w:rsidR="00F77863" w:rsidRPr="001D5AE1" w:rsidRDefault="00BB1793" w:rsidP="005B57F5">
            <w:pPr>
              <w:adjustRightInd w:val="0"/>
              <w:spacing w:before="120" w:after="120"/>
              <w:textAlignment w:val="baseline"/>
              <w:rPr>
                <w:sz w:val="18"/>
                <w:szCs w:val="18"/>
                <w:lang w:val="fr-FR"/>
              </w:rPr>
            </w:pPr>
            <w:r w:rsidRPr="001D5AE1">
              <w:rPr>
                <w:sz w:val="18"/>
                <w:szCs w:val="18"/>
                <w:lang w:val="fr-FR"/>
              </w:rPr>
              <w:t>Secrétaire exécutif de la COI et Unité de coordination de la Décennie</w:t>
            </w:r>
          </w:p>
        </w:tc>
        <w:tc>
          <w:tcPr>
            <w:tcW w:w="2126" w:type="dxa"/>
          </w:tcPr>
          <w:p w14:paraId="77F617C6" w14:textId="4DC1507B" w:rsidR="00F77863" w:rsidRPr="001D5AE1" w:rsidRDefault="00BB1793" w:rsidP="005B57F5">
            <w:pPr>
              <w:adjustRightInd w:val="0"/>
              <w:spacing w:before="120" w:after="120"/>
              <w:textAlignment w:val="baseline"/>
              <w:rPr>
                <w:sz w:val="18"/>
                <w:szCs w:val="18"/>
                <w:lang w:val="fr-FR"/>
              </w:rPr>
            </w:pPr>
            <w:r w:rsidRPr="001D5AE1">
              <w:rPr>
                <w:sz w:val="18"/>
                <w:szCs w:val="18"/>
                <w:lang w:val="fr-FR"/>
              </w:rPr>
              <w:t>Achevé</w:t>
            </w:r>
            <w:r w:rsidR="000A22A3" w:rsidRPr="001D5AE1">
              <w:rPr>
                <w:sz w:val="18"/>
                <w:szCs w:val="18"/>
                <w:lang w:val="fr-FR"/>
              </w:rPr>
              <w:t>e</w:t>
            </w:r>
            <w:r w:rsidRPr="001D5AE1">
              <w:rPr>
                <w:sz w:val="18"/>
                <w:szCs w:val="18"/>
                <w:lang w:val="fr-FR"/>
              </w:rPr>
              <w:t>, à considérer comme clôturé</w:t>
            </w:r>
            <w:r w:rsidR="000A22A3" w:rsidRPr="001D5AE1">
              <w:rPr>
                <w:sz w:val="18"/>
                <w:szCs w:val="18"/>
                <w:lang w:val="fr-FR"/>
              </w:rPr>
              <w:t>e</w:t>
            </w:r>
          </w:p>
        </w:tc>
      </w:tr>
      <w:tr w:rsidR="00727867" w:rsidRPr="001D5AE1" w14:paraId="56028CC9" w14:textId="77777777" w:rsidTr="00262A6A">
        <w:tc>
          <w:tcPr>
            <w:tcW w:w="3114" w:type="dxa"/>
          </w:tcPr>
          <w:p w14:paraId="554DCC1E"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249C7FE7" w14:textId="3B7A086A" w:rsidR="00F77863" w:rsidRPr="001D5AE1" w:rsidRDefault="009A3A68" w:rsidP="005B57F5">
            <w:pPr>
              <w:adjustRightInd w:val="0"/>
              <w:spacing w:before="120" w:after="120"/>
              <w:textAlignment w:val="baseline"/>
              <w:rPr>
                <w:sz w:val="18"/>
                <w:szCs w:val="18"/>
                <w:lang w:val="fr-FR"/>
              </w:rPr>
            </w:pPr>
            <w:r w:rsidRPr="001D5AE1">
              <w:rPr>
                <w:sz w:val="18"/>
                <w:szCs w:val="18"/>
                <w:lang w:val="fr-FR"/>
              </w:rPr>
              <w:t>2.2 Mettre en place un processus pour fixer collectivement, avec les partenaires d</w:t>
            </w:r>
            <w:r w:rsidR="00577D76" w:rsidRPr="001D5AE1">
              <w:rPr>
                <w:sz w:val="18"/>
                <w:szCs w:val="18"/>
                <w:lang w:val="fr-FR"/>
              </w:rPr>
              <w:t>’</w:t>
            </w:r>
            <w:r w:rsidRPr="001D5AE1">
              <w:rPr>
                <w:sz w:val="18"/>
                <w:szCs w:val="18"/>
                <w:lang w:val="fr-FR"/>
              </w:rPr>
              <w:t>ONU</w:t>
            </w:r>
            <w:r w:rsidR="007C0120">
              <w:rPr>
                <w:sz w:val="18"/>
                <w:szCs w:val="18"/>
                <w:lang w:val="fr-FR"/>
              </w:rPr>
              <w:noBreakHyphen/>
            </w:r>
            <w:r w:rsidRPr="001D5AE1">
              <w:rPr>
                <w:sz w:val="18"/>
                <w:szCs w:val="18"/>
                <w:lang w:val="fr-FR"/>
              </w:rPr>
              <w:t>Océans et toutes les parties prenantes concernées, des ambitions et des objectifs stratégiques pour les 10 défis de la</w:t>
            </w:r>
            <w:r w:rsidR="007C0120">
              <w:rPr>
                <w:sz w:val="18"/>
                <w:szCs w:val="18"/>
                <w:lang w:val="fr-FR"/>
              </w:rPr>
              <w:t> </w:t>
            </w:r>
            <w:r w:rsidRPr="001D5AE1">
              <w:rPr>
                <w:sz w:val="18"/>
                <w:szCs w:val="18"/>
                <w:lang w:val="fr-FR"/>
              </w:rPr>
              <w:t>Décennie de l</w:t>
            </w:r>
            <w:r w:rsidR="00577D76" w:rsidRPr="001D5AE1">
              <w:rPr>
                <w:sz w:val="18"/>
                <w:szCs w:val="18"/>
                <w:lang w:val="fr-FR"/>
              </w:rPr>
              <w:t>’</w:t>
            </w:r>
            <w:r w:rsidRPr="001D5AE1">
              <w:rPr>
                <w:sz w:val="18"/>
                <w:szCs w:val="18"/>
                <w:lang w:val="fr-FR"/>
              </w:rPr>
              <w:t>Océan et les intégrer progressivement au cadre de résultats de la</w:t>
            </w:r>
            <w:r w:rsidR="007C0120">
              <w:rPr>
                <w:sz w:val="18"/>
                <w:szCs w:val="18"/>
                <w:lang w:val="fr-FR"/>
              </w:rPr>
              <w:t> </w:t>
            </w:r>
            <w:r w:rsidRPr="001D5AE1">
              <w:rPr>
                <w:sz w:val="18"/>
                <w:szCs w:val="18"/>
                <w:lang w:val="fr-FR"/>
              </w:rPr>
              <w:t>Décennie</w:t>
            </w:r>
            <w:r w:rsidR="00D63B73" w:rsidRPr="001D5AE1">
              <w:rPr>
                <w:sz w:val="18"/>
                <w:szCs w:val="18"/>
                <w:lang w:val="fr-FR"/>
              </w:rPr>
              <w:t> ;</w:t>
            </w:r>
          </w:p>
        </w:tc>
        <w:tc>
          <w:tcPr>
            <w:tcW w:w="3544" w:type="dxa"/>
          </w:tcPr>
          <w:p w14:paraId="21B530F5" w14:textId="77777777" w:rsidR="00D63B73" w:rsidRPr="001D5AE1" w:rsidRDefault="00BD1021" w:rsidP="005B57F5">
            <w:pPr>
              <w:adjustRightInd w:val="0"/>
              <w:spacing w:before="120" w:after="120"/>
              <w:textAlignment w:val="baseline"/>
              <w:rPr>
                <w:sz w:val="18"/>
                <w:szCs w:val="18"/>
                <w:lang w:val="fr-FR"/>
              </w:rPr>
            </w:pPr>
            <w:r w:rsidRPr="001D5AE1">
              <w:rPr>
                <w:sz w:val="18"/>
                <w:szCs w:val="18"/>
                <w:lang w:val="fr-FR"/>
              </w:rPr>
              <w:t xml:space="preserve">En cours. </w:t>
            </w:r>
          </w:p>
          <w:p w14:paraId="22E39511" w14:textId="11F4DD94" w:rsidR="00F77863" w:rsidRPr="001D5AE1" w:rsidRDefault="00BD1021" w:rsidP="005B57F5">
            <w:pPr>
              <w:adjustRightInd w:val="0"/>
              <w:spacing w:before="120" w:after="120"/>
              <w:textAlignment w:val="baseline"/>
              <w:rPr>
                <w:sz w:val="18"/>
                <w:szCs w:val="18"/>
                <w:lang w:val="fr-FR"/>
              </w:rPr>
            </w:pPr>
            <w:r w:rsidRPr="001D5AE1">
              <w:rPr>
                <w:sz w:val="18"/>
                <w:szCs w:val="18"/>
                <w:lang w:val="fr-FR"/>
              </w:rPr>
              <w:t>Le processus Vision pour 2030 a été lancé en avril 2023. Les premiers résultats</w:t>
            </w:r>
            <w:r w:rsidR="00841466" w:rsidRPr="001D5AE1">
              <w:rPr>
                <w:sz w:val="18"/>
                <w:szCs w:val="18"/>
                <w:lang w:val="fr-FR"/>
              </w:rPr>
              <w:t xml:space="preserve"> sont attendus</w:t>
            </w:r>
            <w:r w:rsidR="00D63B73" w:rsidRPr="001D5AE1">
              <w:rPr>
                <w:sz w:val="18"/>
                <w:szCs w:val="18"/>
                <w:lang w:val="fr-FR"/>
              </w:rPr>
              <w:t xml:space="preserve"> en</w:t>
            </w:r>
            <w:r w:rsidR="00841466" w:rsidRPr="001D5AE1">
              <w:rPr>
                <w:sz w:val="18"/>
                <w:szCs w:val="18"/>
                <w:lang w:val="fr-FR"/>
              </w:rPr>
              <w:t xml:space="preserve"> septembre</w:t>
            </w:r>
            <w:r w:rsidR="007C03F5">
              <w:rPr>
                <w:sz w:val="18"/>
                <w:szCs w:val="18"/>
                <w:lang w:val="fr-FR"/>
              </w:rPr>
              <w:t> </w:t>
            </w:r>
            <w:r w:rsidR="00841466" w:rsidRPr="001D5AE1">
              <w:rPr>
                <w:sz w:val="18"/>
                <w:szCs w:val="18"/>
                <w:lang w:val="fr-FR"/>
              </w:rPr>
              <w:t>2023</w:t>
            </w:r>
            <w:r w:rsidRPr="001D5AE1">
              <w:rPr>
                <w:sz w:val="18"/>
                <w:szCs w:val="18"/>
                <w:lang w:val="fr-FR"/>
              </w:rPr>
              <w:t xml:space="preserve"> et les résultats définitifs devraient être présentés à l</w:t>
            </w:r>
            <w:r w:rsidR="00577D76" w:rsidRPr="001D5AE1">
              <w:rPr>
                <w:sz w:val="18"/>
                <w:szCs w:val="18"/>
                <w:lang w:val="fr-FR"/>
              </w:rPr>
              <w:t>’</w:t>
            </w:r>
            <w:r w:rsidRPr="001D5AE1">
              <w:rPr>
                <w:sz w:val="18"/>
                <w:szCs w:val="18"/>
                <w:lang w:val="fr-FR"/>
              </w:rPr>
              <w:t>occasion de</w:t>
            </w:r>
            <w:r w:rsidR="007C03F5">
              <w:rPr>
                <w:sz w:val="18"/>
                <w:szCs w:val="18"/>
                <w:lang w:val="fr-FR"/>
              </w:rPr>
              <w:t> </w:t>
            </w:r>
            <w:r w:rsidRPr="001D5AE1">
              <w:rPr>
                <w:sz w:val="18"/>
                <w:szCs w:val="18"/>
                <w:lang w:val="fr-FR"/>
              </w:rPr>
              <w:t>l</w:t>
            </w:r>
            <w:r w:rsidR="00577D76" w:rsidRPr="001D5AE1">
              <w:rPr>
                <w:sz w:val="18"/>
                <w:szCs w:val="18"/>
                <w:lang w:val="fr-FR"/>
              </w:rPr>
              <w:t>’</w:t>
            </w:r>
            <w:r w:rsidR="006223B0" w:rsidRPr="001D5AE1">
              <w:rPr>
                <w:sz w:val="18"/>
                <w:szCs w:val="18"/>
                <w:lang w:val="fr-FR"/>
              </w:rPr>
              <w:t>édition 2024 de la</w:t>
            </w:r>
            <w:r w:rsidRPr="001D5AE1">
              <w:rPr>
                <w:sz w:val="18"/>
                <w:szCs w:val="18"/>
                <w:lang w:val="fr-FR"/>
              </w:rPr>
              <w:t xml:space="preserve"> Conférence de la</w:t>
            </w:r>
            <w:r w:rsidR="007C03F5">
              <w:rPr>
                <w:sz w:val="18"/>
                <w:szCs w:val="18"/>
                <w:lang w:val="fr-FR"/>
              </w:rPr>
              <w:t> </w:t>
            </w:r>
            <w:r w:rsidRPr="001D5AE1">
              <w:rPr>
                <w:sz w:val="18"/>
                <w:szCs w:val="18"/>
                <w:lang w:val="fr-FR"/>
              </w:rPr>
              <w:t>Décennie de l</w:t>
            </w:r>
            <w:r w:rsidR="00577D76" w:rsidRPr="001D5AE1">
              <w:rPr>
                <w:sz w:val="18"/>
                <w:szCs w:val="18"/>
                <w:lang w:val="fr-FR"/>
              </w:rPr>
              <w:t>’</w:t>
            </w:r>
            <w:r w:rsidRPr="001D5AE1">
              <w:rPr>
                <w:sz w:val="18"/>
                <w:szCs w:val="18"/>
                <w:lang w:val="fr-FR"/>
              </w:rPr>
              <w:t>Océan</w:t>
            </w:r>
            <w:r w:rsidR="00841466" w:rsidRPr="001D5AE1">
              <w:rPr>
                <w:sz w:val="18"/>
                <w:szCs w:val="18"/>
                <w:lang w:val="fr-FR"/>
              </w:rPr>
              <w:t xml:space="preserve"> </w:t>
            </w:r>
            <w:r w:rsidR="006223B0" w:rsidRPr="001D5AE1">
              <w:rPr>
                <w:sz w:val="18"/>
                <w:szCs w:val="18"/>
                <w:lang w:val="fr-FR"/>
              </w:rPr>
              <w:t xml:space="preserve">(avril </w:t>
            </w:r>
            <w:r w:rsidR="00841466" w:rsidRPr="001D5AE1">
              <w:rPr>
                <w:sz w:val="18"/>
                <w:szCs w:val="18"/>
                <w:lang w:val="fr-FR"/>
              </w:rPr>
              <w:t>2024</w:t>
            </w:r>
            <w:r w:rsidR="006223B0" w:rsidRPr="001D5AE1">
              <w:rPr>
                <w:sz w:val="18"/>
                <w:szCs w:val="18"/>
                <w:lang w:val="fr-FR"/>
              </w:rPr>
              <w:t>).</w:t>
            </w:r>
          </w:p>
        </w:tc>
        <w:tc>
          <w:tcPr>
            <w:tcW w:w="1781" w:type="dxa"/>
          </w:tcPr>
          <w:p w14:paraId="0FDA5FFB" w14:textId="63749939" w:rsidR="00F77863" w:rsidRPr="001D5AE1" w:rsidRDefault="00841466" w:rsidP="005B57F5">
            <w:pPr>
              <w:adjustRightInd w:val="0"/>
              <w:spacing w:before="120" w:after="120"/>
              <w:textAlignment w:val="baseline"/>
              <w:rPr>
                <w:sz w:val="18"/>
                <w:szCs w:val="18"/>
                <w:lang w:val="fr-FR"/>
              </w:rPr>
            </w:pPr>
            <w:r w:rsidRPr="001D5AE1">
              <w:rPr>
                <w:sz w:val="18"/>
                <w:szCs w:val="18"/>
                <w:lang w:val="fr-FR"/>
              </w:rPr>
              <w:t>Secrétaire exécutif de la COI et Unité de coordination de la Décennie</w:t>
            </w:r>
          </w:p>
        </w:tc>
        <w:tc>
          <w:tcPr>
            <w:tcW w:w="2126" w:type="dxa"/>
          </w:tcPr>
          <w:p w14:paraId="47A0D981" w14:textId="2D7E438C" w:rsidR="00F77863" w:rsidRPr="001D5AE1" w:rsidRDefault="00841466" w:rsidP="005B57F5">
            <w:pPr>
              <w:adjustRightInd w:val="0"/>
              <w:spacing w:before="120" w:after="120"/>
              <w:textAlignment w:val="baseline"/>
              <w:rPr>
                <w:sz w:val="18"/>
                <w:szCs w:val="18"/>
                <w:lang w:val="fr-FR"/>
              </w:rPr>
            </w:pPr>
            <w:r w:rsidRPr="001D5AE1">
              <w:rPr>
                <w:sz w:val="18"/>
                <w:szCs w:val="18"/>
                <w:lang w:val="fr-FR"/>
              </w:rPr>
              <w:t>Avril 2024</w:t>
            </w:r>
          </w:p>
        </w:tc>
      </w:tr>
      <w:tr w:rsidR="00727867" w:rsidRPr="001D5AE1" w14:paraId="1147F7D9" w14:textId="77777777" w:rsidTr="00262A6A">
        <w:tc>
          <w:tcPr>
            <w:tcW w:w="3114" w:type="dxa"/>
          </w:tcPr>
          <w:p w14:paraId="20E9C50A"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4338D5B8" w14:textId="67EE5A0E" w:rsidR="00F77863" w:rsidRPr="001D5AE1" w:rsidRDefault="009A3A68" w:rsidP="005B57F5">
            <w:pPr>
              <w:adjustRightInd w:val="0"/>
              <w:spacing w:before="120" w:after="120"/>
              <w:textAlignment w:val="baseline"/>
              <w:rPr>
                <w:sz w:val="18"/>
                <w:szCs w:val="18"/>
                <w:lang w:val="fr-FR"/>
              </w:rPr>
            </w:pPr>
            <w:r w:rsidRPr="001D5AE1">
              <w:rPr>
                <w:sz w:val="18"/>
                <w:szCs w:val="18"/>
                <w:lang w:val="fr-FR"/>
              </w:rPr>
              <w:t>2.3 Donner effet aux mécanismes d</w:t>
            </w:r>
            <w:r w:rsidR="00577D76" w:rsidRPr="001D5AE1">
              <w:rPr>
                <w:sz w:val="18"/>
                <w:szCs w:val="18"/>
                <w:lang w:val="fr-FR"/>
              </w:rPr>
              <w:t>’</w:t>
            </w:r>
            <w:r w:rsidRPr="001D5AE1">
              <w:rPr>
                <w:sz w:val="18"/>
                <w:szCs w:val="18"/>
                <w:lang w:val="fr-FR"/>
              </w:rPr>
              <w:t>examen prévus dans le Plan de mise en œuvre de la Décennie de l</w:t>
            </w:r>
            <w:r w:rsidR="00577D76" w:rsidRPr="001D5AE1">
              <w:rPr>
                <w:sz w:val="18"/>
                <w:szCs w:val="18"/>
                <w:lang w:val="fr-FR"/>
              </w:rPr>
              <w:t>’</w:t>
            </w:r>
            <w:r w:rsidRPr="001D5AE1">
              <w:rPr>
                <w:sz w:val="18"/>
                <w:szCs w:val="18"/>
                <w:lang w:val="fr-FR"/>
              </w:rPr>
              <w:t>Océan, notamment la série de conférences internationales et régionales sur la Décennie, qui se tiendront tous les trois ans et qui serviront de plate</w:t>
            </w:r>
            <w:r w:rsidR="007C03F5">
              <w:rPr>
                <w:sz w:val="18"/>
                <w:szCs w:val="18"/>
                <w:lang w:val="fr-FR"/>
              </w:rPr>
              <w:noBreakHyphen/>
            </w:r>
            <w:r w:rsidRPr="001D5AE1">
              <w:rPr>
                <w:sz w:val="18"/>
                <w:szCs w:val="18"/>
                <w:lang w:val="fr-FR"/>
              </w:rPr>
              <w:t>forme pour dresser l</w:t>
            </w:r>
            <w:r w:rsidR="00577D76" w:rsidRPr="001D5AE1">
              <w:rPr>
                <w:sz w:val="18"/>
                <w:szCs w:val="18"/>
                <w:lang w:val="fr-FR"/>
              </w:rPr>
              <w:t>’</w:t>
            </w:r>
            <w:r w:rsidRPr="001D5AE1">
              <w:rPr>
                <w:sz w:val="18"/>
                <w:szCs w:val="18"/>
                <w:lang w:val="fr-FR"/>
              </w:rPr>
              <w:t>état des lieux des priorités de la Décennie et les gérer de façon évolutive</w:t>
            </w:r>
            <w:r w:rsidR="006223B0" w:rsidRPr="001D5AE1">
              <w:rPr>
                <w:sz w:val="18"/>
                <w:szCs w:val="18"/>
                <w:lang w:val="fr-FR"/>
              </w:rPr>
              <w:t>.</w:t>
            </w:r>
          </w:p>
        </w:tc>
        <w:tc>
          <w:tcPr>
            <w:tcW w:w="3544" w:type="dxa"/>
          </w:tcPr>
          <w:p w14:paraId="766BC4F3" w14:textId="2FCA40A3" w:rsidR="00F77863" w:rsidRPr="001D5AE1" w:rsidRDefault="00841466" w:rsidP="005B57F5">
            <w:pPr>
              <w:adjustRightInd w:val="0"/>
              <w:spacing w:before="120" w:after="120"/>
              <w:textAlignment w:val="baseline"/>
              <w:rPr>
                <w:sz w:val="18"/>
                <w:szCs w:val="18"/>
                <w:lang w:val="fr-FR"/>
              </w:rPr>
            </w:pPr>
            <w:r w:rsidRPr="001D5AE1">
              <w:rPr>
                <w:sz w:val="18"/>
                <w:szCs w:val="18"/>
                <w:lang w:val="fr-FR"/>
              </w:rPr>
              <w:t>Réalisée. L</w:t>
            </w:r>
            <w:r w:rsidR="00577D76" w:rsidRPr="001D5AE1">
              <w:rPr>
                <w:sz w:val="18"/>
                <w:szCs w:val="18"/>
                <w:lang w:val="fr-FR"/>
              </w:rPr>
              <w:t>’</w:t>
            </w:r>
            <w:r w:rsidRPr="001D5AE1">
              <w:rPr>
                <w:sz w:val="18"/>
                <w:szCs w:val="18"/>
                <w:lang w:val="fr-FR"/>
              </w:rPr>
              <w:t>édition 2024 de la Conférence de la Décennie de l</w:t>
            </w:r>
            <w:r w:rsidR="00577D76" w:rsidRPr="001D5AE1">
              <w:rPr>
                <w:sz w:val="18"/>
                <w:szCs w:val="18"/>
                <w:lang w:val="fr-FR"/>
              </w:rPr>
              <w:t>’</w:t>
            </w:r>
            <w:r w:rsidRPr="001D5AE1">
              <w:rPr>
                <w:sz w:val="18"/>
                <w:szCs w:val="18"/>
                <w:lang w:val="fr-FR"/>
              </w:rPr>
              <w:t xml:space="preserve">Océan est confirmée pour avril 2024 et aura lieu en Espagne. </w:t>
            </w:r>
            <w:r w:rsidR="000A22A3" w:rsidRPr="001D5AE1">
              <w:rPr>
                <w:sz w:val="18"/>
                <w:szCs w:val="18"/>
                <w:lang w:val="fr-FR"/>
              </w:rPr>
              <w:t>Déploiement du cadre de suivi et d</w:t>
            </w:r>
            <w:r w:rsidR="00577D76" w:rsidRPr="001D5AE1">
              <w:rPr>
                <w:sz w:val="18"/>
                <w:szCs w:val="18"/>
                <w:lang w:val="fr-FR"/>
              </w:rPr>
              <w:t>’</w:t>
            </w:r>
            <w:r w:rsidR="000A22A3" w:rsidRPr="001D5AE1">
              <w:rPr>
                <w:sz w:val="18"/>
                <w:szCs w:val="18"/>
                <w:lang w:val="fr-FR"/>
              </w:rPr>
              <w:t xml:space="preserve">évaluation achevé. </w:t>
            </w:r>
            <w:r w:rsidR="006223B0" w:rsidRPr="001D5AE1">
              <w:rPr>
                <w:sz w:val="18"/>
                <w:szCs w:val="18"/>
                <w:lang w:val="fr-FR"/>
              </w:rPr>
              <w:t>P</w:t>
            </w:r>
            <w:r w:rsidR="000A22A3" w:rsidRPr="001D5AE1">
              <w:rPr>
                <w:sz w:val="18"/>
                <w:szCs w:val="18"/>
                <w:lang w:val="fr-FR"/>
              </w:rPr>
              <w:t>rocessus Vision pour 2030</w:t>
            </w:r>
            <w:r w:rsidR="006223B0" w:rsidRPr="001D5AE1">
              <w:rPr>
                <w:sz w:val="18"/>
                <w:szCs w:val="18"/>
                <w:lang w:val="fr-FR"/>
              </w:rPr>
              <w:t xml:space="preserve"> mis en œuvre</w:t>
            </w:r>
            <w:r w:rsidR="000A22A3" w:rsidRPr="001D5AE1">
              <w:rPr>
                <w:sz w:val="18"/>
                <w:szCs w:val="18"/>
                <w:lang w:val="fr-FR"/>
              </w:rPr>
              <w:t xml:space="preserve">. </w:t>
            </w:r>
          </w:p>
        </w:tc>
        <w:tc>
          <w:tcPr>
            <w:tcW w:w="1781" w:type="dxa"/>
          </w:tcPr>
          <w:p w14:paraId="1F6FA35A" w14:textId="52707281"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Secrétaire exécutif de la COI et Unité de coordination de la Décennie</w:t>
            </w:r>
          </w:p>
        </w:tc>
        <w:tc>
          <w:tcPr>
            <w:tcW w:w="2126" w:type="dxa"/>
          </w:tcPr>
          <w:p w14:paraId="18DA7DF4" w14:textId="7202FA9A"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Achevée, à considérer comme clôturée</w:t>
            </w:r>
          </w:p>
        </w:tc>
      </w:tr>
      <w:tr w:rsidR="00727867" w:rsidRPr="001D5AE1" w14:paraId="3D798A0E" w14:textId="77777777" w:rsidTr="00262A6A">
        <w:tc>
          <w:tcPr>
            <w:tcW w:w="3114" w:type="dxa"/>
          </w:tcPr>
          <w:p w14:paraId="5D072EEB" w14:textId="77777777" w:rsidR="000A22A3" w:rsidRPr="00EC74F3" w:rsidRDefault="000A22A3" w:rsidP="005B57F5">
            <w:pPr>
              <w:adjustRightInd w:val="0"/>
              <w:spacing w:before="120" w:after="120"/>
              <w:textAlignment w:val="baseline"/>
              <w:rPr>
                <w:b/>
                <w:bCs/>
                <w:sz w:val="18"/>
                <w:szCs w:val="18"/>
                <w:lang w:val="fr-FR" w:eastAsia="zh-CN"/>
              </w:rPr>
            </w:pPr>
            <w:r w:rsidRPr="00EC74F3">
              <w:rPr>
                <w:b/>
                <w:bCs/>
                <w:sz w:val="18"/>
                <w:szCs w:val="18"/>
                <w:lang w:val="fr-FR" w:eastAsia="zh-CN"/>
              </w:rPr>
              <w:lastRenderedPageBreak/>
              <w:t xml:space="preserve">Recommandation 3 : </w:t>
            </w:r>
          </w:p>
          <w:p w14:paraId="60ECC92E" w14:textId="1093D5EB" w:rsidR="00F77863" w:rsidRPr="001D5AE1" w:rsidRDefault="000A22A3" w:rsidP="005B57F5">
            <w:pPr>
              <w:adjustRightInd w:val="0"/>
              <w:spacing w:before="120" w:after="120"/>
              <w:textAlignment w:val="baseline"/>
              <w:rPr>
                <w:sz w:val="18"/>
                <w:szCs w:val="18"/>
                <w:lang w:val="fr-FR"/>
              </w:rPr>
            </w:pPr>
            <w:r w:rsidRPr="00EC74F3">
              <w:rPr>
                <w:sz w:val="18"/>
                <w:szCs w:val="18"/>
                <w:lang w:val="fr-FR" w:eastAsia="zh-CN"/>
              </w:rPr>
              <w:t>D</w:t>
            </w:r>
            <w:r w:rsidR="00577D76" w:rsidRPr="00EC74F3">
              <w:rPr>
                <w:sz w:val="18"/>
                <w:szCs w:val="18"/>
                <w:lang w:val="fr-FR" w:eastAsia="zh-CN"/>
              </w:rPr>
              <w:t>’</w:t>
            </w:r>
            <w:r w:rsidRPr="00EC74F3">
              <w:rPr>
                <w:sz w:val="18"/>
                <w:szCs w:val="18"/>
                <w:lang w:val="fr-FR" w:eastAsia="zh-CN"/>
              </w:rPr>
              <w:t>ici à juin 2022 – Déterminer comment l</w:t>
            </w:r>
            <w:r w:rsidR="00577D76" w:rsidRPr="00EC74F3">
              <w:rPr>
                <w:sz w:val="18"/>
                <w:szCs w:val="18"/>
                <w:lang w:val="fr-FR" w:eastAsia="zh-CN"/>
              </w:rPr>
              <w:t>’</w:t>
            </w:r>
            <w:r w:rsidRPr="00EC74F3">
              <w:rPr>
                <w:sz w:val="18"/>
                <w:szCs w:val="18"/>
                <w:lang w:val="fr-FR" w:eastAsia="zh-CN"/>
              </w:rPr>
              <w:t>UNESCO peut soutenir la Décennie</w:t>
            </w:r>
          </w:p>
        </w:tc>
        <w:tc>
          <w:tcPr>
            <w:tcW w:w="3827" w:type="dxa"/>
          </w:tcPr>
          <w:p w14:paraId="76EEDD19" w14:textId="3D58B18C"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3.1</w:t>
            </w:r>
            <w:r w:rsidR="009812C4" w:rsidRPr="001D5AE1">
              <w:rPr>
                <w:sz w:val="18"/>
                <w:szCs w:val="18"/>
                <w:lang w:val="fr-FR"/>
              </w:rPr>
              <w:t xml:space="preserve"> Élaborer des messages clairs et ciblés à l</w:t>
            </w:r>
            <w:r w:rsidR="00577D76" w:rsidRPr="001D5AE1">
              <w:rPr>
                <w:sz w:val="18"/>
                <w:szCs w:val="18"/>
                <w:lang w:val="fr-FR"/>
              </w:rPr>
              <w:t>’</w:t>
            </w:r>
            <w:r w:rsidR="009812C4" w:rsidRPr="001D5AE1">
              <w:rPr>
                <w:sz w:val="18"/>
                <w:szCs w:val="18"/>
                <w:lang w:val="fr-FR"/>
              </w:rPr>
              <w:t>intention des différents groupes de donateurs sur les avantages et les moyens d</w:t>
            </w:r>
            <w:r w:rsidR="00577D76" w:rsidRPr="001D5AE1">
              <w:rPr>
                <w:sz w:val="18"/>
                <w:szCs w:val="18"/>
                <w:lang w:val="fr-FR"/>
              </w:rPr>
              <w:t>’</w:t>
            </w:r>
            <w:r w:rsidR="009812C4" w:rsidRPr="001D5AE1">
              <w:rPr>
                <w:sz w:val="18"/>
                <w:szCs w:val="18"/>
                <w:lang w:val="fr-FR"/>
              </w:rPr>
              <w:t>investir dans la Décennie de l</w:t>
            </w:r>
            <w:r w:rsidR="00577D76" w:rsidRPr="001D5AE1">
              <w:rPr>
                <w:sz w:val="18"/>
                <w:szCs w:val="18"/>
                <w:lang w:val="fr-FR"/>
              </w:rPr>
              <w:t>’</w:t>
            </w:r>
            <w:r w:rsidR="009812C4" w:rsidRPr="001D5AE1">
              <w:rPr>
                <w:sz w:val="18"/>
                <w:szCs w:val="18"/>
                <w:lang w:val="fr-FR"/>
              </w:rPr>
              <w:t>Océan</w:t>
            </w:r>
            <w:r w:rsidR="006223B0" w:rsidRPr="001D5AE1">
              <w:rPr>
                <w:sz w:val="18"/>
                <w:szCs w:val="18"/>
                <w:lang w:val="fr-FR"/>
              </w:rPr>
              <w:t> ;</w:t>
            </w:r>
          </w:p>
        </w:tc>
        <w:tc>
          <w:tcPr>
            <w:tcW w:w="3544" w:type="dxa"/>
          </w:tcPr>
          <w:p w14:paraId="44A4FDCB" w14:textId="63514381" w:rsidR="00F77863" w:rsidRPr="001D5AE1" w:rsidRDefault="006C2821" w:rsidP="005B57F5">
            <w:pPr>
              <w:adjustRightInd w:val="0"/>
              <w:spacing w:before="120" w:after="120"/>
              <w:textAlignment w:val="baseline"/>
              <w:rPr>
                <w:sz w:val="18"/>
                <w:szCs w:val="18"/>
                <w:lang w:val="fr-FR"/>
              </w:rPr>
            </w:pPr>
            <w:r w:rsidRPr="001D5AE1">
              <w:rPr>
                <w:sz w:val="18"/>
                <w:szCs w:val="18"/>
                <w:lang w:val="fr-FR"/>
              </w:rPr>
              <w:t xml:space="preserve">En cours. </w:t>
            </w:r>
            <w:r w:rsidR="000D5D59" w:rsidRPr="001D5AE1">
              <w:rPr>
                <w:sz w:val="18"/>
                <w:szCs w:val="18"/>
                <w:lang w:val="fr-FR"/>
              </w:rPr>
              <w:t>Un</w:t>
            </w:r>
            <w:r w:rsidRPr="001D5AE1">
              <w:rPr>
                <w:sz w:val="18"/>
                <w:szCs w:val="18"/>
                <w:lang w:val="fr-FR"/>
              </w:rPr>
              <w:t xml:space="preserve"> responsable de la mobilisation de ressources a été détaché et commencera</w:t>
            </w:r>
            <w:r w:rsidR="006223B0" w:rsidRPr="001D5AE1">
              <w:rPr>
                <w:sz w:val="18"/>
                <w:szCs w:val="18"/>
                <w:lang w:val="fr-FR"/>
              </w:rPr>
              <w:t xml:space="preserve"> à travailler</w:t>
            </w:r>
            <w:r w:rsidRPr="001D5AE1">
              <w:rPr>
                <w:sz w:val="18"/>
                <w:szCs w:val="18"/>
                <w:lang w:val="fr-FR"/>
              </w:rPr>
              <w:t xml:space="preserve"> en juin</w:t>
            </w:r>
            <w:r w:rsidR="005B57F5" w:rsidRPr="001D5AE1">
              <w:rPr>
                <w:sz w:val="18"/>
                <w:szCs w:val="18"/>
                <w:lang w:val="fr-FR"/>
              </w:rPr>
              <w:t> </w:t>
            </w:r>
            <w:r w:rsidRPr="001D5AE1">
              <w:rPr>
                <w:sz w:val="18"/>
                <w:szCs w:val="18"/>
                <w:lang w:val="fr-FR"/>
              </w:rPr>
              <w:t>2023.</w:t>
            </w:r>
          </w:p>
        </w:tc>
        <w:tc>
          <w:tcPr>
            <w:tcW w:w="1781" w:type="dxa"/>
          </w:tcPr>
          <w:p w14:paraId="08A93C60" w14:textId="315BF4A3" w:rsidR="00F77863" w:rsidRPr="001D5AE1" w:rsidRDefault="00807A5C" w:rsidP="005B57F5">
            <w:pPr>
              <w:adjustRightInd w:val="0"/>
              <w:spacing w:before="120" w:after="120"/>
              <w:textAlignment w:val="baseline"/>
              <w:rPr>
                <w:sz w:val="18"/>
                <w:szCs w:val="18"/>
                <w:lang w:val="fr-FR"/>
              </w:rPr>
            </w:pPr>
            <w:r w:rsidRPr="001D5AE1">
              <w:rPr>
                <w:sz w:val="18"/>
                <w:szCs w:val="18"/>
                <w:lang w:val="fr-FR"/>
              </w:rPr>
              <w:t>Unité de coordination de la Décennie, en consultation avec l</w:t>
            </w:r>
            <w:r w:rsidR="00577D76" w:rsidRPr="001D5AE1">
              <w:rPr>
                <w:sz w:val="18"/>
                <w:szCs w:val="18"/>
                <w:lang w:val="fr-FR"/>
              </w:rPr>
              <w:t>’</w:t>
            </w:r>
            <w:r w:rsidRPr="001D5AE1">
              <w:rPr>
                <w:sz w:val="18"/>
                <w:szCs w:val="18"/>
                <w:lang w:val="fr-FR"/>
              </w:rPr>
              <w:t>équipe dirigeante de la COI</w:t>
            </w:r>
          </w:p>
        </w:tc>
        <w:tc>
          <w:tcPr>
            <w:tcW w:w="2126" w:type="dxa"/>
          </w:tcPr>
          <w:p w14:paraId="5F7DEA5E" w14:textId="7FA3BA01" w:rsidR="00F77863" w:rsidRPr="001D5AE1" w:rsidRDefault="00807A5C" w:rsidP="005B57F5">
            <w:pPr>
              <w:adjustRightInd w:val="0"/>
              <w:spacing w:before="120" w:after="120"/>
              <w:textAlignment w:val="baseline"/>
              <w:rPr>
                <w:sz w:val="18"/>
                <w:szCs w:val="18"/>
                <w:lang w:val="fr-FR"/>
              </w:rPr>
            </w:pPr>
            <w:r w:rsidRPr="001D5AE1">
              <w:rPr>
                <w:sz w:val="18"/>
                <w:szCs w:val="18"/>
                <w:lang w:val="fr-FR"/>
              </w:rPr>
              <w:t>4</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2023</w:t>
            </w:r>
          </w:p>
        </w:tc>
      </w:tr>
      <w:tr w:rsidR="00727867" w:rsidRPr="001D5AE1" w14:paraId="0F3CB77F" w14:textId="77777777" w:rsidTr="00262A6A">
        <w:tc>
          <w:tcPr>
            <w:tcW w:w="3114" w:type="dxa"/>
          </w:tcPr>
          <w:p w14:paraId="7A5BF9D6"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358C7D0E" w14:textId="31466094"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3.2</w:t>
            </w:r>
            <w:r w:rsidR="009812C4" w:rsidRPr="001D5AE1">
              <w:rPr>
                <w:sz w:val="18"/>
                <w:szCs w:val="18"/>
                <w:lang w:val="fr-FR"/>
              </w:rPr>
              <w:t xml:space="preserve"> Évaluer de manière plus approfondie les besoins en ressources des programmes et des structures de la COI pour soutenir efficacement la mise en œuvre de la Décennie (au-delà des fonctions de coordination de la Décennie assurées par l</w:t>
            </w:r>
            <w:r w:rsidR="00577D76" w:rsidRPr="001D5AE1">
              <w:rPr>
                <w:sz w:val="18"/>
                <w:szCs w:val="18"/>
                <w:lang w:val="fr-FR"/>
              </w:rPr>
              <w:t>’</w:t>
            </w:r>
            <w:r w:rsidR="009812C4" w:rsidRPr="001D5AE1">
              <w:rPr>
                <w:sz w:val="18"/>
                <w:szCs w:val="18"/>
                <w:lang w:val="fr-FR"/>
              </w:rPr>
              <w:t>Unité de coordination de la Décennie</w:t>
            </w:r>
            <w:r w:rsidR="00C7630D" w:rsidRPr="001D5AE1">
              <w:rPr>
                <w:sz w:val="18"/>
                <w:szCs w:val="18"/>
                <w:lang w:val="fr-FR"/>
              </w:rPr>
              <w:t xml:space="preserve"> (DCU)</w:t>
            </w:r>
            <w:r w:rsidR="009812C4" w:rsidRPr="001D5AE1">
              <w:rPr>
                <w:sz w:val="18"/>
                <w:szCs w:val="18"/>
                <w:lang w:val="fr-FR"/>
              </w:rPr>
              <w:t>)</w:t>
            </w:r>
            <w:r w:rsidR="008276B2" w:rsidRPr="001D5AE1">
              <w:rPr>
                <w:sz w:val="18"/>
                <w:szCs w:val="18"/>
                <w:lang w:val="fr-FR"/>
              </w:rPr>
              <w:t> ;</w:t>
            </w:r>
          </w:p>
        </w:tc>
        <w:tc>
          <w:tcPr>
            <w:tcW w:w="3544" w:type="dxa"/>
          </w:tcPr>
          <w:p w14:paraId="69A654BB" w14:textId="6351450A" w:rsidR="00F77863" w:rsidRPr="001D5AE1" w:rsidRDefault="00807A5C" w:rsidP="005B57F5">
            <w:pPr>
              <w:adjustRightInd w:val="0"/>
              <w:spacing w:before="120" w:after="120"/>
              <w:textAlignment w:val="baseline"/>
              <w:rPr>
                <w:sz w:val="18"/>
                <w:szCs w:val="18"/>
                <w:lang w:val="fr-FR"/>
              </w:rPr>
            </w:pPr>
            <w:r w:rsidRPr="001D5AE1">
              <w:rPr>
                <w:sz w:val="18"/>
                <w:szCs w:val="18"/>
                <w:lang w:val="fr-FR"/>
              </w:rPr>
              <w:t>En cours. Élaboration des prévisions budgétaires</w:t>
            </w:r>
            <w:r w:rsidR="00B3030E" w:rsidRPr="001D5AE1">
              <w:rPr>
                <w:sz w:val="18"/>
                <w:szCs w:val="18"/>
                <w:lang w:val="fr-FR"/>
              </w:rPr>
              <w:t xml:space="preserve"> pour les données et les observations des bureaux de coordination de la Décennie au sein des bureaux de programme de l</w:t>
            </w:r>
            <w:r w:rsidR="00577D76" w:rsidRPr="001D5AE1">
              <w:rPr>
                <w:sz w:val="18"/>
                <w:szCs w:val="18"/>
                <w:lang w:val="fr-FR"/>
              </w:rPr>
              <w:t>’</w:t>
            </w:r>
            <w:r w:rsidR="00B3030E" w:rsidRPr="001D5AE1">
              <w:rPr>
                <w:sz w:val="18"/>
                <w:szCs w:val="18"/>
                <w:lang w:val="fr-FR"/>
              </w:rPr>
              <w:t>IODE et du</w:t>
            </w:r>
            <w:r w:rsidR="007C03F5">
              <w:rPr>
                <w:sz w:val="18"/>
                <w:szCs w:val="18"/>
                <w:lang w:val="fr-FR"/>
              </w:rPr>
              <w:t> </w:t>
            </w:r>
            <w:r w:rsidR="00B3030E" w:rsidRPr="001D5AE1">
              <w:rPr>
                <w:sz w:val="18"/>
                <w:szCs w:val="18"/>
                <w:lang w:val="fr-FR"/>
              </w:rPr>
              <w:t xml:space="preserve">GOOS. Recrutement de consultants pour diriger les efforts de coordination et de mobilisation de ressources. </w:t>
            </w:r>
            <w:r w:rsidR="00CB5D39" w:rsidRPr="001D5AE1">
              <w:rPr>
                <w:sz w:val="18"/>
                <w:szCs w:val="18"/>
                <w:lang w:val="fr-FR"/>
              </w:rPr>
              <w:t>L</w:t>
            </w:r>
            <w:r w:rsidR="00577D76" w:rsidRPr="001D5AE1">
              <w:rPr>
                <w:sz w:val="18"/>
                <w:szCs w:val="18"/>
                <w:lang w:val="fr-FR"/>
              </w:rPr>
              <w:t>’</w:t>
            </w:r>
            <w:r w:rsidR="00CB5D39" w:rsidRPr="001D5AE1">
              <w:rPr>
                <w:sz w:val="18"/>
                <w:szCs w:val="18"/>
                <w:lang w:val="fr-FR"/>
              </w:rPr>
              <w:t>évaluation initiale des besoins en ressources a été menée à bien par le bureau de coordination de la Décennie de l</w:t>
            </w:r>
            <w:r w:rsidR="00577D76" w:rsidRPr="001D5AE1">
              <w:rPr>
                <w:sz w:val="18"/>
                <w:szCs w:val="18"/>
                <w:lang w:val="fr-FR"/>
              </w:rPr>
              <w:t>’</w:t>
            </w:r>
            <w:r w:rsidR="00CB5D39" w:rsidRPr="001D5AE1">
              <w:rPr>
                <w:sz w:val="18"/>
                <w:szCs w:val="18"/>
                <w:lang w:val="fr-FR"/>
              </w:rPr>
              <w:t>IOCAFRICA. Celle du bureau de coordination de la Décennie de l</w:t>
            </w:r>
            <w:r w:rsidR="00577D76" w:rsidRPr="001D5AE1">
              <w:rPr>
                <w:sz w:val="18"/>
                <w:szCs w:val="18"/>
                <w:lang w:val="fr-FR"/>
              </w:rPr>
              <w:t>’</w:t>
            </w:r>
            <w:r w:rsidR="00CB5D39" w:rsidRPr="001D5AE1">
              <w:rPr>
                <w:sz w:val="18"/>
                <w:szCs w:val="18"/>
                <w:lang w:val="fr-FR"/>
              </w:rPr>
              <w:t>IOCARIBE est en cours.</w:t>
            </w:r>
          </w:p>
        </w:tc>
        <w:tc>
          <w:tcPr>
            <w:tcW w:w="1781" w:type="dxa"/>
          </w:tcPr>
          <w:p w14:paraId="2D0D7130" w14:textId="4105B0FA" w:rsidR="00F77863" w:rsidRPr="001D5AE1" w:rsidRDefault="00807A5C" w:rsidP="005B57F5">
            <w:pPr>
              <w:adjustRightInd w:val="0"/>
              <w:spacing w:before="120" w:after="120"/>
              <w:textAlignment w:val="baseline"/>
              <w:rPr>
                <w:sz w:val="18"/>
                <w:szCs w:val="18"/>
                <w:lang w:val="fr-FR"/>
              </w:rPr>
            </w:pPr>
            <w:r w:rsidRPr="001D5AE1">
              <w:rPr>
                <w:sz w:val="18"/>
                <w:szCs w:val="18"/>
                <w:lang w:val="fr-FR"/>
              </w:rPr>
              <w:t>Secrétaire exécutif de la COI, en consultation avec l</w:t>
            </w:r>
            <w:r w:rsidR="00577D76" w:rsidRPr="001D5AE1">
              <w:rPr>
                <w:sz w:val="18"/>
                <w:szCs w:val="18"/>
                <w:lang w:val="fr-FR"/>
              </w:rPr>
              <w:t>’</w:t>
            </w:r>
            <w:r w:rsidRPr="001D5AE1">
              <w:rPr>
                <w:sz w:val="18"/>
                <w:szCs w:val="18"/>
                <w:lang w:val="fr-FR"/>
              </w:rPr>
              <w:t>équipe dirigeante de la COI</w:t>
            </w:r>
          </w:p>
        </w:tc>
        <w:tc>
          <w:tcPr>
            <w:tcW w:w="2126" w:type="dxa"/>
          </w:tcPr>
          <w:p w14:paraId="77BBFD73" w14:textId="1B3DA6B6" w:rsidR="00F77863" w:rsidRPr="001D5AE1" w:rsidRDefault="00807A5C"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 –</w:t>
            </w:r>
            <w:r w:rsidR="005B57F5" w:rsidRPr="001D5AE1">
              <w:rPr>
                <w:sz w:val="18"/>
                <w:szCs w:val="18"/>
                <w:lang w:val="fr-FR"/>
              </w:rPr>
              <w:t> </w:t>
            </w:r>
            <w:r w:rsidRPr="001D5AE1">
              <w:rPr>
                <w:sz w:val="18"/>
                <w:szCs w:val="18"/>
                <w:lang w:val="fr-FR"/>
              </w:rPr>
              <w:t>présentation des</w:t>
            </w:r>
            <w:r w:rsidR="007C03F5">
              <w:rPr>
                <w:sz w:val="18"/>
                <w:szCs w:val="18"/>
                <w:lang w:val="fr-FR"/>
              </w:rPr>
              <w:t> </w:t>
            </w:r>
            <w:r w:rsidRPr="001D5AE1">
              <w:rPr>
                <w:sz w:val="18"/>
                <w:szCs w:val="18"/>
                <w:lang w:val="fr-FR"/>
              </w:rPr>
              <w:t>informations actualisées à la</w:t>
            </w:r>
            <w:r w:rsidR="007C03F5">
              <w:rPr>
                <w:sz w:val="18"/>
                <w:szCs w:val="18"/>
                <w:lang w:val="fr-FR"/>
              </w:rPr>
              <w:t> </w:t>
            </w:r>
            <w:r w:rsidRPr="001D5AE1">
              <w:rPr>
                <w:sz w:val="18"/>
                <w:szCs w:val="18"/>
                <w:lang w:val="fr-FR"/>
              </w:rPr>
              <w:t>57</w:t>
            </w:r>
            <w:r w:rsidRPr="001D5AE1">
              <w:rPr>
                <w:sz w:val="18"/>
                <w:szCs w:val="18"/>
                <w:vertAlign w:val="superscript"/>
                <w:lang w:val="fr-FR"/>
              </w:rPr>
              <w:t>e</w:t>
            </w:r>
            <w:r w:rsidR="005B57F5" w:rsidRPr="001D5AE1">
              <w:rPr>
                <w:sz w:val="18"/>
                <w:szCs w:val="18"/>
                <w:lang w:val="fr-FR"/>
              </w:rPr>
              <w:t> </w:t>
            </w:r>
            <w:r w:rsidRPr="001D5AE1">
              <w:rPr>
                <w:sz w:val="18"/>
                <w:szCs w:val="18"/>
                <w:lang w:val="fr-FR"/>
              </w:rPr>
              <w:t>session du</w:t>
            </w:r>
            <w:r w:rsidR="007C03F5">
              <w:rPr>
                <w:sz w:val="18"/>
                <w:szCs w:val="18"/>
                <w:lang w:val="fr-FR"/>
              </w:rPr>
              <w:t> </w:t>
            </w:r>
            <w:r w:rsidRPr="001D5AE1">
              <w:rPr>
                <w:sz w:val="18"/>
                <w:szCs w:val="18"/>
                <w:lang w:val="fr-FR"/>
              </w:rPr>
              <w:t>Conseil exécutif de</w:t>
            </w:r>
            <w:r w:rsidR="007C03F5">
              <w:rPr>
                <w:sz w:val="18"/>
                <w:szCs w:val="18"/>
                <w:lang w:val="fr-FR"/>
              </w:rPr>
              <w:t> </w:t>
            </w:r>
            <w:r w:rsidRPr="001D5AE1">
              <w:rPr>
                <w:sz w:val="18"/>
                <w:szCs w:val="18"/>
                <w:lang w:val="fr-FR"/>
              </w:rPr>
              <w:t>la</w:t>
            </w:r>
            <w:r w:rsidR="007C03F5">
              <w:rPr>
                <w:sz w:val="18"/>
                <w:szCs w:val="18"/>
                <w:lang w:val="fr-FR"/>
              </w:rPr>
              <w:t> </w:t>
            </w:r>
            <w:r w:rsidRPr="001D5AE1">
              <w:rPr>
                <w:sz w:val="18"/>
                <w:szCs w:val="18"/>
                <w:lang w:val="fr-FR"/>
              </w:rPr>
              <w:t>COI</w:t>
            </w:r>
          </w:p>
        </w:tc>
      </w:tr>
      <w:tr w:rsidR="00727867" w:rsidRPr="001D5AE1" w14:paraId="12930BFA" w14:textId="77777777" w:rsidTr="00262A6A">
        <w:tc>
          <w:tcPr>
            <w:tcW w:w="3114" w:type="dxa"/>
          </w:tcPr>
          <w:p w14:paraId="7FF0F2C2"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599E0466" w14:textId="7CE4B37D"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3.3</w:t>
            </w:r>
            <w:r w:rsidR="009812C4" w:rsidRPr="001D5AE1">
              <w:rPr>
                <w:sz w:val="18"/>
                <w:szCs w:val="18"/>
                <w:lang w:val="fr-FR"/>
              </w:rPr>
              <w:t xml:space="preserve"> </w:t>
            </w:r>
            <w:r w:rsidR="009812C4" w:rsidRPr="001D5AE1">
              <w:rPr>
                <w:spacing w:val="-2"/>
                <w:sz w:val="18"/>
                <w:szCs w:val="18"/>
                <w:lang w:val="fr-FR"/>
              </w:rPr>
              <w:t>En se fondant sur la décision 214 EX/29 du Conseil exécutif de l</w:t>
            </w:r>
            <w:r w:rsidR="00577D76" w:rsidRPr="001D5AE1">
              <w:rPr>
                <w:spacing w:val="-2"/>
                <w:sz w:val="18"/>
                <w:szCs w:val="18"/>
                <w:lang w:val="fr-FR"/>
              </w:rPr>
              <w:t>’</w:t>
            </w:r>
            <w:r w:rsidR="009812C4" w:rsidRPr="001D5AE1">
              <w:rPr>
                <w:spacing w:val="-2"/>
                <w:sz w:val="18"/>
                <w:szCs w:val="18"/>
                <w:lang w:val="fr-FR"/>
              </w:rPr>
              <w:t>UNESCO, travailler avec d</w:t>
            </w:r>
            <w:r w:rsidR="00577D76" w:rsidRPr="001D5AE1">
              <w:rPr>
                <w:spacing w:val="-2"/>
                <w:sz w:val="18"/>
                <w:szCs w:val="18"/>
                <w:lang w:val="fr-FR"/>
              </w:rPr>
              <w:t>’</w:t>
            </w:r>
            <w:r w:rsidR="009812C4" w:rsidRPr="001D5AE1">
              <w:rPr>
                <w:spacing w:val="-2"/>
                <w:sz w:val="18"/>
                <w:szCs w:val="18"/>
                <w:lang w:val="fr-FR"/>
              </w:rPr>
              <w:t>autres secteurs de l</w:t>
            </w:r>
            <w:r w:rsidR="00577D76" w:rsidRPr="001D5AE1">
              <w:rPr>
                <w:spacing w:val="-2"/>
                <w:sz w:val="18"/>
                <w:szCs w:val="18"/>
                <w:lang w:val="fr-FR"/>
              </w:rPr>
              <w:t>’</w:t>
            </w:r>
            <w:r w:rsidR="009812C4" w:rsidRPr="001D5AE1">
              <w:rPr>
                <w:spacing w:val="-2"/>
                <w:sz w:val="18"/>
                <w:szCs w:val="18"/>
                <w:lang w:val="fr-FR"/>
              </w:rPr>
              <w:t>Organisation pour faire des océans un thème prioritaire transversal et positionner la Décennie de l</w:t>
            </w:r>
            <w:r w:rsidR="00577D76" w:rsidRPr="001D5AE1">
              <w:rPr>
                <w:spacing w:val="-2"/>
                <w:sz w:val="18"/>
                <w:szCs w:val="18"/>
                <w:lang w:val="fr-FR"/>
              </w:rPr>
              <w:t>’</w:t>
            </w:r>
            <w:r w:rsidR="009812C4" w:rsidRPr="001D5AE1">
              <w:rPr>
                <w:spacing w:val="-2"/>
                <w:sz w:val="18"/>
                <w:szCs w:val="18"/>
                <w:lang w:val="fr-FR"/>
              </w:rPr>
              <w:t>Océan en tant que principal moyen pour les États membres d</w:t>
            </w:r>
            <w:r w:rsidR="00577D76" w:rsidRPr="001D5AE1">
              <w:rPr>
                <w:spacing w:val="-2"/>
                <w:sz w:val="18"/>
                <w:szCs w:val="18"/>
                <w:lang w:val="fr-FR"/>
              </w:rPr>
              <w:t>’</w:t>
            </w:r>
            <w:r w:rsidR="009812C4" w:rsidRPr="001D5AE1">
              <w:rPr>
                <w:spacing w:val="-2"/>
                <w:sz w:val="18"/>
                <w:szCs w:val="18"/>
                <w:lang w:val="fr-FR"/>
              </w:rPr>
              <w:t>y contribuer</w:t>
            </w:r>
            <w:r w:rsidR="00EC74F3">
              <w:rPr>
                <w:spacing w:val="-2"/>
                <w:sz w:val="18"/>
                <w:szCs w:val="18"/>
                <w:lang w:val="fr-FR"/>
              </w:rPr>
              <w:t> ;</w:t>
            </w:r>
          </w:p>
        </w:tc>
        <w:tc>
          <w:tcPr>
            <w:tcW w:w="3544" w:type="dxa"/>
          </w:tcPr>
          <w:p w14:paraId="1E1B9AA4" w14:textId="006019B6" w:rsidR="00F77863" w:rsidRPr="001D5AE1" w:rsidRDefault="00976BC1" w:rsidP="005B57F5">
            <w:pPr>
              <w:adjustRightInd w:val="0"/>
              <w:spacing w:before="120" w:after="120"/>
              <w:textAlignment w:val="baseline"/>
              <w:rPr>
                <w:sz w:val="18"/>
                <w:szCs w:val="18"/>
                <w:lang w:val="fr-FR"/>
              </w:rPr>
            </w:pPr>
            <w:r w:rsidRPr="001D5AE1">
              <w:rPr>
                <w:sz w:val="18"/>
                <w:szCs w:val="18"/>
                <w:lang w:val="fr-FR"/>
              </w:rPr>
              <w:t>En cours. Initiatives actuellement élaborées avec CLT (patrimoine mondial/LINKS) et SHS (MAB)</w:t>
            </w:r>
          </w:p>
        </w:tc>
        <w:tc>
          <w:tcPr>
            <w:tcW w:w="1781" w:type="dxa"/>
          </w:tcPr>
          <w:p w14:paraId="24085A66" w14:textId="7C562A96" w:rsidR="00F77863" w:rsidRPr="001D5AE1" w:rsidRDefault="00976BC1" w:rsidP="005B57F5">
            <w:pPr>
              <w:adjustRightInd w:val="0"/>
              <w:spacing w:before="120" w:after="120"/>
              <w:textAlignment w:val="baseline"/>
              <w:rPr>
                <w:sz w:val="18"/>
                <w:szCs w:val="18"/>
                <w:lang w:val="fr-FR"/>
              </w:rPr>
            </w:pPr>
            <w:r w:rsidRPr="001D5AE1">
              <w:rPr>
                <w:sz w:val="18"/>
                <w:szCs w:val="18"/>
                <w:lang w:val="fr-FR"/>
              </w:rPr>
              <w:t>Secrétaire exécutif de la COI et Unité de coordination de la Décennie</w:t>
            </w:r>
          </w:p>
        </w:tc>
        <w:tc>
          <w:tcPr>
            <w:tcW w:w="2126" w:type="dxa"/>
          </w:tcPr>
          <w:p w14:paraId="6F80C635" w14:textId="6694AA12" w:rsidR="00F77863" w:rsidRPr="001D5AE1" w:rsidRDefault="00976BC1" w:rsidP="005B57F5">
            <w:pPr>
              <w:adjustRightInd w:val="0"/>
              <w:spacing w:before="120" w:after="120"/>
              <w:textAlignment w:val="baseline"/>
              <w:rPr>
                <w:sz w:val="18"/>
                <w:szCs w:val="18"/>
                <w:lang w:val="fr-FR"/>
              </w:rPr>
            </w:pPr>
            <w:r w:rsidRPr="001D5AE1">
              <w:rPr>
                <w:sz w:val="18"/>
                <w:szCs w:val="18"/>
                <w:lang w:val="fr-FR"/>
              </w:rPr>
              <w:t>Dès que possible et tout au long de la Décennie. Un rapport d</w:t>
            </w:r>
            <w:r w:rsidR="00577D76" w:rsidRPr="001D5AE1">
              <w:rPr>
                <w:sz w:val="18"/>
                <w:szCs w:val="18"/>
                <w:lang w:val="fr-FR"/>
              </w:rPr>
              <w:t>’</w:t>
            </w:r>
            <w:r w:rsidRPr="001D5AE1">
              <w:rPr>
                <w:sz w:val="18"/>
                <w:szCs w:val="18"/>
                <w:lang w:val="fr-FR"/>
              </w:rPr>
              <w:t>étape sera présenté à</w:t>
            </w:r>
            <w:r w:rsidR="005B57F5" w:rsidRPr="001D5AE1">
              <w:rPr>
                <w:sz w:val="18"/>
                <w:szCs w:val="18"/>
                <w:lang w:val="fr-FR"/>
              </w:rPr>
              <w:t> </w:t>
            </w:r>
            <w:r w:rsidRPr="001D5AE1">
              <w:rPr>
                <w:sz w:val="18"/>
                <w:szCs w:val="18"/>
                <w:lang w:val="fr-FR"/>
              </w:rPr>
              <w:t>la 217</w:t>
            </w:r>
            <w:r w:rsidRPr="001D5AE1">
              <w:rPr>
                <w:sz w:val="18"/>
                <w:szCs w:val="18"/>
                <w:vertAlign w:val="superscript"/>
                <w:lang w:val="fr-FR"/>
              </w:rPr>
              <w:t>e</w:t>
            </w:r>
            <w:r w:rsidRPr="001D5AE1">
              <w:rPr>
                <w:sz w:val="18"/>
                <w:szCs w:val="18"/>
                <w:lang w:val="fr-FR"/>
              </w:rPr>
              <w:t xml:space="preserve"> session du</w:t>
            </w:r>
            <w:r w:rsidR="007C03F5">
              <w:rPr>
                <w:sz w:val="18"/>
                <w:szCs w:val="18"/>
                <w:lang w:val="fr-FR"/>
              </w:rPr>
              <w:t> </w:t>
            </w:r>
            <w:r w:rsidRPr="001D5AE1">
              <w:rPr>
                <w:sz w:val="18"/>
                <w:szCs w:val="18"/>
                <w:lang w:val="fr-FR"/>
              </w:rPr>
              <w:t>Conseil exécutif de</w:t>
            </w:r>
            <w:r w:rsidR="007C03F5">
              <w:rPr>
                <w:sz w:val="18"/>
                <w:szCs w:val="18"/>
                <w:lang w:val="fr-FR"/>
              </w:rPr>
              <w:t> </w:t>
            </w:r>
            <w:r w:rsidRPr="001D5AE1">
              <w:rPr>
                <w:sz w:val="18"/>
                <w:szCs w:val="18"/>
                <w:lang w:val="fr-FR"/>
              </w:rPr>
              <w:t>l</w:t>
            </w:r>
            <w:r w:rsidR="00577D76" w:rsidRPr="001D5AE1">
              <w:rPr>
                <w:sz w:val="18"/>
                <w:szCs w:val="18"/>
                <w:lang w:val="fr-FR"/>
              </w:rPr>
              <w:t>’</w:t>
            </w:r>
            <w:r w:rsidRPr="001D5AE1">
              <w:rPr>
                <w:sz w:val="18"/>
                <w:szCs w:val="18"/>
                <w:lang w:val="fr-FR"/>
              </w:rPr>
              <w:t>UNESCO et à la</w:t>
            </w:r>
            <w:r w:rsidR="007C03F5">
              <w:rPr>
                <w:sz w:val="18"/>
                <w:szCs w:val="18"/>
                <w:lang w:val="fr-FR"/>
              </w:rPr>
              <w:t> </w:t>
            </w:r>
            <w:r w:rsidRPr="001D5AE1">
              <w:rPr>
                <w:sz w:val="18"/>
                <w:szCs w:val="18"/>
                <w:lang w:val="fr-FR"/>
              </w:rPr>
              <w:t>57</w:t>
            </w:r>
            <w:r w:rsidRPr="001D5AE1">
              <w:rPr>
                <w:sz w:val="18"/>
                <w:szCs w:val="18"/>
                <w:vertAlign w:val="superscript"/>
                <w:lang w:val="fr-FR"/>
              </w:rPr>
              <w:t>e</w:t>
            </w:r>
            <w:r w:rsidR="005B57F5" w:rsidRPr="001D5AE1">
              <w:rPr>
                <w:sz w:val="18"/>
                <w:szCs w:val="18"/>
                <w:lang w:val="fr-FR"/>
              </w:rPr>
              <w:t> </w:t>
            </w:r>
            <w:r w:rsidRPr="001D5AE1">
              <w:rPr>
                <w:sz w:val="18"/>
                <w:szCs w:val="18"/>
                <w:lang w:val="fr-FR"/>
              </w:rPr>
              <w:t xml:space="preserve">session du Conseil exécutif </w:t>
            </w:r>
            <w:r w:rsidR="007C03F5">
              <w:rPr>
                <w:sz w:val="18"/>
                <w:szCs w:val="18"/>
                <w:lang w:val="fr-FR"/>
              </w:rPr>
              <w:br/>
            </w:r>
            <w:r w:rsidRPr="001D5AE1">
              <w:rPr>
                <w:sz w:val="18"/>
                <w:szCs w:val="18"/>
                <w:lang w:val="fr-FR"/>
              </w:rPr>
              <w:t>de la COI</w:t>
            </w:r>
          </w:p>
        </w:tc>
      </w:tr>
      <w:tr w:rsidR="00727867" w:rsidRPr="001D5AE1" w14:paraId="1D654BCB" w14:textId="77777777" w:rsidTr="00262A6A">
        <w:tc>
          <w:tcPr>
            <w:tcW w:w="3114" w:type="dxa"/>
          </w:tcPr>
          <w:p w14:paraId="611AB341"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31B598CC" w14:textId="7BBBCD2E" w:rsidR="00904B8C" w:rsidRPr="001D5AE1" w:rsidRDefault="00904B8C" w:rsidP="005B57F5">
            <w:pPr>
              <w:adjustRightInd w:val="0"/>
              <w:spacing w:before="120" w:after="120"/>
              <w:textAlignment w:val="baseline"/>
              <w:rPr>
                <w:i/>
                <w:iCs/>
                <w:sz w:val="18"/>
                <w:szCs w:val="18"/>
                <w:lang w:val="fr-FR"/>
              </w:rPr>
            </w:pPr>
            <w:r w:rsidRPr="007C03F5">
              <w:rPr>
                <w:i/>
                <w:iCs/>
                <w:sz w:val="18"/>
                <w:szCs w:val="18"/>
                <w:u w:val="single"/>
                <w:lang w:val="fr-FR"/>
              </w:rPr>
              <w:t>Actions de soutien à l</w:t>
            </w:r>
            <w:r w:rsidR="00577D76" w:rsidRPr="007C03F5">
              <w:rPr>
                <w:i/>
                <w:iCs/>
                <w:sz w:val="18"/>
                <w:szCs w:val="18"/>
                <w:u w:val="single"/>
                <w:lang w:val="fr-FR"/>
              </w:rPr>
              <w:t>’</w:t>
            </w:r>
            <w:r w:rsidRPr="007C03F5">
              <w:rPr>
                <w:i/>
                <w:iCs/>
                <w:sz w:val="18"/>
                <w:szCs w:val="18"/>
                <w:u w:val="single"/>
                <w:lang w:val="fr-FR"/>
              </w:rPr>
              <w:t>échelle des Nations</w:t>
            </w:r>
            <w:r w:rsidR="005B57F5" w:rsidRPr="007C03F5">
              <w:rPr>
                <w:i/>
                <w:iCs/>
                <w:sz w:val="18"/>
                <w:szCs w:val="18"/>
                <w:u w:val="single"/>
                <w:lang w:val="fr-FR"/>
              </w:rPr>
              <w:t> </w:t>
            </w:r>
            <w:r w:rsidRPr="007C03F5">
              <w:rPr>
                <w:i/>
                <w:iCs/>
                <w:sz w:val="18"/>
                <w:szCs w:val="18"/>
                <w:u w:val="single"/>
                <w:lang w:val="fr-FR"/>
              </w:rPr>
              <w:t>Unies</w:t>
            </w:r>
            <w:r w:rsidRPr="001D5AE1">
              <w:rPr>
                <w:i/>
                <w:iCs/>
                <w:sz w:val="18"/>
                <w:szCs w:val="18"/>
                <w:lang w:val="fr-FR"/>
              </w:rPr>
              <w:t> :</w:t>
            </w:r>
          </w:p>
          <w:p w14:paraId="585BA412" w14:textId="4808C61E"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3.4</w:t>
            </w:r>
            <w:r w:rsidR="009812C4" w:rsidRPr="001D5AE1">
              <w:rPr>
                <w:sz w:val="18"/>
                <w:szCs w:val="18"/>
                <w:lang w:val="fr-FR"/>
              </w:rPr>
              <w:t xml:space="preserve"> Élaborer une « demande » claire et structurée de ressources financières ou en nature destinée à rallier le soutien de partenaires en faveur de </w:t>
            </w:r>
            <w:r w:rsidR="000D5D59" w:rsidRPr="001D5AE1">
              <w:rPr>
                <w:sz w:val="18"/>
                <w:szCs w:val="18"/>
                <w:lang w:val="fr-FR"/>
              </w:rPr>
              <w:t>la DCU</w:t>
            </w:r>
            <w:r w:rsidR="00672A7E" w:rsidRPr="001D5AE1">
              <w:rPr>
                <w:sz w:val="18"/>
                <w:szCs w:val="18"/>
                <w:lang w:val="fr-FR"/>
              </w:rPr>
              <w:t> ;</w:t>
            </w:r>
          </w:p>
        </w:tc>
        <w:tc>
          <w:tcPr>
            <w:tcW w:w="3544" w:type="dxa"/>
          </w:tcPr>
          <w:p w14:paraId="4EB2301D" w14:textId="34FFE22D" w:rsidR="00F77863" w:rsidRPr="001D5AE1" w:rsidRDefault="000D5D59" w:rsidP="005B57F5">
            <w:pPr>
              <w:adjustRightInd w:val="0"/>
              <w:spacing w:before="120" w:after="120"/>
              <w:textAlignment w:val="baseline"/>
              <w:rPr>
                <w:sz w:val="18"/>
                <w:szCs w:val="18"/>
                <w:lang w:val="fr-FR"/>
              </w:rPr>
            </w:pPr>
            <w:r w:rsidRPr="001D5AE1">
              <w:rPr>
                <w:sz w:val="18"/>
                <w:szCs w:val="18"/>
                <w:lang w:val="fr-FR"/>
              </w:rPr>
              <w:t xml:space="preserve">En cours. Un responsable de la mobilisation de ressources a été détaché et commencera </w:t>
            </w:r>
            <w:r w:rsidR="00672A7E" w:rsidRPr="001D5AE1">
              <w:rPr>
                <w:sz w:val="18"/>
                <w:szCs w:val="18"/>
                <w:lang w:val="fr-FR"/>
              </w:rPr>
              <w:t xml:space="preserve">à travailler </w:t>
            </w:r>
            <w:r w:rsidRPr="001D5AE1">
              <w:rPr>
                <w:sz w:val="18"/>
                <w:szCs w:val="18"/>
                <w:lang w:val="fr-FR"/>
              </w:rPr>
              <w:t>en juin</w:t>
            </w:r>
            <w:r w:rsidR="005B57F5" w:rsidRPr="001D5AE1">
              <w:rPr>
                <w:sz w:val="18"/>
                <w:szCs w:val="18"/>
                <w:lang w:val="fr-FR"/>
              </w:rPr>
              <w:t> </w:t>
            </w:r>
            <w:r w:rsidRPr="001D5AE1">
              <w:rPr>
                <w:sz w:val="18"/>
                <w:szCs w:val="18"/>
                <w:lang w:val="fr-FR"/>
              </w:rPr>
              <w:t>2023.</w:t>
            </w:r>
          </w:p>
        </w:tc>
        <w:tc>
          <w:tcPr>
            <w:tcW w:w="1781" w:type="dxa"/>
          </w:tcPr>
          <w:p w14:paraId="24EC9FC1" w14:textId="6583E59A" w:rsidR="00F77863" w:rsidRPr="001D5AE1" w:rsidRDefault="000D5D59" w:rsidP="005B57F5">
            <w:pPr>
              <w:adjustRightInd w:val="0"/>
              <w:spacing w:before="120" w:after="120"/>
              <w:textAlignment w:val="baseline"/>
              <w:rPr>
                <w:sz w:val="18"/>
                <w:szCs w:val="18"/>
                <w:lang w:val="fr-FR"/>
              </w:rPr>
            </w:pPr>
            <w:r w:rsidRPr="001D5AE1">
              <w:rPr>
                <w:sz w:val="18"/>
                <w:szCs w:val="18"/>
                <w:lang w:val="fr-FR"/>
              </w:rPr>
              <w:t>Unité de coordination de la</w:t>
            </w:r>
            <w:r w:rsidR="007C03F5">
              <w:rPr>
                <w:sz w:val="18"/>
                <w:szCs w:val="18"/>
                <w:lang w:val="fr-FR"/>
              </w:rPr>
              <w:t> </w:t>
            </w:r>
            <w:r w:rsidRPr="001D5AE1">
              <w:rPr>
                <w:sz w:val="18"/>
                <w:szCs w:val="18"/>
                <w:lang w:val="fr-FR"/>
              </w:rPr>
              <w:t>Décennie</w:t>
            </w:r>
          </w:p>
        </w:tc>
        <w:tc>
          <w:tcPr>
            <w:tcW w:w="2126" w:type="dxa"/>
          </w:tcPr>
          <w:p w14:paraId="24B97313" w14:textId="6FBA13F1" w:rsidR="00F77863" w:rsidRPr="001D5AE1" w:rsidRDefault="000D5D59" w:rsidP="005B57F5">
            <w:pPr>
              <w:adjustRightInd w:val="0"/>
              <w:spacing w:before="120" w:after="120"/>
              <w:textAlignment w:val="baseline"/>
              <w:rPr>
                <w:sz w:val="18"/>
                <w:szCs w:val="18"/>
                <w:lang w:val="fr-FR"/>
              </w:rPr>
            </w:pPr>
            <w:r w:rsidRPr="001D5AE1">
              <w:rPr>
                <w:sz w:val="18"/>
                <w:szCs w:val="18"/>
                <w:lang w:val="fr-FR"/>
              </w:rPr>
              <w:t>4</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2023</w:t>
            </w:r>
          </w:p>
        </w:tc>
      </w:tr>
      <w:tr w:rsidR="00727867" w:rsidRPr="001D5AE1" w14:paraId="18249A23" w14:textId="77777777" w:rsidTr="00262A6A">
        <w:tc>
          <w:tcPr>
            <w:tcW w:w="3114" w:type="dxa"/>
          </w:tcPr>
          <w:p w14:paraId="4F587061"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0EDC0D3C" w14:textId="4A7FBA90" w:rsidR="00F77863" w:rsidRPr="001D5AE1" w:rsidRDefault="000A22A3" w:rsidP="00F03096">
            <w:pPr>
              <w:adjustRightInd w:val="0"/>
              <w:spacing w:before="120" w:after="100"/>
              <w:textAlignment w:val="baseline"/>
              <w:rPr>
                <w:sz w:val="18"/>
                <w:szCs w:val="18"/>
                <w:lang w:val="fr-FR"/>
              </w:rPr>
            </w:pPr>
            <w:r w:rsidRPr="001D5AE1">
              <w:rPr>
                <w:sz w:val="18"/>
                <w:szCs w:val="18"/>
                <w:lang w:val="fr-FR"/>
              </w:rPr>
              <w:t>3.5</w:t>
            </w:r>
            <w:r w:rsidR="009812C4" w:rsidRPr="001D5AE1">
              <w:rPr>
                <w:sz w:val="18"/>
                <w:szCs w:val="18"/>
                <w:lang w:val="fr-FR"/>
              </w:rPr>
              <w:t xml:space="preserve"> Entreprendre une cartographie et une analyse détaillées des activités et des intérêts des partenaires d</w:t>
            </w:r>
            <w:r w:rsidR="00577D76" w:rsidRPr="001D5AE1">
              <w:rPr>
                <w:sz w:val="18"/>
                <w:szCs w:val="18"/>
                <w:lang w:val="fr-FR"/>
              </w:rPr>
              <w:t>’</w:t>
            </w:r>
            <w:r w:rsidR="009812C4" w:rsidRPr="001D5AE1">
              <w:rPr>
                <w:sz w:val="18"/>
                <w:szCs w:val="18"/>
                <w:lang w:val="fr-FR"/>
              </w:rPr>
              <w:t>ONU</w:t>
            </w:r>
            <w:r w:rsidR="00896B7E">
              <w:rPr>
                <w:sz w:val="18"/>
                <w:szCs w:val="18"/>
                <w:lang w:val="fr-FR"/>
              </w:rPr>
              <w:noBreakHyphen/>
            </w:r>
            <w:r w:rsidR="009812C4" w:rsidRPr="001D5AE1">
              <w:rPr>
                <w:sz w:val="18"/>
                <w:szCs w:val="18"/>
                <w:lang w:val="fr-FR"/>
              </w:rPr>
              <w:t>Océans pour</w:t>
            </w:r>
            <w:r w:rsidR="00896B7E">
              <w:rPr>
                <w:sz w:val="18"/>
                <w:szCs w:val="18"/>
                <w:lang w:val="fr-FR"/>
              </w:rPr>
              <w:t> </w:t>
            </w:r>
            <w:r w:rsidR="009812C4" w:rsidRPr="001D5AE1">
              <w:rPr>
                <w:sz w:val="18"/>
                <w:szCs w:val="18"/>
                <w:lang w:val="fr-FR"/>
              </w:rPr>
              <w:t>repérer les initiatives existantes ou potentielles liées à la Décennie, cerner les lacunes et formuler des recommandations pour renforcer l</w:t>
            </w:r>
            <w:r w:rsidR="00577D76" w:rsidRPr="001D5AE1">
              <w:rPr>
                <w:sz w:val="18"/>
                <w:szCs w:val="18"/>
                <w:lang w:val="fr-FR"/>
              </w:rPr>
              <w:t>’</w:t>
            </w:r>
            <w:r w:rsidR="009812C4" w:rsidRPr="001D5AE1">
              <w:rPr>
                <w:sz w:val="18"/>
                <w:szCs w:val="18"/>
                <w:lang w:val="fr-FR"/>
              </w:rPr>
              <w:t>engagement et mobiliser des</w:t>
            </w:r>
            <w:r w:rsidR="00896B7E">
              <w:rPr>
                <w:sz w:val="18"/>
                <w:szCs w:val="18"/>
                <w:lang w:val="fr-FR"/>
              </w:rPr>
              <w:t> </w:t>
            </w:r>
            <w:r w:rsidR="009812C4" w:rsidRPr="001D5AE1">
              <w:rPr>
                <w:sz w:val="18"/>
                <w:szCs w:val="18"/>
                <w:lang w:val="fr-FR"/>
              </w:rPr>
              <w:t>ressources</w:t>
            </w:r>
            <w:r w:rsidR="00672A7E" w:rsidRPr="001D5AE1">
              <w:rPr>
                <w:sz w:val="18"/>
                <w:szCs w:val="18"/>
                <w:lang w:val="fr-FR"/>
              </w:rPr>
              <w:t> ;</w:t>
            </w:r>
          </w:p>
        </w:tc>
        <w:tc>
          <w:tcPr>
            <w:tcW w:w="3544" w:type="dxa"/>
          </w:tcPr>
          <w:p w14:paraId="2AF48207" w14:textId="4207A7E5" w:rsidR="00F77863" w:rsidRPr="001D5AE1" w:rsidRDefault="000D5D59" w:rsidP="005B57F5">
            <w:pPr>
              <w:adjustRightInd w:val="0"/>
              <w:spacing w:before="120" w:after="120"/>
              <w:textAlignment w:val="baseline"/>
              <w:rPr>
                <w:sz w:val="18"/>
                <w:szCs w:val="18"/>
                <w:lang w:val="fr-FR"/>
              </w:rPr>
            </w:pPr>
            <w:r w:rsidRPr="001D5AE1">
              <w:rPr>
                <w:sz w:val="18"/>
                <w:szCs w:val="18"/>
                <w:lang w:val="fr-FR"/>
              </w:rPr>
              <w:t xml:space="preserve">En cours. </w:t>
            </w:r>
            <w:r w:rsidR="00AF0137" w:rsidRPr="001D5AE1">
              <w:rPr>
                <w:sz w:val="18"/>
                <w:szCs w:val="18"/>
                <w:lang w:val="fr-FR"/>
              </w:rPr>
              <w:t>Le rapport du consultant est sur le point d</w:t>
            </w:r>
            <w:r w:rsidR="00577D76" w:rsidRPr="001D5AE1">
              <w:rPr>
                <w:sz w:val="18"/>
                <w:szCs w:val="18"/>
                <w:lang w:val="fr-FR"/>
              </w:rPr>
              <w:t>’</w:t>
            </w:r>
            <w:r w:rsidR="00AF0137" w:rsidRPr="001D5AE1">
              <w:rPr>
                <w:sz w:val="18"/>
                <w:szCs w:val="18"/>
                <w:lang w:val="fr-FR"/>
              </w:rPr>
              <w:t>être achevé.</w:t>
            </w:r>
          </w:p>
        </w:tc>
        <w:tc>
          <w:tcPr>
            <w:tcW w:w="1781" w:type="dxa"/>
          </w:tcPr>
          <w:p w14:paraId="012D081C" w14:textId="22EC8454" w:rsidR="00F77863" w:rsidRPr="001D5AE1" w:rsidRDefault="00AF0137" w:rsidP="005B57F5">
            <w:pPr>
              <w:adjustRightInd w:val="0"/>
              <w:spacing w:before="120" w:after="120"/>
              <w:textAlignment w:val="baseline"/>
              <w:rPr>
                <w:sz w:val="18"/>
                <w:szCs w:val="18"/>
                <w:lang w:val="fr-FR"/>
              </w:rPr>
            </w:pPr>
            <w:r w:rsidRPr="001D5AE1">
              <w:rPr>
                <w:sz w:val="18"/>
                <w:szCs w:val="18"/>
                <w:lang w:val="fr-FR"/>
              </w:rPr>
              <w:t>Unité de coordination de la</w:t>
            </w:r>
            <w:r w:rsidR="005B57F5" w:rsidRPr="001D5AE1">
              <w:rPr>
                <w:sz w:val="18"/>
                <w:szCs w:val="18"/>
                <w:lang w:val="fr-FR"/>
              </w:rPr>
              <w:t> </w:t>
            </w:r>
            <w:r w:rsidRPr="001D5AE1">
              <w:rPr>
                <w:sz w:val="18"/>
                <w:szCs w:val="18"/>
                <w:lang w:val="fr-FR"/>
              </w:rPr>
              <w:t>Décennie</w:t>
            </w:r>
          </w:p>
        </w:tc>
        <w:tc>
          <w:tcPr>
            <w:tcW w:w="2126" w:type="dxa"/>
          </w:tcPr>
          <w:p w14:paraId="379CCB2D" w14:textId="0A6CA8F0" w:rsidR="00F77863" w:rsidRPr="001D5AE1" w:rsidRDefault="00AF013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2023</w:t>
            </w:r>
          </w:p>
        </w:tc>
      </w:tr>
      <w:tr w:rsidR="00727867" w:rsidRPr="001D5AE1" w14:paraId="68865680" w14:textId="77777777" w:rsidTr="00262A6A">
        <w:tc>
          <w:tcPr>
            <w:tcW w:w="3114" w:type="dxa"/>
          </w:tcPr>
          <w:p w14:paraId="398BF748"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499A655D" w14:textId="1047C075" w:rsidR="00F77863" w:rsidRPr="001D5AE1" w:rsidRDefault="000A22A3" w:rsidP="005B57F5">
            <w:pPr>
              <w:adjustRightInd w:val="0"/>
              <w:spacing w:before="120" w:after="120"/>
              <w:textAlignment w:val="baseline"/>
              <w:rPr>
                <w:sz w:val="18"/>
                <w:szCs w:val="18"/>
                <w:lang w:val="fr-FR"/>
              </w:rPr>
            </w:pPr>
            <w:r w:rsidRPr="001D5AE1">
              <w:rPr>
                <w:sz w:val="18"/>
                <w:szCs w:val="18"/>
                <w:lang w:val="fr-FR"/>
              </w:rPr>
              <w:t>3.6</w:t>
            </w:r>
            <w:r w:rsidR="009812C4" w:rsidRPr="001D5AE1">
              <w:rPr>
                <w:sz w:val="18"/>
                <w:szCs w:val="18"/>
                <w:lang w:val="fr-FR"/>
              </w:rPr>
              <w:t xml:space="preserve"> Encourager les partenaires des Nations Unies à mettre en place et à financer des bureaux de coordination de la Décennie afin d</w:t>
            </w:r>
            <w:r w:rsidR="00577D76" w:rsidRPr="001D5AE1">
              <w:rPr>
                <w:sz w:val="18"/>
                <w:szCs w:val="18"/>
                <w:lang w:val="fr-FR"/>
              </w:rPr>
              <w:t>’</w:t>
            </w:r>
            <w:r w:rsidR="009812C4" w:rsidRPr="001D5AE1">
              <w:rPr>
                <w:sz w:val="18"/>
                <w:szCs w:val="18"/>
                <w:lang w:val="fr-FR"/>
              </w:rPr>
              <w:t>assurer la coordination des priorités régionales ou thématiques</w:t>
            </w:r>
            <w:r w:rsidR="00672A7E" w:rsidRPr="001D5AE1">
              <w:rPr>
                <w:sz w:val="18"/>
                <w:szCs w:val="18"/>
                <w:lang w:val="fr-FR"/>
              </w:rPr>
              <w:t> ;</w:t>
            </w:r>
          </w:p>
        </w:tc>
        <w:tc>
          <w:tcPr>
            <w:tcW w:w="3544" w:type="dxa"/>
          </w:tcPr>
          <w:p w14:paraId="432F8351" w14:textId="2C5F9FA1" w:rsidR="00F77863" w:rsidRPr="001D5AE1" w:rsidRDefault="00A22B9A" w:rsidP="005B57F5">
            <w:pPr>
              <w:adjustRightInd w:val="0"/>
              <w:spacing w:before="120" w:after="120"/>
              <w:textAlignment w:val="baseline"/>
              <w:rPr>
                <w:sz w:val="18"/>
                <w:szCs w:val="18"/>
                <w:lang w:val="fr-FR"/>
              </w:rPr>
            </w:pPr>
            <w:r w:rsidRPr="001D5AE1">
              <w:rPr>
                <w:sz w:val="18"/>
                <w:szCs w:val="18"/>
                <w:lang w:val="fr-FR"/>
              </w:rPr>
              <w:t>En cours</w:t>
            </w:r>
          </w:p>
        </w:tc>
        <w:tc>
          <w:tcPr>
            <w:tcW w:w="1781" w:type="dxa"/>
          </w:tcPr>
          <w:p w14:paraId="10CD8ECC" w14:textId="3CB8A468" w:rsidR="00F77863" w:rsidRPr="001D5AE1" w:rsidRDefault="00A22B9A" w:rsidP="005B57F5">
            <w:pPr>
              <w:adjustRightInd w:val="0"/>
              <w:spacing w:before="120" w:after="120"/>
              <w:textAlignment w:val="baseline"/>
              <w:rPr>
                <w:sz w:val="18"/>
                <w:szCs w:val="18"/>
                <w:lang w:val="fr-FR"/>
              </w:rPr>
            </w:pPr>
            <w:r w:rsidRPr="001D5AE1">
              <w:rPr>
                <w:sz w:val="18"/>
                <w:szCs w:val="18"/>
                <w:lang w:val="fr-FR"/>
              </w:rPr>
              <w:t>Unité de coordination de la</w:t>
            </w:r>
            <w:r w:rsidR="005B57F5" w:rsidRPr="001D5AE1">
              <w:rPr>
                <w:sz w:val="18"/>
                <w:szCs w:val="18"/>
                <w:lang w:val="fr-FR"/>
              </w:rPr>
              <w:t> </w:t>
            </w:r>
            <w:r w:rsidRPr="001D5AE1">
              <w:rPr>
                <w:sz w:val="18"/>
                <w:szCs w:val="18"/>
                <w:lang w:val="fr-FR"/>
              </w:rPr>
              <w:t>Décennie</w:t>
            </w:r>
          </w:p>
        </w:tc>
        <w:tc>
          <w:tcPr>
            <w:tcW w:w="2126" w:type="dxa"/>
          </w:tcPr>
          <w:p w14:paraId="38EBEFD1" w14:textId="71E34AEA" w:rsidR="00F77863" w:rsidRPr="001D5AE1" w:rsidRDefault="00E96949" w:rsidP="00F03096">
            <w:pPr>
              <w:adjustRightInd w:val="0"/>
              <w:spacing w:before="120" w:after="100"/>
              <w:textAlignment w:val="baseline"/>
              <w:rPr>
                <w:sz w:val="18"/>
                <w:szCs w:val="18"/>
                <w:lang w:val="fr-FR"/>
              </w:rPr>
            </w:pPr>
            <w:r w:rsidRPr="001D5AE1">
              <w:rPr>
                <w:sz w:val="18"/>
                <w:szCs w:val="18"/>
                <w:lang w:val="fr-FR"/>
              </w:rPr>
              <w:t>Dès que possible et tout au long de la Décennie, avec présentation de rapports d</w:t>
            </w:r>
            <w:r w:rsidR="00577D76" w:rsidRPr="001D5AE1">
              <w:rPr>
                <w:sz w:val="18"/>
                <w:szCs w:val="18"/>
                <w:lang w:val="fr-FR"/>
              </w:rPr>
              <w:t>’</w:t>
            </w:r>
            <w:r w:rsidRPr="001D5AE1">
              <w:rPr>
                <w:sz w:val="18"/>
                <w:szCs w:val="18"/>
                <w:lang w:val="fr-FR"/>
              </w:rPr>
              <w:t>étape aux organes directeurs</w:t>
            </w:r>
          </w:p>
        </w:tc>
      </w:tr>
      <w:tr w:rsidR="00727867" w:rsidRPr="001D5AE1" w14:paraId="342EA79E" w14:textId="77777777" w:rsidTr="00262A6A">
        <w:tc>
          <w:tcPr>
            <w:tcW w:w="3114" w:type="dxa"/>
          </w:tcPr>
          <w:p w14:paraId="394F6221"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35744C47" w14:textId="1DC08E68" w:rsidR="00F77863" w:rsidRPr="001D5AE1" w:rsidRDefault="000A22A3" w:rsidP="00F03096">
            <w:pPr>
              <w:adjustRightInd w:val="0"/>
              <w:spacing w:before="120" w:after="100"/>
              <w:textAlignment w:val="baseline"/>
              <w:rPr>
                <w:sz w:val="18"/>
                <w:szCs w:val="18"/>
                <w:lang w:val="fr-FR"/>
              </w:rPr>
            </w:pPr>
            <w:r w:rsidRPr="001D5AE1">
              <w:rPr>
                <w:sz w:val="18"/>
                <w:szCs w:val="18"/>
                <w:lang w:val="fr-FR"/>
              </w:rPr>
              <w:t>3.7</w:t>
            </w:r>
            <w:r w:rsidR="009812C4" w:rsidRPr="001D5AE1">
              <w:rPr>
                <w:sz w:val="18"/>
                <w:szCs w:val="18"/>
                <w:lang w:val="fr-FR"/>
              </w:rPr>
              <w:t xml:space="preserve"> Faire en sorte que le soutien financier ou en nature à </w:t>
            </w:r>
            <w:r w:rsidR="00A22B9A" w:rsidRPr="001D5AE1">
              <w:rPr>
                <w:sz w:val="18"/>
                <w:szCs w:val="18"/>
                <w:lang w:val="fr-FR"/>
              </w:rPr>
              <w:t>la DCU</w:t>
            </w:r>
            <w:r w:rsidR="009812C4" w:rsidRPr="001D5AE1">
              <w:rPr>
                <w:sz w:val="18"/>
                <w:szCs w:val="18"/>
                <w:lang w:val="fr-FR"/>
              </w:rPr>
              <w:t xml:space="preserve"> soit une condition préalable à l</w:t>
            </w:r>
            <w:r w:rsidR="00577D76" w:rsidRPr="001D5AE1">
              <w:rPr>
                <w:sz w:val="18"/>
                <w:szCs w:val="18"/>
                <w:lang w:val="fr-FR"/>
              </w:rPr>
              <w:t>’</w:t>
            </w:r>
            <w:r w:rsidR="009812C4" w:rsidRPr="001D5AE1">
              <w:rPr>
                <w:sz w:val="18"/>
                <w:szCs w:val="18"/>
                <w:lang w:val="fr-FR"/>
              </w:rPr>
              <w:t>adhésion à l</w:t>
            </w:r>
            <w:r w:rsidR="00577D76" w:rsidRPr="001D5AE1">
              <w:rPr>
                <w:sz w:val="18"/>
                <w:szCs w:val="18"/>
                <w:lang w:val="fr-FR"/>
              </w:rPr>
              <w:t>’</w:t>
            </w:r>
            <w:r w:rsidR="009812C4" w:rsidRPr="001D5AE1">
              <w:rPr>
                <w:sz w:val="18"/>
                <w:szCs w:val="18"/>
                <w:lang w:val="fr-FR"/>
              </w:rPr>
              <w:t>Alliance pour la Décennie de l</w:t>
            </w:r>
            <w:r w:rsidR="00577D76" w:rsidRPr="001D5AE1">
              <w:rPr>
                <w:sz w:val="18"/>
                <w:szCs w:val="18"/>
                <w:lang w:val="fr-FR"/>
              </w:rPr>
              <w:t>’</w:t>
            </w:r>
            <w:r w:rsidR="009812C4" w:rsidRPr="001D5AE1">
              <w:rPr>
                <w:sz w:val="18"/>
                <w:szCs w:val="18"/>
                <w:lang w:val="fr-FR"/>
              </w:rPr>
              <w:t>Océan</w:t>
            </w:r>
            <w:r w:rsidR="00EC74F3">
              <w:rPr>
                <w:sz w:val="18"/>
                <w:szCs w:val="18"/>
                <w:lang w:val="fr-FR"/>
              </w:rPr>
              <w:t>.</w:t>
            </w:r>
          </w:p>
        </w:tc>
        <w:tc>
          <w:tcPr>
            <w:tcW w:w="3544" w:type="dxa"/>
          </w:tcPr>
          <w:p w14:paraId="499F13CA" w14:textId="51EE210A" w:rsidR="00F77863" w:rsidRPr="001D5AE1" w:rsidRDefault="00A22B9A" w:rsidP="005B57F5">
            <w:pPr>
              <w:adjustRightInd w:val="0"/>
              <w:spacing w:before="120" w:after="120"/>
              <w:textAlignment w:val="baseline"/>
              <w:rPr>
                <w:sz w:val="18"/>
                <w:szCs w:val="18"/>
                <w:lang w:val="fr-FR"/>
              </w:rPr>
            </w:pPr>
            <w:r w:rsidRPr="001D5AE1">
              <w:rPr>
                <w:sz w:val="18"/>
                <w:szCs w:val="18"/>
                <w:lang w:val="fr-FR"/>
              </w:rPr>
              <w:t>En cours</w:t>
            </w:r>
          </w:p>
        </w:tc>
        <w:tc>
          <w:tcPr>
            <w:tcW w:w="1781" w:type="dxa"/>
          </w:tcPr>
          <w:p w14:paraId="76C6F79C" w14:textId="72A129C1" w:rsidR="00F77863" w:rsidRPr="001D5AE1" w:rsidRDefault="004557E0" w:rsidP="00F03096">
            <w:pPr>
              <w:adjustRightInd w:val="0"/>
              <w:spacing w:before="120" w:after="100"/>
              <w:textAlignment w:val="baseline"/>
              <w:rPr>
                <w:sz w:val="18"/>
                <w:szCs w:val="18"/>
                <w:lang w:val="fr-FR"/>
              </w:rPr>
            </w:pPr>
            <w:r w:rsidRPr="001D5AE1">
              <w:rPr>
                <w:sz w:val="18"/>
                <w:szCs w:val="18"/>
                <w:lang w:val="fr-FR"/>
              </w:rPr>
              <w:t>Secrétaire exécutif de la DCU et équipe dirigeante de la COI</w:t>
            </w:r>
          </w:p>
        </w:tc>
        <w:tc>
          <w:tcPr>
            <w:tcW w:w="2126" w:type="dxa"/>
          </w:tcPr>
          <w:p w14:paraId="4A160399" w14:textId="75809A17" w:rsidR="00F77863" w:rsidRPr="001D5AE1" w:rsidRDefault="00E96949" w:rsidP="005B57F5">
            <w:pPr>
              <w:adjustRightInd w:val="0"/>
              <w:spacing w:before="120" w:after="120"/>
              <w:textAlignment w:val="baseline"/>
              <w:rPr>
                <w:sz w:val="18"/>
                <w:szCs w:val="18"/>
                <w:lang w:val="fr-FR"/>
              </w:rPr>
            </w:pPr>
            <w:r w:rsidRPr="001D5AE1">
              <w:rPr>
                <w:sz w:val="18"/>
                <w:szCs w:val="18"/>
                <w:lang w:val="fr-FR"/>
              </w:rPr>
              <w:t>Dès que possible et tout au long du processus d</w:t>
            </w:r>
            <w:r w:rsidR="00577D76" w:rsidRPr="001D5AE1">
              <w:rPr>
                <w:sz w:val="18"/>
                <w:szCs w:val="18"/>
                <w:lang w:val="fr-FR"/>
              </w:rPr>
              <w:t>’</w:t>
            </w:r>
            <w:r w:rsidRPr="001D5AE1">
              <w:rPr>
                <w:sz w:val="18"/>
                <w:szCs w:val="18"/>
                <w:lang w:val="fr-FR"/>
              </w:rPr>
              <w:t>adhésion</w:t>
            </w:r>
          </w:p>
        </w:tc>
      </w:tr>
      <w:tr w:rsidR="00727867" w:rsidRPr="001D5AE1" w14:paraId="547926C3" w14:textId="77777777" w:rsidTr="00F03096">
        <w:tc>
          <w:tcPr>
            <w:tcW w:w="3114" w:type="dxa"/>
          </w:tcPr>
          <w:p w14:paraId="01D76AF4" w14:textId="77777777" w:rsidR="006D62E0" w:rsidRPr="00EC74F3" w:rsidRDefault="006D62E0" w:rsidP="005B57F5">
            <w:pPr>
              <w:adjustRightInd w:val="0"/>
              <w:spacing w:before="120" w:after="120"/>
              <w:textAlignment w:val="baseline"/>
              <w:rPr>
                <w:b/>
                <w:bCs/>
                <w:sz w:val="18"/>
                <w:szCs w:val="18"/>
                <w:lang w:val="fr-FR" w:eastAsia="zh-CN"/>
              </w:rPr>
            </w:pPr>
            <w:r w:rsidRPr="00EC74F3">
              <w:rPr>
                <w:b/>
                <w:bCs/>
                <w:sz w:val="18"/>
                <w:szCs w:val="18"/>
                <w:lang w:val="fr-FR" w:eastAsia="zh-CN"/>
              </w:rPr>
              <w:t xml:space="preserve">Recommandation 4 : </w:t>
            </w:r>
          </w:p>
          <w:p w14:paraId="43458975" w14:textId="1F91A922" w:rsidR="00F77863" w:rsidRPr="00EC74F3" w:rsidRDefault="006D62E0" w:rsidP="005B57F5">
            <w:pPr>
              <w:adjustRightInd w:val="0"/>
              <w:spacing w:before="120" w:after="120"/>
              <w:textAlignment w:val="baseline"/>
              <w:rPr>
                <w:sz w:val="18"/>
                <w:szCs w:val="18"/>
                <w:lang w:val="fr-FR" w:eastAsia="zh-CN"/>
              </w:rPr>
            </w:pPr>
            <w:r w:rsidRPr="00EC74F3">
              <w:rPr>
                <w:sz w:val="18"/>
                <w:szCs w:val="18"/>
                <w:lang w:val="fr-FR" w:eastAsia="zh-CN"/>
              </w:rPr>
              <w:t>D</w:t>
            </w:r>
            <w:r w:rsidR="00577D76" w:rsidRPr="00EC74F3">
              <w:rPr>
                <w:sz w:val="18"/>
                <w:szCs w:val="18"/>
                <w:lang w:val="fr-FR" w:eastAsia="zh-CN"/>
              </w:rPr>
              <w:t>’</w:t>
            </w:r>
            <w:r w:rsidRPr="00EC74F3">
              <w:rPr>
                <w:sz w:val="18"/>
                <w:szCs w:val="18"/>
                <w:lang w:val="fr-FR" w:eastAsia="zh-CN"/>
              </w:rPr>
              <w:t>ici à juin 2024 – Examiner les options pour une plus a</w:t>
            </w:r>
            <w:r w:rsidRPr="00225913">
              <w:rPr>
                <w:sz w:val="18"/>
                <w:szCs w:val="18"/>
                <w:lang w:val="fr-FR" w:eastAsia="zh-CN"/>
              </w:rPr>
              <w:t>mple utilisation de la base de données et</w:t>
            </w:r>
            <w:r w:rsidR="00EC74F3" w:rsidRPr="00225913">
              <w:rPr>
                <w:sz w:val="18"/>
                <w:szCs w:val="18"/>
                <w:lang w:val="fr-FR" w:eastAsia="zh-CN"/>
              </w:rPr>
              <w:t> </w:t>
            </w:r>
            <w:r w:rsidRPr="00225913">
              <w:rPr>
                <w:sz w:val="18"/>
                <w:szCs w:val="18"/>
                <w:lang w:val="fr-FR" w:eastAsia="zh-CN"/>
              </w:rPr>
              <w:t>de connaissances de la COI</w:t>
            </w:r>
          </w:p>
          <w:p w14:paraId="6EC9AB0B" w14:textId="7D79C348" w:rsidR="006D62E0" w:rsidRPr="001D5AE1" w:rsidRDefault="006D62E0" w:rsidP="005B57F5">
            <w:pPr>
              <w:adjustRightInd w:val="0"/>
              <w:spacing w:before="120" w:after="120"/>
              <w:textAlignment w:val="baseline"/>
              <w:rPr>
                <w:sz w:val="18"/>
                <w:szCs w:val="18"/>
                <w:lang w:val="fr-FR"/>
              </w:rPr>
            </w:pPr>
          </w:p>
        </w:tc>
        <w:tc>
          <w:tcPr>
            <w:tcW w:w="3827" w:type="dxa"/>
          </w:tcPr>
          <w:p w14:paraId="49B3AF2B" w14:textId="0FF32159" w:rsidR="00F77863" w:rsidRPr="001D5AE1" w:rsidRDefault="007E1D48" w:rsidP="00F03096">
            <w:pPr>
              <w:adjustRightInd w:val="0"/>
              <w:spacing w:before="120" w:after="100"/>
              <w:textAlignment w:val="baseline"/>
              <w:rPr>
                <w:sz w:val="18"/>
                <w:szCs w:val="18"/>
                <w:lang w:val="fr-FR"/>
              </w:rPr>
            </w:pPr>
            <w:r w:rsidRPr="001D5AE1">
              <w:rPr>
                <w:sz w:val="18"/>
                <w:szCs w:val="18"/>
                <w:lang w:val="fr-FR"/>
              </w:rPr>
              <w:t>4.1 Instituer un groupe de travail rassemblant les sections de la Commission afin d</w:t>
            </w:r>
            <w:r w:rsidR="00577D76" w:rsidRPr="001D5AE1">
              <w:rPr>
                <w:sz w:val="18"/>
                <w:szCs w:val="18"/>
                <w:lang w:val="fr-FR"/>
              </w:rPr>
              <w:t>’</w:t>
            </w:r>
            <w:r w:rsidRPr="001D5AE1">
              <w:rPr>
                <w:sz w:val="18"/>
                <w:szCs w:val="18"/>
                <w:lang w:val="fr-FR"/>
              </w:rPr>
              <w:t>établir une liste d</w:t>
            </w:r>
            <w:r w:rsidR="00577D76" w:rsidRPr="001D5AE1">
              <w:rPr>
                <w:sz w:val="18"/>
                <w:szCs w:val="18"/>
                <w:lang w:val="fr-FR"/>
              </w:rPr>
              <w:t>’</w:t>
            </w:r>
            <w:r w:rsidRPr="001D5AE1">
              <w:rPr>
                <w:sz w:val="18"/>
                <w:szCs w:val="18"/>
                <w:lang w:val="fr-FR"/>
              </w:rPr>
              <w:t>indicateurs socioéconomiques, par exemple en vue de leur utilisation dans le Rapport sur l</w:t>
            </w:r>
            <w:r w:rsidR="00577D76" w:rsidRPr="001D5AE1">
              <w:rPr>
                <w:sz w:val="18"/>
                <w:szCs w:val="18"/>
                <w:lang w:val="fr-FR"/>
              </w:rPr>
              <w:t>’</w:t>
            </w:r>
            <w:r w:rsidRPr="001D5AE1">
              <w:rPr>
                <w:sz w:val="18"/>
                <w:szCs w:val="18"/>
                <w:lang w:val="fr-FR"/>
              </w:rPr>
              <w:t>état de l</w:t>
            </w:r>
            <w:r w:rsidR="00577D76" w:rsidRPr="001D5AE1">
              <w:rPr>
                <w:sz w:val="18"/>
                <w:szCs w:val="18"/>
                <w:lang w:val="fr-FR"/>
              </w:rPr>
              <w:t>’</w:t>
            </w:r>
            <w:r w:rsidRPr="001D5AE1">
              <w:rPr>
                <w:sz w:val="18"/>
                <w:szCs w:val="18"/>
                <w:lang w:val="fr-FR"/>
              </w:rPr>
              <w:t>océan ; si nécessaire, élargir le groupe de travail pour y associer d</w:t>
            </w:r>
            <w:r w:rsidR="00577D76" w:rsidRPr="001D5AE1">
              <w:rPr>
                <w:sz w:val="18"/>
                <w:szCs w:val="18"/>
                <w:lang w:val="fr-FR"/>
              </w:rPr>
              <w:t>’</w:t>
            </w:r>
            <w:r w:rsidRPr="001D5AE1">
              <w:rPr>
                <w:sz w:val="18"/>
                <w:szCs w:val="18"/>
                <w:lang w:val="fr-FR"/>
              </w:rPr>
              <w:t>autres acteurs, tels que des organismes partenaires d</w:t>
            </w:r>
            <w:r w:rsidR="00577D76" w:rsidRPr="001D5AE1">
              <w:rPr>
                <w:sz w:val="18"/>
                <w:szCs w:val="18"/>
                <w:lang w:val="fr-FR"/>
              </w:rPr>
              <w:t>’</w:t>
            </w:r>
            <w:r w:rsidRPr="001D5AE1">
              <w:rPr>
                <w:sz w:val="18"/>
                <w:szCs w:val="18"/>
                <w:lang w:val="fr-FR"/>
              </w:rPr>
              <w:t>ONU</w:t>
            </w:r>
            <w:r w:rsidR="00EC74F3">
              <w:rPr>
                <w:sz w:val="18"/>
                <w:szCs w:val="18"/>
                <w:lang w:val="fr-FR"/>
              </w:rPr>
              <w:noBreakHyphen/>
            </w:r>
            <w:r w:rsidRPr="001D5AE1">
              <w:rPr>
                <w:sz w:val="18"/>
                <w:szCs w:val="18"/>
                <w:lang w:val="fr-FR"/>
              </w:rPr>
              <w:t>Océans</w:t>
            </w:r>
            <w:r w:rsidR="0044608A" w:rsidRPr="001D5AE1">
              <w:rPr>
                <w:sz w:val="18"/>
                <w:szCs w:val="18"/>
                <w:lang w:val="fr-FR"/>
              </w:rPr>
              <w:t> ;</w:t>
            </w:r>
          </w:p>
        </w:tc>
        <w:tc>
          <w:tcPr>
            <w:tcW w:w="3544" w:type="dxa"/>
          </w:tcPr>
          <w:p w14:paraId="0D53ED4D" w14:textId="2BDC1E7F" w:rsidR="00F77863" w:rsidRPr="001D5AE1" w:rsidRDefault="00884B23" w:rsidP="005B57F5">
            <w:pPr>
              <w:adjustRightInd w:val="0"/>
              <w:spacing w:before="120" w:after="120"/>
              <w:textAlignment w:val="baseline"/>
              <w:rPr>
                <w:sz w:val="18"/>
                <w:szCs w:val="18"/>
                <w:lang w:val="fr-FR"/>
              </w:rPr>
            </w:pPr>
            <w:r w:rsidRPr="001D5AE1">
              <w:rPr>
                <w:sz w:val="18"/>
                <w:szCs w:val="18"/>
                <w:lang w:val="fr-FR"/>
              </w:rPr>
              <w:t>Un comité consultatif pour le Rapport sur l</w:t>
            </w:r>
            <w:r w:rsidR="00577D76" w:rsidRPr="001D5AE1">
              <w:rPr>
                <w:sz w:val="18"/>
                <w:szCs w:val="18"/>
                <w:lang w:val="fr-FR"/>
              </w:rPr>
              <w:t>’</w:t>
            </w:r>
            <w:r w:rsidRPr="001D5AE1">
              <w:rPr>
                <w:sz w:val="18"/>
                <w:szCs w:val="18"/>
                <w:lang w:val="fr-FR"/>
              </w:rPr>
              <w:t>état de l</w:t>
            </w:r>
            <w:r w:rsidR="00577D76" w:rsidRPr="001D5AE1">
              <w:rPr>
                <w:sz w:val="18"/>
                <w:szCs w:val="18"/>
                <w:lang w:val="fr-FR"/>
              </w:rPr>
              <w:t>’</w:t>
            </w:r>
            <w:r w:rsidRPr="001D5AE1">
              <w:rPr>
                <w:sz w:val="18"/>
                <w:szCs w:val="18"/>
                <w:lang w:val="fr-FR"/>
              </w:rPr>
              <w:t xml:space="preserve">océan a été créé et a commencé à travailler ; il fournit des orientations quant au contenu du rapport, notamment </w:t>
            </w:r>
            <w:r w:rsidR="00334407" w:rsidRPr="001D5AE1">
              <w:rPr>
                <w:sz w:val="18"/>
                <w:szCs w:val="18"/>
                <w:lang w:val="fr-FR"/>
              </w:rPr>
              <w:t>l</w:t>
            </w:r>
            <w:r w:rsidRPr="001D5AE1">
              <w:rPr>
                <w:sz w:val="18"/>
                <w:szCs w:val="18"/>
                <w:lang w:val="fr-FR"/>
              </w:rPr>
              <w:t>es paramètres sociologiques et économiques</w:t>
            </w:r>
            <w:r w:rsidR="00334407" w:rsidRPr="001D5AE1">
              <w:rPr>
                <w:sz w:val="18"/>
                <w:szCs w:val="18"/>
                <w:lang w:val="fr-FR"/>
              </w:rPr>
              <w:t xml:space="preserve"> potentiels</w:t>
            </w:r>
            <w:r w:rsidRPr="001D5AE1">
              <w:rPr>
                <w:sz w:val="18"/>
                <w:szCs w:val="18"/>
                <w:lang w:val="fr-FR"/>
              </w:rPr>
              <w:t xml:space="preserve"> (par exemple, l</w:t>
            </w:r>
            <w:r w:rsidR="00577D76" w:rsidRPr="001D5AE1">
              <w:rPr>
                <w:sz w:val="18"/>
                <w:szCs w:val="18"/>
                <w:lang w:val="fr-FR"/>
              </w:rPr>
              <w:t>’</w:t>
            </w:r>
            <w:r w:rsidRPr="001D5AE1">
              <w:rPr>
                <w:sz w:val="18"/>
                <w:szCs w:val="18"/>
                <w:lang w:val="fr-FR"/>
              </w:rPr>
              <w:t>économie bleue durable et l</w:t>
            </w:r>
            <w:r w:rsidR="00577D76" w:rsidRPr="001D5AE1">
              <w:rPr>
                <w:sz w:val="18"/>
                <w:szCs w:val="18"/>
                <w:lang w:val="fr-FR"/>
              </w:rPr>
              <w:t>’</w:t>
            </w:r>
            <w:r w:rsidRPr="001D5AE1">
              <w:rPr>
                <w:sz w:val="18"/>
                <w:szCs w:val="18"/>
                <w:lang w:val="fr-FR"/>
              </w:rPr>
              <w:t>initiation à l</w:t>
            </w:r>
            <w:r w:rsidR="00577D76" w:rsidRPr="001D5AE1">
              <w:rPr>
                <w:sz w:val="18"/>
                <w:szCs w:val="18"/>
                <w:lang w:val="fr-FR"/>
              </w:rPr>
              <w:t>’</w:t>
            </w:r>
            <w:r w:rsidRPr="001D5AE1">
              <w:rPr>
                <w:sz w:val="18"/>
                <w:szCs w:val="18"/>
                <w:lang w:val="fr-FR"/>
              </w:rPr>
              <w:t>océan).</w:t>
            </w:r>
          </w:p>
        </w:tc>
        <w:tc>
          <w:tcPr>
            <w:tcW w:w="1781" w:type="dxa"/>
            <w:tcMar>
              <w:right w:w="28" w:type="dxa"/>
            </w:tcMar>
          </w:tcPr>
          <w:p w14:paraId="67C34CEE" w14:textId="06DD3DFD" w:rsidR="00F77863" w:rsidRPr="001D5AE1" w:rsidRDefault="00334407" w:rsidP="005B57F5">
            <w:pPr>
              <w:adjustRightInd w:val="0"/>
              <w:spacing w:before="120" w:after="120"/>
              <w:textAlignment w:val="baseline"/>
              <w:rPr>
                <w:sz w:val="18"/>
                <w:szCs w:val="18"/>
                <w:lang w:val="fr-FR"/>
              </w:rPr>
            </w:pPr>
            <w:r w:rsidRPr="001D5AE1">
              <w:rPr>
                <w:sz w:val="18"/>
                <w:szCs w:val="18"/>
                <w:lang w:val="fr-FR"/>
              </w:rPr>
              <w:t xml:space="preserve">Secrétaire exécutif et équipe dirigeante de </w:t>
            </w:r>
            <w:r w:rsidR="005B57F5" w:rsidRPr="001D5AE1">
              <w:rPr>
                <w:sz w:val="18"/>
                <w:szCs w:val="18"/>
                <w:lang w:val="fr-FR"/>
              </w:rPr>
              <w:t> </w:t>
            </w:r>
            <w:r w:rsidRPr="001D5AE1">
              <w:rPr>
                <w:sz w:val="18"/>
                <w:szCs w:val="18"/>
                <w:lang w:val="fr-FR"/>
              </w:rPr>
              <w:t>COI</w:t>
            </w:r>
          </w:p>
        </w:tc>
        <w:tc>
          <w:tcPr>
            <w:tcW w:w="2126" w:type="dxa"/>
          </w:tcPr>
          <w:p w14:paraId="4A6B3BE0" w14:textId="75A70712" w:rsidR="00F77863" w:rsidRPr="001D5AE1" w:rsidRDefault="0033440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w:t>
            </w:r>
          </w:p>
        </w:tc>
      </w:tr>
      <w:tr w:rsidR="00727867" w:rsidRPr="001D5AE1" w14:paraId="6921321D" w14:textId="77777777" w:rsidTr="00F03096">
        <w:tc>
          <w:tcPr>
            <w:tcW w:w="3114" w:type="dxa"/>
          </w:tcPr>
          <w:p w14:paraId="7A74FA17"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74AB4FB8" w14:textId="2CDAAAA8"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4.2 Concevoir des processus pour rationaliser et simplifier le pipeline de données de la C</w:t>
            </w:r>
            <w:r w:rsidR="00334407" w:rsidRPr="001D5AE1">
              <w:rPr>
                <w:sz w:val="18"/>
                <w:szCs w:val="18"/>
                <w:lang w:val="fr-FR"/>
              </w:rPr>
              <w:t>ommission</w:t>
            </w:r>
            <w:r w:rsidRPr="001D5AE1">
              <w:rPr>
                <w:sz w:val="18"/>
                <w:szCs w:val="18"/>
                <w:lang w:val="fr-FR"/>
              </w:rPr>
              <w:t xml:space="preserve"> afin que celui</w:t>
            </w:r>
            <w:r w:rsidR="00FE506E">
              <w:rPr>
                <w:sz w:val="18"/>
                <w:szCs w:val="18"/>
                <w:lang w:val="fr-FR"/>
              </w:rPr>
              <w:noBreakHyphen/>
            </w:r>
            <w:r w:rsidRPr="001D5AE1">
              <w:rPr>
                <w:sz w:val="18"/>
                <w:szCs w:val="18"/>
                <w:lang w:val="fr-FR"/>
              </w:rPr>
              <w:t>ci puisse contribuer à l</w:t>
            </w:r>
            <w:r w:rsidR="00577D76" w:rsidRPr="001D5AE1">
              <w:rPr>
                <w:sz w:val="18"/>
                <w:szCs w:val="18"/>
                <w:lang w:val="fr-FR"/>
              </w:rPr>
              <w:t>’</w:t>
            </w:r>
            <w:r w:rsidRPr="001D5AE1">
              <w:rPr>
                <w:sz w:val="18"/>
                <w:szCs w:val="18"/>
                <w:lang w:val="fr-FR"/>
              </w:rPr>
              <w:t>élaboration des indicateurs proposés ci-dessus</w:t>
            </w:r>
            <w:r w:rsidR="0044608A" w:rsidRPr="001D5AE1">
              <w:rPr>
                <w:sz w:val="18"/>
                <w:szCs w:val="18"/>
                <w:lang w:val="fr-FR"/>
              </w:rPr>
              <w:t> ;</w:t>
            </w:r>
          </w:p>
        </w:tc>
        <w:tc>
          <w:tcPr>
            <w:tcW w:w="3544" w:type="dxa"/>
          </w:tcPr>
          <w:p w14:paraId="6B1E4059" w14:textId="364B242D" w:rsidR="00F77863" w:rsidRPr="001D5AE1" w:rsidRDefault="00334407" w:rsidP="005B57F5">
            <w:pPr>
              <w:adjustRightInd w:val="0"/>
              <w:spacing w:before="120" w:after="120"/>
              <w:textAlignment w:val="baseline"/>
              <w:rPr>
                <w:sz w:val="18"/>
                <w:szCs w:val="18"/>
                <w:lang w:val="fr-FR"/>
              </w:rPr>
            </w:pPr>
            <w:r w:rsidRPr="001D5AE1">
              <w:rPr>
                <w:sz w:val="18"/>
                <w:szCs w:val="18"/>
                <w:lang w:val="fr-FR"/>
              </w:rPr>
              <w:t>Des groupes de travail ont été créés afin de recueillir des données pertinentes pour la collecte de données relatives à l</w:t>
            </w:r>
            <w:r w:rsidR="00577D76" w:rsidRPr="001D5AE1">
              <w:rPr>
                <w:sz w:val="18"/>
                <w:szCs w:val="18"/>
                <w:lang w:val="fr-FR"/>
              </w:rPr>
              <w:t>’</w:t>
            </w:r>
            <w:r w:rsidRPr="001D5AE1">
              <w:rPr>
                <w:sz w:val="18"/>
                <w:szCs w:val="18"/>
                <w:lang w:val="fr-FR"/>
              </w:rPr>
              <w:t>acidification de l</w:t>
            </w:r>
            <w:r w:rsidR="00577D76" w:rsidRPr="001D5AE1">
              <w:rPr>
                <w:sz w:val="18"/>
                <w:szCs w:val="18"/>
                <w:lang w:val="fr-FR"/>
              </w:rPr>
              <w:t>’</w:t>
            </w:r>
            <w:r w:rsidRPr="001D5AE1">
              <w:rPr>
                <w:sz w:val="18"/>
                <w:szCs w:val="18"/>
                <w:lang w:val="fr-FR"/>
              </w:rPr>
              <w:t>océan dans le cadre des ODD</w:t>
            </w:r>
            <w:r w:rsidR="00F90212" w:rsidRPr="001D5AE1">
              <w:rPr>
                <w:sz w:val="18"/>
                <w:szCs w:val="18"/>
                <w:lang w:val="fr-FR"/>
              </w:rPr>
              <w:t>.</w:t>
            </w:r>
          </w:p>
        </w:tc>
        <w:tc>
          <w:tcPr>
            <w:tcW w:w="1781" w:type="dxa"/>
            <w:tcMar>
              <w:right w:w="28" w:type="dxa"/>
            </w:tcMar>
          </w:tcPr>
          <w:p w14:paraId="029795F0" w14:textId="1E87A50D" w:rsidR="00F77863" w:rsidRPr="001D5AE1" w:rsidRDefault="00334407" w:rsidP="005B57F5">
            <w:pPr>
              <w:adjustRightInd w:val="0"/>
              <w:spacing w:before="120" w:after="120"/>
              <w:textAlignment w:val="baseline"/>
              <w:rPr>
                <w:sz w:val="18"/>
                <w:szCs w:val="18"/>
                <w:lang w:val="fr-FR"/>
              </w:rPr>
            </w:pPr>
            <w:r w:rsidRPr="001D5AE1">
              <w:rPr>
                <w:sz w:val="18"/>
                <w:szCs w:val="18"/>
                <w:lang w:val="fr-FR"/>
              </w:rPr>
              <w:t>Secrétaire exécutif et équipe dirigeante de la</w:t>
            </w:r>
            <w:r w:rsidR="00636F66" w:rsidRPr="001D5AE1">
              <w:rPr>
                <w:sz w:val="18"/>
                <w:szCs w:val="18"/>
                <w:lang w:val="fr-FR"/>
              </w:rPr>
              <w:t> </w:t>
            </w:r>
            <w:r w:rsidRPr="001D5AE1">
              <w:rPr>
                <w:sz w:val="18"/>
                <w:szCs w:val="18"/>
                <w:lang w:val="fr-FR"/>
              </w:rPr>
              <w:t>COI</w:t>
            </w:r>
          </w:p>
        </w:tc>
        <w:tc>
          <w:tcPr>
            <w:tcW w:w="2126" w:type="dxa"/>
          </w:tcPr>
          <w:p w14:paraId="0C5FD88E" w14:textId="2DF74F6E" w:rsidR="00F77863" w:rsidRPr="001D5AE1" w:rsidRDefault="0033440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w:t>
            </w:r>
          </w:p>
        </w:tc>
      </w:tr>
      <w:tr w:rsidR="00727867" w:rsidRPr="001D5AE1" w14:paraId="2A11FF1C" w14:textId="77777777" w:rsidTr="00F03096">
        <w:tc>
          <w:tcPr>
            <w:tcW w:w="3114" w:type="dxa"/>
          </w:tcPr>
          <w:p w14:paraId="238D338A"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7AFF0514" w14:textId="6717C917"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 xml:space="preserve">4.3 </w:t>
            </w:r>
            <w:r w:rsidRPr="001D5AE1">
              <w:rPr>
                <w:sz w:val="18"/>
                <w:szCs w:val="18"/>
                <w:lang w:val="fr-FR" w:eastAsia="zh-CN"/>
              </w:rPr>
              <w:t>Accélérer la mise en place de l</w:t>
            </w:r>
            <w:r w:rsidR="00577D76" w:rsidRPr="001D5AE1">
              <w:rPr>
                <w:sz w:val="18"/>
                <w:szCs w:val="18"/>
                <w:lang w:val="fr-FR" w:eastAsia="zh-CN"/>
              </w:rPr>
              <w:t>’</w:t>
            </w:r>
            <w:r w:rsidRPr="001D5AE1">
              <w:rPr>
                <w:sz w:val="18"/>
                <w:szCs w:val="18"/>
                <w:lang w:val="fr-FR" w:eastAsia="zh-CN"/>
              </w:rPr>
              <w:t>ODIS et renforcer sa contribution à la Décennie de l</w:t>
            </w:r>
            <w:r w:rsidR="00577D76" w:rsidRPr="001D5AE1">
              <w:rPr>
                <w:sz w:val="18"/>
                <w:szCs w:val="18"/>
                <w:lang w:val="fr-FR" w:eastAsia="zh-CN"/>
              </w:rPr>
              <w:t>’</w:t>
            </w:r>
            <w:r w:rsidRPr="001D5AE1">
              <w:rPr>
                <w:sz w:val="18"/>
                <w:szCs w:val="18"/>
                <w:lang w:val="fr-FR" w:eastAsia="zh-CN"/>
              </w:rPr>
              <w:t>Océan</w:t>
            </w:r>
            <w:r w:rsidR="0044608A" w:rsidRPr="001D5AE1">
              <w:rPr>
                <w:sz w:val="18"/>
                <w:szCs w:val="18"/>
                <w:lang w:val="fr-FR" w:eastAsia="zh-CN"/>
              </w:rPr>
              <w:t> ;</w:t>
            </w:r>
          </w:p>
        </w:tc>
        <w:tc>
          <w:tcPr>
            <w:tcW w:w="3544" w:type="dxa"/>
          </w:tcPr>
          <w:p w14:paraId="2472C934" w14:textId="69BE3700" w:rsidR="00F77863" w:rsidRPr="001D5AE1" w:rsidRDefault="00B9794C" w:rsidP="00F03096">
            <w:pPr>
              <w:adjustRightInd w:val="0"/>
              <w:spacing w:before="120" w:after="80"/>
              <w:textAlignment w:val="baseline"/>
              <w:rPr>
                <w:sz w:val="18"/>
                <w:szCs w:val="18"/>
                <w:lang w:val="fr-FR"/>
              </w:rPr>
            </w:pPr>
            <w:r w:rsidRPr="001D5AE1">
              <w:rPr>
                <w:sz w:val="18"/>
                <w:szCs w:val="18"/>
                <w:lang w:val="fr-FR"/>
              </w:rPr>
              <w:t>En cours. Un programme intitulé « Système de données et d</w:t>
            </w:r>
            <w:r w:rsidR="00577D76" w:rsidRPr="001D5AE1">
              <w:rPr>
                <w:sz w:val="18"/>
                <w:szCs w:val="18"/>
                <w:lang w:val="fr-FR"/>
              </w:rPr>
              <w:t>’</w:t>
            </w:r>
            <w:r w:rsidRPr="001D5AE1">
              <w:rPr>
                <w:sz w:val="18"/>
                <w:szCs w:val="18"/>
                <w:lang w:val="fr-FR"/>
              </w:rPr>
              <w:t>informations océanographiques à l</w:t>
            </w:r>
            <w:r w:rsidR="00577D76" w:rsidRPr="001D5AE1">
              <w:rPr>
                <w:sz w:val="18"/>
                <w:szCs w:val="18"/>
                <w:lang w:val="fr-FR"/>
              </w:rPr>
              <w:t>’</w:t>
            </w:r>
            <w:r w:rsidRPr="001D5AE1">
              <w:rPr>
                <w:sz w:val="18"/>
                <w:szCs w:val="18"/>
                <w:lang w:val="fr-FR"/>
              </w:rPr>
              <w:t xml:space="preserve">appui de la Décennie des Nations Unies pour les </w:t>
            </w:r>
            <w:r w:rsidRPr="001D5AE1">
              <w:rPr>
                <w:sz w:val="18"/>
                <w:szCs w:val="18"/>
                <w:lang w:val="fr-FR"/>
              </w:rPr>
              <w:lastRenderedPageBreak/>
              <w:t>sciences océaniques au service du développement durable » (OceanData</w:t>
            </w:r>
            <w:r w:rsidR="005B57F5" w:rsidRPr="001D5AE1">
              <w:rPr>
                <w:sz w:val="18"/>
                <w:szCs w:val="18"/>
                <w:lang w:val="fr-FR"/>
              </w:rPr>
              <w:noBreakHyphen/>
            </w:r>
            <w:r w:rsidRPr="001D5AE1">
              <w:rPr>
                <w:sz w:val="18"/>
                <w:szCs w:val="18"/>
                <w:lang w:val="fr-FR"/>
              </w:rPr>
              <w:t>2030)</w:t>
            </w:r>
            <w:r w:rsidR="009265FC" w:rsidRPr="001D5AE1">
              <w:rPr>
                <w:sz w:val="18"/>
                <w:szCs w:val="18"/>
                <w:lang w:val="fr-FR"/>
              </w:rPr>
              <w:t xml:space="preserve"> a été enregistré auprès de la Décennie de l</w:t>
            </w:r>
            <w:r w:rsidR="00577D76" w:rsidRPr="001D5AE1">
              <w:rPr>
                <w:sz w:val="18"/>
                <w:szCs w:val="18"/>
                <w:lang w:val="fr-FR"/>
              </w:rPr>
              <w:t>’</w:t>
            </w:r>
            <w:r w:rsidR="009265FC" w:rsidRPr="001D5AE1">
              <w:rPr>
                <w:sz w:val="18"/>
                <w:szCs w:val="18"/>
                <w:lang w:val="fr-FR"/>
              </w:rPr>
              <w:t>Océan.</w:t>
            </w:r>
          </w:p>
        </w:tc>
        <w:tc>
          <w:tcPr>
            <w:tcW w:w="1781" w:type="dxa"/>
            <w:tcMar>
              <w:right w:w="28" w:type="dxa"/>
            </w:tcMar>
          </w:tcPr>
          <w:p w14:paraId="629D89F5" w14:textId="7EC0B88E" w:rsidR="00F77863" w:rsidRPr="001D5AE1" w:rsidRDefault="009265FC" w:rsidP="005B57F5">
            <w:pPr>
              <w:adjustRightInd w:val="0"/>
              <w:spacing w:before="120" w:after="120"/>
              <w:textAlignment w:val="baseline"/>
              <w:rPr>
                <w:sz w:val="18"/>
                <w:szCs w:val="18"/>
                <w:lang w:val="fr-FR"/>
              </w:rPr>
            </w:pPr>
            <w:r w:rsidRPr="001D5AE1">
              <w:rPr>
                <w:sz w:val="18"/>
                <w:szCs w:val="18"/>
                <w:lang w:val="fr-FR"/>
              </w:rPr>
              <w:lastRenderedPageBreak/>
              <w:t>Chef de l</w:t>
            </w:r>
            <w:r w:rsidR="00577D76" w:rsidRPr="001D5AE1">
              <w:rPr>
                <w:sz w:val="18"/>
                <w:szCs w:val="18"/>
                <w:lang w:val="fr-FR"/>
              </w:rPr>
              <w:t>’</w:t>
            </w:r>
            <w:r w:rsidRPr="001D5AE1">
              <w:rPr>
                <w:sz w:val="18"/>
                <w:szCs w:val="18"/>
                <w:lang w:val="fr-FR"/>
              </w:rPr>
              <w:t>IOC/OST et équipe dirigeante de la</w:t>
            </w:r>
            <w:r w:rsidR="005B57F5" w:rsidRPr="001D5AE1">
              <w:rPr>
                <w:sz w:val="18"/>
                <w:szCs w:val="18"/>
                <w:lang w:val="fr-FR"/>
              </w:rPr>
              <w:t> </w:t>
            </w:r>
            <w:r w:rsidRPr="001D5AE1">
              <w:rPr>
                <w:sz w:val="18"/>
                <w:szCs w:val="18"/>
                <w:lang w:val="fr-FR"/>
              </w:rPr>
              <w:t>COI</w:t>
            </w:r>
          </w:p>
        </w:tc>
        <w:tc>
          <w:tcPr>
            <w:tcW w:w="2126" w:type="dxa"/>
          </w:tcPr>
          <w:p w14:paraId="50C27370" w14:textId="01907F6B" w:rsidR="00F77863" w:rsidRPr="001D5AE1" w:rsidRDefault="009265FC" w:rsidP="005B57F5">
            <w:pPr>
              <w:adjustRightInd w:val="0"/>
              <w:spacing w:before="120" w:after="120"/>
              <w:textAlignment w:val="baseline"/>
              <w:rPr>
                <w:sz w:val="18"/>
                <w:szCs w:val="18"/>
                <w:lang w:val="fr-FR"/>
              </w:rPr>
            </w:pPr>
            <w:r w:rsidRPr="001D5AE1">
              <w:rPr>
                <w:sz w:val="18"/>
                <w:szCs w:val="18"/>
                <w:lang w:val="fr-FR"/>
              </w:rPr>
              <w:t xml:space="preserve">Tout au long de la Décennie, avec la présentation </w:t>
            </w:r>
            <w:r w:rsidR="00F90212" w:rsidRPr="001D5AE1">
              <w:rPr>
                <w:sz w:val="18"/>
                <w:szCs w:val="18"/>
                <w:lang w:val="fr-FR"/>
              </w:rPr>
              <w:t xml:space="preserve">aux organes directeurs de </w:t>
            </w:r>
            <w:r w:rsidR="00F90212" w:rsidRPr="001D5AE1">
              <w:rPr>
                <w:sz w:val="18"/>
                <w:szCs w:val="18"/>
                <w:lang w:val="fr-FR"/>
              </w:rPr>
              <w:lastRenderedPageBreak/>
              <w:t xml:space="preserve">la COI </w:t>
            </w:r>
            <w:r w:rsidRPr="001D5AE1">
              <w:rPr>
                <w:sz w:val="18"/>
                <w:szCs w:val="18"/>
                <w:lang w:val="fr-FR"/>
              </w:rPr>
              <w:t>d</w:t>
            </w:r>
            <w:r w:rsidR="00577D76" w:rsidRPr="001D5AE1">
              <w:rPr>
                <w:sz w:val="18"/>
                <w:szCs w:val="18"/>
                <w:lang w:val="fr-FR"/>
              </w:rPr>
              <w:t>’</w:t>
            </w:r>
            <w:r w:rsidRPr="001D5AE1">
              <w:rPr>
                <w:sz w:val="18"/>
                <w:szCs w:val="18"/>
                <w:lang w:val="fr-FR"/>
              </w:rPr>
              <w:t xml:space="preserve">informations actualisées </w:t>
            </w:r>
            <w:r w:rsidR="00F90212" w:rsidRPr="001D5AE1">
              <w:rPr>
                <w:sz w:val="18"/>
                <w:szCs w:val="18"/>
                <w:lang w:val="fr-FR"/>
              </w:rPr>
              <w:t>sur l</w:t>
            </w:r>
            <w:r w:rsidR="00577D76" w:rsidRPr="001D5AE1">
              <w:rPr>
                <w:sz w:val="18"/>
                <w:szCs w:val="18"/>
                <w:lang w:val="fr-FR"/>
              </w:rPr>
              <w:t>’</w:t>
            </w:r>
            <w:r w:rsidR="00F90212" w:rsidRPr="001D5AE1">
              <w:rPr>
                <w:sz w:val="18"/>
                <w:szCs w:val="18"/>
                <w:lang w:val="fr-FR"/>
              </w:rPr>
              <w:t>état d</w:t>
            </w:r>
            <w:r w:rsidR="00577D76" w:rsidRPr="001D5AE1">
              <w:rPr>
                <w:sz w:val="18"/>
                <w:szCs w:val="18"/>
                <w:lang w:val="fr-FR"/>
              </w:rPr>
              <w:t>’</w:t>
            </w:r>
            <w:r w:rsidR="00F90212" w:rsidRPr="001D5AE1">
              <w:rPr>
                <w:sz w:val="18"/>
                <w:szCs w:val="18"/>
                <w:lang w:val="fr-FR"/>
              </w:rPr>
              <w:t xml:space="preserve">avancement </w:t>
            </w:r>
          </w:p>
        </w:tc>
      </w:tr>
      <w:tr w:rsidR="00727867" w:rsidRPr="001D5AE1" w14:paraId="78BD51A8" w14:textId="77777777" w:rsidTr="00F03096">
        <w:tc>
          <w:tcPr>
            <w:tcW w:w="3114" w:type="dxa"/>
          </w:tcPr>
          <w:p w14:paraId="2297CE48"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34D168EA" w14:textId="587A45D0"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4.4 Rechercher des financements pour préparer le premier Rapport sur l</w:t>
            </w:r>
            <w:r w:rsidR="00577D76" w:rsidRPr="001D5AE1">
              <w:rPr>
                <w:sz w:val="18"/>
                <w:szCs w:val="18"/>
                <w:lang w:val="fr-FR"/>
              </w:rPr>
              <w:t>’</w:t>
            </w:r>
            <w:r w:rsidRPr="001D5AE1">
              <w:rPr>
                <w:sz w:val="18"/>
                <w:szCs w:val="18"/>
                <w:lang w:val="fr-FR"/>
              </w:rPr>
              <w:t>état de l</w:t>
            </w:r>
            <w:r w:rsidR="00577D76" w:rsidRPr="001D5AE1">
              <w:rPr>
                <w:sz w:val="18"/>
                <w:szCs w:val="18"/>
                <w:lang w:val="fr-FR"/>
              </w:rPr>
              <w:t>’</w:t>
            </w:r>
            <w:r w:rsidRPr="001D5AE1">
              <w:rPr>
                <w:sz w:val="18"/>
                <w:szCs w:val="18"/>
                <w:lang w:val="fr-FR"/>
              </w:rPr>
              <w:t>océan d</w:t>
            </w:r>
            <w:r w:rsidR="00577D76" w:rsidRPr="001D5AE1">
              <w:rPr>
                <w:sz w:val="18"/>
                <w:szCs w:val="18"/>
                <w:lang w:val="fr-FR"/>
              </w:rPr>
              <w:t>’</w:t>
            </w:r>
            <w:r w:rsidRPr="001D5AE1">
              <w:rPr>
                <w:sz w:val="18"/>
                <w:szCs w:val="18"/>
                <w:lang w:val="fr-FR"/>
              </w:rPr>
              <w:t>ici à la 32</w:t>
            </w:r>
            <w:r w:rsidRPr="001D5AE1">
              <w:rPr>
                <w:sz w:val="18"/>
                <w:szCs w:val="18"/>
                <w:vertAlign w:val="superscript"/>
                <w:lang w:val="fr-FR"/>
              </w:rPr>
              <w:t>e</w:t>
            </w:r>
            <w:r w:rsidRPr="001D5AE1">
              <w:rPr>
                <w:sz w:val="18"/>
                <w:szCs w:val="18"/>
                <w:lang w:val="fr-FR"/>
              </w:rPr>
              <w:t> session de l</w:t>
            </w:r>
            <w:r w:rsidR="00577D76" w:rsidRPr="001D5AE1">
              <w:rPr>
                <w:sz w:val="18"/>
                <w:szCs w:val="18"/>
                <w:lang w:val="fr-FR"/>
              </w:rPr>
              <w:t>’</w:t>
            </w:r>
            <w:r w:rsidRPr="001D5AE1">
              <w:rPr>
                <w:sz w:val="18"/>
                <w:szCs w:val="18"/>
                <w:lang w:val="fr-FR"/>
              </w:rPr>
              <w:t>Assemblée en</w:t>
            </w:r>
            <w:r w:rsidR="005B57F5" w:rsidRPr="001D5AE1">
              <w:rPr>
                <w:sz w:val="18"/>
                <w:szCs w:val="18"/>
                <w:lang w:val="fr-FR"/>
              </w:rPr>
              <w:t> </w:t>
            </w:r>
            <w:r w:rsidRPr="001D5AE1">
              <w:rPr>
                <w:sz w:val="18"/>
                <w:szCs w:val="18"/>
                <w:lang w:val="fr-FR"/>
              </w:rPr>
              <w:t>2023</w:t>
            </w:r>
            <w:r w:rsidR="0044608A" w:rsidRPr="001D5AE1">
              <w:rPr>
                <w:sz w:val="18"/>
                <w:szCs w:val="18"/>
                <w:lang w:val="fr-FR"/>
              </w:rPr>
              <w:t>.</w:t>
            </w:r>
          </w:p>
        </w:tc>
        <w:tc>
          <w:tcPr>
            <w:tcW w:w="3544" w:type="dxa"/>
          </w:tcPr>
          <w:p w14:paraId="60B29ACB" w14:textId="30C24E36" w:rsidR="00F77863" w:rsidRPr="001D5AE1" w:rsidRDefault="009265FC" w:rsidP="005B57F5">
            <w:pPr>
              <w:adjustRightInd w:val="0"/>
              <w:spacing w:before="120" w:after="120"/>
              <w:textAlignment w:val="baseline"/>
              <w:rPr>
                <w:sz w:val="18"/>
                <w:szCs w:val="18"/>
                <w:lang w:val="fr-FR"/>
              </w:rPr>
            </w:pPr>
            <w:r w:rsidRPr="001D5AE1">
              <w:rPr>
                <w:sz w:val="18"/>
                <w:szCs w:val="18"/>
                <w:lang w:val="fr-FR"/>
              </w:rPr>
              <w:t xml:space="preserve">En cours. La République de Corée continue de prêter du personnel </w:t>
            </w:r>
            <w:r w:rsidR="00D965A3" w:rsidRPr="001D5AE1">
              <w:rPr>
                <w:sz w:val="18"/>
                <w:szCs w:val="18"/>
                <w:lang w:val="fr-FR"/>
              </w:rPr>
              <w:t>par l</w:t>
            </w:r>
            <w:r w:rsidR="00577D76" w:rsidRPr="001D5AE1">
              <w:rPr>
                <w:sz w:val="18"/>
                <w:szCs w:val="18"/>
                <w:lang w:val="fr-FR"/>
              </w:rPr>
              <w:t>’</w:t>
            </w:r>
            <w:r w:rsidR="00D965A3" w:rsidRPr="001D5AE1">
              <w:rPr>
                <w:sz w:val="18"/>
                <w:szCs w:val="18"/>
                <w:lang w:val="fr-FR"/>
              </w:rPr>
              <w:t>intermédiaire de l</w:t>
            </w:r>
            <w:r w:rsidR="00577D76" w:rsidRPr="001D5AE1">
              <w:rPr>
                <w:sz w:val="18"/>
                <w:szCs w:val="18"/>
                <w:lang w:val="fr-FR"/>
              </w:rPr>
              <w:t>’</w:t>
            </w:r>
            <w:r w:rsidR="00D965A3" w:rsidRPr="001D5AE1">
              <w:rPr>
                <w:sz w:val="18"/>
                <w:szCs w:val="18"/>
                <w:lang w:val="fr-FR"/>
              </w:rPr>
              <w:t xml:space="preserve">Institut coréen pour la promotion des sciences et des techniques marines (KIMST) </w:t>
            </w:r>
            <w:r w:rsidRPr="001D5AE1">
              <w:rPr>
                <w:sz w:val="18"/>
                <w:szCs w:val="18"/>
                <w:lang w:val="fr-FR"/>
              </w:rPr>
              <w:t>pour aider à élaborer le Rapport sur l</w:t>
            </w:r>
            <w:r w:rsidR="00577D76" w:rsidRPr="001D5AE1">
              <w:rPr>
                <w:sz w:val="18"/>
                <w:szCs w:val="18"/>
                <w:lang w:val="fr-FR"/>
              </w:rPr>
              <w:t>’</w:t>
            </w:r>
            <w:r w:rsidRPr="001D5AE1">
              <w:rPr>
                <w:sz w:val="18"/>
                <w:szCs w:val="18"/>
                <w:lang w:val="fr-FR"/>
              </w:rPr>
              <w:t>état de l</w:t>
            </w:r>
            <w:r w:rsidR="00577D76" w:rsidRPr="001D5AE1">
              <w:rPr>
                <w:sz w:val="18"/>
                <w:szCs w:val="18"/>
                <w:lang w:val="fr-FR"/>
              </w:rPr>
              <w:t>’</w:t>
            </w:r>
            <w:r w:rsidRPr="001D5AE1">
              <w:rPr>
                <w:sz w:val="18"/>
                <w:szCs w:val="18"/>
                <w:lang w:val="fr-FR"/>
              </w:rPr>
              <w:t>océan</w:t>
            </w:r>
            <w:r w:rsidR="00D965A3" w:rsidRPr="001D5AE1">
              <w:rPr>
                <w:sz w:val="18"/>
                <w:szCs w:val="18"/>
                <w:lang w:val="fr-FR"/>
              </w:rPr>
              <w:t>. Processus de financement avec un partenaire du secteur privé en cours.</w:t>
            </w:r>
          </w:p>
        </w:tc>
        <w:tc>
          <w:tcPr>
            <w:tcW w:w="1781" w:type="dxa"/>
            <w:tcMar>
              <w:right w:w="28" w:type="dxa"/>
            </w:tcMar>
          </w:tcPr>
          <w:p w14:paraId="3EE94A05" w14:textId="1BABB549" w:rsidR="00F77863" w:rsidRPr="001D5AE1" w:rsidRDefault="00D965A3" w:rsidP="005B57F5">
            <w:pPr>
              <w:adjustRightInd w:val="0"/>
              <w:spacing w:before="120" w:after="120"/>
              <w:textAlignment w:val="baseline"/>
              <w:rPr>
                <w:sz w:val="18"/>
                <w:szCs w:val="18"/>
                <w:lang w:val="fr-FR"/>
              </w:rPr>
            </w:pPr>
            <w:r w:rsidRPr="001D5AE1">
              <w:rPr>
                <w:sz w:val="18"/>
                <w:szCs w:val="18"/>
                <w:lang w:val="fr-FR"/>
              </w:rPr>
              <w:t>Secrétaire exécutif et équipe dirigeante de la</w:t>
            </w:r>
            <w:r w:rsidR="005B57F5" w:rsidRPr="001D5AE1">
              <w:rPr>
                <w:sz w:val="18"/>
                <w:szCs w:val="18"/>
                <w:lang w:val="fr-FR"/>
              </w:rPr>
              <w:t> </w:t>
            </w:r>
            <w:r w:rsidRPr="001D5AE1">
              <w:rPr>
                <w:sz w:val="18"/>
                <w:szCs w:val="18"/>
                <w:lang w:val="fr-FR"/>
              </w:rPr>
              <w:t>COI</w:t>
            </w:r>
          </w:p>
        </w:tc>
        <w:tc>
          <w:tcPr>
            <w:tcW w:w="2126" w:type="dxa"/>
          </w:tcPr>
          <w:p w14:paraId="16C9675A" w14:textId="2196829D" w:rsidR="00F77863" w:rsidRPr="001D5AE1" w:rsidRDefault="009265FC"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w:t>
            </w:r>
          </w:p>
        </w:tc>
      </w:tr>
      <w:tr w:rsidR="00727867" w:rsidRPr="001D5AE1" w14:paraId="5C81AED4" w14:textId="77777777" w:rsidTr="00F03096">
        <w:tc>
          <w:tcPr>
            <w:tcW w:w="3114" w:type="dxa"/>
          </w:tcPr>
          <w:p w14:paraId="12B6D484" w14:textId="77777777" w:rsidR="007E1D48" w:rsidRPr="00FE506E" w:rsidRDefault="007E1D48" w:rsidP="005B57F5">
            <w:pPr>
              <w:adjustRightInd w:val="0"/>
              <w:spacing w:before="120" w:after="120"/>
              <w:textAlignment w:val="baseline"/>
              <w:rPr>
                <w:b/>
                <w:bCs/>
                <w:sz w:val="18"/>
                <w:szCs w:val="18"/>
                <w:lang w:val="fr-FR" w:eastAsia="zh-CN"/>
              </w:rPr>
            </w:pPr>
            <w:r w:rsidRPr="00FE506E">
              <w:rPr>
                <w:b/>
                <w:bCs/>
                <w:sz w:val="18"/>
                <w:szCs w:val="18"/>
                <w:lang w:val="fr-FR" w:eastAsia="zh-CN"/>
              </w:rPr>
              <w:t xml:space="preserve">Recommandation 5 : </w:t>
            </w:r>
          </w:p>
          <w:p w14:paraId="481F9369" w14:textId="65C12B01" w:rsidR="00F77863" w:rsidRPr="001D5AE1" w:rsidRDefault="007E1D48" w:rsidP="005B57F5">
            <w:pPr>
              <w:adjustRightInd w:val="0"/>
              <w:spacing w:before="120" w:after="120"/>
              <w:textAlignment w:val="baseline"/>
              <w:rPr>
                <w:sz w:val="18"/>
                <w:szCs w:val="18"/>
                <w:lang w:val="fr-FR"/>
              </w:rPr>
            </w:pPr>
            <w:r w:rsidRPr="00FE506E">
              <w:rPr>
                <w:sz w:val="18"/>
                <w:szCs w:val="18"/>
                <w:lang w:val="fr-FR" w:eastAsia="zh-CN"/>
              </w:rPr>
              <w:t>D</w:t>
            </w:r>
            <w:r w:rsidR="00577D76" w:rsidRPr="00FE506E">
              <w:rPr>
                <w:sz w:val="18"/>
                <w:szCs w:val="18"/>
                <w:lang w:val="fr-FR" w:eastAsia="zh-CN"/>
              </w:rPr>
              <w:t>’</w:t>
            </w:r>
            <w:r w:rsidRPr="00FE506E">
              <w:rPr>
                <w:sz w:val="18"/>
                <w:szCs w:val="18"/>
                <w:lang w:val="fr-FR" w:eastAsia="zh-CN"/>
              </w:rPr>
              <w:t>ici à juin 2022</w:t>
            </w:r>
            <w:r w:rsidR="00636F66" w:rsidRPr="00FE506E">
              <w:rPr>
                <w:sz w:val="18"/>
                <w:szCs w:val="18"/>
                <w:lang w:val="fr-FR" w:eastAsia="zh-CN"/>
              </w:rPr>
              <w:t> </w:t>
            </w:r>
            <w:r w:rsidRPr="00FE506E">
              <w:rPr>
                <w:sz w:val="18"/>
                <w:szCs w:val="18"/>
                <w:lang w:val="fr-FR" w:eastAsia="zh-CN"/>
              </w:rPr>
              <w:t>–</w:t>
            </w:r>
            <w:r w:rsidR="00636F66" w:rsidRPr="00FE506E">
              <w:rPr>
                <w:sz w:val="18"/>
                <w:szCs w:val="18"/>
                <w:lang w:val="fr-FR" w:eastAsia="zh-CN"/>
              </w:rPr>
              <w:t> </w:t>
            </w:r>
            <w:r w:rsidRPr="00FE506E">
              <w:rPr>
                <w:sz w:val="18"/>
                <w:szCs w:val="18"/>
                <w:lang w:val="fr-FR" w:eastAsia="zh-CN"/>
              </w:rPr>
              <w:t>Explorer les moyens de s</w:t>
            </w:r>
            <w:r w:rsidR="00577D76" w:rsidRPr="00FE506E">
              <w:rPr>
                <w:sz w:val="18"/>
                <w:szCs w:val="18"/>
                <w:lang w:val="fr-FR" w:eastAsia="zh-CN"/>
              </w:rPr>
              <w:t>’</w:t>
            </w:r>
            <w:r w:rsidRPr="00FE506E">
              <w:rPr>
                <w:sz w:val="18"/>
                <w:szCs w:val="18"/>
                <w:lang w:val="fr-FR" w:eastAsia="zh-CN"/>
              </w:rPr>
              <w:t>assurer l</w:t>
            </w:r>
            <w:r w:rsidRPr="00225913">
              <w:rPr>
                <w:sz w:val="18"/>
                <w:szCs w:val="18"/>
                <w:lang w:val="fr-FR" w:eastAsia="zh-CN"/>
              </w:rPr>
              <w:t>e concours additionnel de décideurs de haut niveau aux activités de la COI</w:t>
            </w:r>
          </w:p>
        </w:tc>
        <w:tc>
          <w:tcPr>
            <w:tcW w:w="3827" w:type="dxa"/>
          </w:tcPr>
          <w:p w14:paraId="7E66FEEE" w14:textId="2F0C4B44"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 xml:space="preserve">5.1 </w:t>
            </w:r>
            <w:r w:rsidR="001F412D" w:rsidRPr="001D5AE1">
              <w:rPr>
                <w:sz w:val="18"/>
                <w:szCs w:val="18"/>
                <w:lang w:val="fr-FR"/>
              </w:rPr>
              <w:t>Dresser un état des lieux avec les principales organisations nationales et régionales issues de différents secteurs et jouant un rôle dans la formulation de politiques afin de mettre en évidence les points d</w:t>
            </w:r>
            <w:r w:rsidR="00577D76" w:rsidRPr="001D5AE1">
              <w:rPr>
                <w:sz w:val="18"/>
                <w:szCs w:val="18"/>
                <w:lang w:val="fr-FR"/>
              </w:rPr>
              <w:t>’</w:t>
            </w:r>
            <w:r w:rsidR="001F412D" w:rsidRPr="001D5AE1">
              <w:rPr>
                <w:sz w:val="18"/>
                <w:szCs w:val="18"/>
                <w:lang w:val="fr-FR"/>
              </w:rPr>
              <w:t>entrée prioritaires pour renforcer l</w:t>
            </w:r>
            <w:r w:rsidR="00577D76" w:rsidRPr="001D5AE1">
              <w:rPr>
                <w:sz w:val="18"/>
                <w:szCs w:val="18"/>
                <w:lang w:val="fr-FR"/>
              </w:rPr>
              <w:t>’</w:t>
            </w:r>
            <w:r w:rsidR="001F412D" w:rsidRPr="001D5AE1">
              <w:rPr>
                <w:sz w:val="18"/>
                <w:szCs w:val="18"/>
                <w:lang w:val="fr-FR"/>
              </w:rPr>
              <w:t>engagement par le biais de la Décennie de l</w:t>
            </w:r>
            <w:r w:rsidR="00577D76" w:rsidRPr="001D5AE1">
              <w:rPr>
                <w:sz w:val="18"/>
                <w:szCs w:val="18"/>
                <w:lang w:val="fr-FR"/>
              </w:rPr>
              <w:t>’</w:t>
            </w:r>
            <w:r w:rsidR="001F412D" w:rsidRPr="001D5AE1">
              <w:rPr>
                <w:sz w:val="18"/>
                <w:szCs w:val="18"/>
                <w:lang w:val="fr-FR"/>
              </w:rPr>
              <w:t>Océan et des activités de programme de la</w:t>
            </w:r>
            <w:r w:rsidR="005B57F5" w:rsidRPr="001D5AE1">
              <w:rPr>
                <w:sz w:val="18"/>
                <w:szCs w:val="18"/>
                <w:lang w:val="fr-FR"/>
              </w:rPr>
              <w:t> </w:t>
            </w:r>
            <w:r w:rsidR="001F412D" w:rsidRPr="001D5AE1">
              <w:rPr>
                <w:sz w:val="18"/>
                <w:szCs w:val="18"/>
                <w:lang w:val="fr-FR"/>
              </w:rPr>
              <w:t>COI</w:t>
            </w:r>
            <w:r w:rsidR="003269D9">
              <w:rPr>
                <w:sz w:val="18"/>
                <w:szCs w:val="18"/>
                <w:lang w:val="fr-FR"/>
              </w:rPr>
              <w:t> ;</w:t>
            </w:r>
          </w:p>
        </w:tc>
        <w:tc>
          <w:tcPr>
            <w:tcW w:w="3544" w:type="dxa"/>
          </w:tcPr>
          <w:p w14:paraId="504EDDDB" w14:textId="77777777" w:rsidR="00F77863" w:rsidRPr="001D5AE1" w:rsidRDefault="00F77863" w:rsidP="005B57F5">
            <w:pPr>
              <w:adjustRightInd w:val="0"/>
              <w:spacing w:before="120" w:after="120"/>
              <w:textAlignment w:val="baseline"/>
              <w:rPr>
                <w:sz w:val="18"/>
                <w:szCs w:val="18"/>
                <w:lang w:val="fr-FR"/>
              </w:rPr>
            </w:pPr>
          </w:p>
        </w:tc>
        <w:tc>
          <w:tcPr>
            <w:tcW w:w="1781" w:type="dxa"/>
            <w:tcMar>
              <w:right w:w="28" w:type="dxa"/>
            </w:tcMar>
          </w:tcPr>
          <w:p w14:paraId="7CA1FBE3" w14:textId="560FA623" w:rsidR="00F77863" w:rsidRPr="001D5AE1" w:rsidRDefault="00F62196" w:rsidP="005B57F5">
            <w:pPr>
              <w:adjustRightInd w:val="0"/>
              <w:spacing w:before="120" w:after="120"/>
              <w:textAlignment w:val="baseline"/>
              <w:rPr>
                <w:sz w:val="18"/>
                <w:szCs w:val="18"/>
                <w:lang w:val="fr-FR"/>
              </w:rPr>
            </w:pPr>
            <w:r w:rsidRPr="001D5AE1">
              <w:rPr>
                <w:sz w:val="18"/>
                <w:szCs w:val="18"/>
                <w:lang w:val="fr-FR"/>
              </w:rPr>
              <w:t>Secrétaire exécutif et équipe dirigeante de la</w:t>
            </w:r>
            <w:r w:rsidR="005B57F5" w:rsidRPr="001D5AE1">
              <w:rPr>
                <w:sz w:val="18"/>
                <w:szCs w:val="18"/>
                <w:lang w:val="fr-FR"/>
              </w:rPr>
              <w:t> </w:t>
            </w:r>
            <w:r w:rsidRPr="001D5AE1">
              <w:rPr>
                <w:sz w:val="18"/>
                <w:szCs w:val="18"/>
                <w:lang w:val="fr-FR"/>
              </w:rPr>
              <w:t>COI</w:t>
            </w:r>
          </w:p>
        </w:tc>
        <w:tc>
          <w:tcPr>
            <w:tcW w:w="2126" w:type="dxa"/>
          </w:tcPr>
          <w:p w14:paraId="6D4931CB" w14:textId="54F72125" w:rsidR="00F77863" w:rsidRPr="001D5AE1" w:rsidRDefault="00F62196" w:rsidP="005B57F5">
            <w:pPr>
              <w:adjustRightInd w:val="0"/>
              <w:spacing w:before="120" w:after="120"/>
              <w:textAlignment w:val="baseline"/>
              <w:rPr>
                <w:sz w:val="18"/>
                <w:szCs w:val="18"/>
                <w:lang w:val="fr-FR"/>
              </w:rPr>
            </w:pPr>
            <w:r w:rsidRPr="001D5AE1">
              <w:rPr>
                <w:sz w:val="18"/>
                <w:szCs w:val="18"/>
                <w:lang w:val="fr-FR"/>
              </w:rPr>
              <w:t>4</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w:t>
            </w:r>
          </w:p>
        </w:tc>
      </w:tr>
      <w:tr w:rsidR="00727867" w:rsidRPr="001D5AE1" w14:paraId="3933DC84" w14:textId="77777777" w:rsidTr="00F03096">
        <w:tc>
          <w:tcPr>
            <w:tcW w:w="3114" w:type="dxa"/>
          </w:tcPr>
          <w:p w14:paraId="4E2DC5AF"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4D05B486" w14:textId="5858C34A"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 xml:space="preserve">5.2 </w:t>
            </w:r>
            <w:r w:rsidR="001F412D" w:rsidRPr="001D5AE1">
              <w:rPr>
                <w:sz w:val="18"/>
                <w:szCs w:val="18"/>
                <w:lang w:val="fr-FR"/>
              </w:rPr>
              <w:t>Améliorer radicalement l</w:t>
            </w:r>
            <w:r w:rsidR="00577D76" w:rsidRPr="001D5AE1">
              <w:rPr>
                <w:sz w:val="18"/>
                <w:szCs w:val="18"/>
                <w:lang w:val="fr-FR"/>
              </w:rPr>
              <w:t>’</w:t>
            </w:r>
            <w:r w:rsidR="001F412D" w:rsidRPr="001D5AE1">
              <w:rPr>
                <w:sz w:val="18"/>
                <w:szCs w:val="18"/>
                <w:lang w:val="fr-FR"/>
              </w:rPr>
              <w:t xml:space="preserve">efficacité des communications en commençant par élaborer une </w:t>
            </w:r>
            <w:r w:rsidR="001F412D" w:rsidRPr="001D5AE1">
              <w:rPr>
                <w:i/>
                <w:iCs/>
                <w:sz w:val="18"/>
                <w:szCs w:val="18"/>
                <w:lang w:val="fr-FR"/>
              </w:rPr>
              <w:t>stratégie de communication pour la COI</w:t>
            </w:r>
            <w:r w:rsidR="001F412D" w:rsidRPr="001D5AE1">
              <w:rPr>
                <w:sz w:val="18"/>
                <w:szCs w:val="18"/>
                <w:lang w:val="fr-FR"/>
              </w:rPr>
              <w:t xml:space="preserve"> avec l</w:t>
            </w:r>
            <w:r w:rsidR="00577D76" w:rsidRPr="001D5AE1">
              <w:rPr>
                <w:sz w:val="18"/>
                <w:szCs w:val="18"/>
                <w:lang w:val="fr-FR"/>
              </w:rPr>
              <w:t>’</w:t>
            </w:r>
            <w:r w:rsidR="001F412D" w:rsidRPr="001D5AE1">
              <w:rPr>
                <w:sz w:val="18"/>
                <w:szCs w:val="18"/>
                <w:lang w:val="fr-FR"/>
              </w:rPr>
              <w:t>aide d</w:t>
            </w:r>
            <w:r w:rsidR="00577D76" w:rsidRPr="001D5AE1">
              <w:rPr>
                <w:sz w:val="18"/>
                <w:szCs w:val="18"/>
                <w:lang w:val="fr-FR"/>
              </w:rPr>
              <w:t>’</w:t>
            </w:r>
            <w:r w:rsidR="001F412D" w:rsidRPr="001D5AE1">
              <w:rPr>
                <w:sz w:val="18"/>
                <w:szCs w:val="18"/>
                <w:lang w:val="fr-FR"/>
              </w:rPr>
              <w:t>un spécialiste en communication</w:t>
            </w:r>
            <w:r w:rsidR="00F62196" w:rsidRPr="001D5AE1">
              <w:rPr>
                <w:sz w:val="18"/>
                <w:szCs w:val="18"/>
                <w:lang w:val="fr-FR"/>
              </w:rPr>
              <w:t>. Ce processus doit être participatif et inclure les membres de l</w:t>
            </w:r>
            <w:r w:rsidR="00577D76" w:rsidRPr="001D5AE1">
              <w:rPr>
                <w:sz w:val="18"/>
                <w:szCs w:val="18"/>
                <w:lang w:val="fr-FR"/>
              </w:rPr>
              <w:t>’</w:t>
            </w:r>
            <w:r w:rsidR="00F62196" w:rsidRPr="001D5AE1">
              <w:rPr>
                <w:sz w:val="18"/>
                <w:szCs w:val="18"/>
                <w:lang w:val="fr-FR"/>
              </w:rPr>
              <w:t>équipe dirigeante afin de décider de l</w:t>
            </w:r>
            <w:r w:rsidR="00577D76" w:rsidRPr="001D5AE1">
              <w:rPr>
                <w:sz w:val="18"/>
                <w:szCs w:val="18"/>
                <w:lang w:val="fr-FR"/>
              </w:rPr>
              <w:t>’</w:t>
            </w:r>
            <w:r w:rsidR="00F62196" w:rsidRPr="001D5AE1">
              <w:rPr>
                <w:sz w:val="18"/>
                <w:szCs w:val="18"/>
                <w:lang w:val="fr-FR"/>
              </w:rPr>
              <w:t>énoncé de la vision de la Commission, des thèmes de communication, des publics et des canaux prioritaires, tout en tenant compte du fait que la</w:t>
            </w:r>
            <w:r w:rsidR="00636F66" w:rsidRPr="001D5AE1">
              <w:rPr>
                <w:sz w:val="18"/>
                <w:szCs w:val="18"/>
                <w:lang w:val="fr-FR"/>
              </w:rPr>
              <w:t> </w:t>
            </w:r>
            <w:r w:rsidR="00F62196" w:rsidRPr="001D5AE1">
              <w:rPr>
                <w:sz w:val="18"/>
                <w:szCs w:val="18"/>
                <w:lang w:val="fr-FR"/>
              </w:rPr>
              <w:t>COI est une composante de l</w:t>
            </w:r>
            <w:r w:rsidR="00577D76" w:rsidRPr="001D5AE1">
              <w:rPr>
                <w:sz w:val="18"/>
                <w:szCs w:val="18"/>
                <w:lang w:val="fr-FR"/>
              </w:rPr>
              <w:t>’</w:t>
            </w:r>
            <w:r w:rsidR="00F62196" w:rsidRPr="001D5AE1">
              <w:rPr>
                <w:sz w:val="18"/>
                <w:szCs w:val="18"/>
                <w:lang w:val="fr-FR"/>
              </w:rPr>
              <w:t>UNESCO ;</w:t>
            </w:r>
          </w:p>
        </w:tc>
        <w:tc>
          <w:tcPr>
            <w:tcW w:w="3544" w:type="dxa"/>
          </w:tcPr>
          <w:p w14:paraId="6EEB4C5F" w14:textId="77777777" w:rsidR="00F77863" w:rsidRPr="001D5AE1" w:rsidRDefault="00F77863" w:rsidP="005B57F5">
            <w:pPr>
              <w:adjustRightInd w:val="0"/>
              <w:spacing w:before="120" w:after="120"/>
              <w:textAlignment w:val="baseline"/>
              <w:rPr>
                <w:sz w:val="18"/>
                <w:szCs w:val="18"/>
                <w:lang w:val="fr-FR"/>
              </w:rPr>
            </w:pPr>
          </w:p>
        </w:tc>
        <w:tc>
          <w:tcPr>
            <w:tcW w:w="1781" w:type="dxa"/>
            <w:tcMar>
              <w:right w:w="28" w:type="dxa"/>
            </w:tcMar>
          </w:tcPr>
          <w:p w14:paraId="53DDD498" w14:textId="10A6150D" w:rsidR="00F77863" w:rsidRPr="001D5AE1" w:rsidRDefault="00F62196" w:rsidP="005B57F5">
            <w:pPr>
              <w:adjustRightInd w:val="0"/>
              <w:spacing w:before="120" w:after="120"/>
              <w:textAlignment w:val="baseline"/>
              <w:rPr>
                <w:sz w:val="18"/>
                <w:szCs w:val="18"/>
                <w:lang w:val="fr-FR"/>
              </w:rPr>
            </w:pPr>
            <w:r w:rsidRPr="001D5AE1">
              <w:rPr>
                <w:sz w:val="18"/>
                <w:szCs w:val="18"/>
                <w:lang w:val="fr-FR"/>
              </w:rPr>
              <w:t>Secrétaire exécutif et équipe dirigeante de la</w:t>
            </w:r>
            <w:r w:rsidR="005B57F5" w:rsidRPr="001D5AE1">
              <w:rPr>
                <w:sz w:val="18"/>
                <w:szCs w:val="18"/>
                <w:lang w:val="fr-FR"/>
              </w:rPr>
              <w:t> </w:t>
            </w:r>
            <w:r w:rsidRPr="001D5AE1">
              <w:rPr>
                <w:sz w:val="18"/>
                <w:szCs w:val="18"/>
                <w:lang w:val="fr-FR"/>
              </w:rPr>
              <w:t>COI</w:t>
            </w:r>
          </w:p>
        </w:tc>
        <w:tc>
          <w:tcPr>
            <w:tcW w:w="2126" w:type="dxa"/>
          </w:tcPr>
          <w:p w14:paraId="00319D45" w14:textId="7DC7CBED" w:rsidR="00F77863" w:rsidRPr="001D5AE1" w:rsidRDefault="00F62196"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 –</w:t>
            </w:r>
            <w:r w:rsidR="005B57F5" w:rsidRPr="001D5AE1">
              <w:rPr>
                <w:sz w:val="18"/>
                <w:szCs w:val="18"/>
                <w:lang w:val="fr-FR"/>
              </w:rPr>
              <w:t> </w:t>
            </w:r>
            <w:r w:rsidRPr="001D5AE1">
              <w:rPr>
                <w:sz w:val="18"/>
                <w:szCs w:val="18"/>
                <w:lang w:val="fr-FR"/>
              </w:rPr>
              <w:t>premier projet à</w:t>
            </w:r>
            <w:r w:rsidR="00A55DC2">
              <w:rPr>
                <w:sz w:val="18"/>
                <w:szCs w:val="18"/>
                <w:lang w:val="fr-FR"/>
              </w:rPr>
              <w:t> </w:t>
            </w:r>
            <w:r w:rsidRPr="001D5AE1">
              <w:rPr>
                <w:sz w:val="18"/>
                <w:szCs w:val="18"/>
                <w:lang w:val="fr-FR"/>
              </w:rPr>
              <w:t>présenter à la</w:t>
            </w:r>
            <w:r w:rsidR="00A55DC2">
              <w:rPr>
                <w:sz w:val="18"/>
                <w:szCs w:val="18"/>
                <w:lang w:val="fr-FR"/>
              </w:rPr>
              <w:t> </w:t>
            </w:r>
            <w:r w:rsidRPr="001D5AE1">
              <w:rPr>
                <w:sz w:val="18"/>
                <w:szCs w:val="18"/>
                <w:lang w:val="fr-FR"/>
              </w:rPr>
              <w:t>57</w:t>
            </w:r>
            <w:r w:rsidRPr="001D5AE1">
              <w:rPr>
                <w:sz w:val="18"/>
                <w:szCs w:val="18"/>
                <w:vertAlign w:val="superscript"/>
                <w:lang w:val="fr-FR"/>
              </w:rPr>
              <w:t>e</w:t>
            </w:r>
            <w:r w:rsidR="005B57F5" w:rsidRPr="001D5AE1">
              <w:rPr>
                <w:sz w:val="18"/>
                <w:szCs w:val="18"/>
                <w:lang w:val="fr-FR"/>
              </w:rPr>
              <w:t> </w:t>
            </w:r>
            <w:r w:rsidRPr="001D5AE1">
              <w:rPr>
                <w:sz w:val="18"/>
                <w:szCs w:val="18"/>
                <w:lang w:val="fr-FR"/>
              </w:rPr>
              <w:t>session du</w:t>
            </w:r>
            <w:r w:rsidR="00A55DC2">
              <w:rPr>
                <w:sz w:val="18"/>
                <w:szCs w:val="18"/>
                <w:lang w:val="fr-FR"/>
              </w:rPr>
              <w:t> </w:t>
            </w:r>
            <w:r w:rsidRPr="001D5AE1">
              <w:rPr>
                <w:sz w:val="18"/>
                <w:szCs w:val="18"/>
                <w:lang w:val="fr-FR"/>
              </w:rPr>
              <w:t xml:space="preserve">Conseil exécutif </w:t>
            </w:r>
            <w:r w:rsidR="00A55DC2">
              <w:rPr>
                <w:sz w:val="18"/>
                <w:szCs w:val="18"/>
                <w:lang w:val="fr-FR"/>
              </w:rPr>
              <w:br/>
            </w:r>
            <w:r w:rsidRPr="001D5AE1">
              <w:rPr>
                <w:sz w:val="18"/>
                <w:szCs w:val="18"/>
                <w:lang w:val="fr-FR"/>
              </w:rPr>
              <w:t>de la COI</w:t>
            </w:r>
          </w:p>
        </w:tc>
      </w:tr>
      <w:tr w:rsidR="00727867" w:rsidRPr="001D5AE1" w14:paraId="59C3DD50" w14:textId="77777777" w:rsidTr="00262A6A">
        <w:tc>
          <w:tcPr>
            <w:tcW w:w="3114" w:type="dxa"/>
          </w:tcPr>
          <w:p w14:paraId="48413406"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0875A630" w14:textId="266F87D6"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 xml:space="preserve">5.3 </w:t>
            </w:r>
            <w:r w:rsidR="001F412D" w:rsidRPr="001D5AE1">
              <w:rPr>
                <w:sz w:val="18"/>
                <w:szCs w:val="18"/>
                <w:lang w:val="fr-FR"/>
              </w:rPr>
              <w:t>Publier un bulletin annuel ou semestriel sur les « meilleurs résultats » de la Commission, qui met en évidence ses principales réalisations et démontre sa valeur renouvelée</w:t>
            </w:r>
            <w:r w:rsidR="00C82F17" w:rsidRPr="001D5AE1">
              <w:rPr>
                <w:sz w:val="18"/>
                <w:szCs w:val="18"/>
                <w:lang w:val="fr-FR"/>
              </w:rPr>
              <w:t> ;</w:t>
            </w:r>
          </w:p>
        </w:tc>
        <w:tc>
          <w:tcPr>
            <w:tcW w:w="3544" w:type="dxa"/>
          </w:tcPr>
          <w:p w14:paraId="247525BA" w14:textId="77777777" w:rsidR="00F77863" w:rsidRPr="001D5AE1" w:rsidRDefault="00F77863" w:rsidP="005B57F5">
            <w:pPr>
              <w:adjustRightInd w:val="0"/>
              <w:spacing w:before="120" w:after="120"/>
              <w:textAlignment w:val="baseline"/>
              <w:rPr>
                <w:sz w:val="18"/>
                <w:szCs w:val="18"/>
                <w:lang w:val="fr-FR"/>
              </w:rPr>
            </w:pPr>
          </w:p>
        </w:tc>
        <w:tc>
          <w:tcPr>
            <w:tcW w:w="1781" w:type="dxa"/>
          </w:tcPr>
          <w:p w14:paraId="3D352371" w14:textId="74E73E5B" w:rsidR="00F77863" w:rsidRPr="001D5AE1" w:rsidRDefault="00C82F17" w:rsidP="005B57F5">
            <w:pPr>
              <w:adjustRightInd w:val="0"/>
              <w:spacing w:before="120" w:after="120"/>
              <w:textAlignment w:val="baseline"/>
              <w:rPr>
                <w:sz w:val="18"/>
                <w:szCs w:val="18"/>
                <w:lang w:val="fr-FR"/>
              </w:rPr>
            </w:pPr>
            <w:r w:rsidRPr="001D5AE1">
              <w:rPr>
                <w:sz w:val="18"/>
                <w:szCs w:val="18"/>
                <w:lang w:val="fr-FR"/>
              </w:rPr>
              <w:t xml:space="preserve">Secrétaire exécutif et équipe chargée de la communication </w:t>
            </w:r>
            <w:r w:rsidR="00A55DC2">
              <w:rPr>
                <w:sz w:val="18"/>
                <w:szCs w:val="18"/>
                <w:lang w:val="fr-FR"/>
              </w:rPr>
              <w:br/>
            </w:r>
            <w:r w:rsidRPr="001D5AE1">
              <w:rPr>
                <w:sz w:val="18"/>
                <w:szCs w:val="18"/>
                <w:lang w:val="fr-FR"/>
              </w:rPr>
              <w:t>de la</w:t>
            </w:r>
            <w:r w:rsidR="00636F66" w:rsidRPr="001D5AE1">
              <w:rPr>
                <w:sz w:val="18"/>
                <w:szCs w:val="18"/>
                <w:lang w:val="fr-FR"/>
              </w:rPr>
              <w:t> </w:t>
            </w:r>
            <w:r w:rsidRPr="001D5AE1">
              <w:rPr>
                <w:sz w:val="18"/>
                <w:szCs w:val="18"/>
                <w:lang w:val="fr-FR"/>
              </w:rPr>
              <w:t>COI</w:t>
            </w:r>
          </w:p>
        </w:tc>
        <w:tc>
          <w:tcPr>
            <w:tcW w:w="2126" w:type="dxa"/>
          </w:tcPr>
          <w:p w14:paraId="3A9D7BD8" w14:textId="57A5248B" w:rsidR="00F77863" w:rsidRPr="001D5AE1" w:rsidRDefault="00C82F1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w:t>
            </w:r>
          </w:p>
        </w:tc>
      </w:tr>
      <w:tr w:rsidR="00727867" w:rsidRPr="001D5AE1" w14:paraId="28BA507F" w14:textId="77777777" w:rsidTr="00262A6A">
        <w:tc>
          <w:tcPr>
            <w:tcW w:w="3114" w:type="dxa"/>
          </w:tcPr>
          <w:p w14:paraId="3F2AF4CB"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6DFDF01A" w14:textId="7A05EF38" w:rsidR="00F77863" w:rsidRPr="001D5AE1" w:rsidRDefault="007E1D48" w:rsidP="005B57F5">
            <w:pPr>
              <w:adjustRightInd w:val="0"/>
              <w:spacing w:before="120" w:after="120"/>
              <w:textAlignment w:val="baseline"/>
              <w:rPr>
                <w:sz w:val="18"/>
                <w:szCs w:val="18"/>
                <w:lang w:val="fr-FR"/>
              </w:rPr>
            </w:pPr>
            <w:r w:rsidRPr="001D5AE1">
              <w:rPr>
                <w:sz w:val="18"/>
                <w:szCs w:val="18"/>
                <w:lang w:val="fr-FR"/>
              </w:rPr>
              <w:t xml:space="preserve">5.4 </w:t>
            </w:r>
            <w:r w:rsidR="001F412D" w:rsidRPr="001D5AE1">
              <w:rPr>
                <w:sz w:val="18"/>
                <w:szCs w:val="18"/>
                <w:lang w:val="fr-FR"/>
              </w:rPr>
              <w:t xml:space="preserve">Clarifier la </w:t>
            </w:r>
            <w:r w:rsidR="001F412D" w:rsidRPr="001D5AE1">
              <w:rPr>
                <w:i/>
                <w:iCs/>
                <w:sz w:val="18"/>
                <w:szCs w:val="18"/>
                <w:lang w:val="fr-FR"/>
              </w:rPr>
              <w:t>politique relative à l</w:t>
            </w:r>
            <w:r w:rsidR="00577D76" w:rsidRPr="001D5AE1">
              <w:rPr>
                <w:i/>
                <w:iCs/>
                <w:sz w:val="18"/>
                <w:szCs w:val="18"/>
                <w:lang w:val="fr-FR"/>
              </w:rPr>
              <w:t>’</w:t>
            </w:r>
            <w:r w:rsidR="001F412D" w:rsidRPr="001D5AE1">
              <w:rPr>
                <w:i/>
                <w:iCs/>
                <w:sz w:val="18"/>
                <w:szCs w:val="18"/>
                <w:lang w:val="fr-FR"/>
              </w:rPr>
              <w:t>utilisation du logo</w:t>
            </w:r>
            <w:r w:rsidR="001F412D" w:rsidRPr="001D5AE1">
              <w:rPr>
                <w:sz w:val="18"/>
                <w:szCs w:val="18"/>
                <w:lang w:val="fr-FR"/>
              </w:rPr>
              <w:t xml:space="preserve"> de la COI afin de garantir la cohérence de l</w:t>
            </w:r>
            <w:r w:rsidR="00577D76" w:rsidRPr="001D5AE1">
              <w:rPr>
                <w:sz w:val="18"/>
                <w:szCs w:val="18"/>
                <w:lang w:val="fr-FR"/>
              </w:rPr>
              <w:t>’</w:t>
            </w:r>
            <w:r w:rsidR="001F412D" w:rsidRPr="001D5AE1">
              <w:rPr>
                <w:sz w:val="18"/>
                <w:szCs w:val="18"/>
                <w:lang w:val="fr-FR"/>
              </w:rPr>
              <w:t>image de marque de la Commission</w:t>
            </w:r>
            <w:r w:rsidR="00C82F17" w:rsidRPr="001D5AE1">
              <w:rPr>
                <w:sz w:val="18"/>
                <w:szCs w:val="18"/>
                <w:lang w:val="fr-FR"/>
              </w:rPr>
              <w:t>.</w:t>
            </w:r>
          </w:p>
        </w:tc>
        <w:tc>
          <w:tcPr>
            <w:tcW w:w="3544" w:type="dxa"/>
          </w:tcPr>
          <w:p w14:paraId="41F105EA" w14:textId="1C3D3140" w:rsidR="00F77863" w:rsidRPr="001D5AE1" w:rsidRDefault="00C82F17" w:rsidP="005B57F5">
            <w:pPr>
              <w:adjustRightInd w:val="0"/>
              <w:spacing w:before="120" w:after="120"/>
              <w:textAlignment w:val="baseline"/>
              <w:rPr>
                <w:sz w:val="18"/>
                <w:szCs w:val="18"/>
                <w:lang w:val="fr-FR"/>
              </w:rPr>
            </w:pPr>
            <w:r w:rsidRPr="001D5AE1">
              <w:rPr>
                <w:sz w:val="18"/>
                <w:szCs w:val="18"/>
                <w:lang w:val="fr-FR"/>
              </w:rPr>
              <w:t>En cours. Discussion engagée avec DIR/DBS et en interne au sein de l</w:t>
            </w:r>
            <w:r w:rsidR="00577D76" w:rsidRPr="001D5AE1">
              <w:rPr>
                <w:sz w:val="18"/>
                <w:szCs w:val="18"/>
                <w:lang w:val="fr-FR"/>
              </w:rPr>
              <w:t>’</w:t>
            </w:r>
            <w:r w:rsidRPr="001D5AE1">
              <w:rPr>
                <w:sz w:val="18"/>
                <w:szCs w:val="18"/>
                <w:lang w:val="fr-FR"/>
              </w:rPr>
              <w:t>équipe dirigeante de la COI.</w:t>
            </w:r>
          </w:p>
        </w:tc>
        <w:tc>
          <w:tcPr>
            <w:tcW w:w="1781" w:type="dxa"/>
          </w:tcPr>
          <w:p w14:paraId="567CAE35" w14:textId="6650122E" w:rsidR="00F77863" w:rsidRPr="001D5AE1" w:rsidRDefault="00C82F17" w:rsidP="005B57F5">
            <w:pPr>
              <w:adjustRightInd w:val="0"/>
              <w:spacing w:before="120" w:after="120"/>
              <w:textAlignment w:val="baseline"/>
              <w:rPr>
                <w:sz w:val="18"/>
                <w:szCs w:val="18"/>
                <w:lang w:val="fr-FR"/>
              </w:rPr>
            </w:pPr>
            <w:r w:rsidRPr="001D5AE1">
              <w:rPr>
                <w:sz w:val="18"/>
                <w:szCs w:val="18"/>
                <w:lang w:val="fr-FR"/>
              </w:rPr>
              <w:t xml:space="preserve">Secrétaire exécutif et équipe chargée de la communication </w:t>
            </w:r>
            <w:r w:rsidR="00A55DC2">
              <w:rPr>
                <w:sz w:val="18"/>
                <w:szCs w:val="18"/>
                <w:lang w:val="fr-FR"/>
              </w:rPr>
              <w:br/>
            </w:r>
            <w:r w:rsidRPr="001D5AE1">
              <w:rPr>
                <w:sz w:val="18"/>
                <w:szCs w:val="18"/>
                <w:lang w:val="fr-FR"/>
              </w:rPr>
              <w:t>de la</w:t>
            </w:r>
            <w:r w:rsidR="00636F66" w:rsidRPr="001D5AE1">
              <w:rPr>
                <w:sz w:val="18"/>
                <w:szCs w:val="18"/>
                <w:lang w:val="fr-FR"/>
              </w:rPr>
              <w:t> </w:t>
            </w:r>
            <w:r w:rsidRPr="001D5AE1">
              <w:rPr>
                <w:sz w:val="18"/>
                <w:szCs w:val="18"/>
                <w:lang w:val="fr-FR"/>
              </w:rPr>
              <w:t>COI</w:t>
            </w:r>
          </w:p>
        </w:tc>
        <w:tc>
          <w:tcPr>
            <w:tcW w:w="2126" w:type="dxa"/>
          </w:tcPr>
          <w:p w14:paraId="08341D0B" w14:textId="12E2EC65" w:rsidR="00F77863" w:rsidRPr="001D5AE1" w:rsidRDefault="00C82F1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Pr="001D5AE1">
              <w:rPr>
                <w:sz w:val="18"/>
                <w:szCs w:val="18"/>
                <w:lang w:val="fr-FR"/>
              </w:rPr>
              <w:t xml:space="preserve"> trimestre 2024 –</w:t>
            </w:r>
            <w:r w:rsidR="005B57F5" w:rsidRPr="001D5AE1">
              <w:rPr>
                <w:sz w:val="18"/>
                <w:szCs w:val="18"/>
                <w:lang w:val="fr-FR"/>
              </w:rPr>
              <w:t> </w:t>
            </w:r>
            <w:r w:rsidRPr="001D5AE1">
              <w:rPr>
                <w:sz w:val="18"/>
                <w:szCs w:val="18"/>
                <w:lang w:val="fr-FR"/>
              </w:rPr>
              <w:t>proposition à présenter à la 57</w:t>
            </w:r>
            <w:r w:rsidRPr="001D5AE1">
              <w:rPr>
                <w:sz w:val="18"/>
                <w:szCs w:val="18"/>
                <w:vertAlign w:val="superscript"/>
                <w:lang w:val="fr-FR"/>
              </w:rPr>
              <w:t>e</w:t>
            </w:r>
            <w:r w:rsidR="005B57F5" w:rsidRPr="001D5AE1">
              <w:rPr>
                <w:sz w:val="18"/>
                <w:szCs w:val="18"/>
                <w:lang w:val="fr-FR"/>
              </w:rPr>
              <w:t> </w:t>
            </w:r>
            <w:r w:rsidRPr="001D5AE1">
              <w:rPr>
                <w:sz w:val="18"/>
                <w:szCs w:val="18"/>
                <w:lang w:val="fr-FR"/>
              </w:rPr>
              <w:t>session du Conseil exécutif de la COI</w:t>
            </w:r>
          </w:p>
        </w:tc>
      </w:tr>
      <w:tr w:rsidR="00727867" w:rsidRPr="001D5AE1" w14:paraId="45BCB454" w14:textId="77777777" w:rsidTr="00262A6A">
        <w:tc>
          <w:tcPr>
            <w:tcW w:w="3114" w:type="dxa"/>
          </w:tcPr>
          <w:p w14:paraId="42FC2746" w14:textId="77777777" w:rsidR="001F412D" w:rsidRPr="003269D9" w:rsidRDefault="001F412D" w:rsidP="005B57F5">
            <w:pPr>
              <w:adjustRightInd w:val="0"/>
              <w:spacing w:before="120" w:after="120"/>
              <w:textAlignment w:val="baseline"/>
              <w:rPr>
                <w:b/>
                <w:bCs/>
                <w:sz w:val="18"/>
                <w:szCs w:val="18"/>
                <w:lang w:val="fr-FR" w:eastAsia="zh-CN"/>
              </w:rPr>
            </w:pPr>
            <w:r w:rsidRPr="003269D9">
              <w:rPr>
                <w:b/>
                <w:bCs/>
                <w:sz w:val="18"/>
                <w:szCs w:val="18"/>
                <w:lang w:val="fr-FR" w:eastAsia="zh-CN"/>
              </w:rPr>
              <w:t xml:space="preserve">Recommandation 6 : </w:t>
            </w:r>
          </w:p>
          <w:p w14:paraId="20F869F0" w14:textId="28D668EC" w:rsidR="00F77863" w:rsidRPr="001D5AE1" w:rsidRDefault="001F412D" w:rsidP="005B57F5">
            <w:pPr>
              <w:adjustRightInd w:val="0"/>
              <w:spacing w:before="120" w:after="120"/>
              <w:textAlignment w:val="baseline"/>
              <w:rPr>
                <w:sz w:val="18"/>
                <w:szCs w:val="18"/>
                <w:lang w:val="fr-FR"/>
              </w:rPr>
            </w:pPr>
            <w:r w:rsidRPr="003269D9">
              <w:rPr>
                <w:sz w:val="18"/>
                <w:szCs w:val="18"/>
                <w:lang w:val="fr-FR" w:eastAsia="zh-CN"/>
              </w:rPr>
              <w:t>D</w:t>
            </w:r>
            <w:r w:rsidR="00577D76" w:rsidRPr="003269D9">
              <w:rPr>
                <w:sz w:val="18"/>
                <w:szCs w:val="18"/>
                <w:lang w:val="fr-FR" w:eastAsia="zh-CN"/>
              </w:rPr>
              <w:t>’</w:t>
            </w:r>
            <w:r w:rsidRPr="003269D9">
              <w:rPr>
                <w:sz w:val="18"/>
                <w:szCs w:val="18"/>
                <w:lang w:val="fr-FR" w:eastAsia="zh-CN"/>
              </w:rPr>
              <w:t>ici à juin 2022</w:t>
            </w:r>
            <w:r w:rsidR="00636F66" w:rsidRPr="003269D9">
              <w:rPr>
                <w:sz w:val="18"/>
                <w:szCs w:val="18"/>
                <w:lang w:val="fr-FR" w:eastAsia="zh-CN"/>
              </w:rPr>
              <w:t> </w:t>
            </w:r>
            <w:r w:rsidRPr="003269D9">
              <w:rPr>
                <w:sz w:val="18"/>
                <w:szCs w:val="18"/>
                <w:lang w:val="fr-FR" w:eastAsia="zh-CN"/>
              </w:rPr>
              <w:t>–</w:t>
            </w:r>
            <w:r w:rsidR="00636F66" w:rsidRPr="003269D9">
              <w:rPr>
                <w:sz w:val="18"/>
                <w:szCs w:val="18"/>
                <w:lang w:val="fr-FR" w:eastAsia="zh-CN"/>
              </w:rPr>
              <w:t> </w:t>
            </w:r>
            <w:r w:rsidRPr="003269D9">
              <w:rPr>
                <w:sz w:val="18"/>
                <w:szCs w:val="18"/>
                <w:lang w:val="fr-FR" w:eastAsia="zh-CN"/>
              </w:rPr>
              <w:t>Jouer un rôle moteur en ce qui concerne l</w:t>
            </w:r>
            <w:r w:rsidR="00577D76" w:rsidRPr="003269D9">
              <w:rPr>
                <w:sz w:val="18"/>
                <w:szCs w:val="18"/>
                <w:lang w:val="fr-FR" w:eastAsia="zh-CN"/>
              </w:rPr>
              <w:t>’</w:t>
            </w:r>
            <w:r w:rsidRPr="003269D9">
              <w:rPr>
                <w:sz w:val="18"/>
                <w:szCs w:val="18"/>
                <w:lang w:val="fr-FR" w:eastAsia="zh-CN"/>
              </w:rPr>
              <w:t>égalité des genres et l</w:t>
            </w:r>
            <w:r w:rsidR="00577D76" w:rsidRPr="003269D9">
              <w:rPr>
                <w:sz w:val="18"/>
                <w:szCs w:val="18"/>
                <w:lang w:val="fr-FR" w:eastAsia="zh-CN"/>
              </w:rPr>
              <w:t>’</w:t>
            </w:r>
            <w:r w:rsidRPr="003269D9">
              <w:rPr>
                <w:sz w:val="18"/>
                <w:szCs w:val="18"/>
                <w:lang w:val="fr-FR" w:eastAsia="zh-CN"/>
              </w:rPr>
              <w:t>avancement des femmes dans les sciences marines, en appuyant les efforts existants en matière de données, tels que le Rapport mondial sur les sciences océaniques</w:t>
            </w:r>
            <w:r w:rsidR="00A55DC2">
              <w:rPr>
                <w:sz w:val="18"/>
                <w:szCs w:val="18"/>
                <w:lang w:val="fr-FR" w:eastAsia="zh-CN"/>
              </w:rPr>
              <w:t>,</w:t>
            </w:r>
            <w:r w:rsidRPr="003269D9">
              <w:rPr>
                <w:sz w:val="18"/>
                <w:szCs w:val="18"/>
                <w:lang w:val="fr-FR" w:eastAsia="zh-CN"/>
              </w:rPr>
              <w:t xml:space="preserve"> par des actions spécifiques</w:t>
            </w:r>
          </w:p>
        </w:tc>
        <w:tc>
          <w:tcPr>
            <w:tcW w:w="3827" w:type="dxa"/>
          </w:tcPr>
          <w:p w14:paraId="7504DCB3" w14:textId="75BFCD95" w:rsidR="00F77863" w:rsidRPr="001D5AE1" w:rsidRDefault="001F412D" w:rsidP="005B57F5">
            <w:pPr>
              <w:adjustRightInd w:val="0"/>
              <w:spacing w:before="120" w:after="120"/>
              <w:textAlignment w:val="baseline"/>
              <w:rPr>
                <w:sz w:val="18"/>
                <w:szCs w:val="18"/>
                <w:lang w:val="fr-FR"/>
              </w:rPr>
            </w:pPr>
            <w:r w:rsidRPr="001D5AE1">
              <w:rPr>
                <w:sz w:val="18"/>
                <w:szCs w:val="18"/>
                <w:lang w:val="fr-FR"/>
              </w:rPr>
              <w:t>6.1</w:t>
            </w:r>
            <w:r w:rsidR="00345D13" w:rsidRPr="001D5AE1">
              <w:rPr>
                <w:sz w:val="18"/>
                <w:szCs w:val="18"/>
                <w:lang w:val="fr-FR"/>
              </w:rPr>
              <w:t xml:space="preserve"> Demander conseil à la Division pour l</w:t>
            </w:r>
            <w:r w:rsidR="00577D76" w:rsidRPr="001D5AE1">
              <w:rPr>
                <w:sz w:val="18"/>
                <w:szCs w:val="18"/>
                <w:lang w:val="fr-FR"/>
              </w:rPr>
              <w:t>’</w:t>
            </w:r>
            <w:r w:rsidR="00345D13" w:rsidRPr="001D5AE1">
              <w:rPr>
                <w:sz w:val="18"/>
                <w:szCs w:val="18"/>
                <w:lang w:val="fr-FR"/>
              </w:rPr>
              <w:t>égalité des genres de l</w:t>
            </w:r>
            <w:r w:rsidR="00577D76" w:rsidRPr="001D5AE1">
              <w:rPr>
                <w:sz w:val="18"/>
                <w:szCs w:val="18"/>
                <w:lang w:val="fr-FR"/>
              </w:rPr>
              <w:t>’</w:t>
            </w:r>
            <w:r w:rsidR="00345D13" w:rsidRPr="001D5AE1">
              <w:rPr>
                <w:sz w:val="18"/>
                <w:szCs w:val="18"/>
                <w:lang w:val="fr-FR"/>
              </w:rPr>
              <w:t>UNESCO afin d</w:t>
            </w:r>
            <w:r w:rsidR="00577D76" w:rsidRPr="001D5AE1">
              <w:rPr>
                <w:sz w:val="18"/>
                <w:szCs w:val="18"/>
                <w:lang w:val="fr-FR"/>
              </w:rPr>
              <w:t>’</w:t>
            </w:r>
            <w:r w:rsidR="00345D13" w:rsidRPr="001D5AE1">
              <w:rPr>
                <w:sz w:val="18"/>
                <w:szCs w:val="18"/>
                <w:lang w:val="fr-FR"/>
              </w:rPr>
              <w:t>élaborer des directives sur l</w:t>
            </w:r>
            <w:r w:rsidR="00577D76" w:rsidRPr="001D5AE1">
              <w:rPr>
                <w:sz w:val="18"/>
                <w:szCs w:val="18"/>
                <w:lang w:val="fr-FR"/>
              </w:rPr>
              <w:t>’</w:t>
            </w:r>
            <w:r w:rsidR="00345D13" w:rsidRPr="001D5AE1">
              <w:rPr>
                <w:sz w:val="18"/>
                <w:szCs w:val="18"/>
                <w:lang w:val="fr-FR"/>
              </w:rPr>
              <w:t>égalité des genres à l</w:t>
            </w:r>
            <w:r w:rsidR="00577D76" w:rsidRPr="001D5AE1">
              <w:rPr>
                <w:sz w:val="18"/>
                <w:szCs w:val="18"/>
                <w:lang w:val="fr-FR"/>
              </w:rPr>
              <w:t>’</w:t>
            </w:r>
            <w:r w:rsidR="00345D13" w:rsidRPr="001D5AE1">
              <w:rPr>
                <w:sz w:val="18"/>
                <w:szCs w:val="18"/>
                <w:lang w:val="fr-FR"/>
              </w:rPr>
              <w:t>intention des comités d</w:t>
            </w:r>
            <w:r w:rsidR="00577D76" w:rsidRPr="001D5AE1">
              <w:rPr>
                <w:sz w:val="18"/>
                <w:szCs w:val="18"/>
                <w:lang w:val="fr-FR"/>
              </w:rPr>
              <w:t>’</w:t>
            </w:r>
            <w:r w:rsidR="00345D13" w:rsidRPr="001D5AE1">
              <w:rPr>
                <w:sz w:val="18"/>
                <w:szCs w:val="18"/>
                <w:lang w:val="fr-FR"/>
              </w:rPr>
              <w:t xml:space="preserve">experts </w:t>
            </w:r>
            <w:r w:rsidR="00EC4A15" w:rsidRPr="001D5AE1">
              <w:rPr>
                <w:sz w:val="18"/>
                <w:szCs w:val="18"/>
                <w:lang w:val="fr-FR"/>
              </w:rPr>
              <w:t>de</w:t>
            </w:r>
            <w:r w:rsidR="00636F66" w:rsidRPr="001D5AE1">
              <w:rPr>
                <w:sz w:val="18"/>
                <w:szCs w:val="18"/>
                <w:lang w:val="fr-FR"/>
              </w:rPr>
              <w:t> </w:t>
            </w:r>
            <w:r w:rsidR="00EC4A15" w:rsidRPr="001D5AE1">
              <w:rPr>
                <w:sz w:val="18"/>
                <w:szCs w:val="18"/>
                <w:lang w:val="fr-FR"/>
              </w:rPr>
              <w:t xml:space="preserve">la COI </w:t>
            </w:r>
            <w:r w:rsidR="00345D13" w:rsidRPr="001D5AE1">
              <w:rPr>
                <w:sz w:val="18"/>
                <w:szCs w:val="18"/>
                <w:lang w:val="fr-FR"/>
              </w:rPr>
              <w:t>et d</w:t>
            </w:r>
            <w:r w:rsidR="00577D76" w:rsidRPr="001D5AE1">
              <w:rPr>
                <w:sz w:val="18"/>
                <w:szCs w:val="18"/>
                <w:lang w:val="fr-FR"/>
              </w:rPr>
              <w:t>’</w:t>
            </w:r>
            <w:r w:rsidR="00345D13" w:rsidRPr="001D5AE1">
              <w:rPr>
                <w:sz w:val="18"/>
                <w:szCs w:val="18"/>
                <w:lang w:val="fr-FR"/>
              </w:rPr>
              <w:t>autres organes, selon que de</w:t>
            </w:r>
            <w:r w:rsidR="00636F66" w:rsidRPr="001D5AE1">
              <w:rPr>
                <w:sz w:val="18"/>
                <w:szCs w:val="18"/>
                <w:lang w:val="fr-FR"/>
              </w:rPr>
              <w:t> </w:t>
            </w:r>
            <w:r w:rsidR="00345D13" w:rsidRPr="001D5AE1">
              <w:rPr>
                <w:sz w:val="18"/>
                <w:szCs w:val="18"/>
                <w:lang w:val="fr-FR"/>
              </w:rPr>
              <w:t>besoin</w:t>
            </w:r>
            <w:r w:rsidR="004379A7" w:rsidRPr="001D5AE1">
              <w:rPr>
                <w:sz w:val="18"/>
                <w:szCs w:val="18"/>
                <w:lang w:val="fr-FR"/>
              </w:rPr>
              <w:t> ;</w:t>
            </w:r>
          </w:p>
        </w:tc>
        <w:tc>
          <w:tcPr>
            <w:tcW w:w="3544" w:type="dxa"/>
          </w:tcPr>
          <w:p w14:paraId="5693A7ED" w14:textId="1DE12D50" w:rsidR="00F77863" w:rsidRPr="001D5AE1" w:rsidRDefault="00564707" w:rsidP="005B57F5">
            <w:pPr>
              <w:adjustRightInd w:val="0"/>
              <w:spacing w:before="120" w:after="120"/>
              <w:textAlignment w:val="baseline"/>
              <w:rPr>
                <w:sz w:val="18"/>
                <w:szCs w:val="18"/>
                <w:lang w:val="fr-FR"/>
              </w:rPr>
            </w:pPr>
            <w:r w:rsidRPr="001D5AE1">
              <w:rPr>
                <w:sz w:val="18"/>
                <w:szCs w:val="18"/>
                <w:lang w:val="fr-FR"/>
              </w:rPr>
              <w:t>En cours</w:t>
            </w:r>
          </w:p>
        </w:tc>
        <w:tc>
          <w:tcPr>
            <w:tcW w:w="1781" w:type="dxa"/>
          </w:tcPr>
          <w:p w14:paraId="799E1453" w14:textId="006FEF2C" w:rsidR="00F77863" w:rsidRPr="001D5AE1" w:rsidRDefault="00564707" w:rsidP="005B57F5">
            <w:pPr>
              <w:adjustRightInd w:val="0"/>
              <w:spacing w:before="120" w:after="120"/>
              <w:textAlignment w:val="baseline"/>
              <w:rPr>
                <w:sz w:val="18"/>
                <w:szCs w:val="18"/>
                <w:lang w:val="fr-FR"/>
              </w:rPr>
            </w:pPr>
            <w:r w:rsidRPr="001D5AE1">
              <w:rPr>
                <w:sz w:val="18"/>
                <w:szCs w:val="18"/>
                <w:lang w:val="fr-FR"/>
              </w:rPr>
              <w:t>Point focal pour le genre de la COI et Bureau exécutif</w:t>
            </w:r>
          </w:p>
        </w:tc>
        <w:tc>
          <w:tcPr>
            <w:tcW w:w="2126" w:type="dxa"/>
          </w:tcPr>
          <w:p w14:paraId="407E9D34" w14:textId="060DB0CA" w:rsidR="00F77863" w:rsidRPr="001D5AE1" w:rsidRDefault="0056470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2024</w:t>
            </w:r>
          </w:p>
        </w:tc>
      </w:tr>
      <w:tr w:rsidR="00727867" w:rsidRPr="001D5AE1" w14:paraId="7935B095" w14:textId="77777777" w:rsidTr="00262A6A">
        <w:tc>
          <w:tcPr>
            <w:tcW w:w="3114" w:type="dxa"/>
          </w:tcPr>
          <w:p w14:paraId="406446DA"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61FEDE81" w14:textId="1DB91C14" w:rsidR="00F77863" w:rsidRPr="001D5AE1" w:rsidRDefault="001F412D" w:rsidP="005B57F5">
            <w:pPr>
              <w:adjustRightInd w:val="0"/>
              <w:spacing w:before="120" w:after="120"/>
              <w:textAlignment w:val="baseline"/>
              <w:rPr>
                <w:sz w:val="18"/>
                <w:szCs w:val="18"/>
                <w:lang w:val="fr-FR"/>
              </w:rPr>
            </w:pPr>
            <w:r w:rsidRPr="001D5AE1">
              <w:rPr>
                <w:sz w:val="18"/>
                <w:szCs w:val="18"/>
                <w:lang w:val="fr-FR"/>
              </w:rPr>
              <w:t>6.2</w:t>
            </w:r>
            <w:r w:rsidR="00345D13" w:rsidRPr="001D5AE1">
              <w:rPr>
                <w:sz w:val="18"/>
                <w:szCs w:val="18"/>
                <w:lang w:val="fr-FR"/>
              </w:rPr>
              <w:t xml:space="preserve"> Continuer </w:t>
            </w:r>
            <w:r w:rsidR="00043F93" w:rsidRPr="001D5AE1">
              <w:rPr>
                <w:sz w:val="18"/>
                <w:szCs w:val="18"/>
                <w:lang w:val="fr-FR"/>
              </w:rPr>
              <w:t>d</w:t>
            </w:r>
            <w:r w:rsidR="00577D76" w:rsidRPr="001D5AE1">
              <w:rPr>
                <w:sz w:val="18"/>
                <w:szCs w:val="18"/>
                <w:lang w:val="fr-FR"/>
              </w:rPr>
              <w:t>’</w:t>
            </w:r>
            <w:r w:rsidR="00345D13" w:rsidRPr="001D5AE1">
              <w:rPr>
                <w:sz w:val="18"/>
                <w:szCs w:val="18"/>
                <w:lang w:val="fr-FR"/>
              </w:rPr>
              <w:t>encourager les États membres de la COI à assurer l</w:t>
            </w:r>
            <w:r w:rsidR="00577D76" w:rsidRPr="001D5AE1">
              <w:rPr>
                <w:sz w:val="18"/>
                <w:szCs w:val="18"/>
                <w:lang w:val="fr-FR"/>
              </w:rPr>
              <w:t>’</w:t>
            </w:r>
            <w:r w:rsidR="00345D13" w:rsidRPr="001D5AE1">
              <w:rPr>
                <w:sz w:val="18"/>
                <w:szCs w:val="18"/>
                <w:lang w:val="fr-FR"/>
              </w:rPr>
              <w:t>égalité des genres dans leurs délégations auprès des organes directeurs de la Commission ; fournir des statistiques à l</w:t>
            </w:r>
            <w:r w:rsidR="00577D76" w:rsidRPr="001D5AE1">
              <w:rPr>
                <w:sz w:val="18"/>
                <w:szCs w:val="18"/>
                <w:lang w:val="fr-FR"/>
              </w:rPr>
              <w:t>’</w:t>
            </w:r>
            <w:r w:rsidR="00345D13" w:rsidRPr="001D5AE1">
              <w:rPr>
                <w:sz w:val="18"/>
                <w:szCs w:val="18"/>
                <w:lang w:val="fr-FR"/>
              </w:rPr>
              <w:t>issue de chaque session pour suivre les progrès réalisés</w:t>
            </w:r>
            <w:r w:rsidR="004379A7" w:rsidRPr="001D5AE1">
              <w:rPr>
                <w:sz w:val="18"/>
                <w:szCs w:val="18"/>
                <w:lang w:val="fr-FR"/>
              </w:rPr>
              <w:t> ;</w:t>
            </w:r>
          </w:p>
        </w:tc>
        <w:tc>
          <w:tcPr>
            <w:tcW w:w="3544" w:type="dxa"/>
          </w:tcPr>
          <w:p w14:paraId="09AAD561" w14:textId="02AA8B68" w:rsidR="00F77863" w:rsidRPr="001D5AE1" w:rsidRDefault="00043F93" w:rsidP="005B57F5">
            <w:pPr>
              <w:adjustRightInd w:val="0"/>
              <w:spacing w:before="120" w:after="120"/>
              <w:textAlignment w:val="baseline"/>
              <w:rPr>
                <w:sz w:val="18"/>
                <w:szCs w:val="18"/>
                <w:lang w:val="fr-FR"/>
              </w:rPr>
            </w:pPr>
            <w:r w:rsidRPr="001D5AE1">
              <w:rPr>
                <w:sz w:val="18"/>
                <w:szCs w:val="18"/>
                <w:lang w:val="fr-FR"/>
              </w:rPr>
              <w:t>Les lettres d</w:t>
            </w:r>
            <w:r w:rsidR="00577D76" w:rsidRPr="001D5AE1">
              <w:rPr>
                <w:sz w:val="18"/>
                <w:szCs w:val="18"/>
                <w:lang w:val="fr-FR"/>
              </w:rPr>
              <w:t>’</w:t>
            </w:r>
            <w:r w:rsidRPr="001D5AE1">
              <w:rPr>
                <w:sz w:val="18"/>
                <w:szCs w:val="18"/>
                <w:lang w:val="fr-FR"/>
              </w:rPr>
              <w:t>invitation</w:t>
            </w:r>
            <w:r w:rsidR="00510334" w:rsidRPr="001D5AE1">
              <w:rPr>
                <w:sz w:val="18"/>
                <w:szCs w:val="18"/>
                <w:lang w:val="fr-FR"/>
              </w:rPr>
              <w:t xml:space="preserve"> à participer</w:t>
            </w:r>
            <w:r w:rsidRPr="001D5AE1">
              <w:rPr>
                <w:sz w:val="18"/>
                <w:szCs w:val="18"/>
                <w:lang w:val="fr-FR"/>
              </w:rPr>
              <w:t xml:space="preserve"> aux organes directeurs de la COI contiennent un tel encouragement. Statistiques pour la 55</w:t>
            </w:r>
            <w:r w:rsidRPr="001D5AE1">
              <w:rPr>
                <w:sz w:val="18"/>
                <w:szCs w:val="18"/>
                <w:vertAlign w:val="superscript"/>
                <w:lang w:val="fr-FR"/>
              </w:rPr>
              <w:t>e</w:t>
            </w:r>
            <w:r w:rsidR="005B57F5" w:rsidRPr="001D5AE1">
              <w:rPr>
                <w:sz w:val="18"/>
                <w:szCs w:val="18"/>
                <w:lang w:val="fr-FR"/>
              </w:rPr>
              <w:t> </w:t>
            </w:r>
            <w:r w:rsidRPr="001D5AE1">
              <w:rPr>
                <w:sz w:val="18"/>
                <w:szCs w:val="18"/>
                <w:lang w:val="fr-FR"/>
              </w:rPr>
              <w:t>session du Conseil exécutif de la</w:t>
            </w:r>
            <w:r w:rsidR="00A01743">
              <w:rPr>
                <w:sz w:val="18"/>
                <w:szCs w:val="18"/>
                <w:lang w:val="fr-FR"/>
              </w:rPr>
              <w:t> </w:t>
            </w:r>
            <w:r w:rsidRPr="001D5AE1">
              <w:rPr>
                <w:sz w:val="18"/>
                <w:szCs w:val="18"/>
                <w:lang w:val="fr-FR"/>
              </w:rPr>
              <w:t>COI : 100</w:t>
            </w:r>
            <w:r w:rsidR="005B57F5" w:rsidRPr="001D5AE1">
              <w:rPr>
                <w:sz w:val="18"/>
                <w:szCs w:val="18"/>
                <w:lang w:val="fr-FR"/>
              </w:rPr>
              <w:t> </w:t>
            </w:r>
            <w:r w:rsidRPr="001D5AE1">
              <w:rPr>
                <w:sz w:val="18"/>
                <w:szCs w:val="18"/>
                <w:lang w:val="fr-FR"/>
              </w:rPr>
              <w:t>femmes et 126</w:t>
            </w:r>
            <w:r w:rsidR="005B57F5" w:rsidRPr="001D5AE1">
              <w:rPr>
                <w:sz w:val="18"/>
                <w:szCs w:val="18"/>
                <w:lang w:val="fr-FR"/>
              </w:rPr>
              <w:t> </w:t>
            </w:r>
            <w:r w:rsidRPr="001D5AE1">
              <w:rPr>
                <w:sz w:val="18"/>
                <w:szCs w:val="18"/>
                <w:lang w:val="fr-FR"/>
              </w:rPr>
              <w:t>hommes. À</w:t>
            </w:r>
            <w:r w:rsidR="00636F66" w:rsidRPr="001D5AE1">
              <w:rPr>
                <w:sz w:val="18"/>
                <w:szCs w:val="18"/>
                <w:lang w:val="fr-FR"/>
              </w:rPr>
              <w:t> </w:t>
            </w:r>
            <w:r w:rsidRPr="001D5AE1">
              <w:rPr>
                <w:sz w:val="18"/>
                <w:szCs w:val="18"/>
                <w:lang w:val="fr-FR"/>
              </w:rPr>
              <w:t>suivre.</w:t>
            </w:r>
          </w:p>
        </w:tc>
        <w:tc>
          <w:tcPr>
            <w:tcW w:w="1781" w:type="dxa"/>
          </w:tcPr>
          <w:p w14:paraId="79C8ADE5" w14:textId="361A29CC" w:rsidR="00F77863" w:rsidRPr="001D5AE1" w:rsidRDefault="00043F93" w:rsidP="005B57F5">
            <w:pPr>
              <w:adjustRightInd w:val="0"/>
              <w:spacing w:before="120" w:after="120"/>
              <w:textAlignment w:val="baseline"/>
              <w:rPr>
                <w:sz w:val="18"/>
                <w:szCs w:val="18"/>
                <w:lang w:val="fr-FR"/>
              </w:rPr>
            </w:pPr>
            <w:r w:rsidRPr="001D5AE1">
              <w:rPr>
                <w:sz w:val="18"/>
                <w:szCs w:val="18"/>
                <w:lang w:val="fr-FR"/>
              </w:rPr>
              <w:t>Secrétaire exécutif, point focal pour le genre de la COI et Bureau exécutif</w:t>
            </w:r>
          </w:p>
        </w:tc>
        <w:tc>
          <w:tcPr>
            <w:tcW w:w="2126" w:type="dxa"/>
          </w:tcPr>
          <w:p w14:paraId="22C42B38" w14:textId="0C16CC2C" w:rsidR="00F77863" w:rsidRPr="001D5AE1" w:rsidRDefault="00A320D3" w:rsidP="005B57F5">
            <w:pPr>
              <w:adjustRightInd w:val="0"/>
              <w:spacing w:before="120" w:after="120"/>
              <w:textAlignment w:val="baseline"/>
              <w:rPr>
                <w:sz w:val="18"/>
                <w:szCs w:val="18"/>
                <w:lang w:val="fr-FR"/>
              </w:rPr>
            </w:pPr>
            <w:r w:rsidRPr="001D5AE1">
              <w:rPr>
                <w:sz w:val="18"/>
                <w:szCs w:val="18"/>
                <w:lang w:val="fr-FR"/>
              </w:rPr>
              <w:t>Achevée, à considérer comme clôturée</w:t>
            </w:r>
          </w:p>
        </w:tc>
      </w:tr>
      <w:tr w:rsidR="00727867" w:rsidRPr="001D5AE1" w14:paraId="605915CE" w14:textId="77777777" w:rsidTr="00262A6A">
        <w:tc>
          <w:tcPr>
            <w:tcW w:w="3114" w:type="dxa"/>
          </w:tcPr>
          <w:p w14:paraId="4C8DB3B6" w14:textId="77777777" w:rsidR="00F77863" w:rsidRPr="001D5AE1" w:rsidRDefault="00F77863" w:rsidP="005B57F5">
            <w:pPr>
              <w:adjustRightInd w:val="0"/>
              <w:spacing w:before="120" w:after="120"/>
              <w:textAlignment w:val="baseline"/>
              <w:rPr>
                <w:sz w:val="18"/>
                <w:szCs w:val="18"/>
                <w:lang w:val="fr-FR"/>
              </w:rPr>
            </w:pPr>
          </w:p>
        </w:tc>
        <w:tc>
          <w:tcPr>
            <w:tcW w:w="3827" w:type="dxa"/>
          </w:tcPr>
          <w:p w14:paraId="73343D95" w14:textId="3033B783" w:rsidR="00F77863" w:rsidRPr="001D5AE1" w:rsidRDefault="001F412D" w:rsidP="005B57F5">
            <w:pPr>
              <w:adjustRightInd w:val="0"/>
              <w:spacing w:before="120" w:after="120"/>
              <w:textAlignment w:val="baseline"/>
              <w:rPr>
                <w:sz w:val="18"/>
                <w:szCs w:val="18"/>
                <w:lang w:val="fr-FR"/>
              </w:rPr>
            </w:pPr>
            <w:r w:rsidRPr="001D5AE1">
              <w:rPr>
                <w:sz w:val="18"/>
                <w:szCs w:val="18"/>
                <w:lang w:val="fr-FR"/>
              </w:rPr>
              <w:t>6.3</w:t>
            </w:r>
            <w:r w:rsidR="00345D13" w:rsidRPr="001D5AE1">
              <w:rPr>
                <w:sz w:val="18"/>
                <w:szCs w:val="18"/>
                <w:lang w:val="fr-FR"/>
              </w:rPr>
              <w:t xml:space="preserve"> Créer un groupe de travail</w:t>
            </w:r>
            <w:r w:rsidR="004379A7" w:rsidRPr="001D5AE1">
              <w:rPr>
                <w:sz w:val="18"/>
                <w:szCs w:val="18"/>
                <w:lang w:val="fr-FR"/>
              </w:rPr>
              <w:t xml:space="preserve"> (comprenant des spécialistes en égalité des genres choisis parmi les homologues de la Commission au sein d</w:t>
            </w:r>
            <w:r w:rsidR="00577D76" w:rsidRPr="001D5AE1">
              <w:rPr>
                <w:sz w:val="18"/>
                <w:szCs w:val="18"/>
                <w:lang w:val="fr-FR"/>
              </w:rPr>
              <w:t>’</w:t>
            </w:r>
            <w:r w:rsidR="004379A7" w:rsidRPr="001D5AE1">
              <w:rPr>
                <w:sz w:val="18"/>
                <w:szCs w:val="18"/>
                <w:lang w:val="fr-FR"/>
              </w:rPr>
              <w:t>ONU-Océans ainsi qu</w:t>
            </w:r>
            <w:r w:rsidR="00577D76" w:rsidRPr="001D5AE1">
              <w:rPr>
                <w:sz w:val="18"/>
                <w:szCs w:val="18"/>
                <w:lang w:val="fr-FR"/>
              </w:rPr>
              <w:t>’</w:t>
            </w:r>
            <w:r w:rsidR="004379A7" w:rsidRPr="001D5AE1">
              <w:rPr>
                <w:sz w:val="18"/>
                <w:szCs w:val="18"/>
                <w:lang w:val="fr-FR"/>
              </w:rPr>
              <w:t>à l</w:t>
            </w:r>
            <w:r w:rsidR="00577D76" w:rsidRPr="001D5AE1">
              <w:rPr>
                <w:sz w:val="18"/>
                <w:szCs w:val="18"/>
                <w:lang w:val="fr-FR"/>
              </w:rPr>
              <w:t>’</w:t>
            </w:r>
            <w:r w:rsidR="004379A7" w:rsidRPr="001D5AE1">
              <w:rPr>
                <w:sz w:val="18"/>
                <w:szCs w:val="18"/>
                <w:lang w:val="fr-FR"/>
              </w:rPr>
              <w:t>UNESCO)</w:t>
            </w:r>
            <w:r w:rsidR="00345D13" w:rsidRPr="001D5AE1">
              <w:rPr>
                <w:sz w:val="18"/>
                <w:szCs w:val="18"/>
                <w:lang w:val="fr-FR"/>
              </w:rPr>
              <w:t xml:space="preserve"> afin d</w:t>
            </w:r>
            <w:r w:rsidR="00577D76" w:rsidRPr="001D5AE1">
              <w:rPr>
                <w:sz w:val="18"/>
                <w:szCs w:val="18"/>
                <w:lang w:val="fr-FR"/>
              </w:rPr>
              <w:t>’</w:t>
            </w:r>
            <w:r w:rsidR="00345D13" w:rsidRPr="001D5AE1">
              <w:rPr>
                <w:sz w:val="18"/>
                <w:szCs w:val="18"/>
                <w:lang w:val="fr-FR"/>
              </w:rPr>
              <w:t>élaborer une feuille de route permettant de mieux intégrer l</w:t>
            </w:r>
            <w:r w:rsidR="00577D76" w:rsidRPr="001D5AE1">
              <w:rPr>
                <w:sz w:val="18"/>
                <w:szCs w:val="18"/>
                <w:lang w:val="fr-FR"/>
              </w:rPr>
              <w:t>’</w:t>
            </w:r>
            <w:r w:rsidR="00345D13" w:rsidRPr="001D5AE1">
              <w:rPr>
                <w:sz w:val="18"/>
                <w:szCs w:val="18"/>
                <w:lang w:val="fr-FR"/>
              </w:rPr>
              <w:t>égalité des genres tout au long de la Décennie de l</w:t>
            </w:r>
            <w:r w:rsidR="00577D76" w:rsidRPr="001D5AE1">
              <w:rPr>
                <w:sz w:val="18"/>
                <w:szCs w:val="18"/>
                <w:lang w:val="fr-FR"/>
              </w:rPr>
              <w:t>’</w:t>
            </w:r>
            <w:r w:rsidR="00345D13" w:rsidRPr="001D5AE1">
              <w:rPr>
                <w:sz w:val="18"/>
                <w:szCs w:val="18"/>
                <w:lang w:val="fr-FR"/>
              </w:rPr>
              <w:t>Océan</w:t>
            </w:r>
            <w:r w:rsidR="004379A7" w:rsidRPr="001D5AE1">
              <w:rPr>
                <w:sz w:val="18"/>
                <w:szCs w:val="18"/>
                <w:lang w:val="fr-FR"/>
              </w:rPr>
              <w:t> ;</w:t>
            </w:r>
          </w:p>
        </w:tc>
        <w:tc>
          <w:tcPr>
            <w:tcW w:w="3544" w:type="dxa"/>
          </w:tcPr>
          <w:p w14:paraId="362B6F9F" w14:textId="77777777" w:rsidR="00F77863" w:rsidRPr="001D5AE1" w:rsidRDefault="00F77863" w:rsidP="005B57F5">
            <w:pPr>
              <w:adjustRightInd w:val="0"/>
              <w:spacing w:before="120" w:after="120"/>
              <w:textAlignment w:val="baseline"/>
              <w:rPr>
                <w:sz w:val="18"/>
                <w:szCs w:val="18"/>
                <w:lang w:val="fr-FR"/>
              </w:rPr>
            </w:pPr>
          </w:p>
        </w:tc>
        <w:tc>
          <w:tcPr>
            <w:tcW w:w="1781" w:type="dxa"/>
          </w:tcPr>
          <w:p w14:paraId="3B65EF38" w14:textId="7A31F0CA" w:rsidR="00F77863" w:rsidRPr="001D5AE1" w:rsidRDefault="004379A7" w:rsidP="005B57F5">
            <w:pPr>
              <w:adjustRightInd w:val="0"/>
              <w:spacing w:before="120" w:after="120"/>
              <w:textAlignment w:val="baseline"/>
              <w:rPr>
                <w:sz w:val="18"/>
                <w:szCs w:val="18"/>
                <w:lang w:val="fr-FR"/>
              </w:rPr>
            </w:pPr>
            <w:r w:rsidRPr="001D5AE1">
              <w:rPr>
                <w:sz w:val="18"/>
                <w:szCs w:val="18"/>
                <w:lang w:val="fr-FR"/>
              </w:rPr>
              <w:t>Unité de coordination de la Décennie et point focal pour le genre de la COI</w:t>
            </w:r>
          </w:p>
        </w:tc>
        <w:tc>
          <w:tcPr>
            <w:tcW w:w="2126" w:type="dxa"/>
          </w:tcPr>
          <w:p w14:paraId="5097039F" w14:textId="05A538F8" w:rsidR="00F77863" w:rsidRPr="001D5AE1" w:rsidRDefault="004379A7" w:rsidP="005B57F5">
            <w:pPr>
              <w:adjustRightInd w:val="0"/>
              <w:spacing w:before="120" w:after="120"/>
              <w:textAlignment w:val="baseline"/>
              <w:rPr>
                <w:sz w:val="18"/>
                <w:szCs w:val="18"/>
                <w:lang w:val="fr-FR"/>
              </w:rPr>
            </w:pPr>
            <w:r w:rsidRPr="001D5AE1">
              <w:rPr>
                <w:sz w:val="18"/>
                <w:szCs w:val="18"/>
                <w:lang w:val="fr-FR"/>
              </w:rPr>
              <w:t>4</w:t>
            </w:r>
            <w:r w:rsidRPr="001D5AE1">
              <w:rPr>
                <w:sz w:val="18"/>
                <w:szCs w:val="18"/>
                <w:vertAlign w:val="superscript"/>
                <w:lang w:val="fr-FR"/>
              </w:rPr>
              <w:t>e</w:t>
            </w:r>
            <w:r w:rsidR="005B57F5" w:rsidRPr="001D5AE1">
              <w:rPr>
                <w:sz w:val="18"/>
                <w:szCs w:val="18"/>
                <w:lang w:val="fr-FR"/>
              </w:rPr>
              <w:t> </w:t>
            </w:r>
            <w:r w:rsidRPr="001D5AE1">
              <w:rPr>
                <w:sz w:val="18"/>
                <w:szCs w:val="18"/>
                <w:lang w:val="fr-FR"/>
              </w:rPr>
              <w:t>trimestre 2023</w:t>
            </w:r>
          </w:p>
        </w:tc>
      </w:tr>
      <w:tr w:rsidR="00345D13" w:rsidRPr="001D5AE1" w14:paraId="462A5748" w14:textId="77777777" w:rsidTr="00262A6A">
        <w:tc>
          <w:tcPr>
            <w:tcW w:w="3114" w:type="dxa"/>
          </w:tcPr>
          <w:p w14:paraId="19CE0830" w14:textId="77777777" w:rsidR="00345D13" w:rsidRPr="001D5AE1" w:rsidRDefault="00345D13" w:rsidP="005B57F5">
            <w:pPr>
              <w:adjustRightInd w:val="0"/>
              <w:spacing w:before="120" w:after="120"/>
              <w:textAlignment w:val="baseline"/>
              <w:rPr>
                <w:sz w:val="18"/>
                <w:szCs w:val="18"/>
                <w:lang w:val="fr-FR"/>
              </w:rPr>
            </w:pPr>
          </w:p>
        </w:tc>
        <w:tc>
          <w:tcPr>
            <w:tcW w:w="3827" w:type="dxa"/>
          </w:tcPr>
          <w:p w14:paraId="101CE3C5" w14:textId="5A7D5763" w:rsidR="00345D13" w:rsidRPr="001D5AE1" w:rsidRDefault="00345D13" w:rsidP="005B57F5">
            <w:pPr>
              <w:adjustRightInd w:val="0"/>
              <w:spacing w:before="120" w:after="120"/>
              <w:textAlignment w:val="baseline"/>
              <w:rPr>
                <w:sz w:val="18"/>
                <w:szCs w:val="18"/>
                <w:lang w:val="fr-FR"/>
              </w:rPr>
            </w:pPr>
            <w:r w:rsidRPr="001D5AE1">
              <w:rPr>
                <w:sz w:val="18"/>
                <w:szCs w:val="18"/>
                <w:lang w:val="fr-FR"/>
              </w:rPr>
              <w:t xml:space="preserve">6.4 Rechercher des partenaires qui pourraient vouloir apporter leur soutien à un </w:t>
            </w:r>
            <w:r w:rsidR="00A01743">
              <w:rPr>
                <w:sz w:val="18"/>
                <w:szCs w:val="18"/>
                <w:lang w:val="fr-FR"/>
              </w:rPr>
              <w:t>P</w:t>
            </w:r>
            <w:r w:rsidRPr="001D5AE1">
              <w:rPr>
                <w:sz w:val="18"/>
                <w:szCs w:val="18"/>
                <w:lang w:val="fr-FR"/>
              </w:rPr>
              <w:t>rix pour les femmes dans le domaine des sciences océaniques, notamment par le biais du Pacte mondial des Nations Unies</w:t>
            </w:r>
            <w:r w:rsidR="004379A7" w:rsidRPr="001D5AE1">
              <w:rPr>
                <w:sz w:val="18"/>
                <w:szCs w:val="18"/>
                <w:lang w:val="fr-FR"/>
              </w:rPr>
              <w:t> ;</w:t>
            </w:r>
          </w:p>
        </w:tc>
        <w:tc>
          <w:tcPr>
            <w:tcW w:w="3544" w:type="dxa"/>
          </w:tcPr>
          <w:p w14:paraId="3F5AB73C" w14:textId="77777777" w:rsidR="00345D13" w:rsidRPr="001D5AE1" w:rsidRDefault="00345D13" w:rsidP="005B57F5">
            <w:pPr>
              <w:adjustRightInd w:val="0"/>
              <w:spacing w:before="120" w:after="120"/>
              <w:textAlignment w:val="baseline"/>
              <w:rPr>
                <w:sz w:val="18"/>
                <w:szCs w:val="18"/>
                <w:lang w:val="fr-FR"/>
              </w:rPr>
            </w:pPr>
          </w:p>
        </w:tc>
        <w:tc>
          <w:tcPr>
            <w:tcW w:w="1781" w:type="dxa"/>
          </w:tcPr>
          <w:p w14:paraId="16345B41" w14:textId="1D9D9917" w:rsidR="00345D13" w:rsidRPr="001D5AE1" w:rsidRDefault="004379A7" w:rsidP="005B57F5">
            <w:pPr>
              <w:adjustRightInd w:val="0"/>
              <w:spacing w:before="120" w:after="120"/>
              <w:textAlignment w:val="baseline"/>
              <w:rPr>
                <w:sz w:val="18"/>
                <w:szCs w:val="18"/>
                <w:lang w:val="fr-FR"/>
              </w:rPr>
            </w:pPr>
            <w:r w:rsidRPr="001D5AE1">
              <w:rPr>
                <w:sz w:val="18"/>
                <w:szCs w:val="18"/>
                <w:lang w:val="fr-FR"/>
              </w:rPr>
              <w:t>Unité de coordination de la Décennie et point focal pour le genre de la COI</w:t>
            </w:r>
          </w:p>
        </w:tc>
        <w:tc>
          <w:tcPr>
            <w:tcW w:w="2126" w:type="dxa"/>
          </w:tcPr>
          <w:p w14:paraId="719D9A03" w14:textId="405EBFD4" w:rsidR="00345D13" w:rsidRPr="001D5AE1" w:rsidRDefault="004379A7" w:rsidP="005B57F5">
            <w:pPr>
              <w:adjustRightInd w:val="0"/>
              <w:spacing w:before="120" w:after="120"/>
              <w:textAlignment w:val="baseline"/>
              <w:rPr>
                <w:sz w:val="18"/>
                <w:szCs w:val="18"/>
                <w:lang w:val="fr-FR"/>
              </w:rPr>
            </w:pPr>
            <w:r w:rsidRPr="001D5AE1">
              <w:rPr>
                <w:sz w:val="18"/>
                <w:szCs w:val="18"/>
                <w:lang w:val="fr-FR"/>
              </w:rPr>
              <w:t>2</w:t>
            </w:r>
            <w:r w:rsidRPr="001D5AE1">
              <w:rPr>
                <w:sz w:val="18"/>
                <w:szCs w:val="18"/>
                <w:vertAlign w:val="superscript"/>
                <w:lang w:val="fr-FR"/>
              </w:rPr>
              <w:t>e</w:t>
            </w:r>
            <w:r w:rsidRPr="001D5AE1">
              <w:rPr>
                <w:sz w:val="18"/>
                <w:szCs w:val="18"/>
                <w:lang w:val="fr-FR"/>
              </w:rPr>
              <w:t xml:space="preserve"> trimestre 2024</w:t>
            </w:r>
          </w:p>
        </w:tc>
      </w:tr>
      <w:tr w:rsidR="00345D13" w:rsidRPr="001D5AE1" w14:paraId="366B44C2" w14:textId="77777777" w:rsidTr="00262A6A">
        <w:tc>
          <w:tcPr>
            <w:tcW w:w="3114" w:type="dxa"/>
          </w:tcPr>
          <w:p w14:paraId="773E384B" w14:textId="77777777" w:rsidR="00345D13" w:rsidRPr="001D5AE1" w:rsidRDefault="00345D13" w:rsidP="005B57F5">
            <w:pPr>
              <w:adjustRightInd w:val="0"/>
              <w:spacing w:before="120" w:after="120"/>
              <w:textAlignment w:val="baseline"/>
              <w:rPr>
                <w:sz w:val="18"/>
                <w:szCs w:val="18"/>
                <w:lang w:val="fr-FR"/>
              </w:rPr>
            </w:pPr>
          </w:p>
        </w:tc>
        <w:tc>
          <w:tcPr>
            <w:tcW w:w="3827" w:type="dxa"/>
          </w:tcPr>
          <w:p w14:paraId="29029F31" w14:textId="552A0AEE" w:rsidR="00345D13" w:rsidRPr="001D5AE1" w:rsidRDefault="00345D13" w:rsidP="005B57F5">
            <w:pPr>
              <w:adjustRightInd w:val="0"/>
              <w:spacing w:before="120" w:after="120"/>
              <w:textAlignment w:val="baseline"/>
              <w:rPr>
                <w:sz w:val="18"/>
                <w:szCs w:val="18"/>
                <w:lang w:val="fr-FR"/>
              </w:rPr>
            </w:pPr>
            <w:r w:rsidRPr="001D5AE1">
              <w:rPr>
                <w:sz w:val="18"/>
                <w:szCs w:val="18"/>
                <w:lang w:val="fr-FR"/>
              </w:rPr>
              <w:t>6.5 Travailler avec des spécialistes en ressources humaines afin de cibler des candidates qualifiées pour les postes de direction au sein de la Commission et d</w:t>
            </w:r>
            <w:r w:rsidR="00577D76" w:rsidRPr="001D5AE1">
              <w:rPr>
                <w:sz w:val="18"/>
                <w:szCs w:val="18"/>
                <w:lang w:val="fr-FR"/>
              </w:rPr>
              <w:t>’</w:t>
            </w:r>
            <w:r w:rsidRPr="001D5AE1">
              <w:rPr>
                <w:sz w:val="18"/>
                <w:szCs w:val="18"/>
                <w:lang w:val="fr-FR"/>
              </w:rPr>
              <w:t>équilibrer la répartition géographique</w:t>
            </w:r>
            <w:r w:rsidR="004379A7" w:rsidRPr="001D5AE1">
              <w:rPr>
                <w:sz w:val="18"/>
                <w:szCs w:val="18"/>
                <w:lang w:val="fr-FR"/>
              </w:rPr>
              <w:t>.</w:t>
            </w:r>
          </w:p>
        </w:tc>
        <w:tc>
          <w:tcPr>
            <w:tcW w:w="3544" w:type="dxa"/>
          </w:tcPr>
          <w:p w14:paraId="4AD9DB0C" w14:textId="12C39AD9" w:rsidR="00345D13" w:rsidRPr="001D5AE1" w:rsidRDefault="004379A7" w:rsidP="005B57F5">
            <w:pPr>
              <w:adjustRightInd w:val="0"/>
              <w:spacing w:before="120" w:after="120"/>
              <w:textAlignment w:val="baseline"/>
              <w:rPr>
                <w:sz w:val="18"/>
                <w:szCs w:val="18"/>
                <w:lang w:val="fr-FR"/>
              </w:rPr>
            </w:pPr>
            <w:r w:rsidRPr="001D5AE1">
              <w:rPr>
                <w:sz w:val="18"/>
                <w:szCs w:val="18"/>
                <w:lang w:val="fr-FR"/>
              </w:rPr>
              <w:t xml:space="preserve">En cours. </w:t>
            </w:r>
            <w:r w:rsidR="00397067" w:rsidRPr="001D5AE1">
              <w:rPr>
                <w:sz w:val="18"/>
                <w:szCs w:val="18"/>
                <w:lang w:val="fr-FR"/>
              </w:rPr>
              <w:t xml:space="preserve">Deux recrutements récents ont </w:t>
            </w:r>
            <w:r w:rsidR="00510334" w:rsidRPr="001D5AE1">
              <w:rPr>
                <w:sz w:val="18"/>
                <w:szCs w:val="18"/>
                <w:lang w:val="fr-FR"/>
              </w:rPr>
              <w:t>été menés conformément à</w:t>
            </w:r>
            <w:r w:rsidR="00397067" w:rsidRPr="001D5AE1">
              <w:rPr>
                <w:sz w:val="18"/>
                <w:szCs w:val="18"/>
                <w:lang w:val="fr-FR"/>
              </w:rPr>
              <w:t xml:space="preserve"> cet engagement :</w:t>
            </w:r>
          </w:p>
          <w:p w14:paraId="748A0E35" w14:textId="664DE88B" w:rsidR="00397067" w:rsidRPr="001D5AE1" w:rsidRDefault="00397067" w:rsidP="005B57F5">
            <w:pPr>
              <w:adjustRightInd w:val="0"/>
              <w:spacing w:before="120" w:after="120"/>
              <w:textAlignment w:val="baseline"/>
              <w:rPr>
                <w:sz w:val="18"/>
                <w:szCs w:val="18"/>
                <w:lang w:val="fr-FR"/>
              </w:rPr>
            </w:pPr>
            <w:r w:rsidRPr="001D5AE1">
              <w:rPr>
                <w:sz w:val="18"/>
                <w:szCs w:val="18"/>
                <w:lang w:val="fr-FR"/>
              </w:rPr>
              <w:t xml:space="preserve">Le poste P-5 de chef de la Section de la résilience aux tsunamis (recherche ciblée </w:t>
            </w:r>
            <w:r w:rsidR="005B57F5" w:rsidRPr="001D5AE1">
              <w:rPr>
                <w:sz w:val="18"/>
                <w:szCs w:val="18"/>
                <w:lang w:val="fr-FR"/>
              </w:rPr>
              <w:t>– </w:t>
            </w:r>
            <w:r w:rsidRPr="001D5AE1">
              <w:rPr>
                <w:sz w:val="18"/>
                <w:szCs w:val="18"/>
                <w:lang w:val="fr-FR"/>
              </w:rPr>
              <w:t>nomination d</w:t>
            </w:r>
            <w:r w:rsidR="00577D76" w:rsidRPr="001D5AE1">
              <w:rPr>
                <w:sz w:val="18"/>
                <w:szCs w:val="18"/>
                <w:lang w:val="fr-FR"/>
              </w:rPr>
              <w:t>’</w:t>
            </w:r>
            <w:r w:rsidRPr="001D5AE1">
              <w:rPr>
                <w:sz w:val="18"/>
                <w:szCs w:val="18"/>
                <w:lang w:val="fr-FR"/>
              </w:rPr>
              <w:t>un candidat interne, ressortissant du Chili) ;</w:t>
            </w:r>
          </w:p>
          <w:p w14:paraId="64A1DDB6" w14:textId="38CA2D2D" w:rsidR="00397067" w:rsidRPr="001D5AE1" w:rsidRDefault="00397067" w:rsidP="005B57F5">
            <w:pPr>
              <w:adjustRightInd w:val="0"/>
              <w:spacing w:before="120" w:after="120"/>
              <w:textAlignment w:val="baseline"/>
              <w:rPr>
                <w:sz w:val="18"/>
                <w:szCs w:val="18"/>
                <w:lang w:val="fr-FR"/>
              </w:rPr>
            </w:pPr>
            <w:r w:rsidRPr="001D5AE1">
              <w:rPr>
                <w:sz w:val="18"/>
                <w:szCs w:val="18"/>
                <w:lang w:val="fr-FR"/>
              </w:rPr>
              <w:t>Le poste P-4 de secrétaire de l</w:t>
            </w:r>
            <w:r w:rsidR="00577D76" w:rsidRPr="001D5AE1">
              <w:rPr>
                <w:sz w:val="18"/>
                <w:szCs w:val="18"/>
                <w:lang w:val="fr-FR"/>
              </w:rPr>
              <w:t>’</w:t>
            </w:r>
            <w:r w:rsidRPr="001D5AE1">
              <w:rPr>
                <w:sz w:val="18"/>
                <w:szCs w:val="18"/>
                <w:lang w:val="fr-FR"/>
              </w:rPr>
              <w:t>IOCARIBE (nouveau programme pour les membres du personnel de niveau intermédiaire de l</w:t>
            </w:r>
            <w:r w:rsidR="00577D76" w:rsidRPr="001D5AE1">
              <w:rPr>
                <w:sz w:val="18"/>
                <w:szCs w:val="18"/>
                <w:lang w:val="fr-FR"/>
              </w:rPr>
              <w:t>’</w:t>
            </w:r>
            <w:r w:rsidRPr="001D5AE1">
              <w:rPr>
                <w:sz w:val="18"/>
                <w:szCs w:val="18"/>
                <w:lang w:val="fr-FR"/>
              </w:rPr>
              <w:t>UNESCO –</w:t>
            </w:r>
            <w:r w:rsidR="005B57F5" w:rsidRPr="001D5AE1">
              <w:rPr>
                <w:sz w:val="18"/>
                <w:szCs w:val="18"/>
                <w:lang w:val="fr-FR"/>
              </w:rPr>
              <w:t> </w:t>
            </w:r>
            <w:r w:rsidRPr="001D5AE1">
              <w:rPr>
                <w:sz w:val="18"/>
                <w:szCs w:val="18"/>
                <w:lang w:val="fr-FR"/>
              </w:rPr>
              <w:t>nomination d</w:t>
            </w:r>
            <w:r w:rsidR="00577D76" w:rsidRPr="001D5AE1">
              <w:rPr>
                <w:sz w:val="18"/>
                <w:szCs w:val="18"/>
                <w:lang w:val="fr-FR"/>
              </w:rPr>
              <w:t>’</w:t>
            </w:r>
            <w:r w:rsidRPr="001D5AE1">
              <w:rPr>
                <w:sz w:val="18"/>
                <w:szCs w:val="18"/>
                <w:lang w:val="fr-FR"/>
              </w:rPr>
              <w:t>une candidate, ressortissante de la Barbade, État membre sous</w:t>
            </w:r>
            <w:r w:rsidR="009C54F7">
              <w:rPr>
                <w:sz w:val="18"/>
                <w:szCs w:val="18"/>
                <w:lang w:val="fr-FR"/>
              </w:rPr>
              <w:noBreakHyphen/>
            </w:r>
            <w:r w:rsidRPr="001D5AE1">
              <w:rPr>
                <w:sz w:val="18"/>
                <w:szCs w:val="18"/>
                <w:lang w:val="fr-FR"/>
              </w:rPr>
              <w:t>représenté).</w:t>
            </w:r>
          </w:p>
        </w:tc>
        <w:tc>
          <w:tcPr>
            <w:tcW w:w="1781" w:type="dxa"/>
          </w:tcPr>
          <w:p w14:paraId="30C370D3" w14:textId="78D07CAF" w:rsidR="00345D13" w:rsidRPr="001D5AE1" w:rsidRDefault="000C27AF" w:rsidP="005B57F5">
            <w:pPr>
              <w:adjustRightInd w:val="0"/>
              <w:spacing w:before="120" w:after="120"/>
              <w:textAlignment w:val="baseline"/>
              <w:rPr>
                <w:sz w:val="18"/>
                <w:szCs w:val="18"/>
                <w:lang w:val="fr-FR"/>
              </w:rPr>
            </w:pPr>
            <w:r w:rsidRPr="001D5AE1">
              <w:rPr>
                <w:sz w:val="18"/>
                <w:szCs w:val="18"/>
                <w:lang w:val="fr-FR"/>
              </w:rPr>
              <w:t>Secrétaire exécutif et Bureau exécutif</w:t>
            </w:r>
          </w:p>
        </w:tc>
        <w:tc>
          <w:tcPr>
            <w:tcW w:w="2126" w:type="dxa"/>
          </w:tcPr>
          <w:p w14:paraId="54CC2318" w14:textId="35BB068C" w:rsidR="00345D13" w:rsidRPr="001D5AE1" w:rsidRDefault="000C27AF" w:rsidP="005B57F5">
            <w:pPr>
              <w:adjustRightInd w:val="0"/>
              <w:spacing w:before="120" w:after="120"/>
              <w:textAlignment w:val="baseline"/>
              <w:rPr>
                <w:sz w:val="18"/>
                <w:szCs w:val="18"/>
                <w:lang w:val="fr-FR"/>
              </w:rPr>
            </w:pPr>
            <w:r w:rsidRPr="001D5AE1">
              <w:rPr>
                <w:sz w:val="18"/>
                <w:szCs w:val="18"/>
                <w:lang w:val="fr-FR"/>
              </w:rPr>
              <w:t>Mise en œuvre dans la mesure du possible (postes vacants jusqu</w:t>
            </w:r>
            <w:r w:rsidR="00577D76" w:rsidRPr="001D5AE1">
              <w:rPr>
                <w:sz w:val="18"/>
                <w:szCs w:val="18"/>
                <w:lang w:val="fr-FR"/>
              </w:rPr>
              <w:t>’</w:t>
            </w:r>
            <w:r w:rsidRPr="001D5AE1">
              <w:rPr>
                <w:sz w:val="18"/>
                <w:szCs w:val="18"/>
                <w:lang w:val="fr-FR"/>
              </w:rPr>
              <w:t>à aujourd</w:t>
            </w:r>
            <w:r w:rsidR="00577D76" w:rsidRPr="001D5AE1">
              <w:rPr>
                <w:sz w:val="18"/>
                <w:szCs w:val="18"/>
                <w:lang w:val="fr-FR"/>
              </w:rPr>
              <w:t>’</w:t>
            </w:r>
            <w:r w:rsidRPr="001D5AE1">
              <w:rPr>
                <w:sz w:val="18"/>
                <w:szCs w:val="18"/>
                <w:lang w:val="fr-FR"/>
              </w:rPr>
              <w:t>hui) et se poursuivra jusqu</w:t>
            </w:r>
            <w:r w:rsidR="00577D76" w:rsidRPr="001D5AE1">
              <w:rPr>
                <w:sz w:val="18"/>
                <w:szCs w:val="18"/>
                <w:lang w:val="fr-FR"/>
              </w:rPr>
              <w:t>’</w:t>
            </w:r>
            <w:r w:rsidRPr="001D5AE1">
              <w:rPr>
                <w:sz w:val="18"/>
                <w:szCs w:val="18"/>
                <w:lang w:val="fr-FR"/>
              </w:rPr>
              <w:t>à ce que l</w:t>
            </w:r>
            <w:r w:rsidR="00577D76" w:rsidRPr="001D5AE1">
              <w:rPr>
                <w:sz w:val="18"/>
                <w:szCs w:val="18"/>
                <w:lang w:val="fr-FR"/>
              </w:rPr>
              <w:t>’</w:t>
            </w:r>
            <w:r w:rsidRPr="001D5AE1">
              <w:rPr>
                <w:sz w:val="18"/>
                <w:szCs w:val="18"/>
                <w:lang w:val="fr-FR"/>
              </w:rPr>
              <w:t>objectif soit atteint.</w:t>
            </w:r>
          </w:p>
        </w:tc>
      </w:tr>
      <w:bookmarkEnd w:id="0"/>
    </w:tbl>
    <w:p w14:paraId="33763D6C" w14:textId="77777777" w:rsidR="001007FE" w:rsidRPr="001D5AE1" w:rsidRDefault="001007FE" w:rsidP="005B57F5">
      <w:pPr>
        <w:pStyle w:val="Marge"/>
      </w:pPr>
    </w:p>
    <w:sectPr w:rsidR="001007FE" w:rsidRPr="001D5AE1" w:rsidSect="00DB71D2">
      <w:headerReference w:type="even" r:id="rId24"/>
      <w:headerReference w:type="default" r:id="rId25"/>
      <w:footerReference w:type="even" r:id="rId26"/>
      <w:footerReference w:type="default" r:id="rId27"/>
      <w:headerReference w:type="first" r:id="rId28"/>
      <w:footerReference w:type="first" r:id="rId29"/>
      <w:type w:val="oddPage"/>
      <w:pgSz w:w="16840" w:h="11920" w:orient="landscape"/>
      <w:pgMar w:top="1267" w:right="1216" w:bottom="1210" w:left="1152"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AE4" w14:textId="77777777" w:rsidR="00B22F43" w:rsidRDefault="00B22F43" w:rsidP="00200D03">
      <w:r>
        <w:separator/>
      </w:r>
    </w:p>
  </w:endnote>
  <w:endnote w:type="continuationSeparator" w:id="0">
    <w:p w14:paraId="6CF12D64" w14:textId="77777777" w:rsidR="00B22F43" w:rsidRDefault="00B22F4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2C9F" w14:textId="77777777" w:rsidR="003C29BC" w:rsidRDefault="003C2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E840" w14:textId="77777777" w:rsidR="003C29BC" w:rsidRDefault="003C2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97CB" w14:textId="77777777" w:rsidR="00007A87" w:rsidRDefault="00007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DBB6" w14:textId="6426D37C" w:rsidR="00007A87" w:rsidRDefault="00BA2CAE">
    <w:pPr>
      <w:pStyle w:val="Footer"/>
    </w:pPr>
    <w:r w:rsidRPr="00BA2CAE">
      <w:rPr>
        <w:rFonts w:cs="Arial"/>
        <w:bCs/>
        <w:noProof/>
        <w:szCs w:val="22"/>
      </w:rPr>
      <mc:AlternateContent>
        <mc:Choice Requires="wps">
          <w:drawing>
            <wp:anchor distT="45720" distB="45720" distL="114300" distR="114300" simplePos="0" relativeHeight="251667456" behindDoc="0" locked="0" layoutInCell="1" allowOverlap="1" wp14:anchorId="29B52C7A" wp14:editId="4AC3152D">
              <wp:simplePos x="0" y="0"/>
              <wp:positionH relativeFrom="column">
                <wp:posOffset>8340494</wp:posOffset>
              </wp:positionH>
              <wp:positionV relativeFrom="paragraph">
                <wp:posOffset>-1462405</wp:posOffset>
              </wp:positionV>
              <wp:extent cx="2049145" cy="256083"/>
              <wp:effectExtent l="1270" t="0" r="9525"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49145" cy="256083"/>
                      </a:xfrm>
                      <a:prstGeom prst="rect">
                        <a:avLst/>
                      </a:prstGeom>
                      <a:solidFill>
                        <a:srgbClr val="FFFFFF"/>
                      </a:solidFill>
                      <a:ln w="9525">
                        <a:noFill/>
                        <a:miter lim="800000"/>
                        <a:headEnd/>
                        <a:tailEnd/>
                      </a:ln>
                    </wps:spPr>
                    <wps:txbx>
                      <w:txbxContent>
                        <w:p w14:paraId="237197B1" w14:textId="77777777" w:rsidR="00BA2CAE" w:rsidRDefault="00BA2CAE" w:rsidP="00BA2CAE">
                          <w:r w:rsidRPr="00BA2CAE">
                            <w:rPr>
                              <w:rFonts w:cs="Arial"/>
                              <w:bCs/>
                              <w:szCs w:val="22"/>
                            </w:rPr>
                            <w:t>IOC-32/6.3.Doc</w:t>
                          </w:r>
                          <w:sdt>
                            <w:sdtPr>
                              <w:rPr>
                                <w:rFonts w:cs="Arial"/>
                                <w:bCs/>
                                <w:szCs w:val="22"/>
                              </w:rPr>
                              <w:id w:val="1415429758"/>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52C7A" id="_x0000_t202" coordsize="21600,21600" o:spt="202" path="m,l,21600r21600,l21600,xe">
              <v:stroke joinstyle="miter"/>
              <v:path gradientshapeok="t" o:connecttype="rect"/>
            </v:shapetype>
            <v:shape id="_x0000_s1027" type="#_x0000_t202" style="position:absolute;margin-left:656.75pt;margin-top:-115.15pt;width:161.35pt;height:20.1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" stroked="f">
              <v:textbox inset="0,,0">
                <w:txbxContent>
                  <w:p w14:paraId="237197B1" w14:textId="77777777" w:rsidR="00BA2CAE" w:rsidRDefault="00BA2CAE" w:rsidP="00BA2CAE">
                    <w:r w:rsidRPr="00BA2CAE">
                      <w:rPr>
                        <w:rFonts w:cs="Arial"/>
                        <w:bCs/>
                        <w:szCs w:val="22"/>
                      </w:rPr>
                      <w:t>IOC-32/6.3.Doc</w:t>
                    </w:r>
                    <w:sdt>
                      <w:sdtPr>
                        <w:rPr>
                          <w:rFonts w:cs="Arial"/>
                          <w:bCs/>
                          <w:szCs w:val="22"/>
                        </w:rPr>
                        <w:id w:val="1415429758"/>
                        <w:docPartObj>
                          <w:docPartGallery w:val="Page Numbers (Top of Page)"/>
                          <w:docPartUnique/>
                        </w:docPartObj>
                      </w:sdt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59D8" w14:textId="1083FEA7" w:rsidR="00007A87" w:rsidRDefault="00BA2CAE">
    <w:pPr>
      <w:pStyle w:val="Footer"/>
    </w:pPr>
    <w:r w:rsidRPr="00BA2CAE">
      <w:rPr>
        <w:rFonts w:cs="Arial"/>
        <w:bCs/>
        <w:noProof/>
        <w:szCs w:val="22"/>
      </w:rPr>
      <mc:AlternateContent>
        <mc:Choice Requires="wps">
          <w:drawing>
            <wp:anchor distT="45720" distB="45720" distL="114300" distR="114300" simplePos="0" relativeHeight="251663360" behindDoc="0" locked="0" layoutInCell="1" allowOverlap="1" wp14:anchorId="5498B87C" wp14:editId="06FB1936">
              <wp:simplePos x="0" y="0"/>
              <wp:positionH relativeFrom="column">
                <wp:posOffset>8345780</wp:posOffset>
              </wp:positionH>
              <wp:positionV relativeFrom="paragraph">
                <wp:posOffset>-1467689</wp:posOffset>
              </wp:positionV>
              <wp:extent cx="2049145" cy="266654"/>
              <wp:effectExtent l="0" t="3810" r="4445"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49145" cy="266654"/>
                      </a:xfrm>
                      <a:prstGeom prst="rect">
                        <a:avLst/>
                      </a:prstGeom>
                      <a:solidFill>
                        <a:srgbClr val="FFFFFF"/>
                      </a:solidFill>
                      <a:ln w="9525">
                        <a:noFill/>
                        <a:miter lim="800000"/>
                        <a:headEnd/>
                        <a:tailEnd/>
                      </a:ln>
                    </wps:spPr>
                    <wps:txbx>
                      <w:txbxContent>
                        <w:p w14:paraId="1D7B5BC9" w14:textId="722E863C" w:rsidR="00BA2CAE" w:rsidRDefault="00BA2CAE">
                          <w:r w:rsidRPr="00BA2CAE">
                            <w:rPr>
                              <w:rFonts w:cs="Arial"/>
                              <w:bCs/>
                              <w:szCs w:val="22"/>
                            </w:rPr>
                            <w:t>IOC-32/6.3.Doc</w:t>
                          </w:r>
                          <w:sdt>
                            <w:sdtPr>
                              <w:rPr>
                                <w:rFonts w:cs="Arial"/>
                                <w:bCs/>
                                <w:szCs w:val="22"/>
                              </w:rPr>
                              <w:id w:val="-705328957"/>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8B87C" id="_x0000_t202" coordsize="21600,21600" o:spt="202" path="m,l,21600r21600,l21600,xe">
              <v:stroke joinstyle="miter"/>
              <v:path gradientshapeok="t" o:connecttype="rect"/>
            </v:shapetype>
            <v:shape id="_x0000_s1028" type="#_x0000_t202" style="position:absolute;margin-left:657.15pt;margin-top:-115.55pt;width:161.35pt;height:21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" stroked="f">
              <v:textbox>
                <w:txbxContent>
                  <w:p w14:paraId="1D7B5BC9" w14:textId="722E863C" w:rsidR="00BA2CAE" w:rsidRDefault="00BA2CAE">
                    <w:r w:rsidRPr="00BA2CAE">
                      <w:rPr>
                        <w:rFonts w:cs="Arial"/>
                        <w:bCs/>
                        <w:szCs w:val="22"/>
                      </w:rPr>
                      <w:t>IOC-32/6.3.Doc</w:t>
                    </w:r>
                    <w:sdt>
                      <w:sdtPr>
                        <w:rPr>
                          <w:rFonts w:cs="Arial"/>
                          <w:bCs/>
                          <w:szCs w:val="22"/>
                        </w:rPr>
                        <w:id w:val="-705328957"/>
                        <w:docPartObj>
                          <w:docPartGallery w:val="Page Numbers (Top of Page)"/>
                          <w:docPartUnique/>
                        </w:docPartObj>
                      </w:sdt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FDB9" w14:textId="77777777" w:rsidR="00B22F43" w:rsidRDefault="00B22F43" w:rsidP="00200D03">
      <w:r>
        <w:separator/>
      </w:r>
    </w:p>
  </w:footnote>
  <w:footnote w:type="continuationSeparator" w:id="0">
    <w:p w14:paraId="45F6DDE0" w14:textId="77777777" w:rsidR="00B22F43" w:rsidRDefault="00B22F43" w:rsidP="00200D03">
      <w:r>
        <w:continuationSeparator/>
      </w:r>
    </w:p>
  </w:footnote>
  <w:footnote w:id="1">
    <w:p w14:paraId="4729494C" w14:textId="54FDF904" w:rsidR="00BC4BD0" w:rsidRPr="004A43DA" w:rsidRDefault="00BC4BD0" w:rsidP="004A43DA">
      <w:pPr>
        <w:pStyle w:val="FootnoteText"/>
        <w:tabs>
          <w:tab w:val="clear" w:pos="567"/>
        </w:tabs>
        <w:rPr>
          <w:rFonts w:cs="Arial"/>
        </w:rPr>
      </w:pPr>
      <w:r w:rsidRPr="004A43DA">
        <w:rPr>
          <w:rStyle w:val="FootnoteReference"/>
          <w:rFonts w:cs="Arial"/>
        </w:rPr>
        <w:footnoteRef/>
      </w:r>
      <w:r w:rsidR="004A43DA">
        <w:rPr>
          <w:rFonts w:cs="Arial"/>
        </w:rPr>
        <w:tab/>
      </w:r>
      <w:r w:rsidRPr="004A43DA">
        <w:rPr>
          <w:rFonts w:cs="Arial"/>
        </w:rPr>
        <w:t>Le Groupe de haut niveau pour une économie océanique durable a rassemblé 14 </w:t>
      </w:r>
      <w:r w:rsidR="005D2409">
        <w:rPr>
          <w:rFonts w:cs="Arial"/>
        </w:rPr>
        <w:t>c</w:t>
      </w:r>
      <w:r w:rsidRPr="004A43DA">
        <w:rPr>
          <w:rFonts w:cs="Arial"/>
        </w:rPr>
        <w:t>hefs d</w:t>
      </w:r>
      <w:r w:rsidR="00577D76">
        <w:rPr>
          <w:rFonts w:cs="Arial"/>
        </w:rPr>
        <w:t>’</w:t>
      </w:r>
      <w:r w:rsidRPr="004A43DA">
        <w:rPr>
          <w:rFonts w:cs="Arial"/>
        </w:rPr>
        <w:t>État et de gouvernement afin de « créer une dynamique en faveur d</w:t>
      </w:r>
      <w:r w:rsidR="00577D76">
        <w:rPr>
          <w:rFonts w:cs="Arial"/>
        </w:rPr>
        <w:t>’</w:t>
      </w:r>
      <w:r w:rsidRPr="004A43DA">
        <w:rPr>
          <w:rFonts w:cs="Arial"/>
        </w:rPr>
        <w:t xml:space="preserve">une économie océanique durable où la protection efficace, la production durable et la prospérité équitable vont de pair ». La vision du Groupe est détaillée dans Stuchtey </w:t>
      </w:r>
      <w:r w:rsidRPr="004A43DA">
        <w:rPr>
          <w:rFonts w:cs="Arial"/>
          <w:i/>
          <w:iCs/>
        </w:rPr>
        <w:t>et al.</w:t>
      </w:r>
      <w:r w:rsidRPr="004A43DA">
        <w:rPr>
          <w:rFonts w:cs="Arial"/>
        </w:rPr>
        <w:t xml:space="preserve"> (2020) « Des solutions océaniques qui profitent aux personnes, à la nature et à l</w:t>
      </w:r>
      <w:r w:rsidR="00577D76">
        <w:rPr>
          <w:rFonts w:cs="Arial"/>
        </w:rPr>
        <w:t>’</w:t>
      </w:r>
      <w:r w:rsidRPr="004A43DA">
        <w:rPr>
          <w:rFonts w:cs="Arial"/>
        </w:rPr>
        <w:t>économie », disponible à l</w:t>
      </w:r>
      <w:r w:rsidR="00577D76">
        <w:rPr>
          <w:rFonts w:cs="Arial"/>
        </w:rPr>
        <w:t>’</w:t>
      </w:r>
      <w:r w:rsidRPr="004A43DA">
        <w:rPr>
          <w:rFonts w:cs="Arial"/>
        </w:rPr>
        <w:t xml:space="preserve">adresse suivante : </w:t>
      </w:r>
      <w:hyperlink r:id="rId1" w:history="1">
        <w:r w:rsidRPr="004A43DA">
          <w:rPr>
            <w:rStyle w:val="Hyperlink"/>
            <w:rFonts w:cs="Arial"/>
          </w:rPr>
          <w:t>Ocean Solutions Report | High Level Panel for a Sustainable Ocean Economy (oceanpanel.org)</w:t>
        </w:r>
      </w:hyperlink>
      <w:r w:rsidRPr="004A43DA">
        <w:rPr>
          <w:rFonts w:cs="Arial"/>
        </w:rPr>
        <w:t>.</w:t>
      </w:r>
    </w:p>
  </w:footnote>
  <w:footnote w:id="2">
    <w:p w14:paraId="15EDC6DF" w14:textId="26C93353" w:rsidR="00BC4BD0" w:rsidRPr="004A43DA" w:rsidRDefault="00BC4BD0" w:rsidP="004A43DA">
      <w:pPr>
        <w:pStyle w:val="FootnoteText"/>
        <w:tabs>
          <w:tab w:val="clear" w:pos="567"/>
        </w:tabs>
        <w:adjustRightInd w:val="0"/>
        <w:rPr>
          <w:rFonts w:cs="Arial"/>
        </w:rPr>
      </w:pPr>
      <w:r w:rsidRPr="004A43DA">
        <w:rPr>
          <w:rStyle w:val="FootnoteReference"/>
          <w:rFonts w:cs="Arial"/>
        </w:rPr>
        <w:footnoteRef/>
      </w:r>
      <w:r w:rsidRPr="004A43DA">
        <w:rPr>
          <w:rFonts w:cs="Arial"/>
        </w:rPr>
        <w:t xml:space="preserve"> </w:t>
      </w:r>
      <w:r w:rsidRPr="004A43DA">
        <w:rPr>
          <w:rFonts w:cs="Arial"/>
        </w:rPr>
        <w:tab/>
        <w:t xml:space="preserve">Ses compétences spécifiques dans les domaines de la recherche scientifique marine et du transfert des techniques marines sont reconnues dans la Convention des </w:t>
      </w:r>
      <w:r w:rsidR="00172412">
        <w:rPr>
          <w:rFonts w:cs="Arial"/>
        </w:rPr>
        <w:t>Nations Unies</w:t>
      </w:r>
      <w:r w:rsidRPr="004A43DA">
        <w:rPr>
          <w:rFonts w:cs="Arial"/>
        </w:rPr>
        <w:t xml:space="preserve"> sur le droit de la mer et sont mentionnées dans plusieurs documents finaux de conférences des </w:t>
      </w:r>
      <w:r w:rsidR="00172412">
        <w:rPr>
          <w:rFonts w:cs="Arial"/>
        </w:rPr>
        <w:t>Nations Unies</w:t>
      </w:r>
      <w:r w:rsidRPr="004A43DA">
        <w:rPr>
          <w:rFonts w:cs="Arial"/>
        </w:rPr>
        <w:t xml:space="preserve"> sur le développement durable ainsi que dans les objectifs de développement durable.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477DD7B7" w:rsidR="00376476" w:rsidRPr="00376476" w:rsidRDefault="00376476" w:rsidP="0077787D">
    <w:pPr>
      <w:pStyle w:val="Header"/>
      <w:spacing w:after="240"/>
      <w:rPr>
        <w:rFonts w:cs="Arial"/>
        <w:bCs/>
        <w:sz w:val="22"/>
        <w:szCs w:val="22"/>
      </w:rPr>
    </w:pPr>
    <w:r w:rsidRPr="00352423">
      <w:rPr>
        <w:rFonts w:cs="Arial"/>
        <w:bCs/>
        <w:sz w:val="22"/>
        <w:szCs w:val="22"/>
      </w:rPr>
      <w:t>IOC-</w:t>
    </w:r>
    <w:r w:rsidR="00BF1AA4">
      <w:rPr>
        <w:rFonts w:cs="Arial"/>
        <w:bCs/>
        <w:sz w:val="22"/>
        <w:szCs w:val="22"/>
      </w:rPr>
      <w:t>32</w:t>
    </w:r>
    <w:r>
      <w:rPr>
        <w:rFonts w:cs="Arial"/>
        <w:bCs/>
        <w:sz w:val="22"/>
        <w:szCs w:val="22"/>
      </w:rPr>
      <w:t>/</w:t>
    </w:r>
    <w:r w:rsidR="00BF1AA4">
      <w:rPr>
        <w:rFonts w:cs="Arial"/>
        <w:bCs/>
        <w:sz w:val="22"/>
        <w:szCs w:val="22"/>
      </w:rPr>
      <w:t>6</w:t>
    </w:r>
    <w:r w:rsidRPr="00352423">
      <w:rPr>
        <w:rFonts w:cs="Arial"/>
        <w:bCs/>
        <w:sz w:val="22"/>
        <w:szCs w:val="22"/>
      </w:rPr>
      <w:t>.</w:t>
    </w:r>
    <w:proofErr w:type="gramStart"/>
    <w:r w:rsidR="00BF1AA4">
      <w:rPr>
        <w:rFonts w:cs="Arial"/>
        <w:bCs/>
        <w:sz w:val="22"/>
        <w:szCs w:val="22"/>
      </w:rPr>
      <w:t>3</w:t>
    </w:r>
    <w:r>
      <w:rPr>
        <w:rFonts w:cs="Arial"/>
        <w:bCs/>
        <w:sz w:val="22"/>
        <w:szCs w:val="22"/>
      </w:rPr>
      <w:t>.</w:t>
    </w:r>
    <w:r w:rsidRPr="00352423">
      <w:rPr>
        <w:rFonts w:cs="Arial"/>
        <w:bCs/>
        <w:sz w:val="22"/>
        <w:szCs w:val="22"/>
      </w:rPr>
      <w:t>Doc</w:t>
    </w:r>
    <w:proofErr w:type="gramEnd"/>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040208B8" w:rsidR="00200D03" w:rsidRPr="00376476" w:rsidRDefault="00376476" w:rsidP="00DF4459">
    <w:pPr>
      <w:pStyle w:val="Header"/>
      <w:ind w:left="6096"/>
      <w:jc w:val="right"/>
      <w:rPr>
        <w:rFonts w:cs="Arial"/>
        <w:bCs/>
        <w:sz w:val="22"/>
        <w:szCs w:val="22"/>
      </w:rPr>
    </w:pPr>
    <w:r w:rsidRPr="00352423">
      <w:rPr>
        <w:rFonts w:cs="Arial"/>
        <w:bCs/>
        <w:sz w:val="22"/>
        <w:szCs w:val="22"/>
      </w:rPr>
      <w:t>IOC-</w:t>
    </w:r>
    <w:r w:rsidR="00BF1AA4">
      <w:rPr>
        <w:rFonts w:cs="Arial"/>
        <w:bCs/>
        <w:sz w:val="22"/>
        <w:szCs w:val="22"/>
      </w:rPr>
      <w:t>32</w:t>
    </w:r>
    <w:r>
      <w:rPr>
        <w:rFonts w:cs="Arial"/>
        <w:bCs/>
        <w:sz w:val="22"/>
        <w:szCs w:val="22"/>
      </w:rPr>
      <w:t>/</w:t>
    </w:r>
    <w:r w:rsidR="00BF1AA4">
      <w:rPr>
        <w:rFonts w:cs="Arial"/>
        <w:bCs/>
        <w:sz w:val="22"/>
        <w:szCs w:val="22"/>
      </w:rPr>
      <w:t>6</w:t>
    </w:r>
    <w:r w:rsidRPr="00352423">
      <w:rPr>
        <w:rFonts w:cs="Arial"/>
        <w:bCs/>
        <w:sz w:val="22"/>
        <w:szCs w:val="22"/>
      </w:rPr>
      <w:t>.</w:t>
    </w:r>
    <w:proofErr w:type="gramStart"/>
    <w:r w:rsidR="00BF1AA4">
      <w:rPr>
        <w:rFonts w:cs="Arial"/>
        <w:bCs/>
        <w:sz w:val="22"/>
        <w:szCs w:val="22"/>
      </w:rPr>
      <w:t>3</w:t>
    </w:r>
    <w:r>
      <w:rPr>
        <w:rFonts w:cs="Arial"/>
        <w:bCs/>
        <w:sz w:val="22"/>
        <w:szCs w:val="22"/>
      </w:rPr>
      <w:t>.</w:t>
    </w:r>
    <w:r w:rsidRPr="00352423">
      <w:rPr>
        <w:rFonts w:cs="Arial"/>
        <w:bCs/>
        <w:sz w:val="22"/>
        <w:szCs w:val="22"/>
      </w:rPr>
      <w:t>Doc</w:t>
    </w:r>
    <w:proofErr w:type="gramEnd"/>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207F67FE" w:rsidR="00E90F6F" w:rsidRPr="00665B6A" w:rsidRDefault="00971704" w:rsidP="00E872C7">
    <w:pPr>
      <w:tabs>
        <w:tab w:val="left" w:pos="5954"/>
      </w:tabs>
      <w:spacing w:before="120"/>
      <w:ind w:right="-196"/>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Pr>
        <w:rFonts w:cs="Arial"/>
        <w:b/>
        <w:sz w:val="36"/>
        <w:szCs w:val="36"/>
      </w:rPr>
      <w:t>IOC-</w:t>
    </w:r>
    <w:r w:rsidR="00156950">
      <w:rPr>
        <w:rFonts w:cs="Arial"/>
        <w:b/>
        <w:sz w:val="36"/>
        <w:szCs w:val="36"/>
      </w:rPr>
      <w:t>32</w:t>
    </w:r>
    <w:r w:rsidR="00E90F6F">
      <w:rPr>
        <w:rFonts w:cs="Arial"/>
        <w:b/>
        <w:sz w:val="36"/>
        <w:szCs w:val="36"/>
      </w:rPr>
      <w:t>/</w:t>
    </w:r>
    <w:r w:rsidR="00156950">
      <w:rPr>
        <w:rFonts w:cs="Arial"/>
        <w:b/>
        <w:sz w:val="36"/>
        <w:szCs w:val="36"/>
      </w:rPr>
      <w:t>6.</w:t>
    </w:r>
    <w:proofErr w:type="gramStart"/>
    <w:r w:rsidR="00156950">
      <w:rPr>
        <w:rFonts w:cs="Arial"/>
        <w:b/>
        <w:sz w:val="36"/>
        <w:szCs w:val="36"/>
      </w:rPr>
      <w:t>3</w:t>
    </w:r>
    <w:r w:rsidR="00E872C7">
      <w:rPr>
        <w:rFonts w:cs="Arial"/>
        <w:b/>
        <w:sz w:val="36"/>
        <w:szCs w:val="36"/>
      </w:rPr>
      <w:t>.</w:t>
    </w:r>
    <w:r w:rsidR="00E90F6F">
      <w:rPr>
        <w:rFonts w:cs="Arial"/>
        <w:b/>
        <w:sz w:val="36"/>
        <w:szCs w:val="36"/>
      </w:rPr>
      <w:t>Doc</w:t>
    </w:r>
    <w:proofErr w:type="gramEnd"/>
    <w:r w:rsidR="00E90F6F">
      <w:rPr>
        <w:rFonts w:cs="Arial"/>
        <w:b/>
        <w:sz w:val="36"/>
        <w:szCs w:val="36"/>
      </w:rPr>
      <w:t>(1)</w:t>
    </w:r>
  </w:p>
  <w:p w14:paraId="69EF4909" w14:textId="4D787474" w:rsidR="00E90F6F" w:rsidRPr="00665B6A" w:rsidRDefault="00E90F6F" w:rsidP="00E872C7">
    <w:pPr>
      <w:tabs>
        <w:tab w:val="left" w:pos="2295"/>
      </w:tabs>
      <w:ind w:left="5954"/>
      <w:jc w:val="both"/>
      <w:rPr>
        <w:rFonts w:cs="Arial"/>
      </w:rPr>
    </w:pPr>
    <w:r>
      <w:rPr>
        <w:rFonts w:cs="Arial"/>
      </w:rPr>
      <w:t xml:space="preserve">Paris, le </w:t>
    </w:r>
    <w:r w:rsidR="00182E13">
      <w:rPr>
        <w:rFonts w:cs="Arial"/>
      </w:rPr>
      <w:t>1</w:t>
    </w:r>
    <w:r w:rsidR="00156950">
      <w:rPr>
        <w:rFonts w:cs="Arial"/>
      </w:rPr>
      <w:t>5</w:t>
    </w:r>
    <w:r w:rsidR="00182E13">
      <w:rPr>
        <w:rFonts w:cs="Arial"/>
      </w:rPr>
      <w:t xml:space="preserve"> mai</w:t>
    </w:r>
    <w:r w:rsidRPr="00665B6A">
      <w:rPr>
        <w:rFonts w:cs="Arial"/>
      </w:rPr>
      <w:t xml:space="preserve"> 20</w:t>
    </w:r>
    <w:r>
      <w:rPr>
        <w:rFonts w:cs="Arial"/>
      </w:rPr>
      <w:t>2</w:t>
    </w:r>
    <w:r w:rsidR="00156950">
      <w:rPr>
        <w:rFonts w:cs="Arial"/>
      </w:rPr>
      <w:t>3</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09748E5E" w14:textId="77777777" w:rsidR="00577CF2" w:rsidRDefault="00577CF2" w:rsidP="00F153AA">
    <w:pPr>
      <w:tabs>
        <w:tab w:val="left" w:pos="-1440"/>
        <w:tab w:val="left" w:pos="-720"/>
        <w:tab w:val="left" w:pos="720"/>
        <w:tab w:val="left" w:pos="2160"/>
        <w:tab w:val="left" w:pos="3600"/>
        <w:tab w:val="left" w:pos="4320"/>
        <w:tab w:val="left" w:pos="5040"/>
        <w:tab w:val="left" w:pos="5523"/>
        <w:tab w:val="left" w:pos="6480"/>
      </w:tabs>
      <w:spacing w:after="360"/>
      <w:ind w:right="-22"/>
      <w:rPr>
        <w:rFonts w:cs="Arial"/>
        <w:b/>
        <w:spacing w:val="-14"/>
        <w:sz w:val="24"/>
      </w:rPr>
    </w:pPr>
  </w:p>
  <w:p w14:paraId="5B902DCD" w14:textId="745C3B5A" w:rsidR="00E90F6F" w:rsidRPr="00E31511" w:rsidRDefault="00E90F6F" w:rsidP="00503199">
    <w:pPr>
      <w:tabs>
        <w:tab w:val="clear" w:pos="567"/>
        <w:tab w:val="left" w:pos="-1440"/>
      </w:tabs>
      <w:spacing w:before="720"/>
      <w:ind w:right="-22"/>
      <w:jc w:val="center"/>
      <w:rPr>
        <w:rFonts w:cs="Arial"/>
        <w:b/>
        <w:szCs w:val="22"/>
      </w:rPr>
    </w:pPr>
    <w:r w:rsidRPr="00E31511">
      <w:rPr>
        <w:rFonts w:cs="Arial"/>
        <w:b/>
        <w:szCs w:val="22"/>
      </w:rPr>
      <w:t>COMMISSION OCÉANOGRAPHIQUE INTERGOUVERNEMENTALE</w:t>
    </w:r>
  </w:p>
  <w:p w14:paraId="453A07EF" w14:textId="72AEC6E1"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w:t>
    </w:r>
    <w:proofErr w:type="gramStart"/>
    <w:r w:rsidRPr="00FC4C71">
      <w:rPr>
        <w:rFonts w:cs="Arial"/>
        <w:bCs/>
        <w:szCs w:val="22"/>
      </w:rPr>
      <w:t>de</w:t>
    </w:r>
    <w:proofErr w:type="gramEnd"/>
    <w:r w:rsidRPr="00FC4C71">
      <w:rPr>
        <w:rFonts w:cs="Arial"/>
        <w:bCs/>
        <w:szCs w:val="22"/>
      </w:rPr>
      <w:t xml:space="preserve"> l</w:t>
    </w:r>
    <w:r w:rsidR="00577D76">
      <w:rPr>
        <w:rFonts w:cs="Arial"/>
        <w:bCs/>
        <w:szCs w:val="22"/>
      </w:rPr>
      <w:t>’</w:t>
    </w:r>
    <w:r w:rsidRPr="00FC4C71">
      <w:rPr>
        <w:rFonts w:cs="Arial"/>
        <w:bCs/>
        <w:szCs w:val="22"/>
      </w:rPr>
      <w:t>UNESCO)</w:t>
    </w:r>
  </w:p>
  <w:p w14:paraId="5E4F3C55" w14:textId="35D23649" w:rsidR="00E90F6F" w:rsidRPr="00FC4C71" w:rsidRDefault="00156950"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Pr>
        <w:rFonts w:cs="Arial"/>
        <w:b/>
        <w:szCs w:val="22"/>
      </w:rPr>
      <w:t>Trente-deuxième</w:t>
    </w:r>
    <w:r w:rsidR="00E90F6F" w:rsidRPr="00FC4C71">
      <w:rPr>
        <w:rFonts w:cs="Arial"/>
        <w:b/>
        <w:szCs w:val="22"/>
      </w:rPr>
      <w:t xml:space="preserve"> session </w:t>
    </w:r>
    <w:r>
      <w:rPr>
        <w:rFonts w:cs="Arial"/>
        <w:b/>
        <w:szCs w:val="22"/>
      </w:rPr>
      <w:t>de l</w:t>
    </w:r>
    <w:r w:rsidR="00577D76">
      <w:rPr>
        <w:rFonts w:cs="Arial"/>
        <w:b/>
        <w:szCs w:val="22"/>
      </w:rPr>
      <w:t>’</w:t>
    </w:r>
    <w:r>
      <w:rPr>
        <w:rFonts w:cs="Arial"/>
        <w:b/>
        <w:szCs w:val="22"/>
      </w:rPr>
      <w:t>Assemblée</w:t>
    </w:r>
  </w:p>
  <w:p w14:paraId="20CA60EC" w14:textId="1F6BA8D8"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 xml:space="preserve">UNESCO, Paris, </w:t>
    </w:r>
    <w:r w:rsidR="00156950">
      <w:rPr>
        <w:rFonts w:cs="Arial"/>
        <w:szCs w:val="22"/>
      </w:rPr>
      <w:t>21</w:t>
    </w:r>
    <w:r w:rsidRPr="00FC4C71">
      <w:rPr>
        <w:rFonts w:cs="Arial"/>
        <w:szCs w:val="22"/>
      </w:rPr>
      <w:t>-</w:t>
    </w:r>
    <w:r w:rsidR="00156950">
      <w:rPr>
        <w:rFonts w:cs="Arial"/>
        <w:szCs w:val="22"/>
      </w:rPr>
      <w:t>30</w:t>
    </w:r>
    <w:r w:rsidRPr="00FC4C71">
      <w:rPr>
        <w:rFonts w:cs="Arial"/>
        <w:szCs w:val="22"/>
      </w:rPr>
      <w:t xml:space="preserve"> juin 202</w:t>
    </w:r>
    <w:r w:rsidR="00156950">
      <w:rPr>
        <w:rFonts w:cs="Arial"/>
        <w:szCs w:val="22"/>
      </w:rPr>
      <w:t>3</w:t>
    </w:r>
  </w:p>
  <w:p w14:paraId="0EF5019F" w14:textId="3560E8BA" w:rsidR="00E90F6F" w:rsidRPr="00FC4C71" w:rsidRDefault="00E90F6F" w:rsidP="00577D76">
    <w:pPr>
      <w:tabs>
        <w:tab w:val="clear" w:pos="567"/>
        <w:tab w:val="left" w:pos="-1440"/>
        <w:tab w:val="left" w:pos="-720"/>
        <w:tab w:val="left" w:pos="2160"/>
        <w:tab w:val="left" w:pos="2880"/>
        <w:tab w:val="left" w:pos="3600"/>
        <w:tab w:val="left" w:pos="4320"/>
        <w:tab w:val="left" w:pos="6480"/>
      </w:tabs>
      <w:spacing w:after="600"/>
      <w:jc w:val="both"/>
      <w:rPr>
        <w:rFonts w:cs="Arial"/>
        <w:szCs w:val="22"/>
        <w:u w:val="single"/>
      </w:rPr>
    </w:pPr>
    <w:r w:rsidRPr="00FC4C71">
      <w:rPr>
        <w:rFonts w:cs="Arial"/>
        <w:szCs w:val="22"/>
        <w:u w:val="single"/>
      </w:rPr>
      <w:t>Point</w:t>
    </w:r>
    <w:r w:rsidR="00156950">
      <w:rPr>
        <w:rFonts w:cs="Arial"/>
        <w:szCs w:val="22"/>
        <w:u w:val="single"/>
      </w:rPr>
      <w:t>s</w:t>
    </w:r>
    <w:r w:rsidRPr="00FC4C71">
      <w:rPr>
        <w:rFonts w:cs="Arial"/>
        <w:szCs w:val="22"/>
        <w:u w:val="single"/>
      </w:rPr>
      <w:t xml:space="preserve"> </w:t>
    </w:r>
    <w:r w:rsidR="00156950">
      <w:rPr>
        <w:rFonts w:cs="Arial"/>
        <w:b/>
        <w:bCs/>
        <w:szCs w:val="22"/>
        <w:u w:val="single"/>
      </w:rPr>
      <w:t xml:space="preserve">6.3 </w:t>
    </w:r>
    <w:r w:rsidR="00156950" w:rsidRPr="00156950">
      <w:rPr>
        <w:rFonts w:cs="Arial"/>
        <w:szCs w:val="22"/>
        <w:u w:val="single"/>
      </w:rPr>
      <w:t>et</w:t>
    </w:r>
    <w:r w:rsidR="00156950">
      <w:rPr>
        <w:rFonts w:cs="Arial"/>
        <w:b/>
        <w:bCs/>
        <w:szCs w:val="22"/>
        <w:u w:val="single"/>
      </w:rPr>
      <w:t xml:space="preserve"> 6.4</w:t>
    </w:r>
    <w:r w:rsidRPr="00FC4C71">
      <w:rPr>
        <w:rFonts w:cs="Arial"/>
        <w:szCs w:val="22"/>
        <w:u w:val="single"/>
      </w:rPr>
      <w:t xml:space="preserve"> de l</w:t>
    </w:r>
    <w:r w:rsidR="00577D76">
      <w:rPr>
        <w:rFonts w:cs="Arial"/>
        <w:szCs w:val="22"/>
        <w:u w:val="single"/>
      </w:rPr>
      <w:t>’</w:t>
    </w:r>
    <w:r w:rsidRPr="00FC4C71">
      <w:rPr>
        <w:rFonts w:cs="Arial"/>
        <w:szCs w:val="22"/>
        <w:u w:val="single"/>
      </w:rPr>
      <w:t>ordre du jour provisoire</w:t>
    </w:r>
    <w:r w:rsidR="00577D76">
      <w:rPr>
        <w:rFonts w:cs="Arial"/>
        <w:szCs w:val="22"/>
        <w:u w:val="single"/>
      </w:rPr>
      <w:tab/>
    </w:r>
  </w:p>
  <w:p w14:paraId="684BF9F7" w14:textId="20AF1468" w:rsidR="00E90F6F" w:rsidRPr="00FC4C71" w:rsidRDefault="00297D76" w:rsidP="00BD1247">
    <w:pPr>
      <w:pStyle w:val="Heading1"/>
      <w:spacing w:after="480"/>
      <w:rPr>
        <w:rFonts w:cs="Arial"/>
        <w:b w:val="0"/>
        <w:bCs w:val="0"/>
        <w:szCs w:val="22"/>
      </w:rPr>
    </w:pPr>
    <w:r w:rsidRPr="00297D76">
      <w:t>PROJET DE PLAN D</w:t>
    </w:r>
    <w:r w:rsidR="00577D76">
      <w:t>’</w:t>
    </w:r>
    <w:r w:rsidRPr="00297D76">
      <w:t>ACTION</w:t>
    </w:r>
    <w:r w:rsidR="00BD1247">
      <w:t xml:space="preserve"> </w:t>
    </w:r>
    <w:r w:rsidRPr="00156950">
      <w:rPr>
        <w:rFonts w:cs="Arial"/>
        <w:szCs w:val="22"/>
      </w:rPr>
      <w:t>EN RÉPONSE À L</w:t>
    </w:r>
    <w:r w:rsidR="00577D76">
      <w:rPr>
        <w:rFonts w:cs="Arial"/>
        <w:szCs w:val="22"/>
      </w:rPr>
      <w:t>’</w:t>
    </w:r>
    <w:r w:rsidRPr="00156950">
      <w:rPr>
        <w:rFonts w:cs="Arial"/>
        <w:szCs w:val="22"/>
      </w:rPr>
      <w:t xml:space="preserve">ÉVALUATION PAR IOS </w:t>
    </w:r>
    <w:r w:rsidRPr="00156950">
      <w:rPr>
        <w:rFonts w:cs="Arial"/>
        <w:szCs w:val="22"/>
      </w:rPr>
      <w:br/>
      <w:t>DU POSITIONNEMENT STRATÉGIQUE DE LA COI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5BB1" w14:textId="77777777" w:rsidR="003C29BC" w:rsidRPr="00376476" w:rsidRDefault="003C29BC" w:rsidP="0077787D">
    <w:pPr>
      <w:pStyle w:val="Header"/>
      <w:spacing w:after="240"/>
      <w:rPr>
        <w:rFonts w:cs="Arial"/>
        <w:bCs/>
        <w:sz w:val="22"/>
        <w:szCs w:val="22"/>
      </w:rPr>
    </w:pPr>
    <w:r w:rsidRPr="00352423">
      <w:rPr>
        <w:rFonts w:cs="Arial"/>
        <w:bCs/>
        <w:sz w:val="22"/>
        <w:szCs w:val="22"/>
      </w:rPr>
      <w:t>IOC-</w:t>
    </w:r>
    <w:r>
      <w:rPr>
        <w:rFonts w:cs="Arial"/>
        <w:bCs/>
        <w:sz w:val="22"/>
        <w:szCs w:val="22"/>
      </w:rPr>
      <w:t>32/6</w:t>
    </w:r>
    <w:r w:rsidRPr="00352423">
      <w:rPr>
        <w:rFonts w:cs="Arial"/>
        <w:bCs/>
        <w:sz w:val="22"/>
        <w:szCs w:val="22"/>
      </w:rPr>
      <w:t>.</w:t>
    </w:r>
    <w:proofErr w:type="gramStart"/>
    <w:r>
      <w:rPr>
        <w:rFonts w:cs="Arial"/>
        <w:bCs/>
        <w:sz w:val="22"/>
        <w:szCs w:val="22"/>
      </w:rPr>
      <w:t>3.</w:t>
    </w:r>
    <w:r w:rsidRPr="00352423">
      <w:rPr>
        <w:rFonts w:cs="Arial"/>
        <w:bCs/>
        <w:sz w:val="22"/>
        <w:szCs w:val="22"/>
      </w:rPr>
      <w:t>Doc</w:t>
    </w:r>
    <w:proofErr w:type="gramEnd"/>
    <w:sdt>
      <w:sdtPr>
        <w:rPr>
          <w:rFonts w:cs="Arial"/>
          <w:bCs/>
          <w:sz w:val="22"/>
          <w:szCs w:val="22"/>
        </w:rPr>
        <w:id w:val="-1561864400"/>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98CE" w14:textId="77777777" w:rsidR="003C29BC" w:rsidRPr="00376476" w:rsidRDefault="003C29BC" w:rsidP="00DF4459">
    <w:pPr>
      <w:pStyle w:val="Header"/>
      <w:ind w:left="6096"/>
      <w:jc w:val="right"/>
      <w:rPr>
        <w:rFonts w:cs="Arial"/>
        <w:bCs/>
        <w:sz w:val="22"/>
        <w:szCs w:val="22"/>
      </w:rPr>
    </w:pPr>
    <w:r w:rsidRPr="00352423">
      <w:rPr>
        <w:rFonts w:cs="Arial"/>
        <w:bCs/>
        <w:sz w:val="22"/>
        <w:szCs w:val="22"/>
      </w:rPr>
      <w:t>IOC-</w:t>
    </w:r>
    <w:r>
      <w:rPr>
        <w:rFonts w:cs="Arial"/>
        <w:bCs/>
        <w:sz w:val="22"/>
        <w:szCs w:val="22"/>
      </w:rPr>
      <w:t>32/6</w:t>
    </w:r>
    <w:r w:rsidRPr="00352423">
      <w:rPr>
        <w:rFonts w:cs="Arial"/>
        <w:bCs/>
        <w:sz w:val="22"/>
        <w:szCs w:val="22"/>
      </w:rPr>
      <w:t>.</w:t>
    </w:r>
    <w:proofErr w:type="gramStart"/>
    <w:r>
      <w:rPr>
        <w:rFonts w:cs="Arial"/>
        <w:bCs/>
        <w:sz w:val="22"/>
        <w:szCs w:val="22"/>
      </w:rPr>
      <w:t>3.</w:t>
    </w:r>
    <w:r w:rsidRPr="00352423">
      <w:rPr>
        <w:rFonts w:cs="Arial"/>
        <w:bCs/>
        <w:sz w:val="22"/>
        <w:szCs w:val="22"/>
      </w:rPr>
      <w:t>Doc</w:t>
    </w:r>
    <w:proofErr w:type="gramEnd"/>
    <w:sdt>
      <w:sdtPr>
        <w:rPr>
          <w:rFonts w:cs="Arial"/>
          <w:bCs/>
          <w:sz w:val="22"/>
          <w:szCs w:val="22"/>
        </w:rPr>
        <w:id w:val="-759913463"/>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30FC" w14:textId="4B31FABC" w:rsidR="003C29BC" w:rsidRPr="003C29BC" w:rsidRDefault="003C29BC" w:rsidP="003C29BC">
    <w:pPr>
      <w:pStyle w:val="Header"/>
      <w:tabs>
        <w:tab w:val="clear" w:pos="9600"/>
        <w:tab w:val="left" w:pos="1048"/>
      </w:tabs>
      <w:jc w:val="right"/>
    </w:pPr>
    <w:r w:rsidRPr="003C29BC">
      <w:t>IOC-32/6.</w:t>
    </w:r>
    <w:proofErr w:type="gramStart"/>
    <w:r w:rsidRPr="003C29BC">
      <w:t>3.Doc</w:t>
    </w:r>
    <w:proofErr w:type="gramEnd"/>
    <w:r w:rsidRPr="003C29BC">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B0D0" w14:textId="464CFBB4" w:rsidR="00007A87" w:rsidRPr="00BA2CAE" w:rsidRDefault="00BA2CAE" w:rsidP="00BA2CAE">
    <w:pPr>
      <w:pStyle w:val="Header"/>
    </w:pPr>
    <w:r w:rsidRPr="00BA2CAE">
      <w:rPr>
        <w:rFonts w:cs="Arial"/>
        <w:bCs/>
        <w:noProof/>
        <w:sz w:val="22"/>
        <w:szCs w:val="22"/>
      </w:rPr>
      <mc:AlternateContent>
        <mc:Choice Requires="wps">
          <w:drawing>
            <wp:anchor distT="45720" distB="45720" distL="114300" distR="114300" simplePos="0" relativeHeight="251665408" behindDoc="0" locked="0" layoutInCell="1" allowOverlap="1" wp14:anchorId="12610B4D" wp14:editId="6D932A06">
              <wp:simplePos x="0" y="0"/>
              <wp:positionH relativeFrom="column">
                <wp:posOffset>8340494</wp:posOffset>
              </wp:positionH>
              <wp:positionV relativeFrom="paragraph">
                <wp:posOffset>1229912</wp:posOffset>
              </wp:positionV>
              <wp:extent cx="2049145" cy="266654"/>
              <wp:effectExtent l="0" t="3810" r="4445" b="444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49145" cy="266654"/>
                      </a:xfrm>
                      <a:prstGeom prst="rect">
                        <a:avLst/>
                      </a:prstGeom>
                      <a:solidFill>
                        <a:srgbClr val="FFFFFF"/>
                      </a:solidFill>
                      <a:ln w="9525">
                        <a:noFill/>
                        <a:miter lim="800000"/>
                        <a:headEnd/>
                        <a:tailEnd/>
                      </a:ln>
                    </wps:spPr>
                    <wps:txbx>
                      <w:txbxContent>
                        <w:p w14:paraId="07F455AE" w14:textId="77777777" w:rsidR="00BA2CAE" w:rsidRDefault="00BA2CAE" w:rsidP="00BA2CAE">
                          <w:r w:rsidRPr="00BA2CAE">
                            <w:rPr>
                              <w:rFonts w:cs="Arial"/>
                              <w:bCs/>
                              <w:szCs w:val="22"/>
                            </w:rPr>
                            <w:t>IOC-32/6.3.Doc</w:t>
                          </w:r>
                          <w:sdt>
                            <w:sdtPr>
                              <w:rPr>
                                <w:rFonts w:cs="Arial"/>
                                <w:bCs/>
                                <w:szCs w:val="22"/>
                              </w:rPr>
                              <w:id w:val="1508405008"/>
                              <w:docPartObj>
                                <w:docPartGallery w:val="Page Numbers (Top of Page)"/>
                                <w:docPartUnique/>
                              </w:docPartObj>
                            </w:sdtPr>
                            <w:sdtEnd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10B4D" id="_x0000_t202" coordsize="21600,21600" o:spt="202" path="m,l,21600r21600,l21600,xe">
              <v:stroke joinstyle="miter"/>
              <v:path gradientshapeok="t" o:connecttype="rect"/>
            </v:shapetype>
            <v:shape id="Zone de texte 2" o:spid="_x0000_s1026" type="#_x0000_t202" style="position:absolute;margin-left:656.75pt;margin-top:96.85pt;width:161.35pt;height:21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" stroked="f">
              <v:textbox>
                <w:txbxContent>
                  <w:p w14:paraId="07F455AE" w14:textId="77777777" w:rsidR="00BA2CAE" w:rsidRDefault="00BA2CAE" w:rsidP="00BA2CAE">
                    <w:r w:rsidRPr="00BA2CAE">
                      <w:rPr>
                        <w:rFonts w:cs="Arial"/>
                        <w:bCs/>
                        <w:szCs w:val="22"/>
                      </w:rPr>
                      <w:t>IOC-32/6.3.Doc</w:t>
                    </w:r>
                    <w:sdt>
                      <w:sdtPr>
                        <w:rPr>
                          <w:rFonts w:cs="Arial"/>
                          <w:bCs/>
                          <w:szCs w:val="22"/>
                        </w:rPr>
                        <w:id w:val="1508405008"/>
                        <w:docPartObj>
                          <w:docPartGallery w:val="Page Numbers (Top of Page)"/>
                          <w:docPartUnique/>
                        </w:docPartObj>
                      </w:sdtPr>
                      <w:sdtContent>
                        <w:r w:rsidRPr="00BA2CAE">
                          <w:rPr>
                            <w:rFonts w:cs="Arial"/>
                            <w:bCs/>
                            <w:szCs w:val="22"/>
                          </w:rPr>
                          <w:t xml:space="preserve">(1) – page </w:t>
                        </w:r>
                        <w:r w:rsidRPr="00BA2CAE">
                          <w:rPr>
                            <w:rFonts w:cs="Arial"/>
                            <w:bCs/>
                            <w:szCs w:val="22"/>
                          </w:rPr>
                          <w:fldChar w:fldCharType="begin"/>
                        </w:r>
                        <w:r w:rsidRPr="00BA2CAE">
                          <w:rPr>
                            <w:rFonts w:cs="Arial"/>
                            <w:bCs/>
                            <w:szCs w:val="22"/>
                          </w:rPr>
                          <w:instrText xml:space="preserve"> PAGE   \* MERGEFORMAT </w:instrText>
                        </w:r>
                        <w:r w:rsidRPr="00BA2CAE">
                          <w:rPr>
                            <w:rFonts w:cs="Arial"/>
                            <w:bCs/>
                            <w:szCs w:val="22"/>
                          </w:rPr>
                          <w:fldChar w:fldCharType="separate"/>
                        </w:r>
                        <w:r>
                          <w:rPr>
                            <w:rFonts w:cs="Arial"/>
                            <w:bCs/>
                            <w:szCs w:val="22"/>
                          </w:rPr>
                          <w:t>13</w:t>
                        </w:r>
                        <w:r w:rsidRPr="00BA2CAE">
                          <w:rPr>
                            <w:rFonts w:cs="Arial"/>
                            <w:bCs/>
                            <w:noProof/>
                            <w:szCs w:val="22"/>
                          </w:rPr>
                          <w:fldChar w:fldCharType="end"/>
                        </w:r>
                      </w:sdtContent>
                    </w:sdt>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9686" w14:textId="0A4DC262" w:rsidR="00007A87" w:rsidRPr="00BA2CAE" w:rsidRDefault="00007A87" w:rsidP="00BA2C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4D7B" w14:textId="202A441E" w:rsidR="00007A87" w:rsidRPr="00FB46DF" w:rsidRDefault="00007A87" w:rsidP="00FB46DF">
    <w:pPr>
      <w:pStyle w:val="Header"/>
      <w:spacing w:after="240"/>
      <w:jc w:val="right"/>
      <w:rPr>
        <w:rFonts w:cs="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4"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1244B"/>
    <w:multiLevelType w:val="hybridMultilevel"/>
    <w:tmpl w:val="F5183224"/>
    <w:lvl w:ilvl="0" w:tplc="1AD0E994">
      <w:start w:val="1"/>
      <w:numFmt w:val="lowerLetter"/>
      <w:lvlText w:val="6.%1."/>
      <w:lvlJc w:val="left"/>
      <w:pPr>
        <w:ind w:left="1211"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32F28"/>
    <w:multiLevelType w:val="hybridMultilevel"/>
    <w:tmpl w:val="17486EE6"/>
    <w:lvl w:ilvl="0" w:tplc="D72666CE">
      <w:start w:val="1"/>
      <w:numFmt w:val="lowerLetter"/>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071327">
    <w:abstractNumId w:val="13"/>
  </w:num>
  <w:num w:numId="2" w16cid:durableId="1701005275">
    <w:abstractNumId w:val="31"/>
  </w:num>
  <w:num w:numId="3" w16cid:durableId="534078185">
    <w:abstractNumId w:val="5"/>
  </w:num>
  <w:num w:numId="4" w16cid:durableId="121191899">
    <w:abstractNumId w:val="22"/>
  </w:num>
  <w:num w:numId="5" w16cid:durableId="544756227">
    <w:abstractNumId w:val="23"/>
  </w:num>
  <w:num w:numId="6" w16cid:durableId="254091773">
    <w:abstractNumId w:val="18"/>
  </w:num>
  <w:num w:numId="7" w16cid:durableId="793602361">
    <w:abstractNumId w:val="30"/>
  </w:num>
  <w:num w:numId="8" w16cid:durableId="815801352">
    <w:abstractNumId w:val="37"/>
  </w:num>
  <w:num w:numId="9" w16cid:durableId="1217622580">
    <w:abstractNumId w:val="2"/>
  </w:num>
  <w:num w:numId="10" w16cid:durableId="1212614182">
    <w:abstractNumId w:val="6"/>
  </w:num>
  <w:num w:numId="11" w16cid:durableId="867714396">
    <w:abstractNumId w:val="3"/>
  </w:num>
  <w:num w:numId="12" w16cid:durableId="1169827735">
    <w:abstractNumId w:val="4"/>
  </w:num>
  <w:num w:numId="13" w16cid:durableId="2024475603">
    <w:abstractNumId w:val="24"/>
    <w:lvlOverride w:ilvl="0">
      <w:lvl w:ilvl="0" w:tplc="040C0001">
        <w:start w:val="1"/>
        <w:numFmt w:val="bullet"/>
        <w:lvlText w:val=""/>
        <w:lvlJc w:val="left"/>
        <w:pPr>
          <w:ind w:left="720" w:hanging="360"/>
        </w:pPr>
        <w:rPr>
          <w:rFonts w:ascii="Symbol" w:hAnsi="Symbol" w:hint="default"/>
        </w:rPr>
      </w:lvl>
    </w:lvlOverride>
  </w:num>
  <w:num w:numId="14" w16cid:durableId="1308775926">
    <w:abstractNumId w:val="28"/>
    <w:lvlOverride w:ilvl="0">
      <w:lvl w:ilvl="0">
        <w:start w:val="1"/>
        <w:numFmt w:val="bullet"/>
        <w:lvlText w:val=""/>
        <w:lvlJc w:val="left"/>
        <w:pPr>
          <w:ind w:left="720" w:hanging="360"/>
        </w:pPr>
        <w:rPr>
          <w:rFonts w:ascii="Symbol" w:hAnsi="Symbol" w:hint="default"/>
          <w:u w:val="none"/>
        </w:rPr>
      </w:lvl>
    </w:lvlOverride>
  </w:num>
  <w:num w:numId="15" w16cid:durableId="811168044">
    <w:abstractNumId w:val="17"/>
  </w:num>
  <w:num w:numId="16" w16cid:durableId="1280137210">
    <w:abstractNumId w:val="10"/>
  </w:num>
  <w:num w:numId="17" w16cid:durableId="1724871169">
    <w:abstractNumId w:val="21"/>
  </w:num>
  <w:num w:numId="18" w16cid:durableId="378089143">
    <w:abstractNumId w:val="9"/>
    <w:lvlOverride w:ilvl="0">
      <w:lvl w:ilvl="0" w:tplc="04090001">
        <w:start w:val="1"/>
        <w:numFmt w:val="bullet"/>
        <w:lvlText w:val=""/>
        <w:lvlJc w:val="left"/>
        <w:pPr>
          <w:ind w:left="1800" w:hanging="360"/>
        </w:pPr>
        <w:rPr>
          <w:rFonts w:ascii="Symbol" w:hAnsi="Symbol" w:hint="default"/>
        </w:rPr>
      </w:lvl>
    </w:lvlOverride>
  </w:num>
  <w:num w:numId="19" w16cid:durableId="1841432371">
    <w:abstractNumId w:val="19"/>
  </w:num>
  <w:num w:numId="20" w16cid:durableId="1447770184">
    <w:abstractNumId w:val="39"/>
    <w:lvlOverride w:ilvl="0">
      <w:lvl w:ilvl="0" w:tplc="04090001">
        <w:start w:val="1"/>
        <w:numFmt w:val="bullet"/>
        <w:lvlText w:val=""/>
        <w:lvlJc w:val="left"/>
        <w:pPr>
          <w:ind w:left="720" w:hanging="360"/>
        </w:pPr>
        <w:rPr>
          <w:rFonts w:ascii="Symbol" w:hAnsi="Symbol" w:hint="default"/>
        </w:rPr>
      </w:lvl>
    </w:lvlOverride>
  </w:num>
  <w:num w:numId="21" w16cid:durableId="344941723">
    <w:abstractNumId w:val="20"/>
    <w:lvlOverride w:ilvl="0">
      <w:lvl w:ilvl="0" w:tplc="04090001">
        <w:start w:val="1"/>
        <w:numFmt w:val="bullet"/>
        <w:lvlText w:val=""/>
        <w:lvlJc w:val="left"/>
        <w:pPr>
          <w:ind w:left="360" w:hanging="360"/>
        </w:pPr>
        <w:rPr>
          <w:rFonts w:ascii="Symbol" w:hAnsi="Symbol" w:hint="default"/>
        </w:rPr>
      </w:lvl>
    </w:lvlOverride>
  </w:num>
  <w:num w:numId="22" w16cid:durableId="1484850055">
    <w:abstractNumId w:val="8"/>
    <w:lvlOverride w:ilvl="0">
      <w:lvl w:ilvl="0" w:tplc="04090001">
        <w:start w:val="1"/>
        <w:numFmt w:val="bullet"/>
        <w:lvlText w:val=""/>
        <w:lvlJc w:val="left"/>
        <w:pPr>
          <w:ind w:left="360" w:hanging="360"/>
        </w:pPr>
        <w:rPr>
          <w:rFonts w:ascii="Symbol" w:hAnsi="Symbol" w:hint="default"/>
        </w:rPr>
      </w:lvl>
    </w:lvlOverride>
  </w:num>
  <w:num w:numId="23" w16cid:durableId="1035807924">
    <w:abstractNumId w:val="14"/>
    <w:lvlOverride w:ilvl="0">
      <w:lvl w:ilvl="0" w:tplc="04090001">
        <w:start w:val="1"/>
        <w:numFmt w:val="bullet"/>
        <w:lvlText w:val=""/>
        <w:lvlJc w:val="left"/>
        <w:pPr>
          <w:ind w:left="360" w:hanging="360"/>
        </w:pPr>
        <w:rPr>
          <w:rFonts w:ascii="Symbol" w:hAnsi="Symbol" w:hint="default"/>
        </w:rPr>
      </w:lvl>
    </w:lvlOverride>
  </w:num>
  <w:num w:numId="24" w16cid:durableId="2121139790">
    <w:abstractNumId w:val="1"/>
  </w:num>
  <w:num w:numId="25" w16cid:durableId="2052537555">
    <w:abstractNumId w:val="15"/>
  </w:num>
  <w:num w:numId="26" w16cid:durableId="1639383533">
    <w:abstractNumId w:val="27"/>
  </w:num>
  <w:num w:numId="27" w16cid:durableId="1393308693">
    <w:abstractNumId w:val="29"/>
  </w:num>
  <w:num w:numId="28" w16cid:durableId="1913810479">
    <w:abstractNumId w:val="33"/>
  </w:num>
  <w:num w:numId="29" w16cid:durableId="1040129519">
    <w:abstractNumId w:val="12"/>
  </w:num>
  <w:num w:numId="30" w16cid:durableId="1293706530">
    <w:abstractNumId w:val="0"/>
  </w:num>
  <w:num w:numId="31" w16cid:durableId="1989627730">
    <w:abstractNumId w:val="32"/>
  </w:num>
  <w:num w:numId="32" w16cid:durableId="1207833195">
    <w:abstractNumId w:val="7"/>
  </w:num>
  <w:num w:numId="33" w16cid:durableId="350304440">
    <w:abstractNumId w:val="34"/>
  </w:num>
  <w:num w:numId="34" w16cid:durableId="1849365524">
    <w:abstractNumId w:val="38"/>
  </w:num>
  <w:num w:numId="35" w16cid:durableId="88352248">
    <w:abstractNumId w:val="16"/>
  </w:num>
  <w:num w:numId="36" w16cid:durableId="948775880">
    <w:abstractNumId w:val="25"/>
  </w:num>
  <w:num w:numId="37" w16cid:durableId="661738073">
    <w:abstractNumId w:val="11"/>
  </w:num>
  <w:num w:numId="38" w16cid:durableId="96099199">
    <w:abstractNumId w:val="36"/>
  </w:num>
  <w:num w:numId="39" w16cid:durableId="1697803211">
    <w:abstractNumId w:val="26"/>
  </w:num>
  <w:num w:numId="40" w16cid:durableId="8112871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07A87"/>
    <w:rsid w:val="000207B0"/>
    <w:rsid w:val="000229E0"/>
    <w:rsid w:val="00023480"/>
    <w:rsid w:val="0003150B"/>
    <w:rsid w:val="00034000"/>
    <w:rsid w:val="00041B57"/>
    <w:rsid w:val="0004273D"/>
    <w:rsid w:val="00043F93"/>
    <w:rsid w:val="00046C31"/>
    <w:rsid w:val="00053075"/>
    <w:rsid w:val="00055014"/>
    <w:rsid w:val="00074005"/>
    <w:rsid w:val="000A1ADB"/>
    <w:rsid w:val="000A22A3"/>
    <w:rsid w:val="000A25C2"/>
    <w:rsid w:val="000B1F0F"/>
    <w:rsid w:val="000C27AF"/>
    <w:rsid w:val="000D3043"/>
    <w:rsid w:val="000D5D59"/>
    <w:rsid w:val="000E79DE"/>
    <w:rsid w:val="000E7B9D"/>
    <w:rsid w:val="000F2EE2"/>
    <w:rsid w:val="000F3433"/>
    <w:rsid w:val="001007FE"/>
    <w:rsid w:val="001060E9"/>
    <w:rsid w:val="00106D57"/>
    <w:rsid w:val="00121F48"/>
    <w:rsid w:val="00124DAB"/>
    <w:rsid w:val="00127188"/>
    <w:rsid w:val="00127F99"/>
    <w:rsid w:val="00135480"/>
    <w:rsid w:val="00141FF4"/>
    <w:rsid w:val="00145259"/>
    <w:rsid w:val="00151E79"/>
    <w:rsid w:val="00156950"/>
    <w:rsid w:val="00160D45"/>
    <w:rsid w:val="00172412"/>
    <w:rsid w:val="00172E47"/>
    <w:rsid w:val="00182E13"/>
    <w:rsid w:val="001862A1"/>
    <w:rsid w:val="001862A6"/>
    <w:rsid w:val="001A489B"/>
    <w:rsid w:val="001B2041"/>
    <w:rsid w:val="001C5DA3"/>
    <w:rsid w:val="001D2A9B"/>
    <w:rsid w:val="001D5AE1"/>
    <w:rsid w:val="001F412D"/>
    <w:rsid w:val="00200D03"/>
    <w:rsid w:val="00205BAA"/>
    <w:rsid w:val="00206BC1"/>
    <w:rsid w:val="0021613E"/>
    <w:rsid w:val="00224F50"/>
    <w:rsid w:val="00225913"/>
    <w:rsid w:val="00255528"/>
    <w:rsid w:val="002606EC"/>
    <w:rsid w:val="00262A6A"/>
    <w:rsid w:val="00262FCE"/>
    <w:rsid w:val="00267B24"/>
    <w:rsid w:val="00271640"/>
    <w:rsid w:val="00281D66"/>
    <w:rsid w:val="0028201A"/>
    <w:rsid w:val="002922EC"/>
    <w:rsid w:val="00297311"/>
    <w:rsid w:val="00297D0C"/>
    <w:rsid w:val="00297D76"/>
    <w:rsid w:val="002A347F"/>
    <w:rsid w:val="002B0CD0"/>
    <w:rsid w:val="002B6B31"/>
    <w:rsid w:val="002C2D6E"/>
    <w:rsid w:val="002C4C51"/>
    <w:rsid w:val="002E1318"/>
    <w:rsid w:val="002F13F1"/>
    <w:rsid w:val="002F5731"/>
    <w:rsid w:val="003068A2"/>
    <w:rsid w:val="003117C2"/>
    <w:rsid w:val="00312004"/>
    <w:rsid w:val="00313C37"/>
    <w:rsid w:val="003269D9"/>
    <w:rsid w:val="00330169"/>
    <w:rsid w:val="003321BC"/>
    <w:rsid w:val="00334407"/>
    <w:rsid w:val="003346B4"/>
    <w:rsid w:val="003428A7"/>
    <w:rsid w:val="00344601"/>
    <w:rsid w:val="00344693"/>
    <w:rsid w:val="00345602"/>
    <w:rsid w:val="00345D13"/>
    <w:rsid w:val="00356FC7"/>
    <w:rsid w:val="00362839"/>
    <w:rsid w:val="00373588"/>
    <w:rsid w:val="00376476"/>
    <w:rsid w:val="00397067"/>
    <w:rsid w:val="003A533E"/>
    <w:rsid w:val="003B4C80"/>
    <w:rsid w:val="003C29BC"/>
    <w:rsid w:val="003C7697"/>
    <w:rsid w:val="003D51F2"/>
    <w:rsid w:val="003D6FD7"/>
    <w:rsid w:val="0040069E"/>
    <w:rsid w:val="0040445C"/>
    <w:rsid w:val="004111DE"/>
    <w:rsid w:val="00411A46"/>
    <w:rsid w:val="00416371"/>
    <w:rsid w:val="004235FD"/>
    <w:rsid w:val="00430207"/>
    <w:rsid w:val="00434E03"/>
    <w:rsid w:val="004379A7"/>
    <w:rsid w:val="0044608A"/>
    <w:rsid w:val="00452C1F"/>
    <w:rsid w:val="004557E0"/>
    <w:rsid w:val="00455EF8"/>
    <w:rsid w:val="00457A93"/>
    <w:rsid w:val="004710D3"/>
    <w:rsid w:val="004724A8"/>
    <w:rsid w:val="0049601D"/>
    <w:rsid w:val="004A43DA"/>
    <w:rsid w:val="004A59F9"/>
    <w:rsid w:val="004A6984"/>
    <w:rsid w:val="004A6D7D"/>
    <w:rsid w:val="004B5AE1"/>
    <w:rsid w:val="004C5CD0"/>
    <w:rsid w:val="00503199"/>
    <w:rsid w:val="005072E0"/>
    <w:rsid w:val="00510334"/>
    <w:rsid w:val="00514137"/>
    <w:rsid w:val="00516103"/>
    <w:rsid w:val="0051700F"/>
    <w:rsid w:val="00526F91"/>
    <w:rsid w:val="0052708B"/>
    <w:rsid w:val="00544B5E"/>
    <w:rsid w:val="00555F22"/>
    <w:rsid w:val="00564707"/>
    <w:rsid w:val="005742DC"/>
    <w:rsid w:val="00577CF2"/>
    <w:rsid w:val="00577D76"/>
    <w:rsid w:val="00586E87"/>
    <w:rsid w:val="0059001E"/>
    <w:rsid w:val="005A015D"/>
    <w:rsid w:val="005A4AC1"/>
    <w:rsid w:val="005B57F5"/>
    <w:rsid w:val="005D09E2"/>
    <w:rsid w:val="005D2409"/>
    <w:rsid w:val="005D2E07"/>
    <w:rsid w:val="005E1D48"/>
    <w:rsid w:val="005F1D4B"/>
    <w:rsid w:val="00605660"/>
    <w:rsid w:val="00616CA3"/>
    <w:rsid w:val="006223B0"/>
    <w:rsid w:val="006236E0"/>
    <w:rsid w:val="00636F66"/>
    <w:rsid w:val="00637DCE"/>
    <w:rsid w:val="00646E7B"/>
    <w:rsid w:val="00653F1F"/>
    <w:rsid w:val="006640AB"/>
    <w:rsid w:val="00672A7E"/>
    <w:rsid w:val="00684810"/>
    <w:rsid w:val="00694C5C"/>
    <w:rsid w:val="006A5AED"/>
    <w:rsid w:val="006B069E"/>
    <w:rsid w:val="006C14C1"/>
    <w:rsid w:val="006C2821"/>
    <w:rsid w:val="006C4D3B"/>
    <w:rsid w:val="006D62E0"/>
    <w:rsid w:val="006E59C8"/>
    <w:rsid w:val="006E72E6"/>
    <w:rsid w:val="006F3D07"/>
    <w:rsid w:val="006F49B2"/>
    <w:rsid w:val="006F7E83"/>
    <w:rsid w:val="00703C9F"/>
    <w:rsid w:val="007179A8"/>
    <w:rsid w:val="00720640"/>
    <w:rsid w:val="0072766A"/>
    <w:rsid w:val="00727867"/>
    <w:rsid w:val="00731957"/>
    <w:rsid w:val="00733BDE"/>
    <w:rsid w:val="00747EDE"/>
    <w:rsid w:val="0077787D"/>
    <w:rsid w:val="007A2064"/>
    <w:rsid w:val="007A4319"/>
    <w:rsid w:val="007A5A44"/>
    <w:rsid w:val="007B1F5A"/>
    <w:rsid w:val="007B739F"/>
    <w:rsid w:val="007C0120"/>
    <w:rsid w:val="007C03F5"/>
    <w:rsid w:val="007C648D"/>
    <w:rsid w:val="007C6AD8"/>
    <w:rsid w:val="007D035F"/>
    <w:rsid w:val="007E045D"/>
    <w:rsid w:val="007E1D48"/>
    <w:rsid w:val="007E79BA"/>
    <w:rsid w:val="007F2C60"/>
    <w:rsid w:val="00800C77"/>
    <w:rsid w:val="00807A5C"/>
    <w:rsid w:val="0082714C"/>
    <w:rsid w:val="008276B2"/>
    <w:rsid w:val="008411EE"/>
    <w:rsid w:val="00841466"/>
    <w:rsid w:val="00847E04"/>
    <w:rsid w:val="00862A71"/>
    <w:rsid w:val="00862D5F"/>
    <w:rsid w:val="008737E9"/>
    <w:rsid w:val="00875057"/>
    <w:rsid w:val="00876264"/>
    <w:rsid w:val="00884B23"/>
    <w:rsid w:val="00886B22"/>
    <w:rsid w:val="00896B7E"/>
    <w:rsid w:val="008A403D"/>
    <w:rsid w:val="008D044B"/>
    <w:rsid w:val="008D4583"/>
    <w:rsid w:val="008F5A58"/>
    <w:rsid w:val="00904B8C"/>
    <w:rsid w:val="00904BC0"/>
    <w:rsid w:val="00924B2B"/>
    <w:rsid w:val="00925BD5"/>
    <w:rsid w:val="009265FC"/>
    <w:rsid w:val="00943D18"/>
    <w:rsid w:val="009567A2"/>
    <w:rsid w:val="00957223"/>
    <w:rsid w:val="00960AEB"/>
    <w:rsid w:val="00967534"/>
    <w:rsid w:val="00971704"/>
    <w:rsid w:val="00976BC1"/>
    <w:rsid w:val="009778D5"/>
    <w:rsid w:val="00981124"/>
    <w:rsid w:val="009812C4"/>
    <w:rsid w:val="00982DCA"/>
    <w:rsid w:val="0099117D"/>
    <w:rsid w:val="0099176B"/>
    <w:rsid w:val="009957F6"/>
    <w:rsid w:val="009A3A68"/>
    <w:rsid w:val="009B1FBB"/>
    <w:rsid w:val="009B2476"/>
    <w:rsid w:val="009B59CC"/>
    <w:rsid w:val="009B6D6E"/>
    <w:rsid w:val="009C54F7"/>
    <w:rsid w:val="009C5565"/>
    <w:rsid w:val="009D3378"/>
    <w:rsid w:val="009E0110"/>
    <w:rsid w:val="009F7E7E"/>
    <w:rsid w:val="00A01743"/>
    <w:rsid w:val="00A22B9A"/>
    <w:rsid w:val="00A320D3"/>
    <w:rsid w:val="00A36127"/>
    <w:rsid w:val="00A55DC2"/>
    <w:rsid w:val="00A7107C"/>
    <w:rsid w:val="00A8289A"/>
    <w:rsid w:val="00A84BC6"/>
    <w:rsid w:val="00A9065E"/>
    <w:rsid w:val="00AA0836"/>
    <w:rsid w:val="00AA3592"/>
    <w:rsid w:val="00AB2D24"/>
    <w:rsid w:val="00AB2DCE"/>
    <w:rsid w:val="00AC01E1"/>
    <w:rsid w:val="00AC3EB4"/>
    <w:rsid w:val="00AC7CE6"/>
    <w:rsid w:val="00AE01F9"/>
    <w:rsid w:val="00AF0137"/>
    <w:rsid w:val="00AF4F01"/>
    <w:rsid w:val="00B021FB"/>
    <w:rsid w:val="00B04030"/>
    <w:rsid w:val="00B14A39"/>
    <w:rsid w:val="00B2175E"/>
    <w:rsid w:val="00B22F43"/>
    <w:rsid w:val="00B27611"/>
    <w:rsid w:val="00B3030E"/>
    <w:rsid w:val="00B60D5E"/>
    <w:rsid w:val="00B77EF1"/>
    <w:rsid w:val="00B80E02"/>
    <w:rsid w:val="00B94DD9"/>
    <w:rsid w:val="00B957E1"/>
    <w:rsid w:val="00B970B2"/>
    <w:rsid w:val="00B9794C"/>
    <w:rsid w:val="00BA2926"/>
    <w:rsid w:val="00BA2CAE"/>
    <w:rsid w:val="00BB1793"/>
    <w:rsid w:val="00BB2441"/>
    <w:rsid w:val="00BB3AD3"/>
    <w:rsid w:val="00BC22F5"/>
    <w:rsid w:val="00BC4BD0"/>
    <w:rsid w:val="00BD1021"/>
    <w:rsid w:val="00BD1247"/>
    <w:rsid w:val="00BD1FD2"/>
    <w:rsid w:val="00BE4327"/>
    <w:rsid w:val="00BF1AA4"/>
    <w:rsid w:val="00C13813"/>
    <w:rsid w:val="00C3768B"/>
    <w:rsid w:val="00C460F3"/>
    <w:rsid w:val="00C52F4C"/>
    <w:rsid w:val="00C56EBB"/>
    <w:rsid w:val="00C63308"/>
    <w:rsid w:val="00C65795"/>
    <w:rsid w:val="00C66B3D"/>
    <w:rsid w:val="00C725B8"/>
    <w:rsid w:val="00C7630D"/>
    <w:rsid w:val="00C8059E"/>
    <w:rsid w:val="00C82F17"/>
    <w:rsid w:val="00CA1F51"/>
    <w:rsid w:val="00CB5D39"/>
    <w:rsid w:val="00CB6B75"/>
    <w:rsid w:val="00CC1E5D"/>
    <w:rsid w:val="00CC6934"/>
    <w:rsid w:val="00CC740E"/>
    <w:rsid w:val="00CD584E"/>
    <w:rsid w:val="00CE2F8A"/>
    <w:rsid w:val="00CE5163"/>
    <w:rsid w:val="00CE5487"/>
    <w:rsid w:val="00CF14BC"/>
    <w:rsid w:val="00D222B5"/>
    <w:rsid w:val="00D23DE5"/>
    <w:rsid w:val="00D3664D"/>
    <w:rsid w:val="00D412EC"/>
    <w:rsid w:val="00D42EBE"/>
    <w:rsid w:val="00D553C0"/>
    <w:rsid w:val="00D56F25"/>
    <w:rsid w:val="00D63503"/>
    <w:rsid w:val="00D63B73"/>
    <w:rsid w:val="00D64AEE"/>
    <w:rsid w:val="00D70B9E"/>
    <w:rsid w:val="00D72A45"/>
    <w:rsid w:val="00D77F89"/>
    <w:rsid w:val="00D80E0F"/>
    <w:rsid w:val="00D876CA"/>
    <w:rsid w:val="00D95A0A"/>
    <w:rsid w:val="00D963BD"/>
    <w:rsid w:val="00D965A3"/>
    <w:rsid w:val="00DA03CE"/>
    <w:rsid w:val="00DA22B1"/>
    <w:rsid w:val="00DA7314"/>
    <w:rsid w:val="00DB10F4"/>
    <w:rsid w:val="00DB4C83"/>
    <w:rsid w:val="00DB71D2"/>
    <w:rsid w:val="00DC1042"/>
    <w:rsid w:val="00DC42CB"/>
    <w:rsid w:val="00DD5308"/>
    <w:rsid w:val="00DD55CE"/>
    <w:rsid w:val="00DD6D3E"/>
    <w:rsid w:val="00DD724B"/>
    <w:rsid w:val="00DE458F"/>
    <w:rsid w:val="00DF0F58"/>
    <w:rsid w:val="00DF4459"/>
    <w:rsid w:val="00DF798C"/>
    <w:rsid w:val="00E10D5C"/>
    <w:rsid w:val="00E178EB"/>
    <w:rsid w:val="00E24332"/>
    <w:rsid w:val="00E27A19"/>
    <w:rsid w:val="00E31511"/>
    <w:rsid w:val="00E57EE8"/>
    <w:rsid w:val="00E672A1"/>
    <w:rsid w:val="00E872C7"/>
    <w:rsid w:val="00E90F6F"/>
    <w:rsid w:val="00E96949"/>
    <w:rsid w:val="00EA63C3"/>
    <w:rsid w:val="00EA7314"/>
    <w:rsid w:val="00EC4A15"/>
    <w:rsid w:val="00EC74F3"/>
    <w:rsid w:val="00EC78BA"/>
    <w:rsid w:val="00ED1606"/>
    <w:rsid w:val="00ED37B0"/>
    <w:rsid w:val="00ED6A6C"/>
    <w:rsid w:val="00EE3DF2"/>
    <w:rsid w:val="00F03096"/>
    <w:rsid w:val="00F153AA"/>
    <w:rsid w:val="00F2134C"/>
    <w:rsid w:val="00F2294C"/>
    <w:rsid w:val="00F22BF7"/>
    <w:rsid w:val="00F37519"/>
    <w:rsid w:val="00F37A90"/>
    <w:rsid w:val="00F62196"/>
    <w:rsid w:val="00F63965"/>
    <w:rsid w:val="00F66C99"/>
    <w:rsid w:val="00F74BF3"/>
    <w:rsid w:val="00F757BD"/>
    <w:rsid w:val="00F77863"/>
    <w:rsid w:val="00F90212"/>
    <w:rsid w:val="00F912FD"/>
    <w:rsid w:val="00F93103"/>
    <w:rsid w:val="00F97E8F"/>
    <w:rsid w:val="00FB46DF"/>
    <w:rsid w:val="00FC097D"/>
    <w:rsid w:val="00FC3783"/>
    <w:rsid w:val="00FC4C71"/>
    <w:rsid w:val="00FD46F5"/>
    <w:rsid w:val="00FE506E"/>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UnresolvedMention1">
    <w:name w:val="Unresolved Mention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DefaultParagraphFont"/>
    <w:link w:val="Style2"/>
    <w:rsid w:val="001007FE"/>
    <w:rPr>
      <w:rFonts w:ascii="Arial" w:hAnsi="Arial"/>
      <w:iCs/>
      <w:snapToGrid w:val="0"/>
      <w:sz w:val="22"/>
      <w:szCs w:val="22"/>
      <w:shd w:val="clear" w:color="auto" w:fill="FFFFFF"/>
      <w:lang w:val="en-GB" w:eastAsia="en-US"/>
    </w:rPr>
  </w:style>
  <w:style w:type="table" w:customStyle="1" w:styleId="Grilledutableau2">
    <w:name w:val="Grille du tableau2"/>
    <w:basedOn w:val="TableNormal"/>
    <w:next w:val="TableGrid"/>
    <w:uiPriority w:val="39"/>
    <w:rsid w:val="00BC4BD0"/>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BC4BD0"/>
    <w:pPr>
      <w:tabs>
        <w:tab w:val="clear" w:pos="567"/>
      </w:tabs>
      <w:snapToGrid/>
      <w:spacing w:before="120" w:after="160" w:line="240" w:lineRule="exact"/>
    </w:pPr>
    <w:rPr>
      <w:rFonts w:ascii="Times New Roman" w:hAnsi="Times New Roman"/>
      <w:snapToGrid/>
      <w:sz w:val="20"/>
      <w:szCs w:val="20"/>
      <w:vertAlign w:val="superscript"/>
      <w:lang w:eastAsia="fr-FR"/>
    </w:rPr>
  </w:style>
  <w:style w:type="table" w:customStyle="1" w:styleId="Grilledutableau3">
    <w:name w:val="Grille du tableau3"/>
    <w:basedOn w:val="TableNormal"/>
    <w:next w:val="TableGrid"/>
    <w:uiPriority w:val="39"/>
    <w:rsid w:val="00B021F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950"/>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eader" Target="header2.xml"/><Relationship Id="rId18" Type="http://schemas.openxmlformats.org/officeDocument/2006/relationships/hyperlink" Target="https://unesdoc.unesco.org/ark:/48223/pf0000381300_fr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nesdoc.unesco.org/ark:/48223/pf0000381488.locale=fr"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unesdoc.unesco.org/ark:/48223/pf0000376780_fre" TargetMode="Externa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9281"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unesdoc.unesco.org/ark:/48223/pf0000124367.locale=fr" TargetMode="External"/><Relationship Id="rId23" Type="http://schemas.openxmlformats.org/officeDocument/2006/relationships/footer" Target="footer2.xml"/><Relationship Id="rId28" Type="http://schemas.openxmlformats.org/officeDocument/2006/relationships/header" Target="header9.xml"/><Relationship Id="rId10" Type="http://schemas.openxmlformats.org/officeDocument/2006/relationships/hyperlink" Target="https://oceanexpert.org/document/31196"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esdoc.unesco.org/ark:/48223/pf0000378557_fre"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21</Pages>
  <Words>10375</Words>
  <Characters>56687</Characters>
  <Application>Microsoft Office Word</Application>
  <DocSecurity>4</DocSecurity>
  <Lines>472</Lines>
  <Paragraphs>133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plan d’action en réponse à l’évaluation par IOS du positionnement stratégique de la COI</vt:lpstr>
      <vt:lpstr>Projet de plan d’action en réponse à l’évaluation par IOS du positionnement stratégique de la COI</vt:lpstr>
    </vt:vector>
  </TitlesOfParts>
  <Company>Unesco</Company>
  <LinksUpToDate>false</LinksUpToDate>
  <CharactersWithSpaces>66929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d’action en réponse à l’évaluation par IOS du positionnement stratégique de la COI</dc:title>
  <dc:subject>IOC/A-32/6.3.Doc(1)</dc:subject>
  <dc:creator>as.machu@unesco.org</dc:creator>
  <cp:keywords/>
  <dc:description/>
  <cp:lastModifiedBy>Boned, Patrice</cp:lastModifiedBy>
  <cp:revision>2</cp:revision>
  <dcterms:created xsi:type="dcterms:W3CDTF">2023-05-30T12:25:00Z</dcterms:created>
  <dcterms:modified xsi:type="dcterms:W3CDTF">2023-05-30T12:25:00Z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202301652</vt:lpwstr>
  </property>
  <property fmtid="{D5CDD505-2E9C-101B-9397-08002B2CF9AE}" pid="3" name="Language">
    <vt:lpwstr>F</vt:lpwstr>
  </property>
</Properties>
</file>