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D3BD" w14:textId="38CEA216" w:rsidR="00EA1C02" w:rsidRPr="00F50843" w:rsidRDefault="00334B9F" w:rsidP="00334B9F">
      <w:pPr>
        <w:keepNext/>
        <w:widowControl w:val="0"/>
        <w:tabs>
          <w:tab w:val="right" w:pos="9540"/>
        </w:tabs>
        <w:adjustRightInd w:val="0"/>
        <w:spacing w:after="240" w:line="240" w:lineRule="auto"/>
        <w:jc w:val="both"/>
        <w:textAlignment w:val="baseline"/>
        <w:outlineLvl w:val="6"/>
        <w:rPr>
          <w:rFonts w:ascii="Arial" w:eastAsia="Times New Roman" w:hAnsi="Arial" w:cs="Arial"/>
          <w:lang w:val="es-ES"/>
        </w:rPr>
      </w:pPr>
      <w:r w:rsidRPr="00F50843">
        <w:rPr>
          <w:rFonts w:ascii="Arial" w:eastAsia="Times New Roman" w:hAnsi="Arial" w:cs="Arial"/>
          <w:u w:val="single"/>
          <w:lang w:val="es-ES"/>
        </w:rPr>
        <w:t xml:space="preserve">Punto </w:t>
      </w:r>
      <w:r w:rsidR="00F50843" w:rsidRPr="00F50843">
        <w:rPr>
          <w:rFonts w:ascii="Arial" w:eastAsia="Times New Roman" w:hAnsi="Arial" w:cs="Arial"/>
          <w:b/>
          <w:bCs/>
          <w:u w:val="single"/>
          <w:lang w:val="es-ES"/>
        </w:rPr>
        <w:t>3.4.2</w:t>
      </w:r>
      <w:r w:rsidRPr="00F50843">
        <w:rPr>
          <w:rFonts w:ascii="Arial" w:eastAsia="Times New Roman" w:hAnsi="Arial" w:cs="Arial"/>
          <w:u w:val="single"/>
          <w:lang w:val="es-ES"/>
        </w:rPr>
        <w:t xml:space="preserve"> del orden del día provisional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2"/>
      </w:tblGrid>
      <w:tr w:rsidR="00334B9F" w:rsidRPr="00D45CC1" w14:paraId="0C234DEB" w14:textId="77777777" w:rsidTr="006871BF">
        <w:trPr>
          <w:trHeight w:val="328"/>
          <w:jc w:val="center"/>
        </w:trPr>
        <w:tc>
          <w:tcPr>
            <w:tcW w:w="9102" w:type="dxa"/>
            <w:vAlign w:val="center"/>
          </w:tcPr>
          <w:p w14:paraId="0B1DAA84" w14:textId="0AA1FD74" w:rsidR="00334B9F" w:rsidRPr="00F50843" w:rsidRDefault="00F50843" w:rsidP="00F50843">
            <w:pPr>
              <w:tabs>
                <w:tab w:val="left" w:pos="567"/>
              </w:tabs>
              <w:snapToGrid w:val="0"/>
              <w:spacing w:before="240" w:after="240"/>
              <w:jc w:val="center"/>
              <w:rPr>
                <w:rFonts w:ascii="Arial" w:eastAsia="SimSun" w:hAnsi="Arial"/>
                <w:b/>
                <w:bCs/>
                <w:caps/>
                <w:snapToGrid w:val="0"/>
                <w:sz w:val="22"/>
                <w:szCs w:val="22"/>
                <w:lang w:val="es-ES" w:eastAsia="zh-CN"/>
              </w:rPr>
            </w:pPr>
            <w:r w:rsidRPr="00F50843">
              <w:rPr>
                <w:rFonts w:ascii="Arial" w:eastAsia="SimSun" w:hAnsi="Arial"/>
                <w:b/>
                <w:bCs/>
                <w:caps/>
                <w:snapToGrid w:val="0"/>
                <w:sz w:val="22"/>
                <w:szCs w:val="22"/>
                <w:lang w:val="es-ES" w:eastAsia="zh-CN"/>
              </w:rPr>
              <w:t>Proyecto de plan estratégico de la COI para la gestión de datos e información oceanográficos (2023-2029) – Esbozo</w:t>
            </w:r>
          </w:p>
        </w:tc>
      </w:tr>
    </w:tbl>
    <w:p w14:paraId="4170DA2E" w14:textId="77777777" w:rsidR="00EA1C02" w:rsidRPr="00F50843" w:rsidRDefault="00EA1C02" w:rsidP="00EA1C02">
      <w:pPr>
        <w:tabs>
          <w:tab w:val="left" w:pos="-1440"/>
          <w:tab w:val="left" w:pos="-720"/>
          <w:tab w:val="left" w:pos="720"/>
          <w:tab w:val="left" w:pos="1440"/>
          <w:tab w:val="left" w:pos="2160"/>
          <w:tab w:val="left" w:pos="3600"/>
          <w:tab w:val="left" w:pos="4320"/>
          <w:tab w:val="left" w:pos="5040"/>
          <w:tab w:val="left" w:pos="5523"/>
          <w:tab w:val="left" w:pos="6480"/>
        </w:tabs>
        <w:spacing w:after="840" w:line="240" w:lineRule="auto"/>
        <w:jc w:val="center"/>
        <w:rPr>
          <w:rFonts w:ascii="Arial" w:hAnsi="Arial" w:cs="Arial"/>
          <w:caps/>
          <w:lang w:val="es-ES"/>
        </w:rPr>
      </w:pPr>
    </w:p>
    <w:tbl>
      <w:tblPr>
        <w:tblStyle w:val="Tablaconcuadrcula"/>
        <w:tblW w:w="0" w:type="auto"/>
        <w:jc w:val="center"/>
        <w:tblCellMar>
          <w:top w:w="284" w:type="dxa"/>
          <w:left w:w="340" w:type="dxa"/>
          <w:bottom w:w="28" w:type="dxa"/>
          <w:right w:w="340" w:type="dxa"/>
        </w:tblCellMar>
        <w:tblLook w:val="04A0" w:firstRow="1" w:lastRow="0" w:firstColumn="1" w:lastColumn="0" w:noHBand="0" w:noVBand="1"/>
      </w:tblPr>
      <w:tblGrid>
        <w:gridCol w:w="7225"/>
      </w:tblGrid>
      <w:tr w:rsidR="007C13AF" w:rsidRPr="00D45CC1" w14:paraId="1DC9CCAF" w14:textId="77777777" w:rsidTr="00F50843">
        <w:trPr>
          <w:jc w:val="center"/>
        </w:trPr>
        <w:tc>
          <w:tcPr>
            <w:tcW w:w="7225" w:type="dxa"/>
            <w:tcMar>
              <w:left w:w="284" w:type="dxa"/>
              <w:bottom w:w="85" w:type="dxa"/>
              <w:right w:w="284" w:type="dxa"/>
            </w:tcMar>
          </w:tcPr>
          <w:p w14:paraId="216EFE30" w14:textId="77777777" w:rsidR="009A7585" w:rsidRPr="00F50843" w:rsidRDefault="00334B9F" w:rsidP="009A7585">
            <w:pPr>
              <w:tabs>
                <w:tab w:val="left" w:pos="567"/>
              </w:tabs>
              <w:snapToGrid w:val="0"/>
              <w:spacing w:after="240"/>
              <w:jc w:val="center"/>
              <w:rPr>
                <w:rFonts w:ascii="Arial" w:eastAsia="SimSun" w:hAnsi="Arial"/>
                <w:snapToGrid w:val="0"/>
                <w:sz w:val="22"/>
                <w:szCs w:val="22"/>
                <w:lang w:val="es-ES" w:eastAsia="zh-CN"/>
              </w:rPr>
            </w:pPr>
            <w:r w:rsidRPr="00F50843">
              <w:rPr>
                <w:rFonts w:ascii="Arial" w:eastAsia="Times New Roman" w:hAnsi="Arial"/>
                <w:snapToGrid w:val="0"/>
                <w:sz w:val="22"/>
                <w:szCs w:val="22"/>
                <w:u w:val="single"/>
                <w:lang w:val="es-ES"/>
              </w:rPr>
              <w:t>Resumen</w:t>
            </w:r>
          </w:p>
          <w:p w14:paraId="447FCEE3" w14:textId="77777777" w:rsidR="00F50843" w:rsidRPr="00F50843" w:rsidRDefault="00F50843" w:rsidP="00F50843">
            <w:pPr>
              <w:tabs>
                <w:tab w:val="left" w:pos="567"/>
              </w:tabs>
              <w:snapToGrid w:val="0"/>
              <w:spacing w:after="240"/>
              <w:jc w:val="both"/>
              <w:rPr>
                <w:rFonts w:ascii="Arial" w:eastAsia="Times New Roman" w:hAnsi="Arial" w:cs="Arial"/>
                <w:iCs/>
                <w:snapToGrid w:val="0"/>
                <w:sz w:val="22"/>
                <w:szCs w:val="22"/>
                <w:lang w:val="es-ES_tradnl"/>
              </w:rPr>
            </w:pPr>
            <w:r w:rsidRPr="00F50843">
              <w:rPr>
                <w:rFonts w:ascii="Arial" w:eastAsia="Times New Roman" w:hAnsi="Arial"/>
                <w:snapToGrid w:val="0"/>
                <w:sz w:val="22"/>
                <w:szCs w:val="22"/>
                <w:lang w:val="es-ES"/>
              </w:rPr>
              <w:t xml:space="preserve">La Asamblea de la COI, en su 29ª reunión, celebrada en 2017, aprobó el Plan Estratégico de la COI para la Gestión de Datos e Información Oceanográficos (2017-2021) y acordó que el Plan se revisara periódicamente. El Grupo de Trabajo entre Reuniones encargado de revisar el Plan Estratégico de la COI para la Gestión de Datos e Información Oceanográficos, creado en virtud de la </w:t>
            </w:r>
            <w:hyperlink r:id="rId8" w:anchor="D63" w:history="1">
              <w:r w:rsidRPr="00F50843">
                <w:rPr>
                  <w:rFonts w:ascii="Arial" w:eastAsia="Times New Roman" w:hAnsi="Arial"/>
                  <w:snapToGrid w:val="0"/>
                  <w:color w:val="0000FF"/>
                  <w:sz w:val="22"/>
                  <w:szCs w:val="22"/>
                  <w:u w:val="single"/>
                  <w:lang w:val="es-ES"/>
                </w:rPr>
                <w:t>decisión IODE-XXVI.6.3</w:t>
              </w:r>
            </w:hyperlink>
            <w:r w:rsidRPr="00F50843">
              <w:rPr>
                <w:rFonts w:ascii="Arial" w:eastAsia="Times New Roman" w:hAnsi="Arial"/>
                <w:snapToGrid w:val="0"/>
                <w:sz w:val="22"/>
                <w:szCs w:val="22"/>
                <w:lang w:val="es-ES"/>
              </w:rPr>
              <w:t xml:space="preserve"> (2021), preparó una revisión del Plan Estratégico. El Comité de la COI sobre Intercambio Internacional de Datos e Información Oceanográficos (IODE) aprobó en su 27ª reunión, celebrada en 2023, la </w:t>
            </w:r>
            <w:hyperlink r:id="rId9" w:anchor="rec1" w:history="1">
              <w:r w:rsidRPr="00F50843">
                <w:rPr>
                  <w:rFonts w:ascii="Arial" w:eastAsia="Times New Roman" w:hAnsi="Arial"/>
                  <w:snapToGrid w:val="0"/>
                  <w:color w:val="0000FF"/>
                  <w:sz w:val="22"/>
                  <w:szCs w:val="22"/>
                  <w:u w:val="single"/>
                  <w:lang w:val="es-ES"/>
                </w:rPr>
                <w:t>recomendación IODE</w:t>
              </w:r>
              <w:r w:rsidRPr="00F50843">
                <w:rPr>
                  <w:rFonts w:ascii="Arial" w:eastAsia="Times New Roman" w:hAnsi="Arial"/>
                  <w:snapToGrid w:val="0"/>
                  <w:color w:val="0000FF"/>
                  <w:sz w:val="22"/>
                  <w:szCs w:val="22"/>
                  <w:u w:val="single"/>
                  <w:lang w:val="es-ES"/>
                </w:rPr>
                <w:noBreakHyphen/>
                <w:t>XXVII.6.2</w:t>
              </w:r>
            </w:hyperlink>
            <w:r w:rsidRPr="00F50843">
              <w:rPr>
                <w:rFonts w:ascii="Arial" w:eastAsia="Times New Roman" w:hAnsi="Arial"/>
                <w:snapToGrid w:val="0"/>
                <w:sz w:val="22"/>
                <w:szCs w:val="22"/>
                <w:lang w:val="es-ES"/>
              </w:rPr>
              <w:t xml:space="preserve">, en la que se presenta a esta Asamblea el plan estratégico revisado. El plan estratégico completo está disponible como proyecto de Manuales y Guías de la COI, </w:t>
            </w:r>
            <w:hyperlink r:id="rId10" w:history="1">
              <w:r w:rsidRPr="00F50843">
                <w:rPr>
                  <w:rFonts w:ascii="Arial" w:eastAsia="Times New Roman" w:hAnsi="Arial"/>
                  <w:snapToGrid w:val="0"/>
                  <w:color w:val="0000FF"/>
                  <w:sz w:val="22"/>
                  <w:szCs w:val="22"/>
                  <w:u w:val="single"/>
                  <w:lang w:val="es-ES"/>
                </w:rPr>
                <w:t>92</w:t>
              </w:r>
            </w:hyperlink>
            <w:r w:rsidRPr="00F50843">
              <w:rPr>
                <w:rFonts w:ascii="Arial" w:eastAsia="Times New Roman" w:hAnsi="Arial"/>
                <w:snapToGrid w:val="0"/>
                <w:sz w:val="22"/>
                <w:szCs w:val="22"/>
                <w:lang w:val="es-ES"/>
              </w:rPr>
              <w:t>.</w:t>
            </w:r>
          </w:p>
          <w:p w14:paraId="7630BA5F" w14:textId="77777777" w:rsidR="00F50843" w:rsidRPr="00F50843" w:rsidRDefault="00F50843" w:rsidP="00F50843">
            <w:pPr>
              <w:tabs>
                <w:tab w:val="left" w:pos="567"/>
              </w:tabs>
              <w:snapToGrid w:val="0"/>
              <w:spacing w:after="240"/>
              <w:jc w:val="both"/>
              <w:rPr>
                <w:rFonts w:ascii="Arial" w:eastAsia="Times New Roman" w:hAnsi="Arial" w:cs="Arial"/>
                <w:snapToGrid w:val="0"/>
                <w:sz w:val="22"/>
                <w:szCs w:val="22"/>
                <w:lang w:val="es-ES_tradnl"/>
              </w:rPr>
            </w:pPr>
            <w:r w:rsidRPr="00F50843">
              <w:rPr>
                <w:rFonts w:ascii="Arial" w:eastAsia="Times New Roman" w:hAnsi="Arial"/>
                <w:snapToGrid w:val="0"/>
                <w:sz w:val="22"/>
                <w:szCs w:val="22"/>
                <w:u w:val="single"/>
                <w:lang w:val="es-ES"/>
              </w:rPr>
              <w:t>Consecuencias financieras y administrativas</w:t>
            </w:r>
            <w:r w:rsidRPr="00F50843">
              <w:rPr>
                <w:rFonts w:ascii="Arial" w:eastAsia="Times New Roman" w:hAnsi="Arial"/>
                <w:snapToGrid w:val="0"/>
                <w:sz w:val="22"/>
                <w:szCs w:val="22"/>
                <w:lang w:val="es-ES"/>
              </w:rPr>
              <w:t>: no hay ninguna consecuencia financiera ni administrativa.</w:t>
            </w:r>
          </w:p>
          <w:p w14:paraId="3A1A4B5C" w14:textId="466ABB88" w:rsidR="007C13AF" w:rsidRPr="00F50843" w:rsidRDefault="00F50843" w:rsidP="00F50843">
            <w:pPr>
              <w:tabs>
                <w:tab w:val="left" w:pos="567"/>
              </w:tabs>
              <w:snapToGrid w:val="0"/>
              <w:spacing w:after="240"/>
              <w:jc w:val="both"/>
              <w:rPr>
                <w:rFonts w:ascii="Arial" w:eastAsia="Times New Roman" w:hAnsi="Arial"/>
                <w:snapToGrid w:val="0"/>
                <w:sz w:val="22"/>
                <w:szCs w:val="22"/>
                <w:lang w:val="es-ES"/>
              </w:rPr>
            </w:pPr>
            <w:r w:rsidRPr="00F50843">
              <w:rPr>
                <w:rFonts w:ascii="Arial" w:eastAsia="Times New Roman" w:hAnsi="Arial"/>
                <w:snapToGrid w:val="0"/>
                <w:sz w:val="22"/>
                <w:szCs w:val="22"/>
                <w:u w:val="single"/>
                <w:lang w:val="es-ES"/>
              </w:rPr>
              <w:t>La decisión propuesta</w:t>
            </w:r>
            <w:r w:rsidRPr="00F50843">
              <w:rPr>
                <w:rFonts w:ascii="Arial" w:eastAsia="Times New Roman" w:hAnsi="Arial"/>
                <w:snapToGrid w:val="0"/>
                <w:sz w:val="22"/>
                <w:szCs w:val="22"/>
                <w:lang w:val="es-ES"/>
              </w:rPr>
              <w:t xml:space="preserve"> tiene la referencia </w:t>
            </w:r>
            <w:proofErr w:type="spellStart"/>
            <w:r w:rsidRPr="00F50843">
              <w:rPr>
                <w:rFonts w:ascii="Arial" w:eastAsia="Times New Roman" w:hAnsi="Arial"/>
                <w:snapToGrid w:val="0"/>
                <w:sz w:val="22"/>
                <w:szCs w:val="22"/>
                <w:lang w:val="es-ES"/>
              </w:rPr>
              <w:t>Dec</w:t>
            </w:r>
            <w:proofErr w:type="spellEnd"/>
            <w:r w:rsidRPr="00F50843">
              <w:rPr>
                <w:rFonts w:ascii="Arial" w:eastAsia="Times New Roman" w:hAnsi="Arial"/>
                <w:snapToGrid w:val="0"/>
                <w:sz w:val="22"/>
                <w:szCs w:val="22"/>
                <w:lang w:val="es-ES"/>
              </w:rPr>
              <w:t>. IOC-32/3.4.2 en el documento de decisión (documento IOC-32/2 Prov.).</w:t>
            </w:r>
          </w:p>
        </w:tc>
      </w:tr>
    </w:tbl>
    <w:p w14:paraId="374F7DF1" w14:textId="77777777" w:rsidR="004E77DF" w:rsidRDefault="004E77DF" w:rsidP="00A62288">
      <w:pPr>
        <w:tabs>
          <w:tab w:val="left" w:pos="567"/>
        </w:tabs>
        <w:snapToGrid w:val="0"/>
        <w:spacing w:after="0" w:line="240" w:lineRule="auto"/>
        <w:jc w:val="both"/>
        <w:rPr>
          <w:rFonts w:ascii="Arial" w:eastAsia="Times New Roman" w:hAnsi="Arial" w:cs="Arial"/>
          <w:snapToGrid w:val="0"/>
          <w:lang w:val="es-ES"/>
        </w:rPr>
        <w:sectPr w:rsidR="004E77DF" w:rsidSect="00EA1C02">
          <w:headerReference w:type="even" r:id="rId11"/>
          <w:headerReference w:type="default" r:id="rId12"/>
          <w:headerReference w:type="first" r:id="rId13"/>
          <w:pgSz w:w="11906" w:h="16838" w:code="9"/>
          <w:pgMar w:top="1418" w:right="1134" w:bottom="1134" w:left="1134" w:header="851" w:footer="680" w:gutter="0"/>
          <w:cols w:space="708"/>
          <w:titlePg/>
          <w:docGrid w:linePitch="360"/>
        </w:sectPr>
      </w:pPr>
    </w:p>
    <w:p w14:paraId="283A8BEB" w14:textId="77777777" w:rsidR="00F50843" w:rsidRPr="00F50843" w:rsidRDefault="00F50843" w:rsidP="00717AA5">
      <w:pPr>
        <w:keepNext/>
        <w:tabs>
          <w:tab w:val="left" w:pos="567"/>
        </w:tabs>
        <w:snapToGrid w:val="0"/>
        <w:spacing w:after="240" w:line="240" w:lineRule="auto"/>
        <w:jc w:val="both"/>
        <w:rPr>
          <w:rFonts w:ascii="Arial" w:eastAsia="Times New Roman" w:hAnsi="Arial" w:cs="Times New Roman"/>
          <w:b/>
          <w:bCs/>
          <w:snapToGrid w:val="0"/>
          <w:szCs w:val="24"/>
          <w:lang w:val="es-ES"/>
        </w:rPr>
      </w:pPr>
      <w:r w:rsidRPr="00F50843">
        <w:rPr>
          <w:rFonts w:ascii="Arial" w:eastAsia="Times New Roman" w:hAnsi="Arial" w:cs="Times New Roman"/>
          <w:b/>
          <w:bCs/>
          <w:snapToGrid w:val="0"/>
          <w:szCs w:val="24"/>
          <w:lang w:val="es-ES"/>
        </w:rPr>
        <w:lastRenderedPageBreak/>
        <w:t>Antecedentes</w:t>
      </w:r>
    </w:p>
    <w:p w14:paraId="69168292" w14:textId="77777777" w:rsidR="00F50843" w:rsidRPr="00717AA5"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717AA5">
        <w:rPr>
          <w:rFonts w:ascii="Arial" w:eastAsia="Arial" w:hAnsi="Arial" w:cs="Arial"/>
          <w:lang w:val="es-ES" w:eastAsia="en-GB"/>
        </w:rPr>
        <w:t xml:space="preserve">De conformidad con la </w:t>
      </w:r>
      <w:hyperlink r:id="rId14" w:anchor="D63" w:history="1">
        <w:r w:rsidRPr="00717AA5">
          <w:rPr>
            <w:rFonts w:ascii="Arial" w:eastAsia="Arial" w:hAnsi="Arial" w:cs="Arial"/>
            <w:color w:val="0000FF"/>
            <w:u w:val="single"/>
            <w:lang w:val="es-ES" w:eastAsia="en-GB"/>
          </w:rPr>
          <w:t>decisión IODE-XXVI.6.3</w:t>
        </w:r>
      </w:hyperlink>
      <w:r w:rsidRPr="00717AA5">
        <w:rPr>
          <w:rFonts w:ascii="Arial" w:eastAsia="Arial" w:hAnsi="Arial" w:cs="Arial"/>
          <w:lang w:val="es-ES" w:eastAsia="en-GB"/>
        </w:rPr>
        <w:t>, por la que se creó el Grupo de Trabajo entre Reuniones encargado de revisar el Plan Estratégico de la COI para la Gestión de Datos e Información Oceanográficos en 2021, se espera que los sistemas resultantes del plan estratégico revisado aporten:</w:t>
      </w:r>
    </w:p>
    <w:p w14:paraId="1F9C10D4" w14:textId="77777777" w:rsidR="00F50843" w:rsidRPr="00F50843" w:rsidRDefault="00F50843" w:rsidP="00717AA5">
      <w:pPr>
        <w:spacing w:after="120" w:line="240" w:lineRule="auto"/>
        <w:ind w:left="1134" w:hanging="567"/>
        <w:jc w:val="both"/>
        <w:rPr>
          <w:rFonts w:ascii="Arial" w:eastAsia="Arial" w:hAnsi="Arial" w:cs="Arial"/>
          <w:lang w:val="es-ES" w:eastAsia="en-GB"/>
        </w:rPr>
      </w:pPr>
      <w:r w:rsidRPr="00F50843">
        <w:rPr>
          <w:rFonts w:ascii="Arial" w:eastAsia="Arial" w:hAnsi="Arial" w:cs="Arial"/>
          <w:lang w:val="es-ES" w:eastAsia="en-GB"/>
        </w:rPr>
        <w:t>i)</w:t>
      </w:r>
      <w:r w:rsidRPr="00F50843">
        <w:rPr>
          <w:rFonts w:ascii="Arial" w:eastAsia="Arial" w:hAnsi="Arial" w:cs="Arial"/>
          <w:lang w:val="es-ES" w:eastAsia="en-GB"/>
        </w:rPr>
        <w:tab/>
        <w:t>datos interoperables y de calidad controlada sobre una diversa gama de variables, generados con arreglo a métodos científica y operativamente sólidos y archivados de forma continua en normas y formatos bien documentados y aplicables a escala mundial;</w:t>
      </w:r>
    </w:p>
    <w:p w14:paraId="413E5D2C" w14:textId="2E91A23C" w:rsidR="00F50843" w:rsidRPr="00F50843" w:rsidRDefault="00F50843" w:rsidP="00717AA5">
      <w:pPr>
        <w:tabs>
          <w:tab w:val="left" w:pos="567"/>
        </w:tabs>
        <w:snapToGrid w:val="0"/>
        <w:spacing w:after="120" w:line="240" w:lineRule="auto"/>
        <w:ind w:left="1134" w:hanging="567"/>
        <w:jc w:val="both"/>
        <w:rPr>
          <w:rFonts w:ascii="Arial" w:eastAsia="Times New Roman" w:hAnsi="Arial" w:cs="Times New Roman"/>
          <w:snapToGrid w:val="0"/>
          <w:szCs w:val="24"/>
          <w:lang w:val="es-ES_tradnl"/>
        </w:rPr>
      </w:pPr>
      <w:proofErr w:type="spellStart"/>
      <w:r w:rsidRPr="00F50843">
        <w:rPr>
          <w:rFonts w:ascii="Arial" w:eastAsia="Times New Roman" w:hAnsi="Arial" w:cs="Times New Roman"/>
          <w:snapToGrid w:val="0"/>
          <w:szCs w:val="24"/>
          <w:lang w:val="es-ES" w:eastAsia="en-GB"/>
        </w:rPr>
        <w:t>ii</w:t>
      </w:r>
      <w:proofErr w:type="spellEnd"/>
      <w:r w:rsidRPr="00F50843">
        <w:rPr>
          <w:rFonts w:ascii="Arial" w:eastAsia="Times New Roman" w:hAnsi="Arial" w:cs="Times New Roman"/>
          <w:snapToGrid w:val="0"/>
          <w:szCs w:val="24"/>
          <w:lang w:val="es-ES" w:eastAsia="en-GB"/>
        </w:rPr>
        <w:t>)</w:t>
      </w:r>
      <w:r w:rsidRPr="00F50843">
        <w:rPr>
          <w:rFonts w:ascii="Arial" w:eastAsia="Times New Roman" w:hAnsi="Arial" w:cs="Times New Roman"/>
          <w:snapToGrid w:val="0"/>
          <w:szCs w:val="24"/>
          <w:lang w:val="es-ES" w:eastAsia="en-GB"/>
        </w:rPr>
        <w:tab/>
      </w:r>
      <w:r w:rsidRPr="00F50843">
        <w:rPr>
          <w:rFonts w:ascii="Arial" w:eastAsia="Times New Roman" w:hAnsi="Arial" w:cs="Times New Roman"/>
          <w:snapToGrid w:val="0"/>
          <w:szCs w:val="24"/>
          <w:lang w:val="es-ES"/>
        </w:rPr>
        <w:t>difusión puntual de datos sobre una diversa gama de variables (generados a partir de observaciones y resultados de modelos), tanto en tiempo real como en diferido, en función de las necesidades de los grupos de usuarios y de sus capacidades técnicas (“a la carta” o programados automáticamente);</w:t>
      </w:r>
    </w:p>
    <w:p w14:paraId="108937C1" w14:textId="77777777" w:rsidR="00F50843" w:rsidRPr="00F50843" w:rsidRDefault="00F50843" w:rsidP="00717AA5">
      <w:pPr>
        <w:numPr>
          <w:ilvl w:val="0"/>
          <w:numId w:val="34"/>
        </w:numPr>
        <w:tabs>
          <w:tab w:val="left" w:pos="567"/>
        </w:tabs>
        <w:snapToGrid w:val="0"/>
        <w:spacing w:after="240" w:line="240" w:lineRule="auto"/>
        <w:ind w:left="1134" w:hanging="567"/>
        <w:jc w:val="both"/>
        <w:rPr>
          <w:rFonts w:ascii="Arial" w:eastAsia="Arial" w:hAnsi="Arial" w:cs="Arial"/>
          <w:lang w:val="es-ES_tradnl" w:eastAsia="en-GB"/>
        </w:rPr>
      </w:pPr>
      <w:r w:rsidRPr="00F50843">
        <w:rPr>
          <w:rFonts w:ascii="Arial" w:eastAsia="Arial" w:hAnsi="Arial" w:cs="Arial"/>
          <w:lang w:val="es-ES" w:eastAsia="en-GB"/>
        </w:rPr>
        <w:t>fácil localización de los datos y la información, y acceso a los mismos, sobre una diversa gama de variables y productos derivados (incluidos pronósticos, alertas y avisos) por parte de usuarios con un amplio abanico de capacidades. El Grupo de Trabajo, mediante el mandato definido por IODE-XXVI, recibió una lista de 16 elementos que deberían tenerse en cuenta.</w:t>
      </w:r>
    </w:p>
    <w:p w14:paraId="7B2CA7A0"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t xml:space="preserve">Tras varias reuniones de redacción celebradas en línea y consultas con el Grupo de Gestión del IODE y otros programas de la COI, el Grupo de Trabajo presentó su labor a la 27ª reunión del IODE (París, 22-23 de marzo de 2023), que recomendó el plan estratégico revisado para que la Asamblea de la COI lo aprobara en la presente reunión, tal como figura en Manuales y Guías de la COI, </w:t>
      </w:r>
      <w:hyperlink r:id="rId15" w:history="1">
        <w:r w:rsidRPr="00F50843">
          <w:rPr>
            <w:rFonts w:ascii="Arial" w:eastAsia="Arial" w:hAnsi="Arial" w:cs="Arial"/>
            <w:color w:val="0000FF"/>
            <w:u w:val="single"/>
            <w:lang w:val="es-ES" w:eastAsia="en-GB"/>
          </w:rPr>
          <w:t>92</w:t>
        </w:r>
      </w:hyperlink>
      <w:r w:rsidRPr="00F50843">
        <w:rPr>
          <w:rFonts w:ascii="Arial" w:eastAsia="Arial" w:hAnsi="Arial" w:cs="Arial"/>
          <w:lang w:val="es-ES" w:eastAsia="en-GB"/>
        </w:rPr>
        <w:t>.</w:t>
      </w:r>
    </w:p>
    <w:p w14:paraId="7B278E05" w14:textId="77777777" w:rsidR="00F50843" w:rsidRPr="00F50843" w:rsidRDefault="00F50843" w:rsidP="00717AA5">
      <w:pPr>
        <w:keepNext/>
        <w:tabs>
          <w:tab w:val="left" w:pos="709"/>
        </w:tabs>
        <w:snapToGrid w:val="0"/>
        <w:spacing w:after="240" w:line="240" w:lineRule="auto"/>
        <w:jc w:val="both"/>
        <w:rPr>
          <w:rFonts w:ascii="Arial" w:eastAsia="Arial Unicode MS" w:hAnsi="Arial" w:cs="Times New Roman"/>
          <w:b/>
          <w:bCs/>
          <w:snapToGrid w:val="0"/>
          <w:lang w:val="es-ES_tradnl"/>
        </w:rPr>
      </w:pPr>
      <w:r w:rsidRPr="00F50843">
        <w:rPr>
          <w:rFonts w:ascii="Arial" w:eastAsia="Arial Unicode MS" w:hAnsi="Arial" w:cs="Times New Roman"/>
          <w:b/>
          <w:bCs/>
          <w:snapToGrid w:val="0"/>
          <w:lang w:val="es-ES"/>
        </w:rPr>
        <w:t>Esbozo del plan estratégico revisado</w:t>
      </w:r>
    </w:p>
    <w:p w14:paraId="37806169"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t xml:space="preserve">La </w:t>
      </w:r>
      <w:r w:rsidRPr="00F50843">
        <w:rPr>
          <w:rFonts w:ascii="Arial" w:eastAsia="Arial" w:hAnsi="Arial" w:cs="Arial"/>
          <w:b/>
          <w:bCs/>
          <w:lang w:val="es-ES" w:eastAsia="en-GB"/>
        </w:rPr>
        <w:t xml:space="preserve">visión </w:t>
      </w:r>
      <w:r w:rsidRPr="00F50843">
        <w:rPr>
          <w:rFonts w:ascii="Arial" w:eastAsia="Arial" w:hAnsi="Arial" w:cs="Arial"/>
          <w:lang w:val="es-ES" w:eastAsia="en-GB"/>
        </w:rPr>
        <w:t>del plan estratégico de la COI para la gestión de datos e información oceanográficos (2023-2029) es lograr:</w:t>
      </w:r>
    </w:p>
    <w:p w14:paraId="5325BBE8" w14:textId="77777777" w:rsidR="00F50843" w:rsidRPr="00F50843" w:rsidRDefault="00F50843" w:rsidP="00717AA5">
      <w:pPr>
        <w:spacing w:after="240" w:line="240" w:lineRule="auto"/>
        <w:ind w:left="567"/>
        <w:jc w:val="both"/>
        <w:rPr>
          <w:rFonts w:ascii="Arial" w:eastAsia="Arial" w:hAnsi="Arial" w:cs="Arial"/>
          <w:i/>
          <w:iCs/>
          <w:lang w:val="es-ES_tradnl" w:eastAsia="en-GB"/>
        </w:rPr>
      </w:pPr>
      <w:r w:rsidRPr="00F50843">
        <w:rPr>
          <w:rFonts w:ascii="Arial" w:eastAsia="Arial" w:hAnsi="Arial" w:cs="Arial"/>
          <w:i/>
          <w:iCs/>
          <w:lang w:val="es-ES" w:eastAsia="en-GB"/>
        </w:rPr>
        <w:t>“Un sistema completo e integrado de datos e información oceanográficos, al servicio de las amplias y diversas necesidades de los Estados Miembros de la COI, para la gestión, la formulación de políticas y el uso científico”.</w:t>
      </w:r>
    </w:p>
    <w:p w14:paraId="69A6870D"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t>Esto contribuirá tanto a la misión como a la visión de la COI, consistente en:</w:t>
      </w:r>
    </w:p>
    <w:p w14:paraId="3497DA69" w14:textId="77777777" w:rsidR="00F50843" w:rsidRPr="00F50843" w:rsidRDefault="00F50843" w:rsidP="00717AA5">
      <w:pPr>
        <w:spacing w:after="240" w:line="240" w:lineRule="auto"/>
        <w:ind w:left="567"/>
        <w:jc w:val="both"/>
        <w:rPr>
          <w:rFonts w:ascii="Arial" w:eastAsia="Arial" w:hAnsi="Arial" w:cs="Arial"/>
          <w:i/>
          <w:iCs/>
          <w:strike/>
          <w:color w:val="231F20"/>
          <w:lang w:val="es-ES_tradnl" w:eastAsia="en-GB"/>
        </w:rPr>
      </w:pPr>
      <w:r w:rsidRPr="00F50843">
        <w:rPr>
          <w:rFonts w:ascii="Arial" w:eastAsia="Arial" w:hAnsi="Arial" w:cs="Arial"/>
          <w:i/>
          <w:iCs/>
          <w:lang w:val="es-ES" w:eastAsia="en-GB"/>
        </w:rPr>
        <w:t>“Unir a los gobiernos y a la comunidad científica para conseguir ‘El océano que necesitamos para el futuro que queremos’”.</w:t>
      </w:r>
    </w:p>
    <w:p w14:paraId="40A2BC12"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color w:val="231F20"/>
          <w:lang w:val="es-ES_tradnl" w:eastAsia="en-GB"/>
        </w:rPr>
      </w:pPr>
      <w:r w:rsidRPr="00F50843">
        <w:rPr>
          <w:rFonts w:ascii="Arial" w:eastAsia="Arial" w:hAnsi="Arial" w:cs="Arial"/>
          <w:lang w:val="es-ES" w:eastAsia="en-GB"/>
        </w:rPr>
        <w:t>El plan estratégico de la COI para la gestión de datos e información oceanográficos describe la aplicación de prácticas y marcos de gestión de datos e información funcionales e interoperables para garantizar la disponibilidad de datos e información. Orienta a los programas de la COI para que compartan y gestionen eficazmente sus datos e información de manera coordinada y sobre la base de prácticas ampliamente acordadas, a fin de contribuir a la consecución no solo de los objetivos de la COI, sino también de los del Decenio del Océano.</w:t>
      </w:r>
    </w:p>
    <w:p w14:paraId="3E15D4C8"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t xml:space="preserve">Por consiguiente, el </w:t>
      </w:r>
      <w:r w:rsidRPr="00F50843">
        <w:rPr>
          <w:rFonts w:ascii="Arial" w:eastAsia="Arial" w:hAnsi="Arial" w:cs="Arial"/>
          <w:b/>
          <w:bCs/>
          <w:lang w:val="es-ES" w:eastAsia="en-GB"/>
        </w:rPr>
        <w:t>alcance</w:t>
      </w:r>
      <w:r w:rsidRPr="00F50843">
        <w:rPr>
          <w:rFonts w:ascii="Arial" w:eastAsia="Arial" w:hAnsi="Arial" w:cs="Arial"/>
          <w:lang w:val="es-ES" w:eastAsia="en-GB"/>
        </w:rPr>
        <w:t xml:space="preserve"> del plan estratégico de la COI para la gestión de datos e información oceanográficos pretende ser </w:t>
      </w:r>
      <w:r w:rsidRPr="00F50843">
        <w:rPr>
          <w:rFonts w:ascii="Arial" w:eastAsia="Arial" w:hAnsi="Arial" w:cs="Arial"/>
          <w:b/>
          <w:bCs/>
          <w:lang w:val="es-ES" w:eastAsia="en-GB"/>
        </w:rPr>
        <w:t>exhaustivo y abarcar todas las disciplinas comprendidas en el mandato de la COI.</w:t>
      </w:r>
      <w:r w:rsidRPr="00F50843">
        <w:rPr>
          <w:rFonts w:ascii="Arial" w:eastAsia="Arial" w:hAnsi="Arial" w:cs="Arial"/>
          <w:lang w:val="es-ES" w:eastAsia="en-GB"/>
        </w:rPr>
        <w:t xml:space="preserve"> Se incluyen todos los tipos de datos y todas las escalas temporales de entrega de datos (por ejemplo, en tiempo real o en diferido), así como productos de síntesis y resultados de modelos. Pueden emplearse diferentes estrategias para satisfacer las condiciones mundiales, regionales y locales y para cumplir los plazos. Es preciso avanzar hacia una estrategia coherente de comunicaciones para la gestión de datos e información oceánicos que permita integrar la gran variedad de complejas mediciones y observaciones del medio marino en diferentes disciplinas, instituciones y escalas temporales y espaciales.</w:t>
      </w:r>
    </w:p>
    <w:p w14:paraId="6690D91E"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lastRenderedPageBreak/>
        <w:t xml:space="preserve">El </w:t>
      </w:r>
      <w:r w:rsidRPr="00F50843">
        <w:rPr>
          <w:rFonts w:ascii="Arial" w:eastAsia="Arial" w:hAnsi="Arial" w:cs="Arial"/>
          <w:b/>
          <w:bCs/>
          <w:lang w:val="es-ES" w:eastAsia="en-GB"/>
        </w:rPr>
        <w:t>objetivo</w:t>
      </w:r>
      <w:r w:rsidRPr="00F50843">
        <w:rPr>
          <w:rFonts w:ascii="Arial" w:eastAsia="Arial" w:hAnsi="Arial" w:cs="Arial"/>
          <w:lang w:val="es-ES" w:eastAsia="en-GB"/>
        </w:rPr>
        <w:t xml:space="preserve"> es garantizar el establecimiento de </w:t>
      </w:r>
      <w:r w:rsidRPr="00F50843">
        <w:rPr>
          <w:rFonts w:ascii="Arial" w:eastAsia="Arial" w:hAnsi="Arial" w:cs="Arial"/>
          <w:b/>
          <w:bCs/>
          <w:i/>
          <w:iCs/>
          <w:lang w:val="es-ES" w:eastAsia="en-GB"/>
        </w:rPr>
        <w:t>un ecosistema de datos e información oceánicos completo e integrado</w:t>
      </w:r>
      <w:r w:rsidRPr="00F50843">
        <w:rPr>
          <w:rFonts w:ascii="Arial" w:eastAsia="Arial" w:hAnsi="Arial" w:cs="Arial"/>
          <w:lang w:val="es-ES" w:eastAsia="en-GB"/>
        </w:rPr>
        <w:t xml:space="preserve"> para todas las actividades oceánicas. Es esencial que los sistemas nacionales, regionales e internacionales existentes y operativos puedan conectarse al sistema mundial integrado.</w:t>
      </w:r>
    </w:p>
    <w:p w14:paraId="5DE63348"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t xml:space="preserve">El </w:t>
      </w:r>
      <w:r w:rsidRPr="00F50843">
        <w:rPr>
          <w:rFonts w:ascii="Arial" w:eastAsia="Arial" w:hAnsi="Arial" w:cs="Arial"/>
          <w:b/>
          <w:bCs/>
          <w:lang w:val="es-ES" w:eastAsia="en-GB"/>
        </w:rPr>
        <w:t>objetivo</w:t>
      </w:r>
      <w:r w:rsidRPr="00F50843">
        <w:rPr>
          <w:rFonts w:ascii="Arial" w:eastAsia="Arial" w:hAnsi="Arial" w:cs="Arial"/>
          <w:lang w:val="es-ES" w:eastAsia="en-GB"/>
        </w:rPr>
        <w:t xml:space="preserve"> del plan estratégico es aportar:</w:t>
      </w:r>
    </w:p>
    <w:p w14:paraId="634A33C3" w14:textId="77777777" w:rsidR="00F50843" w:rsidRPr="00F50843" w:rsidRDefault="00F50843" w:rsidP="00717AA5">
      <w:pPr>
        <w:numPr>
          <w:ilvl w:val="0"/>
          <w:numId w:val="33"/>
        </w:numPr>
        <w:snapToGrid w:val="0"/>
        <w:spacing w:after="120" w:line="240" w:lineRule="auto"/>
        <w:ind w:left="1134" w:hanging="567"/>
        <w:jc w:val="both"/>
        <w:rPr>
          <w:rFonts w:ascii="Arial" w:eastAsia="Times New Roman" w:hAnsi="Arial" w:cs="Times New Roman"/>
          <w:snapToGrid w:val="0"/>
          <w:szCs w:val="24"/>
          <w:lang w:val="es-ES_tradnl"/>
        </w:rPr>
      </w:pPr>
      <w:r w:rsidRPr="00F50843">
        <w:rPr>
          <w:rFonts w:ascii="Arial" w:eastAsia="Times New Roman" w:hAnsi="Arial" w:cs="Times New Roman"/>
          <w:snapToGrid w:val="0"/>
          <w:szCs w:val="24"/>
          <w:lang w:val="es-ES"/>
        </w:rPr>
        <w:t xml:space="preserve">datos interoperables y de calidad controlada sobre una diversa gama de variables: i) generados con arreglo a métodos científica y operativamente sólidos; y </w:t>
      </w:r>
      <w:proofErr w:type="spellStart"/>
      <w:r w:rsidRPr="00F50843">
        <w:rPr>
          <w:rFonts w:ascii="Arial" w:eastAsia="Times New Roman" w:hAnsi="Arial" w:cs="Times New Roman"/>
          <w:snapToGrid w:val="0"/>
          <w:szCs w:val="24"/>
          <w:lang w:val="es-ES"/>
        </w:rPr>
        <w:t>ii</w:t>
      </w:r>
      <w:proofErr w:type="spellEnd"/>
      <w:r w:rsidRPr="00F50843">
        <w:rPr>
          <w:rFonts w:ascii="Arial" w:eastAsia="Times New Roman" w:hAnsi="Arial" w:cs="Times New Roman"/>
          <w:snapToGrid w:val="0"/>
          <w:szCs w:val="24"/>
          <w:lang w:val="es-ES"/>
        </w:rPr>
        <w:t>) archivados de forma continua en normas y formatos bien documentados y aplicables a escala mundial;</w:t>
      </w:r>
    </w:p>
    <w:p w14:paraId="30B09B2E" w14:textId="77777777" w:rsidR="00F50843" w:rsidRPr="00F50843" w:rsidRDefault="00F50843" w:rsidP="00717AA5">
      <w:pPr>
        <w:numPr>
          <w:ilvl w:val="0"/>
          <w:numId w:val="33"/>
        </w:numPr>
        <w:snapToGrid w:val="0"/>
        <w:spacing w:after="120" w:line="240" w:lineRule="auto"/>
        <w:ind w:left="1134" w:hanging="567"/>
        <w:jc w:val="both"/>
        <w:rPr>
          <w:rFonts w:ascii="Arial" w:eastAsia="Times New Roman" w:hAnsi="Arial" w:cs="Times New Roman"/>
          <w:snapToGrid w:val="0"/>
          <w:szCs w:val="24"/>
          <w:lang w:val="es-ES_tradnl"/>
        </w:rPr>
      </w:pPr>
      <w:r w:rsidRPr="00F50843">
        <w:rPr>
          <w:rFonts w:ascii="Arial" w:eastAsia="Times New Roman" w:hAnsi="Arial" w:cs="Times New Roman"/>
          <w:snapToGrid w:val="0"/>
          <w:szCs w:val="24"/>
          <w:lang w:val="es-ES"/>
        </w:rPr>
        <w:t>difusión puntual de datos sobre una diversa gama de variables (generados a partir de observaciones y resultados de modelos), tanto en tiempo real como en diferido, en función de las necesidades de los grupos de usuarios y de sus capacidades técnicas (“a la carta” o programados automáticamente);</w:t>
      </w:r>
    </w:p>
    <w:p w14:paraId="023DF74D" w14:textId="77777777" w:rsidR="00F50843" w:rsidRPr="00F50843" w:rsidRDefault="00F50843" w:rsidP="00717AA5">
      <w:pPr>
        <w:numPr>
          <w:ilvl w:val="0"/>
          <w:numId w:val="33"/>
        </w:numPr>
        <w:snapToGrid w:val="0"/>
        <w:spacing w:after="240" w:line="240" w:lineRule="auto"/>
        <w:ind w:left="1134" w:hanging="567"/>
        <w:jc w:val="both"/>
        <w:rPr>
          <w:rFonts w:ascii="Arial" w:eastAsia="Times New Roman" w:hAnsi="Arial" w:cs="Times New Roman"/>
          <w:snapToGrid w:val="0"/>
          <w:szCs w:val="24"/>
          <w:lang w:val="es-ES_tradnl"/>
        </w:rPr>
      </w:pPr>
      <w:r w:rsidRPr="00F50843">
        <w:rPr>
          <w:rFonts w:ascii="Arial" w:eastAsia="Times New Roman" w:hAnsi="Arial" w:cs="Times New Roman"/>
          <w:snapToGrid w:val="0"/>
          <w:szCs w:val="24"/>
          <w:lang w:val="es-ES"/>
        </w:rPr>
        <w:t>fácil localización de los datos y la información, y acceso a los mismos, sobre una diversa gama de variables y productos derivados (incluidos pronósticos, alertas y avisos) de un modo que resulte sencillo para una gran variedad de usuarios.</w:t>
      </w:r>
    </w:p>
    <w:p w14:paraId="1E44F24F"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t>En la aplicación del plan estratégico debería tenerse en cuenta lo siguiente:</w:t>
      </w:r>
    </w:p>
    <w:p w14:paraId="5610700E" w14:textId="77777777" w:rsidR="00F50843" w:rsidRPr="00F50843" w:rsidRDefault="00F50843" w:rsidP="00717AA5">
      <w:pPr>
        <w:numPr>
          <w:ilvl w:val="0"/>
          <w:numId w:val="32"/>
        </w:numPr>
        <w:snapToGrid w:val="0"/>
        <w:spacing w:after="12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 xml:space="preserve">las novedades en el Sistema de Datos e Información Oceanográficos (ODIS) de la COI/IODE y en el catálogo </w:t>
      </w:r>
      <w:proofErr w:type="spellStart"/>
      <w:r w:rsidRPr="00F50843">
        <w:rPr>
          <w:rFonts w:ascii="Arial" w:eastAsia="Times New Roman" w:hAnsi="Arial" w:cs="Times New Roman"/>
          <w:snapToGrid w:val="0"/>
          <w:szCs w:val="24"/>
          <w:lang w:val="es-ES"/>
        </w:rPr>
        <w:t>ODIScat</w:t>
      </w:r>
      <w:proofErr w:type="spellEnd"/>
      <w:r w:rsidRPr="00F50843">
        <w:rPr>
          <w:rFonts w:ascii="Arial" w:eastAsia="Times New Roman" w:hAnsi="Arial" w:cs="Times New Roman"/>
          <w:snapToGrid w:val="0"/>
          <w:szCs w:val="24"/>
          <w:lang w:val="es-ES"/>
        </w:rPr>
        <w:t xml:space="preserve"> de servicios de datos e información en línea como marco de interoperabilidad para interconectar los recursos digitales internacionales, regionales y nacionales;</w:t>
      </w:r>
    </w:p>
    <w:p w14:paraId="4FA7B223" w14:textId="77777777" w:rsidR="00F50843" w:rsidRPr="00F50843" w:rsidRDefault="00F50843" w:rsidP="00717AA5">
      <w:pPr>
        <w:numPr>
          <w:ilvl w:val="0"/>
          <w:numId w:val="32"/>
        </w:numPr>
        <w:tabs>
          <w:tab w:val="left" w:pos="567"/>
        </w:tabs>
        <w:snapToGrid w:val="0"/>
        <w:spacing w:after="12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 xml:space="preserve">los avances en el Grupo de Coordinación de Observaciones (OCG) de la COI/GOOS para cartografiar los flujos de datos de las redes mundiales </w:t>
      </w:r>
      <w:r w:rsidRPr="00F50843">
        <w:rPr>
          <w:rFonts w:ascii="Arial" w:eastAsia="Times New Roman" w:hAnsi="Arial" w:cs="Times New Roman"/>
          <w:i/>
          <w:iCs/>
          <w:snapToGrid w:val="0"/>
          <w:szCs w:val="24"/>
          <w:lang w:val="es-ES"/>
        </w:rPr>
        <w:t>in situ</w:t>
      </w:r>
      <w:r w:rsidRPr="00F50843">
        <w:rPr>
          <w:rFonts w:ascii="Arial" w:eastAsia="Times New Roman" w:hAnsi="Arial" w:cs="Times New Roman"/>
          <w:snapToGrid w:val="0"/>
          <w:szCs w:val="24"/>
          <w:lang w:val="es-ES"/>
        </w:rPr>
        <w:t xml:space="preserve"> y elaborar un plan de implantación de datos;</w:t>
      </w:r>
    </w:p>
    <w:p w14:paraId="6F69B584" w14:textId="77777777" w:rsidR="00F50843" w:rsidRPr="00F50843" w:rsidRDefault="00F50843" w:rsidP="00717AA5">
      <w:pPr>
        <w:numPr>
          <w:ilvl w:val="0"/>
          <w:numId w:val="32"/>
        </w:numPr>
        <w:tabs>
          <w:tab w:val="left" w:pos="567"/>
        </w:tabs>
        <w:snapToGrid w:val="0"/>
        <w:spacing w:after="12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las novedades en el Sistema de Mejores Prácticas Oceánicas (OBPS) del IODE/GOOS, teniendo en cuenta que actualmente no se incluyen todos los métodos y mejores prácticas pertinentes para el plan estratégico de la COI para la gestión de datos e información oceanográficos;</w:t>
      </w:r>
    </w:p>
    <w:p w14:paraId="456569C3" w14:textId="77777777" w:rsidR="00F50843" w:rsidRPr="00F50843" w:rsidRDefault="00F50843" w:rsidP="00717AA5">
      <w:pPr>
        <w:numPr>
          <w:ilvl w:val="0"/>
          <w:numId w:val="32"/>
        </w:numPr>
        <w:tabs>
          <w:tab w:val="left" w:pos="567"/>
        </w:tabs>
        <w:snapToGrid w:val="0"/>
        <w:spacing w:after="12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la Estrategia de Desarrollo de Capacidades de la COI (2023) y la Política de Datos de la COI y Condiciones de Uso de los Datos (2023);</w:t>
      </w:r>
    </w:p>
    <w:p w14:paraId="5E972B64" w14:textId="77777777" w:rsidR="00F50843" w:rsidRPr="00F50843" w:rsidRDefault="00F50843" w:rsidP="00717AA5">
      <w:pPr>
        <w:numPr>
          <w:ilvl w:val="0"/>
          <w:numId w:val="32"/>
        </w:numPr>
        <w:tabs>
          <w:tab w:val="left" w:pos="567"/>
        </w:tabs>
        <w:snapToGrid w:val="0"/>
        <w:spacing w:after="12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la necesidad de apoyar las necesidades de datos e información para los servicios marinos, el transporte, las predicciones oceánicas, los estudios sobre el cambio y la variabilidad climáticos y la investigación científica;</w:t>
      </w:r>
    </w:p>
    <w:p w14:paraId="68687517" w14:textId="77777777" w:rsidR="00F50843" w:rsidRPr="00F50843" w:rsidRDefault="00F50843" w:rsidP="00717AA5">
      <w:pPr>
        <w:numPr>
          <w:ilvl w:val="0"/>
          <w:numId w:val="32"/>
        </w:numPr>
        <w:tabs>
          <w:tab w:val="left" w:pos="567"/>
        </w:tabs>
        <w:snapToGrid w:val="0"/>
        <w:spacing w:after="12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la necesidad de apoyar los esfuerzos de la COI relacionados con su responsabilidad de custodio de los indicadores para la meta 14.3.1 de los ODS, relativa a la acidificación de los océanos, y la meta 14.a de los ODS, sobre la investigación científica marina;</w:t>
      </w:r>
    </w:p>
    <w:p w14:paraId="0A60E46D" w14:textId="77777777" w:rsidR="00F50843" w:rsidRPr="00F50843" w:rsidRDefault="00F50843" w:rsidP="00717AA5">
      <w:pPr>
        <w:numPr>
          <w:ilvl w:val="0"/>
          <w:numId w:val="32"/>
        </w:numPr>
        <w:tabs>
          <w:tab w:val="left" w:pos="567"/>
        </w:tabs>
        <w:snapToGrid w:val="0"/>
        <w:spacing w:after="12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el reconocimiento y la inclusión de los conocimientos indígenas y locales para garantizar su adecuada integración;</w:t>
      </w:r>
    </w:p>
    <w:p w14:paraId="4227E0BF" w14:textId="77777777" w:rsidR="00F50843" w:rsidRPr="00F50843" w:rsidRDefault="00F50843" w:rsidP="00717AA5">
      <w:pPr>
        <w:numPr>
          <w:ilvl w:val="0"/>
          <w:numId w:val="32"/>
        </w:numPr>
        <w:tabs>
          <w:tab w:val="left" w:pos="567"/>
        </w:tabs>
        <w:snapToGrid w:val="0"/>
        <w:spacing w:after="12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el apoyo a principios de datos comunitarios como FAIR (Fáciles de encontrar, Accesibles, Interoperables y Reutilizables), CARE (beneficio Colectivo, Autoridad para controlar, Responsabilidad y Ética) y TRUST (Transparencia, Responsabilidad, orientación al Usuario, Sostenibilidad y Tecnología) y los protocolos “</w:t>
      </w:r>
      <w:proofErr w:type="spellStart"/>
      <w:r w:rsidRPr="00F50843">
        <w:rPr>
          <w:rFonts w:ascii="Arial" w:eastAsia="Times New Roman" w:hAnsi="Arial" w:cs="Times New Roman"/>
          <w:snapToGrid w:val="0"/>
          <w:szCs w:val="24"/>
          <w:lang w:val="es-ES"/>
        </w:rPr>
        <w:t>Trusted</w:t>
      </w:r>
      <w:proofErr w:type="spellEnd"/>
      <w:r w:rsidRPr="00F50843">
        <w:rPr>
          <w:rFonts w:ascii="Arial" w:eastAsia="Times New Roman" w:hAnsi="Arial" w:cs="Times New Roman"/>
          <w:snapToGrid w:val="0"/>
          <w:szCs w:val="24"/>
          <w:lang w:val="es-ES"/>
        </w:rPr>
        <w:t xml:space="preserve"> </w:t>
      </w:r>
      <w:proofErr w:type="spellStart"/>
      <w:r w:rsidRPr="00F50843">
        <w:rPr>
          <w:rFonts w:ascii="Arial" w:eastAsia="Times New Roman" w:hAnsi="Arial" w:cs="Times New Roman"/>
          <w:snapToGrid w:val="0"/>
          <w:szCs w:val="24"/>
          <w:lang w:val="es-ES"/>
        </w:rPr>
        <w:t>Repository</w:t>
      </w:r>
      <w:proofErr w:type="spellEnd"/>
      <w:r w:rsidRPr="00F50843">
        <w:rPr>
          <w:rFonts w:ascii="Arial" w:eastAsia="Times New Roman" w:hAnsi="Arial" w:cs="Times New Roman"/>
          <w:snapToGrid w:val="0"/>
          <w:szCs w:val="24"/>
          <w:lang w:val="es-ES"/>
        </w:rPr>
        <w:t>”;</w:t>
      </w:r>
    </w:p>
    <w:p w14:paraId="0EE5CD3E" w14:textId="77777777" w:rsidR="00F50843" w:rsidRPr="00F50843" w:rsidRDefault="00F50843" w:rsidP="00717AA5">
      <w:pPr>
        <w:numPr>
          <w:ilvl w:val="0"/>
          <w:numId w:val="32"/>
        </w:numPr>
        <w:tabs>
          <w:tab w:val="left" w:pos="567"/>
        </w:tabs>
        <w:snapToGrid w:val="0"/>
        <w:spacing w:after="12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 xml:space="preserve">la necesidad de realizar evaluaciones marinas y proporcionar de forma rutinaria índices sobre la “salud” del medio marino, como las evaluaciones realizadas en el marco del Proceso Ordinario de las Naciones Unidas (Evaluación Mundial de los Océanos) y la </w:t>
      </w:r>
      <w:r w:rsidRPr="00F50843">
        <w:rPr>
          <w:rFonts w:ascii="Arial" w:eastAsia="Times New Roman" w:hAnsi="Arial" w:cs="Times New Roman"/>
          <w:snapToGrid w:val="0"/>
          <w:szCs w:val="24"/>
          <w:lang w:val="es-ES"/>
        </w:rPr>
        <w:lastRenderedPageBreak/>
        <w:t>Plataforma Intergubernamental Científico-Normativa sobre Diversidad Biológica y Servicios de los Ecosistemas (IPBES);</w:t>
      </w:r>
    </w:p>
    <w:p w14:paraId="20FF6C70" w14:textId="77777777" w:rsidR="00F50843" w:rsidRPr="00F50843" w:rsidRDefault="00F50843" w:rsidP="00717AA5">
      <w:pPr>
        <w:numPr>
          <w:ilvl w:val="0"/>
          <w:numId w:val="32"/>
        </w:numPr>
        <w:tabs>
          <w:tab w:val="left" w:pos="567"/>
        </w:tabs>
        <w:snapToGrid w:val="0"/>
        <w:spacing w:after="240" w:line="240" w:lineRule="auto"/>
        <w:ind w:left="1134" w:hanging="567"/>
        <w:jc w:val="both"/>
        <w:rPr>
          <w:rFonts w:ascii="Arial" w:eastAsia="Times New Roman" w:hAnsi="Arial" w:cs="Times New Roman"/>
          <w:snapToGrid w:val="0"/>
          <w:lang w:val="es-ES_tradnl"/>
        </w:rPr>
      </w:pPr>
      <w:r w:rsidRPr="00F50843">
        <w:rPr>
          <w:rFonts w:ascii="Arial" w:eastAsia="Times New Roman" w:hAnsi="Arial" w:cs="Times New Roman"/>
          <w:snapToGrid w:val="0"/>
          <w:szCs w:val="24"/>
          <w:lang w:val="es-ES"/>
        </w:rPr>
        <w:t>el llamamiento del Convenio sobre la Diversidad Biológica (CDB) a la COI y a su OBIS para que proporcionen datos e información para la identificación de áreas marinas de importancia ecológica o biológica (AIEB) y para que apoyen el marco mundial de la diversidad biológica posterior a 2020 del CDB mediante el GOOS y el OBIS.</w:t>
      </w:r>
    </w:p>
    <w:p w14:paraId="01EFBEE9"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t>El resultado esperado del plan estratégico de la COI para la gestión de datos e información oceanográficos es lograr una mejora significativa de la infraestructura, enfoques comunes en materia de gestión de datos e información oceanográficos que permitan compartir y administrar datos de forma interoperable y una mayor colaboración entre proveedores y usuarios de datos.</w:t>
      </w:r>
    </w:p>
    <w:p w14:paraId="657BA94A"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t xml:space="preserve">El plan estratégico pondrá en marcha un </w:t>
      </w:r>
      <w:r w:rsidRPr="00F50843">
        <w:rPr>
          <w:rFonts w:ascii="Arial" w:eastAsia="Arial" w:hAnsi="Arial" w:cs="Arial"/>
          <w:b/>
          <w:bCs/>
          <w:lang w:val="es-ES" w:eastAsia="en-GB"/>
        </w:rPr>
        <w:t>“ecosistema oceánico digital”</w:t>
      </w:r>
      <w:r w:rsidRPr="00F50843">
        <w:rPr>
          <w:rFonts w:ascii="Arial" w:eastAsia="Arial" w:hAnsi="Arial" w:cs="Arial"/>
          <w:lang w:val="es-ES" w:eastAsia="en-GB"/>
        </w:rPr>
        <w:t xml:space="preserve"> como un proceso dinámico y continuo, que incorporará planteamientos y tecnologías ya establecidos, así como otros que apenas están surgiendo. En estrecha colaboración con el Decenio de las Naciones Unidas de las Ciencias Oceánicas para el Desarrollo Sostenible, su objetivo será representar las dimensiones </w:t>
      </w:r>
      <w:proofErr w:type="spellStart"/>
      <w:r w:rsidRPr="00F50843">
        <w:rPr>
          <w:rFonts w:ascii="Arial" w:eastAsia="Arial" w:hAnsi="Arial" w:cs="Arial"/>
          <w:lang w:val="es-ES" w:eastAsia="en-GB"/>
        </w:rPr>
        <w:t>socioecológicas</w:t>
      </w:r>
      <w:proofErr w:type="spellEnd"/>
      <w:r w:rsidRPr="00F50843">
        <w:rPr>
          <w:rFonts w:ascii="Arial" w:eastAsia="Arial" w:hAnsi="Arial" w:cs="Arial"/>
          <w:lang w:val="es-ES" w:eastAsia="en-GB"/>
        </w:rPr>
        <w:t xml:space="preserve"> del océano a través de medios digitales.</w:t>
      </w:r>
    </w:p>
    <w:p w14:paraId="541A6203" w14:textId="77777777" w:rsidR="00F50843" w:rsidRPr="00F50843"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Arial" w:hAnsi="Arial" w:cs="Arial"/>
          <w:lang w:val="es-ES_tradnl" w:eastAsia="en-GB"/>
        </w:rPr>
      </w:pPr>
      <w:r w:rsidRPr="00F50843">
        <w:rPr>
          <w:rFonts w:ascii="Arial" w:eastAsia="Arial" w:hAnsi="Arial" w:cs="Arial"/>
          <w:lang w:val="es-ES" w:eastAsia="en-GB"/>
        </w:rPr>
        <w:t xml:space="preserve">Si se aprueba, el plan estratégico de la COI para la gestión de datos e información oceanográficos (2023-2029) se publicará en Manuales y Guías de la COI, </w:t>
      </w:r>
      <w:hyperlink r:id="rId16" w:history="1">
        <w:r w:rsidRPr="00F50843">
          <w:rPr>
            <w:rFonts w:ascii="Arial" w:eastAsia="Arial" w:hAnsi="Arial" w:cs="Arial"/>
            <w:color w:val="0000FF"/>
            <w:u w:val="single"/>
            <w:lang w:val="es-ES" w:eastAsia="en-GB"/>
          </w:rPr>
          <w:t>92</w:t>
        </w:r>
      </w:hyperlink>
      <w:r w:rsidRPr="00F50843">
        <w:rPr>
          <w:rFonts w:ascii="Arial" w:eastAsia="Arial" w:hAnsi="Arial" w:cs="Arial"/>
          <w:lang w:val="es-ES" w:eastAsia="en-GB"/>
        </w:rPr>
        <w:t xml:space="preserve">, en sustitución de Manuales y Guías de la COI, </w:t>
      </w:r>
      <w:hyperlink r:id="rId17" w:history="1">
        <w:r w:rsidRPr="00F50843">
          <w:rPr>
            <w:rFonts w:ascii="Arial" w:eastAsia="Arial" w:hAnsi="Arial" w:cs="Arial"/>
            <w:color w:val="0000FF"/>
            <w:u w:val="single"/>
            <w:lang w:val="es-ES" w:eastAsia="en-GB"/>
          </w:rPr>
          <w:t>77</w:t>
        </w:r>
      </w:hyperlink>
      <w:r w:rsidRPr="00F50843">
        <w:rPr>
          <w:rFonts w:ascii="Arial" w:eastAsia="Arial" w:hAnsi="Arial" w:cs="Arial"/>
          <w:lang w:val="es-ES" w:eastAsia="en-GB"/>
        </w:rPr>
        <w:t>.</w:t>
      </w:r>
    </w:p>
    <w:p w14:paraId="132EEDAD" w14:textId="77777777" w:rsidR="00F50843" w:rsidRPr="00F50843" w:rsidRDefault="00F50843" w:rsidP="00717AA5">
      <w:pPr>
        <w:keepNext/>
        <w:tabs>
          <w:tab w:val="left" w:pos="709"/>
        </w:tabs>
        <w:snapToGrid w:val="0"/>
        <w:spacing w:after="240" w:line="240" w:lineRule="auto"/>
        <w:jc w:val="both"/>
        <w:rPr>
          <w:rFonts w:ascii="Arial" w:eastAsia="Arial Unicode MS" w:hAnsi="Arial" w:cs="Times New Roman"/>
          <w:b/>
          <w:bCs/>
          <w:snapToGrid w:val="0"/>
          <w:lang w:val="es-ES"/>
        </w:rPr>
      </w:pPr>
      <w:r w:rsidRPr="00F50843">
        <w:rPr>
          <w:rFonts w:ascii="Arial" w:eastAsia="Arial Unicode MS" w:hAnsi="Arial" w:cs="Times New Roman"/>
          <w:b/>
          <w:bCs/>
          <w:snapToGrid w:val="0"/>
          <w:lang w:val="es-ES"/>
        </w:rPr>
        <w:t>Decisión propuesta</w:t>
      </w:r>
    </w:p>
    <w:p w14:paraId="0CEA5BFB" w14:textId="6869EB23" w:rsidR="007C13AF" w:rsidRPr="00717AA5" w:rsidRDefault="00F50843" w:rsidP="00717AA5">
      <w:pPr>
        <w:pStyle w:val="Prrafodelista"/>
        <w:numPr>
          <w:ilvl w:val="0"/>
          <w:numId w:val="35"/>
        </w:numPr>
        <w:tabs>
          <w:tab w:val="left" w:pos="567"/>
        </w:tabs>
        <w:spacing w:after="240" w:line="240" w:lineRule="auto"/>
        <w:ind w:left="0" w:firstLine="0"/>
        <w:contextualSpacing w:val="0"/>
        <w:jc w:val="both"/>
        <w:rPr>
          <w:rFonts w:ascii="Arial" w:eastAsia="Times New Roman" w:hAnsi="Arial" w:cs="Arial"/>
          <w:snapToGrid w:val="0"/>
          <w:lang w:val="es-ES"/>
        </w:rPr>
      </w:pPr>
      <w:r w:rsidRPr="00717AA5">
        <w:rPr>
          <w:rFonts w:ascii="Arial" w:eastAsia="Times New Roman" w:hAnsi="Arial" w:cs="Times New Roman"/>
          <w:snapToGrid w:val="0"/>
          <w:szCs w:val="24"/>
          <w:lang w:val="es-ES"/>
        </w:rPr>
        <w:t>A la luz de lo anterior, la Asamblea de la COI podría examinar la decisión IOC-32/3.4.2 (Parte II) propuesta en el documento de decisión (IOC-32/2 Prov.).</w:t>
      </w:r>
    </w:p>
    <w:sectPr w:rsidR="007C13AF" w:rsidRPr="00717AA5" w:rsidSect="009A7585">
      <w:headerReference w:type="default" r:id="rId18"/>
      <w:headerReference w:type="first" r:id="rId19"/>
      <w:pgSz w:w="11906" w:h="16838" w:code="9"/>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A68D" w14:textId="77777777" w:rsidR="00F50843" w:rsidRDefault="00F50843">
      <w:pPr>
        <w:spacing w:after="0" w:line="240" w:lineRule="auto"/>
      </w:pPr>
      <w:r>
        <w:separator/>
      </w:r>
    </w:p>
  </w:endnote>
  <w:endnote w:type="continuationSeparator" w:id="0">
    <w:p w14:paraId="37D935C3" w14:textId="77777777" w:rsidR="00F50843" w:rsidRDefault="00F5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644F" w14:textId="77777777" w:rsidR="00F50843" w:rsidRDefault="00F50843">
      <w:pPr>
        <w:spacing w:after="0" w:line="240" w:lineRule="auto"/>
      </w:pPr>
      <w:r>
        <w:separator/>
      </w:r>
    </w:p>
  </w:footnote>
  <w:footnote w:type="continuationSeparator" w:id="0">
    <w:p w14:paraId="5EB312C9" w14:textId="77777777" w:rsidR="00F50843" w:rsidRDefault="00F5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7374" w14:textId="4D80051D" w:rsidR="002178D7" w:rsidRPr="009A7585" w:rsidRDefault="00D45CC1" w:rsidP="00D45CC1">
    <w:pPr>
      <w:pStyle w:val="Encabezado"/>
      <w:rPr>
        <w:rFonts w:asciiTheme="minorBidi" w:hAnsiTheme="minorBidi"/>
      </w:rPr>
    </w:pPr>
    <w:r w:rsidRPr="00D45CC1">
      <w:rPr>
        <w:rFonts w:asciiTheme="minorBidi" w:hAnsiTheme="minorBidi"/>
        <w:lang w:val="es-ES"/>
      </w:rPr>
      <w:t>IOC/A-32/</w:t>
    </w:r>
    <w:sdt>
      <w:sdtPr>
        <w:rPr>
          <w:rFonts w:asciiTheme="minorBidi" w:hAnsiTheme="minorBidi"/>
          <w:lang w:val="es-ES"/>
        </w:rPr>
        <w:alias w:val="SIGNATURA"/>
        <w:tag w:val=""/>
        <w:id w:val="452221709"/>
        <w:dataBinding w:prefixMappings="xmlns:ns0='http://purl.org/dc/elements/1.1/' xmlns:ns1='http://schemas.openxmlformats.org/package/2006/metadata/core-properties' " w:xpath="/ns1:coreProperties[1]/ns1:keywords[1]" w:storeItemID="{6C3C8BC8-F283-45AE-878A-BAB7291924A1}"/>
        <w15:color w:val="FF0000"/>
        <w:text/>
      </w:sdtPr>
      <w:sdtContent>
        <w:r w:rsidRPr="00D45CC1">
          <w:rPr>
            <w:rFonts w:asciiTheme="minorBidi" w:hAnsiTheme="minorBidi"/>
            <w:lang w:val="es-ES"/>
          </w:rPr>
          <w:t>3.4.2.Doc(1)</w:t>
        </w:r>
      </w:sdtContent>
    </w:sdt>
    <w:r w:rsidRPr="00D45CC1">
      <w:rPr>
        <w:rFonts w:asciiTheme="minorBidi" w:hAnsiTheme="minorBidi"/>
        <w:lang w:val="es-ES"/>
      </w:rPr>
      <w:t xml:space="preserve"> </w:t>
    </w:r>
    <w:r w:rsidR="007C361D" w:rsidRPr="009A7585">
      <w:rPr>
        <w:rFonts w:asciiTheme="minorBidi" w:hAnsiTheme="minorBidi"/>
        <w:lang w:val="es-ES"/>
      </w:rPr>
      <w:t>–</w:t>
    </w:r>
    <w:r w:rsidR="002178D7" w:rsidRPr="009A7585">
      <w:rPr>
        <w:rFonts w:asciiTheme="minorBidi" w:hAnsiTheme="minorBidi"/>
        <w:lang w:val="es-ES"/>
      </w:rPr>
      <w:t xml:space="preserve"> pág. </w:t>
    </w:r>
    <w:r w:rsidR="002178D7" w:rsidRPr="009A7585">
      <w:rPr>
        <w:rFonts w:asciiTheme="minorBidi" w:hAnsiTheme="minorBidi"/>
        <w:lang w:val="es-ES"/>
      </w:rPr>
      <w:fldChar w:fldCharType="begin"/>
    </w:r>
    <w:r w:rsidR="002178D7" w:rsidRPr="009A7585">
      <w:rPr>
        <w:rFonts w:asciiTheme="minorBidi" w:hAnsiTheme="minorBidi"/>
        <w:lang w:val="es-ES"/>
      </w:rPr>
      <w:instrText>PAGE   \* MERGEFORMAT</w:instrText>
    </w:r>
    <w:r w:rsidR="002178D7" w:rsidRPr="009A7585">
      <w:rPr>
        <w:rFonts w:asciiTheme="minorBidi" w:hAnsiTheme="minorBidi"/>
        <w:lang w:val="es-ES"/>
      </w:rPr>
      <w:fldChar w:fldCharType="separate"/>
    </w:r>
    <w:r w:rsidR="002178D7" w:rsidRPr="009A7585">
      <w:rPr>
        <w:rFonts w:asciiTheme="minorBidi" w:hAnsiTheme="minorBidi"/>
        <w:lang w:val="es-ES"/>
      </w:rPr>
      <w:t>3</w:t>
    </w:r>
    <w:r w:rsidR="002178D7" w:rsidRPr="009A7585">
      <w:rPr>
        <w:rFonts w:asciiTheme="minorBidi" w:hAnsiTheme="minorBidi"/>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F006" w14:textId="628B206B" w:rsidR="00FD3C60" w:rsidRPr="006B4B9F" w:rsidRDefault="009A7585" w:rsidP="009A7585">
    <w:pPr>
      <w:pStyle w:val="Encabezado"/>
      <w:jc w:val="right"/>
      <w:rPr>
        <w:rFonts w:asciiTheme="minorBidi" w:hAnsiTheme="minorBidi"/>
      </w:rPr>
    </w:pPr>
    <w:r w:rsidRPr="009A7585">
      <w:rPr>
        <w:rFonts w:asciiTheme="minorBidi" w:hAnsiTheme="minorBidi"/>
        <w:lang w:val="en-US"/>
      </w:rPr>
      <w:t>GHE/23/1.IC</w:t>
    </w:r>
    <w:r w:rsidR="002178D7" w:rsidRPr="006B4B9F">
      <w:rPr>
        <w:rFonts w:asciiTheme="minorBidi" w:hAnsiTheme="minorBidi"/>
        <w:lang w:val="es-ES"/>
      </w:rPr>
      <w:t>/</w:t>
    </w:r>
    <w:sdt>
      <w:sdtPr>
        <w:rPr>
          <w:rFonts w:asciiTheme="minorBidi" w:hAnsiTheme="minorBidi"/>
          <w:lang w:val="es-ES"/>
        </w:rPr>
        <w:alias w:val="SIGNATURA"/>
        <w:tag w:val=""/>
        <w:id w:val="-888341863"/>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00F50843">
          <w:rPr>
            <w:rFonts w:asciiTheme="minorBidi" w:hAnsiTheme="minorBidi"/>
            <w:lang w:val="es-ES"/>
          </w:rPr>
          <w:t>3.4.2.Doc(1)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A5C3" w14:textId="4C6E9F1B" w:rsidR="009A7585" w:rsidRDefault="00EA1C02" w:rsidP="005472B2">
    <w:pPr>
      <w:pStyle w:val="Encabezado"/>
      <w:tabs>
        <w:tab w:val="clear" w:pos="4536"/>
        <w:tab w:val="clear" w:pos="9072"/>
      </w:tabs>
      <w:spacing w:after="520"/>
      <w:ind w:left="5954"/>
      <w:rPr>
        <w:rFonts w:ascii="Arial" w:eastAsia="SimSun" w:hAnsi="Arial" w:cs="Arial"/>
        <w:snapToGrid w:val="0"/>
        <w:lang w:val="es-ES_tradnl" w:eastAsia="zh-CN"/>
      </w:rPr>
    </w:pPr>
    <w:r>
      <w:rPr>
        <w:rFonts w:cs="Arial"/>
        <w:b/>
        <w:noProof/>
        <w:lang w:eastAsia="fr-FR"/>
      </w:rPr>
      <mc:AlternateContent>
        <mc:Choice Requires="wps">
          <w:drawing>
            <wp:anchor distT="0" distB="0" distL="114300" distR="114300" simplePos="0" relativeHeight="251660288" behindDoc="0" locked="0" layoutInCell="1" allowOverlap="1" wp14:anchorId="3BDA7912" wp14:editId="476371DE">
              <wp:simplePos x="0" y="0"/>
              <wp:positionH relativeFrom="column">
                <wp:posOffset>-4098</wp:posOffset>
              </wp:positionH>
              <wp:positionV relativeFrom="paragraph">
                <wp:posOffset>-22800</wp:posOffset>
              </wp:positionV>
              <wp:extent cx="1578610" cy="284672"/>
              <wp:effectExtent l="0" t="0" r="21590" b="20320"/>
              <wp:wrapNone/>
              <wp:docPr id="2" name="Text Box 2"/>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solidFill>
                          <a:prstClr val="black"/>
                        </a:solidFill>
                      </a:ln>
                    </wps:spPr>
                    <wps:txbx>
                      <w:txbxContent>
                        <w:p w14:paraId="7C70B085" w14:textId="77777777" w:rsidR="00EA1C02" w:rsidRPr="00EA1C02" w:rsidRDefault="00EA1C02">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DA7912" id="_x0000_t202" coordsize="21600,21600" o:spt="202" path="m,l,21600r21600,l21600,xe">
              <v:stroke joinstyle="miter"/>
              <v:path gradientshapeok="t" o:connecttype="rect"/>
            </v:shapetype>
            <v:shape id="Text Box 2" o:spid="_x0000_s1026" type="#_x0000_t202" style="position:absolute;left:0;text-align:left;margin-left:-.3pt;margin-top:-1.8pt;width:124.3pt;height:2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INwIAAHw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" fillcolor="white [3201]" strokeweight=".5pt">
              <v:textbox>
                <w:txbxContent>
                  <w:p w14:paraId="7C70B085" w14:textId="77777777" w:rsidR="00EA1C02" w:rsidRPr="00EA1C02" w:rsidRDefault="00EA1C02">
                    <w:pPr>
                      <w:rPr>
                        <w:lang w:val="es-ES"/>
                      </w:rPr>
                    </w:pPr>
                    <w:r w:rsidRPr="00EA1C02">
                      <w:rPr>
                        <w:rFonts w:ascii="Arial" w:hAnsi="Arial" w:cs="Arial"/>
                        <w:lang w:val="es-ES"/>
                      </w:rPr>
                      <w:t>Distribución limitada</w:t>
                    </w:r>
                  </w:p>
                </w:txbxContent>
              </v:textbox>
            </v:shape>
          </w:pict>
        </mc:Fallback>
      </mc:AlternateContent>
    </w:r>
    <w:r>
      <w:rPr>
        <w:rFonts w:cs="Arial"/>
        <w:b/>
        <w:noProof/>
        <w:lang w:eastAsia="fr-FR"/>
      </w:rPr>
      <w:drawing>
        <wp:anchor distT="0" distB="0" distL="114300" distR="114300" simplePos="0" relativeHeight="251659264" behindDoc="0" locked="0" layoutInCell="1" allowOverlap="1" wp14:anchorId="4D1432AE" wp14:editId="1AE91FAB">
          <wp:simplePos x="0" y="0"/>
          <wp:positionH relativeFrom="column">
            <wp:posOffset>-4445</wp:posOffset>
          </wp:positionH>
          <wp:positionV relativeFrom="page">
            <wp:posOffset>802005</wp:posOffset>
          </wp:positionV>
          <wp:extent cx="1578610" cy="1047115"/>
          <wp:effectExtent l="0" t="0" r="2540" b="635"/>
          <wp:wrapNone/>
          <wp:docPr id="3" name="Imagen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334B9F">
      <w:rPr>
        <w:rFonts w:ascii="Arial" w:hAnsi="Arial" w:cs="Arial"/>
        <w:b/>
        <w:bCs/>
        <w:sz w:val="36"/>
        <w:szCs w:val="36"/>
        <w:lang w:val="es-ES"/>
      </w:rPr>
      <w:t>IOC</w:t>
    </w:r>
    <w:r w:rsidR="005472B2">
      <w:rPr>
        <w:rFonts w:ascii="Arial" w:hAnsi="Arial" w:cs="Arial"/>
        <w:b/>
        <w:bCs/>
        <w:sz w:val="36"/>
        <w:szCs w:val="36"/>
        <w:lang w:val="es-ES"/>
      </w:rPr>
      <w:t>/A-</w:t>
    </w:r>
    <w:r w:rsidRPr="00334B9F">
      <w:rPr>
        <w:rFonts w:ascii="Arial" w:hAnsi="Arial" w:cs="Arial"/>
        <w:b/>
        <w:bCs/>
        <w:sz w:val="36"/>
        <w:szCs w:val="36"/>
        <w:lang w:val="es-ES"/>
      </w:rPr>
      <w:t>32</w:t>
    </w:r>
    <w:r w:rsidR="009A7585" w:rsidRPr="00EA1C02">
      <w:rPr>
        <w:rFonts w:ascii="Arial" w:hAnsi="Arial" w:cs="Arial"/>
        <w:b/>
        <w:bCs/>
        <w:sz w:val="36"/>
        <w:szCs w:val="36"/>
        <w:lang w:val="es-ES"/>
      </w:rPr>
      <w:t>/</w:t>
    </w:r>
    <w:sdt>
      <w:sdtPr>
        <w:rPr>
          <w:rFonts w:ascii="Arial" w:hAnsi="Arial" w:cs="Arial"/>
          <w:b/>
          <w:bCs/>
          <w:sz w:val="36"/>
          <w:szCs w:val="36"/>
          <w:lang w:val="es-ES"/>
        </w:rPr>
        <w:alias w:val="SIGNATURA"/>
        <w:tag w:val=""/>
        <w:id w:val="917984299"/>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F50843" w:rsidRPr="00F50843">
          <w:rPr>
            <w:rFonts w:ascii="Arial" w:hAnsi="Arial" w:cs="Arial"/>
            <w:b/>
            <w:bCs/>
            <w:sz w:val="36"/>
            <w:szCs w:val="36"/>
            <w:lang w:val="es-ES"/>
          </w:rPr>
          <w:t>3.4.2.Doc(1)</w:t>
        </w:r>
      </w:sdtContent>
    </w:sdt>
    <w:r w:rsidR="009A7585" w:rsidRPr="00EA1C02">
      <w:rPr>
        <w:rFonts w:asciiTheme="minorBidi" w:hAnsiTheme="minorBidi"/>
        <w:b/>
        <w:bCs/>
        <w:sz w:val="36"/>
        <w:szCs w:val="36"/>
        <w:lang w:val="es-ES"/>
      </w:rPr>
      <w:br/>
    </w:r>
    <w:r w:rsidR="009A7585" w:rsidRPr="00EA1C02">
      <w:rPr>
        <w:rFonts w:ascii="Arial" w:hAnsi="Arial" w:cs="Arial"/>
        <w:lang w:val="es-ES"/>
      </w:rPr>
      <w:t>París,</w:t>
    </w:r>
    <w:r w:rsidR="009A7585" w:rsidRPr="00EA1C02">
      <w:rPr>
        <w:rFonts w:ascii="Arial" w:eastAsia="Times New Roman" w:hAnsi="Arial" w:cs="Arial"/>
        <w:snapToGrid w:val="0"/>
        <w:lang w:val="es-ES_tradnl"/>
      </w:rPr>
      <w:t xml:space="preserve"> </w:t>
    </w:r>
    <w:r w:rsidR="00A9751D">
      <w:rPr>
        <w:rFonts w:ascii="Arial" w:eastAsia="Times New Roman" w:hAnsi="Arial" w:cs="Arial"/>
        <w:snapToGrid w:val="0"/>
        <w:lang w:val="es-ES"/>
      </w:rPr>
      <w:t>17</w:t>
    </w:r>
    <w:r w:rsidR="00F50843">
      <w:rPr>
        <w:rFonts w:ascii="Arial" w:eastAsia="Times New Roman" w:hAnsi="Arial" w:cs="Arial"/>
        <w:snapToGrid w:val="0"/>
        <w:lang w:val="es-ES"/>
      </w:rPr>
      <w:t xml:space="preserve"> de </w:t>
    </w:r>
    <w:r w:rsidR="00A9751D">
      <w:rPr>
        <w:rFonts w:ascii="Arial" w:eastAsia="Times New Roman" w:hAnsi="Arial" w:cs="Arial"/>
        <w:snapToGrid w:val="0"/>
        <w:lang w:val="es-ES"/>
      </w:rPr>
      <w:t>abril</w:t>
    </w:r>
    <w:r w:rsidR="00F50843">
      <w:rPr>
        <w:rFonts w:ascii="Arial" w:eastAsia="Times New Roman" w:hAnsi="Arial" w:cs="Arial"/>
        <w:snapToGrid w:val="0"/>
        <w:lang w:val="es-ES"/>
      </w:rPr>
      <w:t xml:space="preserve"> de 2023</w:t>
    </w:r>
    <w:r w:rsidR="009A7585" w:rsidRPr="00EA1C02">
      <w:rPr>
        <w:rFonts w:ascii="Arial" w:eastAsia="Times New Roman" w:hAnsi="Arial" w:cs="Arial"/>
        <w:lang w:val="es-ES_tradnl"/>
      </w:rPr>
      <w:br/>
    </w:r>
    <w:r w:rsidR="009A7585" w:rsidRPr="00EA1C02">
      <w:rPr>
        <w:rFonts w:ascii="Arial" w:eastAsia="SimSun" w:hAnsi="Arial" w:cs="Arial"/>
        <w:snapToGrid w:val="0"/>
        <w:lang w:val="es-ES_tradnl" w:eastAsia="zh-CN"/>
      </w:rPr>
      <w:t xml:space="preserve">Original: </w:t>
    </w:r>
    <w:sdt>
      <w:sdtPr>
        <w:rPr>
          <w:rFonts w:ascii="Arial" w:eastAsia="SimSun" w:hAnsi="Arial" w:cs="Arial"/>
          <w:snapToGrid w:val="0"/>
          <w:lang w:val="es-ES_tradnl" w:eastAsia="zh-CN"/>
        </w:rPr>
        <w:alias w:val="idioma"/>
        <w:tag w:val="idioma"/>
        <w:id w:val="-1194146129"/>
        <w:temporary/>
        <w15:color w:val="FF0000"/>
        <w:dropDownList>
          <w:listItem w:value="Choose an item."/>
          <w:listItem w:displayText="inglés" w:value="inglés"/>
          <w:listItem w:displayText="francés" w:value="francés"/>
          <w:listItem w:displayText="francés e inglés" w:value="francés e inglés"/>
        </w:dropDownList>
      </w:sdtPr>
      <w:sdtEndPr/>
      <w:sdtContent>
        <w:r w:rsidR="009A7585" w:rsidRPr="00EA1C02">
          <w:rPr>
            <w:rFonts w:ascii="Arial" w:eastAsia="SimSun" w:hAnsi="Arial" w:cs="Arial"/>
            <w:snapToGrid w:val="0"/>
            <w:lang w:val="es-ES_tradnl" w:eastAsia="zh-CN"/>
          </w:rPr>
          <w:t>inglés</w:t>
        </w:r>
      </w:sdtContent>
    </w:sdt>
  </w:p>
  <w:p w14:paraId="5F32F4EB" w14:textId="77777777" w:rsidR="00EA1C02" w:rsidRPr="00334B9F" w:rsidRDefault="00334B9F" w:rsidP="00334B9F">
    <w:pPr>
      <w:tabs>
        <w:tab w:val="left" w:pos="-1440"/>
        <w:tab w:val="left" w:pos="-720"/>
      </w:tabs>
      <w:spacing w:before="1560" w:after="0" w:line="240" w:lineRule="auto"/>
      <w:jc w:val="center"/>
      <w:rPr>
        <w:rFonts w:ascii="Arial" w:hAnsi="Arial" w:cs="Arial"/>
        <w:b/>
        <w:lang w:val="es-ES"/>
      </w:rPr>
    </w:pPr>
    <w:r w:rsidRPr="00334B9F">
      <w:rPr>
        <w:rFonts w:ascii="Arial" w:hAnsi="Arial" w:cs="Arial"/>
        <w:b/>
        <w:bCs/>
        <w:lang w:val="es-ES"/>
      </w:rPr>
      <w:t>COMISIÓN OCEANOGRÁFICA INTERGUBERNAMENTAL</w:t>
    </w:r>
  </w:p>
  <w:p w14:paraId="40EAB55C" w14:textId="77777777" w:rsidR="00EA1C02" w:rsidRPr="00334B9F" w:rsidRDefault="00EA1C02" w:rsidP="00334B9F">
    <w:pPr>
      <w:tabs>
        <w:tab w:val="left" w:pos="-1440"/>
        <w:tab w:val="left" w:pos="-720"/>
      </w:tabs>
      <w:spacing w:after="0" w:line="240" w:lineRule="auto"/>
      <w:jc w:val="center"/>
      <w:rPr>
        <w:rFonts w:ascii="Arial" w:hAnsi="Arial" w:cs="Arial"/>
        <w:bCs/>
        <w:lang w:val="es-ES"/>
      </w:rPr>
    </w:pPr>
    <w:r w:rsidRPr="00334B9F">
      <w:rPr>
        <w:rFonts w:ascii="Arial" w:hAnsi="Arial" w:cs="Arial"/>
        <w:bCs/>
        <w:lang w:val="es-ES"/>
      </w:rPr>
      <w:t>(</w:t>
    </w:r>
    <w:r w:rsidR="00334B9F" w:rsidRPr="00334B9F">
      <w:rPr>
        <w:rFonts w:ascii="Arial" w:hAnsi="Arial" w:cs="Arial"/>
        <w:bCs/>
        <w:lang w:val="es-ES"/>
      </w:rPr>
      <w:t>de la UNESCO</w:t>
    </w:r>
    <w:r w:rsidRPr="00334B9F">
      <w:rPr>
        <w:rFonts w:ascii="Arial" w:hAnsi="Arial" w:cs="Arial"/>
        <w:bCs/>
        <w:lang w:val="es-ES"/>
      </w:rPr>
      <w:t>)</w:t>
    </w:r>
  </w:p>
  <w:p w14:paraId="073C6A09" w14:textId="42C43872" w:rsidR="00334B9F" w:rsidRPr="00334B9F" w:rsidRDefault="00334B9F" w:rsidP="00334B9F">
    <w:pPr>
      <w:tabs>
        <w:tab w:val="left" w:pos="-1440"/>
        <w:tab w:val="left" w:pos="-720"/>
        <w:tab w:val="center" w:pos="4677"/>
      </w:tabs>
      <w:spacing w:before="240" w:after="600" w:line="240" w:lineRule="auto"/>
      <w:jc w:val="center"/>
      <w:rPr>
        <w:rFonts w:ascii="Arial" w:hAnsi="Arial" w:cs="Arial"/>
        <w:bCs/>
        <w:lang w:val="es-ES_tradnl"/>
      </w:rPr>
    </w:pPr>
    <w:r w:rsidRPr="00334B9F">
      <w:rPr>
        <w:rFonts w:ascii="Arial" w:hAnsi="Arial" w:cs="Arial"/>
        <w:b/>
        <w:bCs/>
        <w:lang w:val="es-ES"/>
      </w:rPr>
      <w:t>32ª reunión de la Asamblea</w:t>
    </w:r>
    <w:r w:rsidR="00EA1C02" w:rsidRPr="00334B9F">
      <w:rPr>
        <w:rFonts w:ascii="Arial" w:hAnsi="Arial" w:cs="Arial"/>
        <w:bCs/>
        <w:lang w:val="es-ES"/>
      </w:rPr>
      <w:br/>
      <w:t xml:space="preserve">UNESCO, </w:t>
    </w:r>
    <w:r w:rsidRPr="00334B9F">
      <w:rPr>
        <w:rFonts w:ascii="Arial" w:hAnsi="Arial" w:cs="Arial"/>
        <w:bCs/>
        <w:lang w:val="es-ES"/>
      </w:rPr>
      <w:t>2</w:t>
    </w:r>
    <w:r w:rsidR="00A9751D">
      <w:rPr>
        <w:rFonts w:ascii="Arial" w:hAnsi="Arial" w:cs="Arial"/>
        <w:bCs/>
        <w:lang w:val="es-ES"/>
      </w:rPr>
      <w:t>0</w:t>
    </w:r>
    <w:r w:rsidRPr="00334B9F">
      <w:rPr>
        <w:rFonts w:ascii="Arial" w:hAnsi="Arial" w:cs="Arial"/>
        <w:bCs/>
        <w:lang w:val="es-ES"/>
      </w:rPr>
      <w:t>-30 de junio de 2023</w:t>
    </w:r>
  </w:p>
  <w:p w14:paraId="33BC860E" w14:textId="77777777" w:rsidR="00EA1C02" w:rsidRPr="00334B9F" w:rsidRDefault="00EA1C02" w:rsidP="00334B9F">
    <w:pPr>
      <w:tabs>
        <w:tab w:val="left" w:pos="-1440"/>
        <w:tab w:val="left" w:pos="-720"/>
        <w:tab w:val="center" w:pos="4677"/>
      </w:tabs>
      <w:spacing w:before="240" w:after="600" w:line="240" w:lineRule="auto"/>
      <w:jc w:val="center"/>
      <w:rPr>
        <w:rFonts w:ascii="Arial" w:hAnsi="Arial" w:cs="Arial"/>
        <w:b/>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A885" w14:textId="62699385" w:rsidR="009A7585" w:rsidRPr="00717AA5" w:rsidRDefault="00D45CC1" w:rsidP="00D45CC1">
    <w:pPr>
      <w:pStyle w:val="Encabezado"/>
      <w:jc w:val="right"/>
      <w:rPr>
        <w:rFonts w:asciiTheme="minorBidi" w:hAnsiTheme="minorBidi"/>
      </w:rPr>
    </w:pPr>
    <w:r w:rsidRPr="00D45CC1">
      <w:rPr>
        <w:rFonts w:asciiTheme="minorBidi" w:hAnsiTheme="minorBidi"/>
        <w:lang w:val="es-ES"/>
      </w:rPr>
      <w:t>IOC/A-32/</w:t>
    </w:r>
    <w:sdt>
      <w:sdtPr>
        <w:rPr>
          <w:rFonts w:asciiTheme="minorBidi" w:hAnsiTheme="minorBidi"/>
          <w:lang w:val="es-ES"/>
        </w:rPr>
        <w:alias w:val="SIGNATURA"/>
        <w:tag w:val=""/>
        <w:id w:val="-1943683139"/>
        <w:dataBinding w:prefixMappings="xmlns:ns0='http://purl.org/dc/elements/1.1/' xmlns:ns1='http://schemas.openxmlformats.org/package/2006/metadata/core-properties' " w:xpath="/ns1:coreProperties[1]/ns1:keywords[1]" w:storeItemID="{6C3C8BC8-F283-45AE-878A-BAB7291924A1}"/>
        <w15:color w:val="FF0000"/>
        <w:text/>
      </w:sdtPr>
      <w:sdtContent>
        <w:r w:rsidRPr="00D45CC1">
          <w:rPr>
            <w:rFonts w:asciiTheme="minorBidi" w:hAnsiTheme="minorBidi"/>
            <w:lang w:val="es-ES"/>
          </w:rPr>
          <w:t>3.4.2.Doc(1)</w:t>
        </w:r>
      </w:sdtContent>
    </w:sdt>
    <w:r w:rsidRPr="00D45CC1">
      <w:rPr>
        <w:rFonts w:asciiTheme="minorBidi" w:hAnsiTheme="minorBidi"/>
        <w:lang w:val="es-ES"/>
      </w:rPr>
      <w:t xml:space="preserve"> </w:t>
    </w:r>
    <w:r w:rsidR="009A7585" w:rsidRPr="00717AA5">
      <w:rPr>
        <w:rFonts w:asciiTheme="minorBidi" w:hAnsiTheme="minorBidi"/>
        <w:lang w:val="es-ES"/>
      </w:rPr>
      <w:t xml:space="preserve">– pág. </w:t>
    </w:r>
    <w:r w:rsidR="009A7585" w:rsidRPr="00717AA5">
      <w:rPr>
        <w:rFonts w:asciiTheme="minorBidi" w:hAnsiTheme="minorBidi"/>
        <w:lang w:val="es-ES"/>
      </w:rPr>
      <w:fldChar w:fldCharType="begin"/>
    </w:r>
    <w:r w:rsidR="009A7585" w:rsidRPr="00717AA5">
      <w:rPr>
        <w:rFonts w:asciiTheme="minorBidi" w:hAnsiTheme="minorBidi"/>
        <w:lang w:val="es-ES"/>
      </w:rPr>
      <w:instrText>PAGE   \* MERGEFORMAT</w:instrText>
    </w:r>
    <w:r w:rsidR="009A7585" w:rsidRPr="00717AA5">
      <w:rPr>
        <w:rFonts w:asciiTheme="minorBidi" w:hAnsiTheme="minorBidi"/>
        <w:lang w:val="es-ES"/>
      </w:rPr>
      <w:fldChar w:fldCharType="separate"/>
    </w:r>
    <w:r w:rsidR="009A7585" w:rsidRPr="00717AA5">
      <w:rPr>
        <w:rFonts w:asciiTheme="minorBidi" w:hAnsiTheme="minorBidi"/>
        <w:lang w:val="es-ES"/>
      </w:rPr>
      <w:t>2</w:t>
    </w:r>
    <w:r w:rsidR="009A7585" w:rsidRPr="00717AA5">
      <w:rPr>
        <w:rFonts w:asciiTheme="minorBidi" w:hAnsiTheme="minorBidi"/>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1AD4" w14:textId="4CB225FA" w:rsidR="009A7585" w:rsidRPr="00D45CC1" w:rsidRDefault="00D45CC1" w:rsidP="00D45CC1">
    <w:pPr>
      <w:pStyle w:val="Encabezado"/>
      <w:rPr>
        <w:rFonts w:asciiTheme="minorBidi" w:hAnsiTheme="minorBidi"/>
      </w:rPr>
    </w:pPr>
    <w:r w:rsidRPr="00D45CC1">
      <w:rPr>
        <w:rFonts w:asciiTheme="minorBidi" w:hAnsiTheme="minorBidi"/>
        <w:lang w:val="es-ES"/>
      </w:rPr>
      <w:t>IOC/A-32/</w:t>
    </w:r>
    <w:sdt>
      <w:sdtPr>
        <w:rPr>
          <w:rFonts w:asciiTheme="minorBidi" w:hAnsiTheme="minorBidi"/>
          <w:lang w:val="es-ES"/>
        </w:rPr>
        <w:alias w:val="SIGNATURA"/>
        <w:tag w:val=""/>
        <w:id w:val="-2083514444"/>
        <w:dataBinding w:prefixMappings="xmlns:ns0='http://purl.org/dc/elements/1.1/' xmlns:ns1='http://schemas.openxmlformats.org/package/2006/metadata/core-properties' " w:xpath="/ns1:coreProperties[1]/ns1:keywords[1]" w:storeItemID="{6C3C8BC8-F283-45AE-878A-BAB7291924A1}"/>
        <w15:color w:val="FF0000"/>
        <w:text/>
      </w:sdtPr>
      <w:sdtContent>
        <w:r w:rsidRPr="00D45CC1">
          <w:rPr>
            <w:rFonts w:asciiTheme="minorBidi" w:hAnsiTheme="minorBidi"/>
            <w:lang w:val="es-ES"/>
          </w:rPr>
          <w:t>3.4.2.Doc(1)</w:t>
        </w:r>
      </w:sdtContent>
    </w:sdt>
    <w:r w:rsidR="009A7585" w:rsidRPr="00D45CC1">
      <w:rPr>
        <w:rFonts w:asciiTheme="minorBidi" w:hAnsiTheme="minorBidi"/>
        <w:lang w:val="es-ES"/>
      </w:rPr>
      <w:t xml:space="preserve"> – pág. </w:t>
    </w:r>
    <w:r w:rsidR="009A7585" w:rsidRPr="00D45CC1">
      <w:rPr>
        <w:rFonts w:asciiTheme="minorBidi" w:hAnsiTheme="minorBidi"/>
        <w:lang w:val="es-ES"/>
      </w:rPr>
      <w:fldChar w:fldCharType="begin"/>
    </w:r>
    <w:r w:rsidR="009A7585" w:rsidRPr="00D45CC1">
      <w:rPr>
        <w:rFonts w:asciiTheme="minorBidi" w:hAnsiTheme="minorBidi"/>
        <w:lang w:val="es-ES"/>
      </w:rPr>
      <w:instrText>PAGE   \* MERGEFORMAT</w:instrText>
    </w:r>
    <w:r w:rsidR="009A7585" w:rsidRPr="00D45CC1">
      <w:rPr>
        <w:rFonts w:asciiTheme="minorBidi" w:hAnsiTheme="minorBidi"/>
        <w:lang w:val="es-ES"/>
      </w:rPr>
      <w:fldChar w:fldCharType="separate"/>
    </w:r>
    <w:r w:rsidR="009A7585" w:rsidRPr="00D45CC1">
      <w:rPr>
        <w:rFonts w:asciiTheme="minorBidi" w:hAnsiTheme="minorBidi"/>
        <w:lang w:val="es-ES"/>
      </w:rPr>
      <w:t>3</w:t>
    </w:r>
    <w:r w:rsidR="009A7585" w:rsidRPr="00D45CC1">
      <w:rPr>
        <w:rFonts w:asciiTheme="minorBidi" w:hAnsiTheme="minorBidi"/>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00"/>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077E"/>
    <w:multiLevelType w:val="hybridMultilevel"/>
    <w:tmpl w:val="1EA296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B1693F"/>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37869"/>
    <w:multiLevelType w:val="hybridMultilevel"/>
    <w:tmpl w:val="DDA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4F4B"/>
    <w:multiLevelType w:val="hybridMultilevel"/>
    <w:tmpl w:val="745A2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B3112D7"/>
    <w:multiLevelType w:val="multilevel"/>
    <w:tmpl w:val="4EF80814"/>
    <w:lvl w:ilvl="0">
      <w:start w:val="1"/>
      <w:numFmt w:val="decimal"/>
      <w:lvlText w:val="%1."/>
      <w:lvlJc w:val="left"/>
      <w:pPr>
        <w:ind w:left="930" w:hanging="570"/>
      </w:pPr>
      <w:rPr>
        <w:rFonts w:hint="default"/>
        <w:color w:val="auto"/>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BEF147E"/>
    <w:multiLevelType w:val="hybridMultilevel"/>
    <w:tmpl w:val="6AEEB90C"/>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AA652E"/>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B7C8B"/>
    <w:multiLevelType w:val="multilevel"/>
    <w:tmpl w:val="4E963232"/>
    <w:lvl w:ilvl="0">
      <w:start w:val="2"/>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C47C79"/>
    <w:multiLevelType w:val="hybridMultilevel"/>
    <w:tmpl w:val="E428502A"/>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12A32"/>
    <w:multiLevelType w:val="hybridMultilevel"/>
    <w:tmpl w:val="0F5A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D30F29"/>
    <w:multiLevelType w:val="multilevel"/>
    <w:tmpl w:val="800A875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2E08D7"/>
    <w:multiLevelType w:val="multilevel"/>
    <w:tmpl w:val="B9F2133A"/>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A1190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4B3376"/>
    <w:multiLevelType w:val="hybridMultilevel"/>
    <w:tmpl w:val="CE66D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182BBC"/>
    <w:multiLevelType w:val="multilevel"/>
    <w:tmpl w:val="2B584442"/>
    <w:lvl w:ilvl="0">
      <w:start w:val="3"/>
      <w:numFmt w:val="decimal"/>
      <w:lvlText w:val="%1"/>
      <w:lvlJc w:val="left"/>
      <w:pPr>
        <w:ind w:left="420" w:hanging="420"/>
      </w:pPr>
      <w:rPr>
        <w:rFonts w:eastAsia="Times New Roman" w:hint="default"/>
      </w:rPr>
    </w:lvl>
    <w:lvl w:ilvl="1">
      <w:start w:val="3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8CD465B"/>
    <w:multiLevelType w:val="hybridMultilevel"/>
    <w:tmpl w:val="C73CD57A"/>
    <w:lvl w:ilvl="0" w:tplc="040C0001">
      <w:start w:val="1"/>
      <w:numFmt w:val="bullet"/>
      <w:lvlText w:val=""/>
      <w:lvlJc w:val="left"/>
      <w:pPr>
        <w:ind w:left="3554" w:hanging="360"/>
      </w:pPr>
      <w:rPr>
        <w:rFonts w:ascii="Symbol" w:hAnsi="Symbol" w:hint="default"/>
      </w:rPr>
    </w:lvl>
    <w:lvl w:ilvl="1" w:tplc="040C0003" w:tentative="1">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17" w15:restartNumberingAfterBreak="0">
    <w:nsid w:val="3A5D37FD"/>
    <w:multiLevelType w:val="hybridMultilevel"/>
    <w:tmpl w:val="3B8263C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ACB4AD3"/>
    <w:multiLevelType w:val="multilevel"/>
    <w:tmpl w:val="9DF2F00E"/>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3468FB"/>
    <w:multiLevelType w:val="hybridMultilevel"/>
    <w:tmpl w:val="4EF0E1F4"/>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43861B9D"/>
    <w:multiLevelType w:val="hybridMultilevel"/>
    <w:tmpl w:val="FF3406DC"/>
    <w:lvl w:ilvl="0" w:tplc="6D0824A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630337"/>
    <w:multiLevelType w:val="hybridMultilevel"/>
    <w:tmpl w:val="03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B64C0"/>
    <w:multiLevelType w:val="hybridMultilevel"/>
    <w:tmpl w:val="C89A6F96"/>
    <w:lvl w:ilvl="0" w:tplc="FCCCE800">
      <w:start w:val="1"/>
      <w:numFmt w:val="lowerRoman"/>
      <w:lvlText w:val="%1)"/>
      <w:lvlJc w:val="left"/>
      <w:pPr>
        <w:ind w:left="720" w:hanging="360"/>
      </w:pPr>
      <w:rPr>
        <w:rFonts w:ascii="Arial" w:eastAsia="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126216"/>
    <w:multiLevelType w:val="multilevel"/>
    <w:tmpl w:val="6B0284D4"/>
    <w:lvl w:ilvl="0">
      <w:start w:val="3"/>
      <w:numFmt w:val="decimal"/>
      <w:lvlText w:val="%1"/>
      <w:lvlJc w:val="left"/>
      <w:pPr>
        <w:ind w:left="420" w:hanging="420"/>
      </w:pPr>
      <w:rPr>
        <w:rFonts w:eastAsia="Times New Roman" w:hint="default"/>
      </w:rPr>
    </w:lvl>
    <w:lvl w:ilvl="1">
      <w:start w:val="45"/>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7E235B9"/>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CC7617"/>
    <w:multiLevelType w:val="hybridMultilevel"/>
    <w:tmpl w:val="94366082"/>
    <w:lvl w:ilvl="0" w:tplc="FCCCE800">
      <w:start w:val="1"/>
      <w:numFmt w:val="lowerRoman"/>
      <w:lvlText w:val="%1)"/>
      <w:lvlJc w:val="left"/>
      <w:pPr>
        <w:ind w:left="720" w:hanging="360"/>
      </w:pPr>
      <w:rPr>
        <w:rFonts w:ascii="Arial" w:eastAsia="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E03CAD"/>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B54B75"/>
    <w:multiLevelType w:val="multilevel"/>
    <w:tmpl w:val="2F7870B2"/>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0E5AF9"/>
    <w:multiLevelType w:val="hybridMultilevel"/>
    <w:tmpl w:val="A28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BD575A"/>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6126B5"/>
    <w:multiLevelType w:val="hybridMultilevel"/>
    <w:tmpl w:val="B9348754"/>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5806EC"/>
    <w:multiLevelType w:val="hybridMultilevel"/>
    <w:tmpl w:val="95B6EB68"/>
    <w:lvl w:ilvl="0" w:tplc="5A528F9A">
      <w:start w:val="3"/>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2" w15:restartNumberingAfterBreak="0">
    <w:nsid w:val="78151662"/>
    <w:multiLevelType w:val="hybridMultilevel"/>
    <w:tmpl w:val="B6A44560"/>
    <w:lvl w:ilvl="0" w:tplc="040C0001">
      <w:start w:val="1"/>
      <w:numFmt w:val="bullet"/>
      <w:lvlText w:val=""/>
      <w:lvlJc w:val="left"/>
      <w:pPr>
        <w:ind w:left="3554" w:hanging="360"/>
      </w:pPr>
      <w:rPr>
        <w:rFonts w:ascii="Symbol" w:hAnsi="Symbol" w:hint="default"/>
      </w:rPr>
    </w:lvl>
    <w:lvl w:ilvl="1" w:tplc="040C0003">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33" w15:restartNumberingAfterBreak="0">
    <w:nsid w:val="7E414518"/>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FB33D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101711">
    <w:abstractNumId w:val="5"/>
  </w:num>
  <w:num w:numId="2" w16cid:durableId="267583594">
    <w:abstractNumId w:val="34"/>
  </w:num>
  <w:num w:numId="3" w16cid:durableId="878198530">
    <w:abstractNumId w:val="6"/>
  </w:num>
  <w:num w:numId="4" w16cid:durableId="1787313475">
    <w:abstractNumId w:val="30"/>
  </w:num>
  <w:num w:numId="5" w16cid:durableId="86653882">
    <w:abstractNumId w:val="28"/>
  </w:num>
  <w:num w:numId="6" w16cid:durableId="1537502511">
    <w:abstractNumId w:val="3"/>
  </w:num>
  <w:num w:numId="7" w16cid:durableId="710149218">
    <w:abstractNumId w:val="1"/>
  </w:num>
  <w:num w:numId="8" w16cid:durableId="1730612573">
    <w:abstractNumId w:val="24"/>
  </w:num>
  <w:num w:numId="9" w16cid:durableId="1618222396">
    <w:abstractNumId w:val="32"/>
  </w:num>
  <w:num w:numId="10" w16cid:durableId="700936135">
    <w:abstractNumId w:val="16"/>
  </w:num>
  <w:num w:numId="11" w16cid:durableId="2067293719">
    <w:abstractNumId w:val="23"/>
  </w:num>
  <w:num w:numId="12" w16cid:durableId="1522205117">
    <w:abstractNumId w:val="15"/>
  </w:num>
  <w:num w:numId="13" w16cid:durableId="255600244">
    <w:abstractNumId w:val="11"/>
  </w:num>
  <w:num w:numId="14" w16cid:durableId="1993867633">
    <w:abstractNumId w:val="21"/>
  </w:num>
  <w:num w:numId="15" w16cid:durableId="1206527266">
    <w:abstractNumId w:val="17"/>
  </w:num>
  <w:num w:numId="16" w16cid:durableId="206839737">
    <w:abstractNumId w:val="19"/>
  </w:num>
  <w:num w:numId="17" w16cid:durableId="153648711">
    <w:abstractNumId w:val="10"/>
  </w:num>
  <w:num w:numId="18" w16cid:durableId="610089407">
    <w:abstractNumId w:val="14"/>
  </w:num>
  <w:num w:numId="19" w16cid:durableId="866407410">
    <w:abstractNumId w:val="4"/>
  </w:num>
  <w:num w:numId="20" w16cid:durableId="1816025921">
    <w:abstractNumId w:val="13"/>
  </w:num>
  <w:num w:numId="21" w16cid:durableId="658460240">
    <w:abstractNumId w:val="2"/>
  </w:num>
  <w:num w:numId="22" w16cid:durableId="17321873">
    <w:abstractNumId w:val="8"/>
  </w:num>
  <w:num w:numId="23" w16cid:durableId="640884953">
    <w:abstractNumId w:val="20"/>
  </w:num>
  <w:num w:numId="24" w16cid:durableId="1985117544">
    <w:abstractNumId w:val="26"/>
  </w:num>
  <w:num w:numId="25" w16cid:durableId="1124230968">
    <w:abstractNumId w:val="7"/>
  </w:num>
  <w:num w:numId="26" w16cid:durableId="1408725679">
    <w:abstractNumId w:val="0"/>
  </w:num>
  <w:num w:numId="27" w16cid:durableId="28381495">
    <w:abstractNumId w:val="33"/>
  </w:num>
  <w:num w:numId="28" w16cid:durableId="1799254483">
    <w:abstractNumId w:val="12"/>
  </w:num>
  <w:num w:numId="29" w16cid:durableId="119303775">
    <w:abstractNumId w:val="27"/>
  </w:num>
  <w:num w:numId="30" w16cid:durableId="245920030">
    <w:abstractNumId w:val="29"/>
  </w:num>
  <w:num w:numId="31" w16cid:durableId="1559516330">
    <w:abstractNumId w:val="18"/>
  </w:num>
  <w:num w:numId="32" w16cid:durableId="1727332693">
    <w:abstractNumId w:val="22"/>
  </w:num>
  <w:num w:numId="33" w16cid:durableId="1014645577">
    <w:abstractNumId w:val="25"/>
  </w:num>
  <w:num w:numId="34" w16cid:durableId="2116359295">
    <w:abstractNumId w:val="31"/>
  </w:num>
  <w:num w:numId="35" w16cid:durableId="522480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43"/>
    <w:rsid w:val="00001124"/>
    <w:rsid w:val="00003B9C"/>
    <w:rsid w:val="00011FAE"/>
    <w:rsid w:val="00012EF5"/>
    <w:rsid w:val="00013C44"/>
    <w:rsid w:val="00014BFA"/>
    <w:rsid w:val="00026076"/>
    <w:rsid w:val="0002762D"/>
    <w:rsid w:val="00030B00"/>
    <w:rsid w:val="00030F5F"/>
    <w:rsid w:val="00031988"/>
    <w:rsid w:val="00043BE3"/>
    <w:rsid w:val="00047058"/>
    <w:rsid w:val="000510F9"/>
    <w:rsid w:val="00051DB3"/>
    <w:rsid w:val="00052718"/>
    <w:rsid w:val="00053057"/>
    <w:rsid w:val="0005619B"/>
    <w:rsid w:val="000579C1"/>
    <w:rsid w:val="00061790"/>
    <w:rsid w:val="000654B5"/>
    <w:rsid w:val="00070E39"/>
    <w:rsid w:val="0007215D"/>
    <w:rsid w:val="00072EB8"/>
    <w:rsid w:val="00073A25"/>
    <w:rsid w:val="000749F6"/>
    <w:rsid w:val="00081CC1"/>
    <w:rsid w:val="000940A3"/>
    <w:rsid w:val="000A02BF"/>
    <w:rsid w:val="000A470F"/>
    <w:rsid w:val="000A7DDB"/>
    <w:rsid w:val="000B5761"/>
    <w:rsid w:val="000C538E"/>
    <w:rsid w:val="000C6DAB"/>
    <w:rsid w:val="000D1F55"/>
    <w:rsid w:val="000D2A30"/>
    <w:rsid w:val="000D6D14"/>
    <w:rsid w:val="000E0B71"/>
    <w:rsid w:val="000F0829"/>
    <w:rsid w:val="000F4B74"/>
    <w:rsid w:val="00116936"/>
    <w:rsid w:val="00120BAB"/>
    <w:rsid w:val="0012211B"/>
    <w:rsid w:val="00123669"/>
    <w:rsid w:val="001239A7"/>
    <w:rsid w:val="00127F1F"/>
    <w:rsid w:val="00134AC2"/>
    <w:rsid w:val="001350A1"/>
    <w:rsid w:val="0014066D"/>
    <w:rsid w:val="0014069C"/>
    <w:rsid w:val="00141C6C"/>
    <w:rsid w:val="001433BF"/>
    <w:rsid w:val="00143417"/>
    <w:rsid w:val="00143A88"/>
    <w:rsid w:val="00145297"/>
    <w:rsid w:val="00150C0A"/>
    <w:rsid w:val="00150D2D"/>
    <w:rsid w:val="0015688A"/>
    <w:rsid w:val="001622B1"/>
    <w:rsid w:val="00165003"/>
    <w:rsid w:val="001705F1"/>
    <w:rsid w:val="001729AE"/>
    <w:rsid w:val="00194051"/>
    <w:rsid w:val="0019439C"/>
    <w:rsid w:val="0019554A"/>
    <w:rsid w:val="001A41ED"/>
    <w:rsid w:val="001B039D"/>
    <w:rsid w:val="001B49DB"/>
    <w:rsid w:val="001B5EA7"/>
    <w:rsid w:val="001C6BE2"/>
    <w:rsid w:val="001C78DF"/>
    <w:rsid w:val="001D1A62"/>
    <w:rsid w:val="001D2380"/>
    <w:rsid w:val="001E6937"/>
    <w:rsid w:val="001F1FB4"/>
    <w:rsid w:val="001F5749"/>
    <w:rsid w:val="0020213B"/>
    <w:rsid w:val="00202379"/>
    <w:rsid w:val="00204839"/>
    <w:rsid w:val="00204F05"/>
    <w:rsid w:val="002157AC"/>
    <w:rsid w:val="002178D7"/>
    <w:rsid w:val="002206D6"/>
    <w:rsid w:val="00224E63"/>
    <w:rsid w:val="002265A1"/>
    <w:rsid w:val="00233BBA"/>
    <w:rsid w:val="0025449D"/>
    <w:rsid w:val="00254B55"/>
    <w:rsid w:val="00255E52"/>
    <w:rsid w:val="00255F85"/>
    <w:rsid w:val="00261FAE"/>
    <w:rsid w:val="002626A8"/>
    <w:rsid w:val="00266A07"/>
    <w:rsid w:val="0026705C"/>
    <w:rsid w:val="002711F4"/>
    <w:rsid w:val="002712C1"/>
    <w:rsid w:val="0027196C"/>
    <w:rsid w:val="00277F4D"/>
    <w:rsid w:val="00281171"/>
    <w:rsid w:val="00284946"/>
    <w:rsid w:val="002859BD"/>
    <w:rsid w:val="00286E69"/>
    <w:rsid w:val="0029100C"/>
    <w:rsid w:val="002948EB"/>
    <w:rsid w:val="00297A5B"/>
    <w:rsid w:val="002A7B0B"/>
    <w:rsid w:val="002B29F8"/>
    <w:rsid w:val="002B72C5"/>
    <w:rsid w:val="002B770D"/>
    <w:rsid w:val="002C0BC2"/>
    <w:rsid w:val="002D1160"/>
    <w:rsid w:val="002D3768"/>
    <w:rsid w:val="002D4E94"/>
    <w:rsid w:val="002D636B"/>
    <w:rsid w:val="002D65B4"/>
    <w:rsid w:val="002D70E7"/>
    <w:rsid w:val="002D7CB8"/>
    <w:rsid w:val="002E1324"/>
    <w:rsid w:val="002E6ABC"/>
    <w:rsid w:val="002F5445"/>
    <w:rsid w:val="002F7AAC"/>
    <w:rsid w:val="003034C8"/>
    <w:rsid w:val="00306D56"/>
    <w:rsid w:val="00306F1A"/>
    <w:rsid w:val="00313A39"/>
    <w:rsid w:val="00314DB3"/>
    <w:rsid w:val="003203AD"/>
    <w:rsid w:val="00322F2B"/>
    <w:rsid w:val="00323A09"/>
    <w:rsid w:val="00327DFF"/>
    <w:rsid w:val="00334B9F"/>
    <w:rsid w:val="003450BB"/>
    <w:rsid w:val="00345B0A"/>
    <w:rsid w:val="00347E12"/>
    <w:rsid w:val="0035159F"/>
    <w:rsid w:val="003550B6"/>
    <w:rsid w:val="003637B7"/>
    <w:rsid w:val="00364478"/>
    <w:rsid w:val="00365FF0"/>
    <w:rsid w:val="00367ECB"/>
    <w:rsid w:val="00376033"/>
    <w:rsid w:val="00384530"/>
    <w:rsid w:val="0038481A"/>
    <w:rsid w:val="003849FB"/>
    <w:rsid w:val="003B603D"/>
    <w:rsid w:val="003D2D9C"/>
    <w:rsid w:val="003D38D7"/>
    <w:rsid w:val="003E19E8"/>
    <w:rsid w:val="003F4FA5"/>
    <w:rsid w:val="00405F89"/>
    <w:rsid w:val="00410AE0"/>
    <w:rsid w:val="00420B86"/>
    <w:rsid w:val="00421184"/>
    <w:rsid w:val="0042210B"/>
    <w:rsid w:val="004249A4"/>
    <w:rsid w:val="004264A1"/>
    <w:rsid w:val="004274D9"/>
    <w:rsid w:val="0043784B"/>
    <w:rsid w:val="00437BC1"/>
    <w:rsid w:val="0044007E"/>
    <w:rsid w:val="0044331D"/>
    <w:rsid w:val="00443561"/>
    <w:rsid w:val="00445A68"/>
    <w:rsid w:val="00450AEF"/>
    <w:rsid w:val="0045729C"/>
    <w:rsid w:val="00460EF5"/>
    <w:rsid w:val="00465932"/>
    <w:rsid w:val="00466DC8"/>
    <w:rsid w:val="00467D31"/>
    <w:rsid w:val="00475C34"/>
    <w:rsid w:val="0048778E"/>
    <w:rsid w:val="00495349"/>
    <w:rsid w:val="004A0A53"/>
    <w:rsid w:val="004A5C3C"/>
    <w:rsid w:val="004A76DC"/>
    <w:rsid w:val="004B0DD3"/>
    <w:rsid w:val="004B12B7"/>
    <w:rsid w:val="004B2EB3"/>
    <w:rsid w:val="004B39C5"/>
    <w:rsid w:val="004B7C72"/>
    <w:rsid w:val="004C0FDD"/>
    <w:rsid w:val="004C2F3F"/>
    <w:rsid w:val="004C4896"/>
    <w:rsid w:val="004C68A9"/>
    <w:rsid w:val="004D3883"/>
    <w:rsid w:val="004E4896"/>
    <w:rsid w:val="004E6698"/>
    <w:rsid w:val="004E77DF"/>
    <w:rsid w:val="004F3539"/>
    <w:rsid w:val="00502D2E"/>
    <w:rsid w:val="00513B3B"/>
    <w:rsid w:val="005157B2"/>
    <w:rsid w:val="00520B54"/>
    <w:rsid w:val="00525FF3"/>
    <w:rsid w:val="00532970"/>
    <w:rsid w:val="0054578B"/>
    <w:rsid w:val="005472B2"/>
    <w:rsid w:val="005530B7"/>
    <w:rsid w:val="00572A20"/>
    <w:rsid w:val="00577B72"/>
    <w:rsid w:val="00581E76"/>
    <w:rsid w:val="005919C0"/>
    <w:rsid w:val="005A5CD8"/>
    <w:rsid w:val="005B1954"/>
    <w:rsid w:val="005B4334"/>
    <w:rsid w:val="005C1238"/>
    <w:rsid w:val="005C5EDA"/>
    <w:rsid w:val="005D2590"/>
    <w:rsid w:val="005D32F9"/>
    <w:rsid w:val="005D37C6"/>
    <w:rsid w:val="005D3BD6"/>
    <w:rsid w:val="005E0976"/>
    <w:rsid w:val="005E1C29"/>
    <w:rsid w:val="005E1E61"/>
    <w:rsid w:val="005E3F02"/>
    <w:rsid w:val="005E4395"/>
    <w:rsid w:val="005E4A11"/>
    <w:rsid w:val="005E534C"/>
    <w:rsid w:val="005F1A2E"/>
    <w:rsid w:val="00602C73"/>
    <w:rsid w:val="00604E47"/>
    <w:rsid w:val="00606C59"/>
    <w:rsid w:val="00606D0A"/>
    <w:rsid w:val="00610898"/>
    <w:rsid w:val="00617C8D"/>
    <w:rsid w:val="0062013D"/>
    <w:rsid w:val="006251BB"/>
    <w:rsid w:val="006316C7"/>
    <w:rsid w:val="00636A71"/>
    <w:rsid w:val="00636C3C"/>
    <w:rsid w:val="00651FC3"/>
    <w:rsid w:val="00653992"/>
    <w:rsid w:val="00653A18"/>
    <w:rsid w:val="00657ABB"/>
    <w:rsid w:val="0067576D"/>
    <w:rsid w:val="0067607D"/>
    <w:rsid w:val="00676A26"/>
    <w:rsid w:val="00681B52"/>
    <w:rsid w:val="0068784D"/>
    <w:rsid w:val="006932B7"/>
    <w:rsid w:val="00693F9D"/>
    <w:rsid w:val="0069405E"/>
    <w:rsid w:val="006A433F"/>
    <w:rsid w:val="006A7653"/>
    <w:rsid w:val="006B4B9F"/>
    <w:rsid w:val="006C125F"/>
    <w:rsid w:val="006D18BE"/>
    <w:rsid w:val="006D293A"/>
    <w:rsid w:val="006D7279"/>
    <w:rsid w:val="006F45EE"/>
    <w:rsid w:val="006F6140"/>
    <w:rsid w:val="006F70D0"/>
    <w:rsid w:val="00702FD6"/>
    <w:rsid w:val="00703FA3"/>
    <w:rsid w:val="00706E5E"/>
    <w:rsid w:val="007125AB"/>
    <w:rsid w:val="00715D11"/>
    <w:rsid w:val="00717AA5"/>
    <w:rsid w:val="007229F7"/>
    <w:rsid w:val="00723B7D"/>
    <w:rsid w:val="0072433F"/>
    <w:rsid w:val="00726845"/>
    <w:rsid w:val="00732A6C"/>
    <w:rsid w:val="007340C3"/>
    <w:rsid w:val="00740F0B"/>
    <w:rsid w:val="0075108B"/>
    <w:rsid w:val="00752E99"/>
    <w:rsid w:val="007548C8"/>
    <w:rsid w:val="007555FC"/>
    <w:rsid w:val="00760C5B"/>
    <w:rsid w:val="00771964"/>
    <w:rsid w:val="0077257B"/>
    <w:rsid w:val="007742AC"/>
    <w:rsid w:val="00776A7F"/>
    <w:rsid w:val="007870B6"/>
    <w:rsid w:val="007A0A94"/>
    <w:rsid w:val="007A4B03"/>
    <w:rsid w:val="007A5629"/>
    <w:rsid w:val="007A61E2"/>
    <w:rsid w:val="007A7D68"/>
    <w:rsid w:val="007C13AF"/>
    <w:rsid w:val="007C17D6"/>
    <w:rsid w:val="007C361D"/>
    <w:rsid w:val="007C54A0"/>
    <w:rsid w:val="007C633A"/>
    <w:rsid w:val="007D306C"/>
    <w:rsid w:val="007D7802"/>
    <w:rsid w:val="007E360D"/>
    <w:rsid w:val="00801556"/>
    <w:rsid w:val="00802BA9"/>
    <w:rsid w:val="0080779E"/>
    <w:rsid w:val="00812CB9"/>
    <w:rsid w:val="008272AD"/>
    <w:rsid w:val="008402A4"/>
    <w:rsid w:val="008507B6"/>
    <w:rsid w:val="00866FCE"/>
    <w:rsid w:val="00874EBB"/>
    <w:rsid w:val="00882F3D"/>
    <w:rsid w:val="00886260"/>
    <w:rsid w:val="00896CE6"/>
    <w:rsid w:val="00896F8F"/>
    <w:rsid w:val="008A05FA"/>
    <w:rsid w:val="008A26F9"/>
    <w:rsid w:val="008B2A0F"/>
    <w:rsid w:val="008C717E"/>
    <w:rsid w:val="008D0811"/>
    <w:rsid w:val="008E1404"/>
    <w:rsid w:val="008F7946"/>
    <w:rsid w:val="00910AD1"/>
    <w:rsid w:val="00914A6C"/>
    <w:rsid w:val="0091655F"/>
    <w:rsid w:val="00916D06"/>
    <w:rsid w:val="00917D62"/>
    <w:rsid w:val="00920088"/>
    <w:rsid w:val="009265F1"/>
    <w:rsid w:val="00941800"/>
    <w:rsid w:val="00943E4A"/>
    <w:rsid w:val="00944170"/>
    <w:rsid w:val="009556BB"/>
    <w:rsid w:val="00961BD2"/>
    <w:rsid w:val="00965D7C"/>
    <w:rsid w:val="00966E6D"/>
    <w:rsid w:val="00967335"/>
    <w:rsid w:val="00967F10"/>
    <w:rsid w:val="0097217F"/>
    <w:rsid w:val="00973B58"/>
    <w:rsid w:val="009910CB"/>
    <w:rsid w:val="00996950"/>
    <w:rsid w:val="009A7585"/>
    <w:rsid w:val="009B2EE5"/>
    <w:rsid w:val="009B3153"/>
    <w:rsid w:val="009D64ED"/>
    <w:rsid w:val="009E649A"/>
    <w:rsid w:val="009F4778"/>
    <w:rsid w:val="009F4F33"/>
    <w:rsid w:val="00A00643"/>
    <w:rsid w:val="00A179B5"/>
    <w:rsid w:val="00A17C67"/>
    <w:rsid w:val="00A2058F"/>
    <w:rsid w:val="00A205C0"/>
    <w:rsid w:val="00A219A0"/>
    <w:rsid w:val="00A26D04"/>
    <w:rsid w:val="00A27E58"/>
    <w:rsid w:val="00A3322E"/>
    <w:rsid w:val="00A45F32"/>
    <w:rsid w:val="00A53889"/>
    <w:rsid w:val="00A55839"/>
    <w:rsid w:val="00A62288"/>
    <w:rsid w:val="00A70AF2"/>
    <w:rsid w:val="00A724AD"/>
    <w:rsid w:val="00A72E9D"/>
    <w:rsid w:val="00A74E52"/>
    <w:rsid w:val="00A75C53"/>
    <w:rsid w:val="00A77FEC"/>
    <w:rsid w:val="00A80786"/>
    <w:rsid w:val="00A8508E"/>
    <w:rsid w:val="00A86313"/>
    <w:rsid w:val="00A90DE6"/>
    <w:rsid w:val="00A92993"/>
    <w:rsid w:val="00A96C4A"/>
    <w:rsid w:val="00A9751D"/>
    <w:rsid w:val="00AA06AA"/>
    <w:rsid w:val="00AA0E2E"/>
    <w:rsid w:val="00AA4697"/>
    <w:rsid w:val="00AA5C17"/>
    <w:rsid w:val="00AB04F6"/>
    <w:rsid w:val="00AB7F8C"/>
    <w:rsid w:val="00AC630E"/>
    <w:rsid w:val="00AD267C"/>
    <w:rsid w:val="00AD3CFA"/>
    <w:rsid w:val="00AD57AF"/>
    <w:rsid w:val="00AD57D6"/>
    <w:rsid w:val="00AE0227"/>
    <w:rsid w:val="00AE32AB"/>
    <w:rsid w:val="00AE565F"/>
    <w:rsid w:val="00AE681E"/>
    <w:rsid w:val="00B001AA"/>
    <w:rsid w:val="00B00700"/>
    <w:rsid w:val="00B02BB6"/>
    <w:rsid w:val="00B1527D"/>
    <w:rsid w:val="00B1622A"/>
    <w:rsid w:val="00B17DDC"/>
    <w:rsid w:val="00B256F1"/>
    <w:rsid w:val="00B370E8"/>
    <w:rsid w:val="00B4031C"/>
    <w:rsid w:val="00B43948"/>
    <w:rsid w:val="00B52F96"/>
    <w:rsid w:val="00B5752F"/>
    <w:rsid w:val="00B61624"/>
    <w:rsid w:val="00B6340F"/>
    <w:rsid w:val="00B6356B"/>
    <w:rsid w:val="00B7427E"/>
    <w:rsid w:val="00B81F61"/>
    <w:rsid w:val="00B87471"/>
    <w:rsid w:val="00B87B7D"/>
    <w:rsid w:val="00B92E4C"/>
    <w:rsid w:val="00B92FEB"/>
    <w:rsid w:val="00BA6958"/>
    <w:rsid w:val="00BB3BC0"/>
    <w:rsid w:val="00BB4A4E"/>
    <w:rsid w:val="00BC1101"/>
    <w:rsid w:val="00BC113B"/>
    <w:rsid w:val="00BC2DDD"/>
    <w:rsid w:val="00BC44C3"/>
    <w:rsid w:val="00BC4654"/>
    <w:rsid w:val="00BD08D7"/>
    <w:rsid w:val="00BD5360"/>
    <w:rsid w:val="00BE7E2B"/>
    <w:rsid w:val="00BF22FA"/>
    <w:rsid w:val="00BF3B76"/>
    <w:rsid w:val="00C03AB7"/>
    <w:rsid w:val="00C04E89"/>
    <w:rsid w:val="00C07114"/>
    <w:rsid w:val="00C17AD1"/>
    <w:rsid w:val="00C258EF"/>
    <w:rsid w:val="00C319A2"/>
    <w:rsid w:val="00C32A7F"/>
    <w:rsid w:val="00C3549F"/>
    <w:rsid w:val="00C37485"/>
    <w:rsid w:val="00C40ABD"/>
    <w:rsid w:val="00C4782B"/>
    <w:rsid w:val="00C53D3C"/>
    <w:rsid w:val="00C54A92"/>
    <w:rsid w:val="00C567E8"/>
    <w:rsid w:val="00C623A9"/>
    <w:rsid w:val="00C6619B"/>
    <w:rsid w:val="00C7698D"/>
    <w:rsid w:val="00C76C09"/>
    <w:rsid w:val="00C83846"/>
    <w:rsid w:val="00C92BD2"/>
    <w:rsid w:val="00C94F69"/>
    <w:rsid w:val="00C96422"/>
    <w:rsid w:val="00C97229"/>
    <w:rsid w:val="00CA30DF"/>
    <w:rsid w:val="00CA3A8C"/>
    <w:rsid w:val="00CA7A62"/>
    <w:rsid w:val="00CA7D04"/>
    <w:rsid w:val="00CB750C"/>
    <w:rsid w:val="00CC150C"/>
    <w:rsid w:val="00CC771B"/>
    <w:rsid w:val="00CD211A"/>
    <w:rsid w:val="00CD261E"/>
    <w:rsid w:val="00CD4C9D"/>
    <w:rsid w:val="00CE22EE"/>
    <w:rsid w:val="00CF2755"/>
    <w:rsid w:val="00CF37EE"/>
    <w:rsid w:val="00CF65BD"/>
    <w:rsid w:val="00CF6EBD"/>
    <w:rsid w:val="00D04509"/>
    <w:rsid w:val="00D16395"/>
    <w:rsid w:val="00D17316"/>
    <w:rsid w:val="00D1760D"/>
    <w:rsid w:val="00D21E0B"/>
    <w:rsid w:val="00D267FC"/>
    <w:rsid w:val="00D32645"/>
    <w:rsid w:val="00D32A85"/>
    <w:rsid w:val="00D36CE6"/>
    <w:rsid w:val="00D4294F"/>
    <w:rsid w:val="00D45CC1"/>
    <w:rsid w:val="00D46FD1"/>
    <w:rsid w:val="00D504EA"/>
    <w:rsid w:val="00D62092"/>
    <w:rsid w:val="00D634B1"/>
    <w:rsid w:val="00D65CC9"/>
    <w:rsid w:val="00D71C7E"/>
    <w:rsid w:val="00D7270B"/>
    <w:rsid w:val="00D767B3"/>
    <w:rsid w:val="00D83DCA"/>
    <w:rsid w:val="00D916DA"/>
    <w:rsid w:val="00D97F2A"/>
    <w:rsid w:val="00DA05DC"/>
    <w:rsid w:val="00DA23EC"/>
    <w:rsid w:val="00DB15C8"/>
    <w:rsid w:val="00DB1AEF"/>
    <w:rsid w:val="00DC1CF3"/>
    <w:rsid w:val="00DC507A"/>
    <w:rsid w:val="00DC5A95"/>
    <w:rsid w:val="00DD066B"/>
    <w:rsid w:val="00DD6645"/>
    <w:rsid w:val="00DD702D"/>
    <w:rsid w:val="00DE23F2"/>
    <w:rsid w:val="00DF06A2"/>
    <w:rsid w:val="00E02A5C"/>
    <w:rsid w:val="00E043D4"/>
    <w:rsid w:val="00E063E4"/>
    <w:rsid w:val="00E0779E"/>
    <w:rsid w:val="00E119DC"/>
    <w:rsid w:val="00E12245"/>
    <w:rsid w:val="00E131F0"/>
    <w:rsid w:val="00E16F19"/>
    <w:rsid w:val="00E20898"/>
    <w:rsid w:val="00E2598B"/>
    <w:rsid w:val="00E32A62"/>
    <w:rsid w:val="00E345A8"/>
    <w:rsid w:val="00E44A86"/>
    <w:rsid w:val="00E44B85"/>
    <w:rsid w:val="00E44BD4"/>
    <w:rsid w:val="00E44DB0"/>
    <w:rsid w:val="00E522A5"/>
    <w:rsid w:val="00E5424A"/>
    <w:rsid w:val="00E579CC"/>
    <w:rsid w:val="00E65C8C"/>
    <w:rsid w:val="00E67938"/>
    <w:rsid w:val="00E7235D"/>
    <w:rsid w:val="00E73136"/>
    <w:rsid w:val="00E76283"/>
    <w:rsid w:val="00E80EB2"/>
    <w:rsid w:val="00E83E68"/>
    <w:rsid w:val="00E869C8"/>
    <w:rsid w:val="00E8712D"/>
    <w:rsid w:val="00E8714A"/>
    <w:rsid w:val="00E935D2"/>
    <w:rsid w:val="00E956F4"/>
    <w:rsid w:val="00EA0456"/>
    <w:rsid w:val="00EA1C02"/>
    <w:rsid w:val="00EA2AA2"/>
    <w:rsid w:val="00EA4B2A"/>
    <w:rsid w:val="00EA4BD0"/>
    <w:rsid w:val="00EA60D9"/>
    <w:rsid w:val="00EB7202"/>
    <w:rsid w:val="00EC0632"/>
    <w:rsid w:val="00EC3164"/>
    <w:rsid w:val="00EC402F"/>
    <w:rsid w:val="00ED0003"/>
    <w:rsid w:val="00ED5129"/>
    <w:rsid w:val="00ED707D"/>
    <w:rsid w:val="00EE25C5"/>
    <w:rsid w:val="00EE6C43"/>
    <w:rsid w:val="00EF168C"/>
    <w:rsid w:val="00EF4408"/>
    <w:rsid w:val="00EF6F4C"/>
    <w:rsid w:val="00EF7445"/>
    <w:rsid w:val="00F045F1"/>
    <w:rsid w:val="00F11431"/>
    <w:rsid w:val="00F1242E"/>
    <w:rsid w:val="00F227C5"/>
    <w:rsid w:val="00F30FD9"/>
    <w:rsid w:val="00F3218A"/>
    <w:rsid w:val="00F352B2"/>
    <w:rsid w:val="00F43693"/>
    <w:rsid w:val="00F45776"/>
    <w:rsid w:val="00F46CC0"/>
    <w:rsid w:val="00F50843"/>
    <w:rsid w:val="00F51001"/>
    <w:rsid w:val="00F57FB2"/>
    <w:rsid w:val="00F60397"/>
    <w:rsid w:val="00F70B3C"/>
    <w:rsid w:val="00F70FB2"/>
    <w:rsid w:val="00F72A9C"/>
    <w:rsid w:val="00F77793"/>
    <w:rsid w:val="00F9022C"/>
    <w:rsid w:val="00F94591"/>
    <w:rsid w:val="00F94F77"/>
    <w:rsid w:val="00F9513F"/>
    <w:rsid w:val="00FA3F67"/>
    <w:rsid w:val="00FA581A"/>
    <w:rsid w:val="00FA69AB"/>
    <w:rsid w:val="00FA7938"/>
    <w:rsid w:val="00FC0F09"/>
    <w:rsid w:val="00FC181B"/>
    <w:rsid w:val="00FC5CE2"/>
    <w:rsid w:val="00FC679D"/>
    <w:rsid w:val="00FD2498"/>
    <w:rsid w:val="00FD3C60"/>
    <w:rsid w:val="00FD639A"/>
    <w:rsid w:val="00FE0802"/>
    <w:rsid w:val="00FE5FAA"/>
    <w:rsid w:val="00FF0CD9"/>
    <w:rsid w:val="00FF2929"/>
    <w:rsid w:val="00FF4A3C"/>
    <w:rsid w:val="00FF6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D9E647"/>
  <w15:docId w15:val="{A8106CD7-FD2C-4C9E-8A5D-DED95CD5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C"/>
    <w:rPr>
      <w:rFonts w:eastAsiaTheme="minorHAnsi"/>
      <w:lang w:eastAsia="en-US"/>
    </w:rPr>
  </w:style>
  <w:style w:type="paragraph" w:styleId="Ttulo1">
    <w:name w:val="heading 1"/>
    <w:basedOn w:val="Normal"/>
    <w:next w:val="Normal"/>
    <w:link w:val="Ttulo1Car"/>
    <w:qFormat/>
    <w:rsid w:val="00A62288"/>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2288"/>
    <w:rPr>
      <w:rFonts w:ascii="Arial" w:eastAsia="Times New Roman" w:hAnsi="Arial" w:cs="Times New Roman"/>
      <w:b/>
      <w:bCs/>
      <w:snapToGrid w:val="0"/>
      <w:kern w:val="28"/>
      <w:szCs w:val="24"/>
      <w:lang w:eastAsia="en-US"/>
    </w:rPr>
  </w:style>
  <w:style w:type="paragraph" w:styleId="Encabezado">
    <w:name w:val="header"/>
    <w:basedOn w:val="Normal"/>
    <w:link w:val="EncabezadoCar"/>
    <w:unhideWhenUsed/>
    <w:rsid w:val="00A62288"/>
    <w:pPr>
      <w:tabs>
        <w:tab w:val="center" w:pos="4536"/>
        <w:tab w:val="right" w:pos="9072"/>
      </w:tabs>
      <w:spacing w:after="0" w:line="240" w:lineRule="auto"/>
    </w:pPr>
  </w:style>
  <w:style w:type="character" w:customStyle="1" w:styleId="EncabezadoCar">
    <w:name w:val="Encabezado Car"/>
    <w:basedOn w:val="Fuentedeprrafopredeter"/>
    <w:link w:val="Encabezado"/>
    <w:rsid w:val="00A62288"/>
    <w:rPr>
      <w:rFonts w:eastAsiaTheme="minorHAnsi"/>
      <w:lang w:eastAsia="en-US"/>
    </w:rPr>
  </w:style>
  <w:style w:type="paragraph" w:customStyle="1" w:styleId="cote">
    <w:name w:val="cote"/>
    <w:basedOn w:val="Normal"/>
    <w:qFormat/>
    <w:rsid w:val="00A62288"/>
    <w:pPr>
      <w:tabs>
        <w:tab w:val="left" w:pos="567"/>
      </w:tabs>
      <w:snapToGrid w:val="0"/>
      <w:spacing w:after="0" w:line="240" w:lineRule="auto"/>
    </w:pPr>
    <w:rPr>
      <w:rFonts w:ascii="Arial" w:eastAsia="SimSun" w:hAnsi="Arial" w:cs="Times New Roman"/>
      <w:snapToGrid w:val="0"/>
      <w:szCs w:val="24"/>
      <w:lang w:eastAsia="zh-CN"/>
    </w:rPr>
  </w:style>
  <w:style w:type="paragraph" w:styleId="Prrafodelista">
    <w:name w:val="List Paragraph"/>
    <w:basedOn w:val="Normal"/>
    <w:uiPriority w:val="34"/>
    <w:qFormat/>
    <w:rsid w:val="00A62288"/>
    <w:pPr>
      <w:ind w:left="720"/>
      <w:contextualSpacing/>
    </w:pPr>
  </w:style>
  <w:style w:type="paragraph" w:styleId="Piedepgina">
    <w:name w:val="footer"/>
    <w:basedOn w:val="Normal"/>
    <w:link w:val="PiedepginaCar"/>
    <w:uiPriority w:val="99"/>
    <w:unhideWhenUsed/>
    <w:rsid w:val="00A62288"/>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A62288"/>
    <w:rPr>
      <w:rFonts w:eastAsiaTheme="minorHAnsi"/>
      <w:lang w:eastAsia="en-US"/>
    </w:rPr>
  </w:style>
  <w:style w:type="character" w:styleId="Refdecomentario">
    <w:name w:val="annotation reference"/>
    <w:basedOn w:val="Fuentedeprrafopredeter"/>
    <w:uiPriority w:val="99"/>
    <w:semiHidden/>
    <w:unhideWhenUsed/>
    <w:rsid w:val="00A62288"/>
    <w:rPr>
      <w:sz w:val="16"/>
      <w:szCs w:val="16"/>
    </w:rPr>
  </w:style>
  <w:style w:type="paragraph" w:styleId="Textocomentario">
    <w:name w:val="annotation text"/>
    <w:basedOn w:val="Normal"/>
    <w:link w:val="TextocomentarioCar"/>
    <w:uiPriority w:val="99"/>
    <w:semiHidden/>
    <w:unhideWhenUsed/>
    <w:rsid w:val="00A622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88"/>
    <w:rPr>
      <w:rFonts w:eastAsiaTheme="minorHAnsi"/>
      <w:sz w:val="20"/>
      <w:szCs w:val="20"/>
      <w:lang w:eastAsia="en-US"/>
    </w:rPr>
  </w:style>
  <w:style w:type="paragraph" w:styleId="Textodeglobo">
    <w:name w:val="Balloon Text"/>
    <w:basedOn w:val="Normal"/>
    <w:link w:val="TextodegloboCar"/>
    <w:uiPriority w:val="99"/>
    <w:semiHidden/>
    <w:unhideWhenUsed/>
    <w:rsid w:val="00A622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288"/>
    <w:rPr>
      <w:rFonts w:ascii="Segoe UI" w:eastAsiaTheme="minorHAnsi" w:hAnsi="Segoe UI" w:cs="Segoe UI"/>
      <w:sz w:val="18"/>
      <w:szCs w:val="18"/>
      <w:lang w:eastAsia="en-US"/>
    </w:rPr>
  </w:style>
  <w:style w:type="paragraph" w:styleId="Asuntodelcomentario">
    <w:name w:val="annotation subject"/>
    <w:basedOn w:val="Textocomentario"/>
    <w:next w:val="Textocomentario"/>
    <w:link w:val="AsuntodelcomentarioCar"/>
    <w:uiPriority w:val="99"/>
    <w:semiHidden/>
    <w:unhideWhenUsed/>
    <w:rsid w:val="00577B72"/>
    <w:rPr>
      <w:b/>
      <w:bCs/>
    </w:rPr>
  </w:style>
  <w:style w:type="character" w:customStyle="1" w:styleId="AsuntodelcomentarioCar">
    <w:name w:val="Asunto del comentario Car"/>
    <w:basedOn w:val="TextocomentarioCar"/>
    <w:link w:val="Asuntodelcomentario"/>
    <w:uiPriority w:val="99"/>
    <w:semiHidden/>
    <w:rsid w:val="00577B72"/>
    <w:rPr>
      <w:rFonts w:eastAsiaTheme="minorHAnsi"/>
      <w:b/>
      <w:bCs/>
      <w:sz w:val="20"/>
      <w:szCs w:val="20"/>
      <w:lang w:eastAsia="en-US"/>
    </w:rPr>
  </w:style>
  <w:style w:type="paragraph" w:customStyle="1" w:styleId="b">
    <w:name w:val="(b)"/>
    <w:basedOn w:val="Normal"/>
    <w:link w:val="bCar"/>
    <w:rsid w:val="005C5EDA"/>
    <w:pPr>
      <w:tabs>
        <w:tab w:val="left" w:pos="-737"/>
        <w:tab w:val="left" w:pos="1134"/>
      </w:tabs>
      <w:snapToGrid w:val="0"/>
      <w:spacing w:after="240" w:line="240" w:lineRule="auto"/>
      <w:ind w:left="1134" w:hanging="567"/>
      <w:jc w:val="both"/>
    </w:pPr>
    <w:rPr>
      <w:rFonts w:ascii="Arial" w:eastAsiaTheme="minorEastAsia" w:hAnsi="Arial" w:cs="Times New Roman"/>
      <w:snapToGrid w:val="0"/>
      <w:szCs w:val="24"/>
      <w:lang w:val="en-GB"/>
    </w:rPr>
  </w:style>
  <w:style w:type="character" w:customStyle="1" w:styleId="bCar">
    <w:name w:val="(b) Car"/>
    <w:link w:val="b"/>
    <w:locked/>
    <w:rsid w:val="005C5EDA"/>
    <w:rPr>
      <w:rFonts w:ascii="Arial" w:hAnsi="Arial" w:cs="Times New Roman"/>
      <w:snapToGrid w:val="0"/>
      <w:szCs w:val="24"/>
      <w:lang w:val="en-GB" w:eastAsia="en-US"/>
    </w:rPr>
  </w:style>
  <w:style w:type="paragraph" w:customStyle="1" w:styleId="Marge">
    <w:name w:val="Marge"/>
    <w:basedOn w:val="Normal"/>
    <w:link w:val="MargeCar"/>
    <w:rsid w:val="00313A3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ar">
    <w:name w:val="Marge Car"/>
    <w:link w:val="Marge"/>
    <w:rsid w:val="00313A39"/>
    <w:rPr>
      <w:rFonts w:ascii="Arial" w:eastAsia="Times New Roman" w:hAnsi="Arial" w:cs="Times New Roman"/>
      <w:snapToGrid w:val="0"/>
      <w:szCs w:val="24"/>
      <w:lang w:eastAsia="en-US"/>
    </w:rPr>
  </w:style>
  <w:style w:type="paragraph" w:customStyle="1" w:styleId="ENTCG">
    <w:name w:val="ENTCG"/>
    <w:basedOn w:val="Normal"/>
    <w:rsid w:val="00313A39"/>
    <w:pPr>
      <w:tabs>
        <w:tab w:val="left" w:pos="567"/>
      </w:tabs>
      <w:snapToGrid w:val="0"/>
      <w:spacing w:after="0" w:line="240" w:lineRule="auto"/>
    </w:pPr>
    <w:rPr>
      <w:rFonts w:ascii="Times New Roman" w:eastAsia="SimSun" w:hAnsi="Times New Roman" w:cs="Times New Roman"/>
      <w:snapToGrid w:val="0"/>
      <w:sz w:val="34"/>
      <w:szCs w:val="20"/>
      <w:lang w:eastAsia="zh-CN"/>
    </w:rPr>
  </w:style>
  <w:style w:type="table" w:styleId="Tablaconcuadrcula">
    <w:name w:val="Table Grid"/>
    <w:basedOn w:val="Tablanormal"/>
    <w:rsid w:val="007C13A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en">
    <w:name w:val="Texto_Resumen"/>
    <w:basedOn w:val="Normal"/>
    <w:qFormat/>
    <w:rsid w:val="007C13AF"/>
    <w:pPr>
      <w:keepNext/>
      <w:tabs>
        <w:tab w:val="left" w:pos="567"/>
      </w:tabs>
      <w:snapToGrid w:val="0"/>
      <w:spacing w:before="240" w:after="240" w:line="240" w:lineRule="auto"/>
      <w:jc w:val="both"/>
    </w:pPr>
    <w:rPr>
      <w:rFonts w:ascii="Arial" w:eastAsia="Times New Roman" w:hAnsi="Arial" w:cs="Times New Roman"/>
      <w:snapToGrid w:val="0"/>
      <w:szCs w:val="24"/>
      <w:lang w:val="es-ES"/>
    </w:rPr>
  </w:style>
  <w:style w:type="character" w:customStyle="1" w:styleId="MargeChar">
    <w:name w:val="Marge Char"/>
    <w:rsid w:val="007C13AF"/>
    <w:rPr>
      <w:rFonts w:ascii="Arial" w:hAnsi="Arial"/>
      <w:snapToGrid w:val="0"/>
      <w:sz w:val="22"/>
      <w:szCs w:val="24"/>
      <w:lang w:val="es-ES_tradnl" w:eastAsia="zh-CN"/>
    </w:rPr>
  </w:style>
  <w:style w:type="paragraph" w:customStyle="1" w:styleId="Ttulo10">
    <w:name w:val="Título1"/>
    <w:basedOn w:val="Normal"/>
    <w:qFormat/>
    <w:rsid w:val="007C13AF"/>
    <w:pPr>
      <w:tabs>
        <w:tab w:val="left" w:pos="567"/>
      </w:tabs>
      <w:snapToGrid w:val="0"/>
      <w:spacing w:before="240" w:after="240" w:line="240" w:lineRule="auto"/>
      <w:jc w:val="center"/>
    </w:pPr>
    <w:rPr>
      <w:rFonts w:ascii="Arial" w:eastAsia="SimSun" w:hAnsi="Arial" w:cs="Times New Roman"/>
      <w:b/>
      <w:bCs/>
      <w:caps/>
      <w:snapToGrid w:val="0"/>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de.org/index.php?option=com_content&amp;view=article&amp;id=651&amp;Itemid=100419"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nesdoc.unesco.org/ark:/48223/pf0000256553.locale=en" TargetMode="External"/><Relationship Id="rId2" Type="http://schemas.openxmlformats.org/officeDocument/2006/relationships/numbering" Target="numbering.xml"/><Relationship Id="rId16" Type="http://schemas.openxmlformats.org/officeDocument/2006/relationships/hyperlink" Target="https://oceanexpert.org/document/313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ceanexpert.org/document/31325" TargetMode="External"/><Relationship Id="rId10" Type="http://schemas.openxmlformats.org/officeDocument/2006/relationships/hyperlink" Target="https://oceanexpert.org/document/3132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iode.org/index.php?option=com_content&amp;view=article&amp;id=747&amp;Itemid=100437" TargetMode="External"/><Relationship Id="rId14" Type="http://schemas.openxmlformats.org/officeDocument/2006/relationships/hyperlink" Target="https://iode.org/index.php?option=com_content&amp;view=article&amp;id=651&amp;Itemid=1004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panish\Pool\IOC\ASSEMBLEE\32a\.Modelo%20IOC-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33D6-CB5D-49D0-9D66-2427DAAC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IOC-32.dotx</Template>
  <TotalTime>34</TotalTime>
  <Pages>4</Pages>
  <Words>1566</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Xxx</vt:lpstr>
    </vt:vector>
  </TitlesOfParts>
  <Company>UNESCO</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estratégico de la COI para la gestión de datos e información oceanográficos (2023-2029) – Esbozo</dc:title>
  <dc:subject>IOC/A-32/3.4.2DOC(1)</dc:subject>
  <dc:creator>Burgos Pratx, Juan Pablo</dc:creator>
  <cp:keywords>3.4.2.Doc(1)</cp:keywords>
  <dc:description/>
  <cp:lastModifiedBy>Burgos Pratx, Juan Pablo</cp:lastModifiedBy>
  <cp:revision>6</cp:revision>
  <cp:lastPrinted>2019-10-31T08:57:00Z</cp:lastPrinted>
  <dcterms:created xsi:type="dcterms:W3CDTF">2023-05-25T14:11:00Z</dcterms:created>
  <dcterms:modified xsi:type="dcterms:W3CDTF">2023-05-31T14:34:00Z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202301678</vt:lpwstr>
  </property>
  <property fmtid="{D5CDD505-2E9C-101B-9397-08002B2CF9AE}" pid="3" name="Language">
    <vt:lpwstr>S</vt:lpwstr>
  </property>
</Properties>
</file>