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825AD" w14:textId="40AE261C" w:rsidR="000073DA" w:rsidRPr="000073DA" w:rsidRDefault="000073DA" w:rsidP="000073DA">
      <w:pPr>
        <w:tabs>
          <w:tab w:val="left" w:pos="-1440"/>
          <w:tab w:val="left" w:pos="-720"/>
          <w:tab w:val="left" w:pos="720"/>
          <w:tab w:val="left" w:pos="2160"/>
          <w:tab w:val="left" w:pos="3600"/>
          <w:tab w:val="left" w:pos="4320"/>
          <w:tab w:val="left" w:pos="5040"/>
          <w:tab w:val="left" w:pos="5523"/>
          <w:tab w:val="left" w:pos="6480"/>
        </w:tabs>
        <w:spacing w:after="240"/>
        <w:jc w:val="center"/>
        <w:rPr>
          <w:rFonts w:ascii="SimHei" w:eastAsia="SimHei" w:hAnsi="SimHei" w:cs="Arial"/>
          <w:b/>
          <w:sz w:val="24"/>
          <w:lang w:eastAsia="zh-CN"/>
        </w:rPr>
      </w:pPr>
      <w:r w:rsidRPr="000073DA">
        <w:rPr>
          <w:rFonts w:ascii="SimSun" w:hAnsi="SimSun" w:cs="SimSun" w:hint="eastAsia"/>
          <w:bCs/>
          <w:sz w:val="24"/>
          <w:lang w:eastAsia="zh-CN"/>
        </w:rPr>
        <w:t>（教科文组织）</w:t>
      </w:r>
      <w:r w:rsidRPr="000073DA">
        <w:rPr>
          <w:rFonts w:ascii="SimSun" w:hAnsi="SimSun" w:cs="SimSun"/>
          <w:bCs/>
          <w:sz w:val="24"/>
          <w:lang w:eastAsia="zh-CN"/>
        </w:rPr>
        <w:br/>
      </w:r>
      <w:r w:rsidRPr="000073DA">
        <w:rPr>
          <w:rFonts w:ascii="SimHei" w:eastAsia="SimHei" w:hAnsi="SimHei" w:cs="Microsoft YaHei" w:hint="eastAsia"/>
          <w:b/>
          <w:sz w:val="24"/>
          <w:lang w:eastAsia="zh-CN"/>
        </w:rPr>
        <w:t>政府间海洋学委员会</w:t>
      </w:r>
    </w:p>
    <w:p w14:paraId="64901C5B" w14:textId="77777777" w:rsidR="000073DA" w:rsidRPr="000073DA" w:rsidRDefault="000073DA" w:rsidP="000073DA">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SimHei" w:eastAsia="SimHei" w:hAnsi="SimHei" w:cs="Arial"/>
          <w:b/>
          <w:sz w:val="24"/>
          <w:szCs w:val="28"/>
          <w:lang w:eastAsia="zh-CN"/>
        </w:rPr>
      </w:pPr>
      <w:r w:rsidRPr="000073DA">
        <w:rPr>
          <w:rFonts w:ascii="SimHei" w:eastAsia="SimHei" w:hAnsi="SimHei" w:cs="Arial" w:hint="eastAsia"/>
          <w:b/>
          <w:sz w:val="24"/>
          <w:szCs w:val="28"/>
          <w:lang w:eastAsia="zh-CN"/>
        </w:rPr>
        <w:t>大会第三十二届会议</w:t>
      </w:r>
    </w:p>
    <w:p w14:paraId="079CC6CC" w14:textId="1CFD7D42" w:rsidR="000073DA" w:rsidRPr="000073DA" w:rsidRDefault="000073DA" w:rsidP="000073DA">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480"/>
        <w:jc w:val="center"/>
        <w:rPr>
          <w:rFonts w:asciiTheme="majorBidi" w:hAnsiTheme="majorBidi" w:cstheme="majorBidi"/>
          <w:bCs/>
          <w:sz w:val="24"/>
          <w:lang w:eastAsia="zh-CN"/>
        </w:rPr>
      </w:pPr>
      <w:r w:rsidRPr="000073DA">
        <w:rPr>
          <w:rFonts w:asciiTheme="majorBidi" w:hAnsiTheme="majorBidi" w:cstheme="majorBidi"/>
          <w:bCs/>
          <w:sz w:val="24"/>
          <w:szCs w:val="28"/>
          <w:lang w:eastAsia="zh-CN"/>
        </w:rPr>
        <w:t>教科文组织，</w:t>
      </w:r>
      <w:r w:rsidRPr="000073DA">
        <w:rPr>
          <w:rFonts w:asciiTheme="majorBidi" w:hAnsiTheme="majorBidi" w:cstheme="majorBidi"/>
          <w:bCs/>
          <w:sz w:val="24"/>
          <w:szCs w:val="28"/>
          <w:lang w:eastAsia="zh-CN"/>
        </w:rPr>
        <w:t>2023</w:t>
      </w:r>
      <w:r w:rsidRPr="000073DA">
        <w:rPr>
          <w:rFonts w:asciiTheme="majorBidi" w:hAnsiTheme="majorBidi" w:cstheme="majorBidi"/>
          <w:bCs/>
          <w:sz w:val="24"/>
          <w:szCs w:val="28"/>
          <w:lang w:eastAsia="zh-CN"/>
        </w:rPr>
        <w:t>年</w:t>
      </w:r>
      <w:r w:rsidRPr="000073DA">
        <w:rPr>
          <w:rFonts w:asciiTheme="majorBidi" w:hAnsiTheme="majorBidi" w:cstheme="majorBidi"/>
          <w:bCs/>
          <w:sz w:val="24"/>
          <w:szCs w:val="28"/>
          <w:lang w:eastAsia="zh-CN"/>
        </w:rPr>
        <w:t>6</w:t>
      </w:r>
      <w:r w:rsidRPr="000073DA">
        <w:rPr>
          <w:rFonts w:asciiTheme="majorBidi" w:hAnsiTheme="majorBidi" w:cstheme="majorBidi"/>
          <w:bCs/>
          <w:sz w:val="24"/>
          <w:szCs w:val="28"/>
          <w:lang w:eastAsia="zh-CN"/>
        </w:rPr>
        <w:t>月</w:t>
      </w:r>
      <w:r w:rsidRPr="000073DA">
        <w:rPr>
          <w:rFonts w:asciiTheme="majorBidi" w:hAnsiTheme="majorBidi" w:cstheme="majorBidi"/>
          <w:bCs/>
          <w:sz w:val="24"/>
          <w:szCs w:val="28"/>
          <w:lang w:eastAsia="zh-CN"/>
        </w:rPr>
        <w:t>21</w:t>
      </w:r>
      <w:r>
        <w:rPr>
          <w:rFonts w:asciiTheme="majorBidi" w:hAnsiTheme="majorBidi" w:cstheme="majorBidi"/>
          <w:bCs/>
          <w:sz w:val="24"/>
          <w:szCs w:val="28"/>
          <w:lang w:eastAsia="zh-CN"/>
        </w:rPr>
        <w:t>–</w:t>
      </w:r>
      <w:r w:rsidRPr="000073DA">
        <w:rPr>
          <w:rFonts w:asciiTheme="majorBidi" w:hAnsiTheme="majorBidi" w:cstheme="majorBidi"/>
          <w:bCs/>
          <w:sz w:val="24"/>
          <w:szCs w:val="28"/>
          <w:lang w:eastAsia="zh-CN"/>
        </w:rPr>
        <w:t>30</w:t>
      </w:r>
      <w:r w:rsidRPr="000073DA">
        <w:rPr>
          <w:rFonts w:asciiTheme="majorBidi" w:hAnsiTheme="majorBidi" w:cstheme="majorBidi"/>
          <w:bCs/>
          <w:sz w:val="24"/>
          <w:szCs w:val="28"/>
          <w:lang w:eastAsia="zh-CN"/>
        </w:rPr>
        <w:t>日</w:t>
      </w:r>
    </w:p>
    <w:p w14:paraId="5BC5FC6E" w14:textId="77777777" w:rsidR="000073DA" w:rsidRPr="000073DA" w:rsidRDefault="000073DA" w:rsidP="000073DA">
      <w:pPr>
        <w:pStyle w:val="Heading7"/>
        <w:tabs>
          <w:tab w:val="clear" w:pos="567"/>
          <w:tab w:val="right" w:pos="9540"/>
        </w:tabs>
        <w:rPr>
          <w:rFonts w:asciiTheme="minorBidi" w:hAnsiTheme="minorBidi" w:cstheme="minorBidi"/>
          <w:szCs w:val="22"/>
          <w:lang w:eastAsia="zh-CN"/>
        </w:rPr>
      </w:pPr>
      <w:r w:rsidRPr="002D2BE8">
        <w:rPr>
          <w:rFonts w:asciiTheme="minorBidi" w:hAnsiTheme="minorBidi" w:cstheme="minorBidi" w:hint="eastAsia"/>
          <w:sz w:val="24"/>
          <w:lang w:eastAsia="zh-CN"/>
        </w:rPr>
        <w:t>临时议程项目</w:t>
      </w:r>
      <w:r w:rsidRPr="000073DA">
        <w:rPr>
          <w:rFonts w:asciiTheme="minorBidi" w:hAnsiTheme="minorBidi" w:cstheme="minorBidi"/>
          <w:sz w:val="24"/>
          <w:lang w:eastAsia="zh-CN"/>
        </w:rPr>
        <w:t>3.4.1.2</w:t>
      </w:r>
    </w:p>
    <w:p w14:paraId="54B854F8" w14:textId="77777777" w:rsidR="000073DA" w:rsidRPr="002E68F8" w:rsidRDefault="000073DA" w:rsidP="000073DA">
      <w:pPr>
        <w:pStyle w:val="Docheading"/>
        <w:spacing w:before="240" w:after="240"/>
        <w:rPr>
          <w:rFonts w:ascii="SimHei" w:eastAsia="SimHei" w:hAnsi="SimHei"/>
          <w:sz w:val="24"/>
          <w:szCs w:val="28"/>
          <w:lang w:eastAsia="zh-CN"/>
        </w:rPr>
      </w:pPr>
      <w:r w:rsidRPr="002E68F8">
        <w:rPr>
          <w:rFonts w:ascii="SimHei" w:eastAsia="SimHei" w:hAnsi="SimHei" w:hint="eastAsia"/>
          <w:sz w:val="24"/>
          <w:szCs w:val="28"/>
          <w:lang w:eastAsia="zh-CN"/>
        </w:rPr>
        <w:t>海洋十年海啸计划</w:t>
      </w:r>
    </w:p>
    <w:p w14:paraId="3EA09C17" w14:textId="77777777" w:rsidR="000073DA" w:rsidRPr="002E68F8" w:rsidRDefault="000073DA" w:rsidP="000073DA">
      <w:pPr>
        <w:pStyle w:val="Docheading"/>
        <w:spacing w:after="240"/>
        <w:rPr>
          <w:rFonts w:ascii="SimHei" w:eastAsia="SimHei" w:hAnsi="SimHei"/>
          <w:sz w:val="24"/>
          <w:szCs w:val="28"/>
          <w:lang w:eastAsia="zh-CN"/>
        </w:rPr>
      </w:pPr>
      <w:r w:rsidRPr="002E68F8">
        <w:rPr>
          <w:rFonts w:ascii="SimHei" w:eastAsia="SimHei" w:hAnsi="SimHei" w:hint="eastAsia"/>
          <w:sz w:val="24"/>
          <w:szCs w:val="28"/>
          <w:lang w:eastAsia="zh-CN"/>
        </w:rPr>
        <w:t>研究、开发和实施计划</w:t>
      </w:r>
    </w:p>
    <w:p w14:paraId="3290EAB5" w14:textId="77777777" w:rsidR="000073DA" w:rsidRPr="002E68F8" w:rsidRDefault="000073DA" w:rsidP="000073DA">
      <w:pPr>
        <w:pStyle w:val="Docheading"/>
        <w:rPr>
          <w:rFonts w:ascii="SimHei" w:eastAsia="SimHei" w:hAnsi="SimHei"/>
          <w:sz w:val="24"/>
          <w:szCs w:val="28"/>
          <w:lang w:eastAsia="zh-CN"/>
        </w:rPr>
      </w:pPr>
      <w:r w:rsidRPr="002E68F8">
        <w:rPr>
          <w:rFonts w:ascii="SimHei" w:eastAsia="SimHei" w:hAnsi="SimHei" w:hint="eastAsia"/>
          <w:sz w:val="24"/>
          <w:szCs w:val="28"/>
          <w:lang w:eastAsia="zh-CN"/>
        </w:rPr>
        <w:t>执行摘要</w:t>
      </w:r>
    </w:p>
    <w:tbl>
      <w:tblPr>
        <w:tblStyle w:val="TableGrid"/>
        <w:tblW w:w="0" w:type="auto"/>
        <w:tblLook w:val="04A0" w:firstRow="1" w:lastRow="0" w:firstColumn="1" w:lastColumn="0" w:noHBand="0" w:noVBand="1"/>
      </w:tblPr>
      <w:tblGrid>
        <w:gridCol w:w="8296"/>
      </w:tblGrid>
      <w:tr w:rsidR="000073DA" w14:paraId="4E230B4F" w14:textId="77777777" w:rsidTr="000073DA">
        <w:tc>
          <w:tcPr>
            <w:tcW w:w="8296" w:type="dxa"/>
          </w:tcPr>
          <w:p w14:paraId="71F21842" w14:textId="5AAB2143" w:rsidR="000073DA" w:rsidRPr="000073DA" w:rsidRDefault="000073DA" w:rsidP="000073DA">
            <w:pPr>
              <w:pStyle w:val="Marge"/>
              <w:spacing w:before="240"/>
              <w:jc w:val="center"/>
              <w:rPr>
                <w:rFonts w:cs="Arial"/>
                <w:sz w:val="24"/>
                <w:lang w:eastAsia="zh-CN"/>
              </w:rPr>
            </w:pPr>
            <w:r w:rsidRPr="000073DA">
              <w:rPr>
                <w:rFonts w:cs="Arial" w:hint="eastAsia"/>
                <w:sz w:val="24"/>
                <w:u w:val="single"/>
                <w:lang w:eastAsia="zh-CN"/>
              </w:rPr>
              <w:t>概</w:t>
            </w:r>
            <w:r w:rsidRPr="000073DA">
              <w:rPr>
                <w:rFonts w:cs="Arial"/>
                <w:sz w:val="24"/>
                <w:u w:val="single"/>
                <w:lang w:eastAsia="zh-CN"/>
              </w:rPr>
              <w:tab/>
            </w:r>
            <w:r w:rsidRPr="000073DA">
              <w:rPr>
                <w:rFonts w:cs="Arial" w:hint="eastAsia"/>
                <w:sz w:val="24"/>
                <w:u w:val="single"/>
                <w:lang w:eastAsia="zh-CN"/>
              </w:rPr>
              <w:t>要</w:t>
            </w:r>
          </w:p>
          <w:p w14:paraId="6F99A2B2" w14:textId="47731DB7" w:rsidR="000073DA" w:rsidRPr="000073DA" w:rsidRDefault="000073DA" w:rsidP="000073DA">
            <w:pPr>
              <w:pStyle w:val="Marge"/>
              <w:snapToGrid/>
              <w:spacing w:before="240" w:line="360" w:lineRule="auto"/>
              <w:rPr>
                <w:rFonts w:asciiTheme="majorBidi" w:hAnsiTheme="majorBidi" w:cstheme="majorBidi"/>
                <w:sz w:val="24"/>
                <w:lang w:eastAsia="zh-CN"/>
              </w:rPr>
            </w:pPr>
            <w:r w:rsidRPr="000073DA">
              <w:rPr>
                <w:rFonts w:asciiTheme="majorBidi" w:hAnsiTheme="majorBidi" w:cstheme="majorBidi"/>
                <w:sz w:val="24"/>
                <w:lang w:eastAsia="zh-CN"/>
              </w:rPr>
              <w:t>本文件系为落实</w:t>
            </w:r>
            <w:r w:rsidRPr="000073DA">
              <w:rPr>
                <w:rFonts w:ascii="SimSun" w:hAnsi="SimSun" w:cstheme="majorBidi"/>
                <w:sz w:val="24"/>
                <w:lang w:eastAsia="zh-CN"/>
              </w:rPr>
              <w:t>关于“海洋灾害预警和减灾系统”的</w:t>
            </w:r>
            <w:r w:rsidRPr="000073DA">
              <w:rPr>
                <w:rFonts w:asciiTheme="majorBidi" w:hAnsiTheme="majorBidi" w:cstheme="majorBidi"/>
                <w:sz w:val="24"/>
                <w:lang w:eastAsia="zh-CN"/>
              </w:rPr>
              <w:t>第</w:t>
            </w:r>
            <w:r w:rsidRPr="000073DA">
              <w:rPr>
                <w:rFonts w:asciiTheme="majorBidi" w:hAnsiTheme="majorBidi" w:cstheme="majorBidi"/>
                <w:sz w:val="24"/>
                <w:lang w:eastAsia="zh-CN"/>
              </w:rPr>
              <w:t>A-31/3.4.1</w:t>
            </w:r>
            <w:r w:rsidRPr="000073DA">
              <w:rPr>
                <w:rFonts w:asciiTheme="majorBidi" w:hAnsiTheme="majorBidi" w:cstheme="majorBidi"/>
                <w:sz w:val="24"/>
                <w:lang w:eastAsia="zh-CN"/>
              </w:rPr>
              <w:t>号决定而编写，该决定批准设立海洋十年海啸计划，以及一个为该计划编写海洋十年海啸计划研究、开发和实施计划</w:t>
            </w:r>
            <w:r>
              <w:rPr>
                <w:rFonts w:asciiTheme="majorBidi" w:hAnsiTheme="majorBidi" w:cstheme="majorBidi" w:hint="eastAsia"/>
                <w:sz w:val="24"/>
                <w:lang w:eastAsia="zh-CN"/>
              </w:rPr>
              <w:t>（</w:t>
            </w:r>
            <w:r w:rsidRPr="000073DA">
              <w:rPr>
                <w:rFonts w:asciiTheme="majorBidi" w:hAnsiTheme="majorBidi" w:cstheme="majorBidi"/>
                <w:sz w:val="24"/>
                <w:lang w:eastAsia="zh-CN"/>
              </w:rPr>
              <w:t>ODTP RDIP</w:t>
            </w:r>
            <w:r>
              <w:rPr>
                <w:rFonts w:asciiTheme="majorBidi" w:hAnsiTheme="majorBidi" w:cstheme="majorBidi" w:hint="eastAsia"/>
                <w:sz w:val="24"/>
                <w:lang w:eastAsia="zh-CN"/>
              </w:rPr>
              <w:t>）</w:t>
            </w:r>
            <w:r w:rsidRPr="000073DA">
              <w:rPr>
                <w:rFonts w:asciiTheme="majorBidi" w:hAnsiTheme="majorBidi" w:cstheme="majorBidi"/>
                <w:sz w:val="24"/>
                <w:lang w:eastAsia="zh-CN"/>
              </w:rPr>
              <w:t>草案的科学委员会。</w:t>
            </w:r>
          </w:p>
          <w:p w14:paraId="74037747" w14:textId="2F8E2465" w:rsidR="000073DA" w:rsidRPr="000073DA" w:rsidRDefault="000073DA" w:rsidP="000073DA">
            <w:pPr>
              <w:pStyle w:val="Marge"/>
              <w:snapToGrid/>
              <w:spacing w:before="240" w:line="360" w:lineRule="auto"/>
              <w:rPr>
                <w:rFonts w:asciiTheme="majorBidi" w:hAnsiTheme="majorBidi" w:cstheme="majorBidi"/>
                <w:sz w:val="24"/>
                <w:lang w:eastAsia="zh-CN"/>
              </w:rPr>
            </w:pPr>
            <w:r w:rsidRPr="000073DA">
              <w:rPr>
                <w:rFonts w:asciiTheme="majorBidi" w:hAnsiTheme="majorBidi" w:cstheme="majorBidi"/>
                <w:sz w:val="24"/>
                <w:lang w:eastAsia="zh-CN"/>
              </w:rPr>
              <w:t>本工作文件转载了海洋十年海啸计划研究、开发和实施计划的执行摘要，以便于海委会大会核准海洋十年海啸计划研究、开发和实施计划。文件完整版（共</w:t>
            </w:r>
            <w:r w:rsidRPr="000073DA">
              <w:rPr>
                <w:rFonts w:asciiTheme="majorBidi" w:hAnsiTheme="majorBidi" w:cstheme="majorBidi"/>
                <w:sz w:val="24"/>
                <w:lang w:eastAsia="zh-CN"/>
              </w:rPr>
              <w:t>83</w:t>
            </w:r>
            <w:r w:rsidRPr="000073DA">
              <w:rPr>
                <w:rFonts w:asciiTheme="majorBidi" w:hAnsiTheme="majorBidi" w:cstheme="majorBidi"/>
                <w:sz w:val="24"/>
                <w:lang w:eastAsia="zh-CN"/>
              </w:rPr>
              <w:t>页）作为海委会技术丛书</w:t>
            </w:r>
            <w:r w:rsidRPr="000073DA">
              <w:rPr>
                <w:rFonts w:asciiTheme="majorBidi" w:hAnsiTheme="majorBidi" w:cstheme="majorBidi"/>
                <w:sz w:val="24"/>
                <w:lang w:eastAsia="zh-CN"/>
              </w:rPr>
              <w:t>180</w:t>
            </w:r>
            <w:r w:rsidRPr="000073DA">
              <w:rPr>
                <w:rFonts w:asciiTheme="majorBidi" w:hAnsiTheme="majorBidi" w:cstheme="majorBidi"/>
                <w:sz w:val="24"/>
                <w:lang w:eastAsia="zh-CN"/>
              </w:rPr>
              <w:t>草案发布。</w:t>
            </w:r>
          </w:p>
          <w:p w14:paraId="4403DF4C" w14:textId="036D2A6F" w:rsidR="000073DA" w:rsidRPr="000073DA" w:rsidRDefault="000073DA" w:rsidP="000073DA">
            <w:pPr>
              <w:pStyle w:val="Marge"/>
              <w:snapToGrid/>
              <w:spacing w:before="240" w:line="360" w:lineRule="auto"/>
              <w:rPr>
                <w:rFonts w:asciiTheme="majorBidi" w:hAnsiTheme="majorBidi" w:cstheme="majorBidi"/>
                <w:sz w:val="24"/>
                <w:lang w:eastAsia="zh-CN"/>
              </w:rPr>
            </w:pPr>
            <w:r w:rsidRPr="000073DA">
              <w:rPr>
                <w:rFonts w:asciiTheme="majorBidi" w:hAnsiTheme="majorBidi" w:cstheme="majorBidi"/>
                <w:sz w:val="24"/>
                <w:u w:val="single"/>
                <w:lang w:eastAsia="zh-CN"/>
              </w:rPr>
              <w:t>财务和行政影响：</w:t>
            </w:r>
            <w:r w:rsidRPr="000073DA">
              <w:rPr>
                <w:rFonts w:asciiTheme="majorBidi" w:hAnsiTheme="majorBidi" w:cstheme="majorBidi"/>
                <w:sz w:val="24"/>
                <w:lang w:eastAsia="zh-CN"/>
              </w:rPr>
              <w:t>第</w:t>
            </w:r>
            <w:r w:rsidRPr="000073DA">
              <w:rPr>
                <w:rFonts w:asciiTheme="majorBidi" w:hAnsiTheme="majorBidi" w:cstheme="majorBidi"/>
                <w:sz w:val="24"/>
                <w:lang w:eastAsia="zh-CN"/>
              </w:rPr>
              <w:t>35</w:t>
            </w:r>
            <w:r w:rsidRPr="000073DA">
              <w:rPr>
                <w:rFonts w:asciiTheme="majorBidi" w:hAnsiTheme="majorBidi" w:cstheme="majorBidi"/>
                <w:sz w:val="24"/>
                <w:lang w:eastAsia="zh-CN"/>
              </w:rPr>
              <w:t>段。</w:t>
            </w:r>
          </w:p>
          <w:p w14:paraId="0C9BC00B" w14:textId="11CAD103" w:rsidR="000073DA" w:rsidRPr="000073DA" w:rsidRDefault="000073DA" w:rsidP="000073DA">
            <w:pPr>
              <w:snapToGrid/>
              <w:spacing w:before="240" w:after="240" w:line="360" w:lineRule="auto"/>
              <w:jc w:val="both"/>
              <w:rPr>
                <w:rFonts w:asciiTheme="majorBidi" w:hAnsiTheme="majorBidi" w:cstheme="majorBidi"/>
                <w:sz w:val="24"/>
                <w:lang w:eastAsia="zh-CN"/>
              </w:rPr>
            </w:pPr>
            <w:r w:rsidRPr="000073DA">
              <w:rPr>
                <w:rFonts w:asciiTheme="majorBidi" w:hAnsiTheme="majorBidi" w:cstheme="majorBidi"/>
                <w:sz w:val="24"/>
                <w:u w:val="single"/>
                <w:lang w:eastAsia="zh-CN"/>
              </w:rPr>
              <w:t>拟议决定</w:t>
            </w:r>
            <w:r w:rsidRPr="000073DA">
              <w:rPr>
                <w:rFonts w:asciiTheme="majorBidi" w:hAnsiTheme="majorBidi" w:cstheme="majorBidi"/>
                <w:sz w:val="24"/>
                <w:lang w:eastAsia="zh-CN"/>
              </w:rPr>
              <w:t>作为第</w:t>
            </w:r>
            <w:r w:rsidRPr="000073DA">
              <w:rPr>
                <w:rFonts w:asciiTheme="majorBidi" w:hAnsiTheme="majorBidi" w:cstheme="majorBidi"/>
                <w:sz w:val="24"/>
                <w:lang w:eastAsia="zh-CN"/>
              </w:rPr>
              <w:t>IOC-32/3.4.1(Part III)</w:t>
            </w:r>
            <w:proofErr w:type="gramStart"/>
            <w:r w:rsidRPr="000073DA">
              <w:rPr>
                <w:rFonts w:asciiTheme="majorBidi" w:hAnsiTheme="majorBidi" w:cstheme="majorBidi"/>
                <w:sz w:val="24"/>
                <w:lang w:eastAsia="zh-CN"/>
              </w:rPr>
              <w:t>号决定</w:t>
            </w:r>
            <w:proofErr w:type="gramEnd"/>
            <w:r w:rsidRPr="000073DA">
              <w:rPr>
                <w:rFonts w:asciiTheme="majorBidi" w:hAnsiTheme="majorBidi" w:cstheme="majorBidi"/>
                <w:sz w:val="24"/>
                <w:lang w:eastAsia="zh-CN"/>
              </w:rPr>
              <w:t>载于《行动文件》（第</w:t>
            </w:r>
            <w:r w:rsidRPr="000073DA">
              <w:rPr>
                <w:rFonts w:asciiTheme="majorBidi" w:hAnsiTheme="majorBidi" w:cstheme="majorBidi"/>
                <w:sz w:val="24"/>
                <w:lang w:eastAsia="zh-CN"/>
              </w:rPr>
              <w:t>IOC/32-AP Prov.</w:t>
            </w:r>
            <w:r w:rsidRPr="000073DA">
              <w:rPr>
                <w:rFonts w:asciiTheme="majorBidi" w:hAnsiTheme="majorBidi" w:cstheme="majorBidi"/>
                <w:sz w:val="24"/>
                <w:lang w:eastAsia="zh-CN"/>
              </w:rPr>
              <w:t>号文件）。</w:t>
            </w:r>
          </w:p>
        </w:tc>
      </w:tr>
    </w:tbl>
    <w:p w14:paraId="4F5C904A" w14:textId="77777777" w:rsidR="000073DA" w:rsidRDefault="000073DA" w:rsidP="000073DA">
      <w:pPr>
        <w:pStyle w:val="Docheading"/>
        <w:rPr>
          <w:lang w:eastAsia="zh-CN"/>
        </w:rPr>
        <w:sectPr w:rsidR="000073DA">
          <w:headerReference w:type="default" r:id="rId7"/>
          <w:pgSz w:w="11906" w:h="16838"/>
          <w:pgMar w:top="1440" w:right="1800" w:bottom="1440" w:left="1800" w:header="708" w:footer="708" w:gutter="0"/>
          <w:cols w:space="708"/>
          <w:docGrid w:linePitch="360"/>
        </w:sectPr>
      </w:pPr>
    </w:p>
    <w:p w14:paraId="32BDAC70" w14:textId="77777777" w:rsidR="000073DA" w:rsidRPr="000073DA" w:rsidRDefault="000073DA" w:rsidP="000073DA">
      <w:pPr>
        <w:pStyle w:val="Heading2"/>
        <w:snapToGrid/>
        <w:spacing w:before="240" w:after="240" w:line="360" w:lineRule="auto"/>
        <w:jc w:val="both"/>
        <w:rPr>
          <w:rFonts w:ascii="SimHei" w:eastAsia="SimHei" w:hAnsi="SimHei"/>
          <w:b/>
          <w:bCs/>
          <w:sz w:val="24"/>
          <w:szCs w:val="24"/>
          <w:lang w:eastAsia="zh-CN"/>
        </w:rPr>
      </w:pPr>
      <w:r w:rsidRPr="000073DA">
        <w:rPr>
          <w:rFonts w:ascii="SimHei" w:eastAsia="SimHei" w:hAnsi="SimHei"/>
          <w:b/>
          <w:bCs/>
          <w:sz w:val="24"/>
          <w:szCs w:val="24"/>
          <w:lang w:eastAsia="zh-CN"/>
        </w:rPr>
        <w:lastRenderedPageBreak/>
        <w:t>引言</w:t>
      </w:r>
    </w:p>
    <w:p w14:paraId="318D21E6" w14:textId="579DC04D" w:rsidR="000073DA" w:rsidRPr="00394B1E" w:rsidRDefault="0064501A" w:rsidP="007C2CED">
      <w:pPr>
        <w:pStyle w:val="COI"/>
      </w:pPr>
      <w:r w:rsidRPr="00394B1E">
        <w:t>1.</w:t>
      </w:r>
      <w:r w:rsidRPr="00394B1E">
        <w:tab/>
      </w:r>
      <w:r w:rsidR="00D00B04" w:rsidRPr="00394B1E">
        <w:rPr>
          <w:spacing w:val="-4"/>
        </w:rPr>
        <w:t>海啸是最致命的海洋灾害之一，它可能在数分钟或数小时内袭来，很多时候毫无征兆，</w:t>
      </w:r>
      <w:r w:rsidR="00D00B04" w:rsidRPr="00394B1E">
        <w:t>有可能影响到整个海洋盆地甚至多个海洋盆地。海啸是由海底地震、海底或沿海滑坡、火山爆发、气象干扰或陨石撞击等引发的大量水体位移造成的。</w:t>
      </w:r>
      <w:r w:rsidR="00D00B04" w:rsidRPr="00394B1E">
        <w:t>1992–2022</w:t>
      </w:r>
      <w:r w:rsidR="00D00B04" w:rsidRPr="00394B1E">
        <w:t>年期间，全世界共观测到</w:t>
      </w:r>
      <w:r w:rsidR="00D00B04" w:rsidRPr="00394B1E">
        <w:t>360</w:t>
      </w:r>
      <w:r w:rsidR="00D00B04" w:rsidRPr="00394B1E">
        <w:t>次经确认的海啸。其中三十五次造成了人员死亡。我们不知道下一次海啸何时何地发生，但我们知道其影响可能是毁灭性的。</w:t>
      </w:r>
    </w:p>
    <w:p w14:paraId="78B99E08" w14:textId="2955B676" w:rsidR="00D00B04" w:rsidRPr="00394B1E" w:rsidRDefault="0064501A" w:rsidP="007C2CED">
      <w:pPr>
        <w:pStyle w:val="COI"/>
      </w:pPr>
      <w:r w:rsidRPr="00394B1E">
        <w:t>2.</w:t>
      </w:r>
      <w:r w:rsidRPr="00394B1E">
        <w:tab/>
      </w:r>
      <w:r w:rsidR="00D00B04" w:rsidRPr="00394B1E">
        <w:t>2004</w:t>
      </w:r>
      <w:r w:rsidR="00D00B04" w:rsidRPr="00394B1E">
        <w:t>年</w:t>
      </w:r>
      <w:r w:rsidR="00D00B04" w:rsidRPr="00394B1E">
        <w:t>12</w:t>
      </w:r>
      <w:r w:rsidR="00D00B04" w:rsidRPr="00394B1E">
        <w:t>月</w:t>
      </w:r>
      <w:r w:rsidR="00D00B04" w:rsidRPr="00394B1E">
        <w:t>26</w:t>
      </w:r>
      <w:r w:rsidR="00D00B04" w:rsidRPr="00394B1E">
        <w:t>日的印度洋大地震，造成了有史以来规模最大、最具灾难性的海啸之一。据估计，</w:t>
      </w:r>
      <w:r w:rsidR="00B90355" w:rsidRPr="00394B1E">
        <w:t>共有</w:t>
      </w:r>
      <w:r w:rsidR="00D00B04" w:rsidRPr="00394B1E">
        <w:t>14</w:t>
      </w:r>
      <w:r w:rsidR="00D00B04" w:rsidRPr="00394B1E">
        <w:t>个国家</w:t>
      </w:r>
      <w:r w:rsidR="00B90355" w:rsidRPr="00394B1E">
        <w:t>的</w:t>
      </w:r>
      <w:r w:rsidR="00D00B04" w:rsidRPr="00394B1E">
        <w:t>23</w:t>
      </w:r>
      <w:r w:rsidR="00D00B04" w:rsidRPr="00394B1E">
        <w:t>万人丧生，</w:t>
      </w:r>
      <w:r w:rsidR="00B90355" w:rsidRPr="00394B1E">
        <w:t>由此带来</w:t>
      </w:r>
      <w:r w:rsidR="00D00B04" w:rsidRPr="00394B1E">
        <w:t>的损失估计达</w:t>
      </w:r>
      <w:r w:rsidR="00D00B04" w:rsidRPr="00394B1E">
        <w:t>100</w:t>
      </w:r>
      <w:r w:rsidR="00D00B04" w:rsidRPr="00394B1E">
        <w:t>亿美元。据报告，苏门答腊西北海岸的班达亚齐和米拉务的遇难人数最</w:t>
      </w:r>
      <w:r w:rsidR="007908B1" w:rsidRPr="00394B1E">
        <w:t>多</w:t>
      </w:r>
      <w:r w:rsidR="00D00B04" w:rsidRPr="00394B1E">
        <w:t>，约为</w:t>
      </w:r>
      <w:r w:rsidR="00D00B04" w:rsidRPr="00394B1E">
        <w:t>13</w:t>
      </w:r>
      <w:r w:rsidR="00D00B04" w:rsidRPr="00394B1E">
        <w:t>万人，那里的海啸高度超过了</w:t>
      </w:r>
      <w:r w:rsidR="00D00B04" w:rsidRPr="00394B1E">
        <w:t>30</w:t>
      </w:r>
      <w:r w:rsidR="00D00B04" w:rsidRPr="00394B1E">
        <w:t>米。海啸在数小时内向印度洋的各个方向传播，</w:t>
      </w:r>
      <w:r w:rsidR="007908B1" w:rsidRPr="00394B1E">
        <w:t>波及</w:t>
      </w:r>
      <w:r w:rsidR="00D00B04" w:rsidRPr="00394B1E">
        <w:t>泰国、斯里兰卡、印度、马尔代夫，甚至远至东非。几年后</w:t>
      </w:r>
      <w:r w:rsidR="00AD5F4B" w:rsidRPr="00394B1E">
        <w:t>的</w:t>
      </w:r>
      <w:r w:rsidR="00D00B04" w:rsidRPr="00394B1E">
        <w:t>2011</w:t>
      </w:r>
      <w:r w:rsidR="00D00B04" w:rsidRPr="00394B1E">
        <w:t>年</w:t>
      </w:r>
      <w:r w:rsidR="00D00B04" w:rsidRPr="00394B1E">
        <w:t>3</w:t>
      </w:r>
      <w:r w:rsidR="00D00B04" w:rsidRPr="00394B1E">
        <w:t>月</w:t>
      </w:r>
      <w:r w:rsidR="00D00B04" w:rsidRPr="00394B1E">
        <w:t>11</w:t>
      </w:r>
      <w:r w:rsidR="00D00B04" w:rsidRPr="00394B1E">
        <w:t>日，日本东北部太平洋海域发生特大地震并引发海啸，给日本东北部沿海</w:t>
      </w:r>
      <w:r w:rsidR="00D00B04" w:rsidRPr="006757D9">
        <w:t>地区特别是东北地区造成毁灭性破坏，那里的海啸最大高度</w:t>
      </w:r>
      <w:r w:rsidR="00C668CF" w:rsidRPr="006757D9">
        <w:t>约</w:t>
      </w:r>
      <w:r w:rsidR="00D00B04" w:rsidRPr="006757D9">
        <w:t>达</w:t>
      </w:r>
      <w:r w:rsidR="00D00B04" w:rsidRPr="006757D9">
        <w:t>20</w:t>
      </w:r>
      <w:r w:rsidR="00D00B04" w:rsidRPr="006757D9">
        <w:t>米，并深入内陆约</w:t>
      </w:r>
      <w:r w:rsidR="00D00B04" w:rsidRPr="006757D9">
        <w:t>5</w:t>
      </w:r>
      <w:r w:rsidR="00D00B04" w:rsidRPr="006757D9">
        <w:t>公里。</w:t>
      </w:r>
      <w:r w:rsidR="00192128" w:rsidRPr="006757D9">
        <w:rPr>
          <w:rFonts w:hint="eastAsia"/>
        </w:rPr>
        <w:t>如果</w:t>
      </w:r>
      <w:r w:rsidR="00BE35F3" w:rsidRPr="006757D9">
        <w:rPr>
          <w:rFonts w:hint="eastAsia"/>
        </w:rPr>
        <w:t>将</w:t>
      </w:r>
      <w:r w:rsidR="00D00B04" w:rsidRPr="006757D9">
        <w:rPr>
          <w:rFonts w:hint="eastAsia"/>
        </w:rPr>
        <w:t>失踪人员</w:t>
      </w:r>
      <w:r w:rsidR="00BE35F3" w:rsidRPr="006757D9">
        <w:rPr>
          <w:rFonts w:hint="eastAsia"/>
        </w:rPr>
        <w:t>统计</w:t>
      </w:r>
      <w:r w:rsidR="00D00B04" w:rsidRPr="006757D9">
        <w:rPr>
          <w:rFonts w:hint="eastAsia"/>
        </w:rPr>
        <w:t>在内</w:t>
      </w:r>
      <w:r w:rsidR="00BE35F3" w:rsidRPr="006757D9">
        <w:rPr>
          <w:rFonts w:hint="eastAsia"/>
        </w:rPr>
        <w:t>，</w:t>
      </w:r>
      <w:r w:rsidR="00D00B04" w:rsidRPr="006757D9">
        <w:rPr>
          <w:rFonts w:hint="eastAsia"/>
        </w:rPr>
        <w:t>近</w:t>
      </w:r>
      <w:r w:rsidR="00D00B04" w:rsidRPr="006757D9">
        <w:t>2</w:t>
      </w:r>
      <w:r w:rsidR="00D00B04" w:rsidRPr="006757D9">
        <w:rPr>
          <w:rFonts w:hint="eastAsia"/>
        </w:rPr>
        <w:t>万人丧生，其中约</w:t>
      </w:r>
      <w:r w:rsidR="00D00B04" w:rsidRPr="006757D9">
        <w:t>90%</w:t>
      </w:r>
      <w:r w:rsidR="005F016A" w:rsidRPr="006757D9">
        <w:rPr>
          <w:rFonts w:hint="eastAsia"/>
        </w:rPr>
        <w:t>的失踪事件</w:t>
      </w:r>
      <w:r w:rsidR="00D00B04" w:rsidRPr="006757D9">
        <w:rPr>
          <w:rFonts w:hint="eastAsia"/>
        </w:rPr>
        <w:t>是海啸造成的。</w:t>
      </w:r>
      <w:r w:rsidR="00D00B04" w:rsidRPr="006757D9">
        <w:t>海啸还对福岛核电站造成重大破坏。这场灾害直接导致了一场核事故的发生。数小时内，海啸波及整个太平洋，影响到远至加利福尼亚的遥远地区，那里的新月城和其他几个港口</w:t>
      </w:r>
      <w:r w:rsidR="00AA667C" w:rsidRPr="006757D9">
        <w:t>均</w:t>
      </w:r>
      <w:r w:rsidR="00D00B04" w:rsidRPr="006757D9">
        <w:rPr>
          <w:rFonts w:hint="eastAsia"/>
        </w:rPr>
        <w:t>有受损</w:t>
      </w:r>
      <w:r w:rsidR="00AA667C" w:rsidRPr="006757D9">
        <w:t>记录</w:t>
      </w:r>
      <w:r w:rsidR="00D00B04" w:rsidRPr="006757D9">
        <w:t>。</w:t>
      </w:r>
    </w:p>
    <w:p w14:paraId="3944CCF3" w14:textId="6CF0D038" w:rsidR="000073DA" w:rsidRPr="00394B1E" w:rsidRDefault="0064501A" w:rsidP="007C2CED">
      <w:pPr>
        <w:pStyle w:val="COI"/>
      </w:pPr>
      <w:r w:rsidRPr="00394B1E">
        <w:t>3.</w:t>
      </w:r>
      <w:r w:rsidRPr="00394B1E">
        <w:tab/>
      </w:r>
      <w:r w:rsidR="00344825" w:rsidRPr="00394B1E">
        <w:t>2018</w:t>
      </w:r>
      <w:r w:rsidR="00344825" w:rsidRPr="00394B1E">
        <w:t>年的帕卢海啸和喀拉喀托之子火山海啸以及</w:t>
      </w:r>
      <w:r w:rsidR="00344825" w:rsidRPr="00394B1E">
        <w:t>2022</w:t>
      </w:r>
      <w:r w:rsidR="00344825" w:rsidRPr="00394B1E">
        <w:t>年的洪阿汤加</w:t>
      </w:r>
      <w:r w:rsidR="00344825" w:rsidRPr="00394B1E">
        <w:t>—</w:t>
      </w:r>
      <w:r w:rsidR="00344825" w:rsidRPr="00394B1E">
        <w:t>洪阿哈阿帕伊火山海啸，进一步说明了目前的海啸预警系统在当地和全球面临的挑战。</w:t>
      </w:r>
      <w:proofErr w:type="gramStart"/>
      <w:r w:rsidR="00344825" w:rsidRPr="00394B1E">
        <w:t>这三</w:t>
      </w:r>
      <w:r w:rsidR="006757D9">
        <w:rPr>
          <w:rFonts w:hint="eastAsia"/>
        </w:rPr>
        <w:t>起</w:t>
      </w:r>
      <w:r w:rsidR="00344825" w:rsidRPr="00394B1E">
        <w:t>事件</w:t>
      </w:r>
      <w:r w:rsidR="00A55B0E" w:rsidRPr="00394B1E">
        <w:t>因并非由俯冲带地震引起而</w:t>
      </w:r>
      <w:r w:rsidR="00344825" w:rsidRPr="00394B1E">
        <w:t>被归类</w:t>
      </w:r>
      <w:r w:rsidR="00344825" w:rsidRPr="006757D9">
        <w:rPr>
          <w:rFonts w:ascii="SimSun" w:hAnsi="SimSun"/>
        </w:rPr>
        <w:t>为“</w:t>
      </w:r>
      <w:proofErr w:type="gramEnd"/>
      <w:r w:rsidR="00344825" w:rsidRPr="006757D9">
        <w:rPr>
          <w:rFonts w:ascii="SimSun" w:hAnsi="SimSun"/>
        </w:rPr>
        <w:t>非地震</w:t>
      </w:r>
      <w:r w:rsidR="00EB54E0" w:rsidRPr="006757D9">
        <w:rPr>
          <w:rFonts w:ascii="SimSun" w:hAnsi="SimSun" w:hint="eastAsia"/>
        </w:rPr>
        <w:t>海啸</w:t>
      </w:r>
      <w:r w:rsidR="00344825" w:rsidRPr="006757D9">
        <w:rPr>
          <w:rFonts w:ascii="SimSun" w:hAnsi="SimSun"/>
        </w:rPr>
        <w:t>和复杂海啸”，这</w:t>
      </w:r>
      <w:r w:rsidR="00344825" w:rsidRPr="00394B1E">
        <w:t>为目前的海啸预警规程带来了挑战。</w:t>
      </w:r>
      <w:r w:rsidR="00344825" w:rsidRPr="00394B1E">
        <w:t>2022</w:t>
      </w:r>
      <w:r w:rsidR="00344825" w:rsidRPr="00394B1E">
        <w:t>年洪阿汤加</w:t>
      </w:r>
      <w:r w:rsidR="00344825" w:rsidRPr="00394B1E">
        <w:t>—</w:t>
      </w:r>
      <w:r w:rsidR="00344825" w:rsidRPr="00394B1E">
        <w:t>洪阿哈阿帕伊火山爆发引发的海啸影响了整个太平洋海洋盆地，在秘鲁造成两人死亡，在加勒比海和地中海等其他海洋盆地也有记录。</w:t>
      </w:r>
    </w:p>
    <w:p w14:paraId="1F77655D" w14:textId="2E2C4113" w:rsidR="000073DA" w:rsidRPr="00394B1E" w:rsidRDefault="0064501A" w:rsidP="007C2CED">
      <w:pPr>
        <w:pStyle w:val="COI"/>
      </w:pPr>
      <w:r w:rsidRPr="00394B1E">
        <w:t>4.</w:t>
      </w:r>
      <w:r w:rsidRPr="00394B1E">
        <w:tab/>
      </w:r>
      <w:r w:rsidR="003257B9" w:rsidRPr="00394B1E">
        <w:t>这些事件表明需要在国家和国际层面加强海啸预警系统的协调，以记录所有海啸，并让人们为应对所有海啸做好准备。教科文组织政府间海洋学委员会（海委会）受联合国委托，建立了运行于不同海洋盆地的全球海啸预警服务，包括太平洋海啸预警和减灾系统（</w:t>
      </w:r>
      <w:r w:rsidR="003257B9" w:rsidRPr="00394B1E">
        <w:t>PTWS</w:t>
      </w:r>
      <w:r w:rsidR="003257B9" w:rsidRPr="00394B1E">
        <w:t>）、印度洋海啸预警和减灾系统（</w:t>
      </w:r>
      <w:r w:rsidR="003257B9" w:rsidRPr="00394B1E">
        <w:t>IOTWMS</w:t>
      </w:r>
      <w:r w:rsidR="003257B9" w:rsidRPr="00394B1E">
        <w:t>）、东北大西洋和地中海及其邻近海域海啸预警系统（</w:t>
      </w:r>
      <w:r w:rsidR="003257B9" w:rsidRPr="00394B1E">
        <w:t>NEAMTWS</w:t>
      </w:r>
      <w:r w:rsidR="003257B9" w:rsidRPr="00394B1E">
        <w:t>）以及加勒比及其邻近地区预警系统（</w:t>
      </w:r>
      <w:r w:rsidR="003257B9" w:rsidRPr="00394B1E">
        <w:t>CARIBE-EWS</w:t>
      </w:r>
      <w:r w:rsidR="003257B9" w:rsidRPr="00394B1E">
        <w:t>），每个系统均由一个地区政府间协调小组（</w:t>
      </w:r>
      <w:r w:rsidR="003257B9" w:rsidRPr="00394B1E">
        <w:t>ICG</w:t>
      </w:r>
      <w:r w:rsidR="003257B9" w:rsidRPr="00394B1E">
        <w:t>）协调。政府间协调小组由各地区的会员国组成，其主要作用是组织和协调地区海啸减灾活动，包括海啸监测、及时发布海啸预警和社区应对。</w:t>
      </w:r>
      <w:r w:rsidR="003257B9" w:rsidRPr="00394B1E">
        <w:lastRenderedPageBreak/>
        <w:t>在政府间协调小组一级，由会员国政府指定的海啸预警国家联络点代表各国为协调国际海啸预警和减灾系统作出贡献。</w:t>
      </w:r>
    </w:p>
    <w:p w14:paraId="42786785" w14:textId="059B61F3" w:rsidR="000073DA" w:rsidRPr="00394B1E" w:rsidRDefault="0064501A" w:rsidP="007C2CED">
      <w:pPr>
        <w:pStyle w:val="COI"/>
      </w:pPr>
      <w:r w:rsidRPr="00394B1E">
        <w:t>5.</w:t>
      </w:r>
      <w:r w:rsidRPr="00394B1E">
        <w:tab/>
      </w:r>
      <w:r w:rsidR="00607932" w:rsidRPr="00394B1E">
        <w:t>在每个地区内，海啸服务中心（</w:t>
      </w:r>
      <w:r w:rsidR="00607932" w:rsidRPr="00394B1E">
        <w:t>TSP</w:t>
      </w:r>
      <w:r w:rsidR="00607932" w:rsidRPr="00394B1E">
        <w:t>）监测地震和海平面活动，并向每个参与国的国家海啸预警中心（</w:t>
      </w:r>
      <w:r w:rsidR="00607932" w:rsidRPr="00394B1E">
        <w:t>NTWC</w:t>
      </w:r>
      <w:r w:rsidR="00607932" w:rsidRPr="00394B1E">
        <w:t>）和海啸预警协调中心（</w:t>
      </w:r>
      <w:r w:rsidR="00607932" w:rsidRPr="00394B1E">
        <w:t>TWFP</w:t>
      </w:r>
      <w:r w:rsidR="00607932" w:rsidRPr="00394B1E">
        <w:t>），以及在同一海洋盆地内运行的其他海啸服务中心发布海啸威胁信息。国家海啸预警中心是政府正式指定在其国内发布海啸预警和其他相关声明的机构，</w:t>
      </w:r>
      <w:r w:rsidR="00A23F3A">
        <w:rPr>
          <w:rFonts w:hint="eastAsia"/>
        </w:rPr>
        <w:t>而</w:t>
      </w:r>
      <w:r w:rsidR="00607932" w:rsidRPr="00394B1E">
        <w:t>海啸预警协调中心</w:t>
      </w:r>
      <w:r w:rsidR="00A23F3A">
        <w:rPr>
          <w:rFonts w:hint="eastAsia"/>
        </w:rPr>
        <w:t>则</w:t>
      </w:r>
      <w:r w:rsidR="00607932" w:rsidRPr="00394B1E">
        <w:t>是经正式指定负责接收和传送来自政府间协调小组海啸服务中心的海啸信息的办公室、业务单位或</w:t>
      </w:r>
      <w:r w:rsidR="00E309A1">
        <w:rPr>
          <w:rFonts w:hint="eastAsia"/>
        </w:rPr>
        <w:t>岗位部门</w:t>
      </w:r>
      <w:r w:rsidR="00607932" w:rsidRPr="00394B1E">
        <w:t>。</w:t>
      </w:r>
    </w:p>
    <w:p w14:paraId="20281EC7" w14:textId="00915A2B" w:rsidR="000073DA" w:rsidRPr="00394B1E" w:rsidRDefault="0064501A" w:rsidP="007C2CED">
      <w:pPr>
        <w:pStyle w:val="COI"/>
      </w:pPr>
      <w:r w:rsidRPr="00394B1E">
        <w:t>6.</w:t>
      </w:r>
      <w:r w:rsidRPr="00394B1E">
        <w:tab/>
      </w:r>
      <w:r w:rsidR="00101361" w:rsidRPr="00394B1E">
        <w:t>每个地区都建立了海啸信息中心（</w:t>
      </w:r>
      <w:r w:rsidR="00101361" w:rsidRPr="00394B1E">
        <w:t>TIC</w:t>
      </w:r>
      <w:r w:rsidR="00101361" w:rsidRPr="00394B1E">
        <w:t>），以便在海啸防灾、备灾和减灾措施方面向各国和公众提供教育、外联以及技术和能力建设援助。海啸信息中心管理灾后绩效调查，也可支持风险评估和减灾活动。</w:t>
      </w:r>
    </w:p>
    <w:p w14:paraId="3E317A61" w14:textId="12DFF187" w:rsidR="000073DA" w:rsidRPr="00394B1E" w:rsidRDefault="0064501A" w:rsidP="007C2CED">
      <w:pPr>
        <w:pStyle w:val="COI"/>
      </w:pPr>
      <w:r w:rsidRPr="00394B1E">
        <w:t>7.</w:t>
      </w:r>
      <w:r w:rsidRPr="00394B1E">
        <w:tab/>
      </w:r>
      <w:r w:rsidR="00EF0B44" w:rsidRPr="00394B1E">
        <w:t>图</w:t>
      </w:r>
      <w:r w:rsidR="00EF0B44" w:rsidRPr="00394B1E">
        <w:t>1</w:t>
      </w:r>
      <w:r w:rsidR="00EF0B44" w:rsidRPr="00394B1E">
        <w:t>显示了每个地区海啸预警系统的地理覆盖范围及其海啸服务中心和海啸信息中心。</w:t>
      </w:r>
    </w:p>
    <w:p w14:paraId="0B30BD06" w14:textId="77777777" w:rsidR="000073DA" w:rsidRPr="00394B1E" w:rsidRDefault="000073DA" w:rsidP="007C2CED">
      <w:pPr>
        <w:pStyle w:val="COI"/>
      </w:pPr>
      <w:r w:rsidRPr="00394B1E">
        <w:rPr>
          <w:noProof/>
        </w:rPr>
        <w:drawing>
          <wp:inline distT="0" distB="0" distL="0" distR="0" wp14:anchorId="5097D54B" wp14:editId="6BDE6F9E">
            <wp:extent cx="5731510" cy="3223895"/>
            <wp:effectExtent l="0" t="0" r="0"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5731510" cy="3223895"/>
                    </a:xfrm>
                    <a:prstGeom prst="rect">
                      <a:avLst/>
                    </a:prstGeom>
                  </pic:spPr>
                </pic:pic>
              </a:graphicData>
            </a:graphic>
          </wp:inline>
        </w:drawing>
      </w:r>
    </w:p>
    <w:p w14:paraId="67D0443A" w14:textId="77777777" w:rsidR="000073DA" w:rsidRPr="00394B1E" w:rsidRDefault="000073DA" w:rsidP="000073DA">
      <w:pPr>
        <w:snapToGrid/>
        <w:spacing w:before="240" w:after="240" w:line="360" w:lineRule="auto"/>
        <w:jc w:val="both"/>
        <w:rPr>
          <w:rFonts w:asciiTheme="majorBidi" w:eastAsia="KaiTi" w:hAnsiTheme="majorBidi" w:cstheme="majorBidi"/>
          <w:sz w:val="24"/>
          <w:lang w:val="fr-FR" w:eastAsia="zh-CN"/>
        </w:rPr>
      </w:pPr>
      <w:r w:rsidRPr="00394B1E">
        <w:rPr>
          <w:rFonts w:asciiTheme="majorBidi" w:eastAsia="KaiTi" w:hAnsiTheme="majorBidi" w:cstheme="majorBidi"/>
          <w:sz w:val="24"/>
          <w:lang w:eastAsia="zh-CN"/>
        </w:rPr>
        <w:t>图</w:t>
      </w:r>
      <w:r w:rsidRPr="00394B1E">
        <w:rPr>
          <w:rFonts w:asciiTheme="majorBidi" w:eastAsia="KaiTi" w:hAnsiTheme="majorBidi" w:cstheme="majorBidi"/>
          <w:sz w:val="24"/>
          <w:lang w:eastAsia="zh-CN"/>
        </w:rPr>
        <w:t>1</w:t>
      </w:r>
      <w:r w:rsidRPr="00394B1E">
        <w:rPr>
          <w:rFonts w:asciiTheme="majorBidi" w:eastAsia="KaiTi" w:hAnsiTheme="majorBidi" w:cstheme="majorBidi"/>
          <w:sz w:val="24"/>
          <w:lang w:eastAsia="zh-CN"/>
        </w:rPr>
        <w:t>：全球海啸预警系统的地理覆盖范围、海啸服务中心和海啸信息中心</w:t>
      </w:r>
    </w:p>
    <w:p w14:paraId="3BD655FD" w14:textId="77777777" w:rsidR="000073DA" w:rsidRPr="00394B1E" w:rsidRDefault="000073DA" w:rsidP="000073DA">
      <w:pPr>
        <w:pStyle w:val="Heading2"/>
        <w:snapToGrid/>
        <w:spacing w:before="240" w:after="240" w:line="360" w:lineRule="auto"/>
        <w:jc w:val="both"/>
        <w:rPr>
          <w:rFonts w:asciiTheme="majorBidi" w:eastAsia="SimHei" w:hAnsiTheme="majorBidi"/>
          <w:b/>
          <w:bCs/>
          <w:caps/>
          <w:sz w:val="24"/>
          <w:szCs w:val="24"/>
          <w:lang w:eastAsia="zh-CN"/>
        </w:rPr>
      </w:pPr>
      <w:r w:rsidRPr="00394B1E">
        <w:rPr>
          <w:rFonts w:asciiTheme="majorBidi" w:eastAsia="SimHei" w:hAnsiTheme="majorBidi"/>
          <w:b/>
          <w:bCs/>
          <w:sz w:val="24"/>
          <w:szCs w:val="24"/>
          <w:lang w:eastAsia="zh-CN"/>
        </w:rPr>
        <w:t>海洋十年海啸计划</w:t>
      </w:r>
    </w:p>
    <w:p w14:paraId="28AD9A7C" w14:textId="1DF91A62" w:rsidR="000073DA" w:rsidRPr="00394B1E" w:rsidRDefault="0064501A" w:rsidP="007C2CED">
      <w:pPr>
        <w:pStyle w:val="COI"/>
      </w:pPr>
      <w:r w:rsidRPr="00394B1E">
        <w:t>8.</w:t>
      </w:r>
      <w:r w:rsidRPr="00394B1E">
        <w:tab/>
      </w:r>
      <w:r w:rsidR="00A03EA0" w:rsidRPr="00394B1E">
        <w:t>2016</w:t>
      </w:r>
      <w:r w:rsidR="00A03EA0" w:rsidRPr="00394B1E">
        <w:t>年，</w:t>
      </w:r>
      <w:proofErr w:type="gramStart"/>
      <w:r w:rsidR="00A03EA0" w:rsidRPr="00394B1E">
        <w:t>海委会提出了</w:t>
      </w:r>
      <w:r w:rsidR="00A03EA0" w:rsidRPr="001224A8">
        <w:rPr>
          <w:rFonts w:ascii="SimSun" w:hAnsi="SimSun"/>
        </w:rPr>
        <w:t>从“</w:t>
      </w:r>
      <w:proofErr w:type="gramEnd"/>
      <w:r w:rsidR="00A03EA0" w:rsidRPr="001224A8">
        <w:rPr>
          <w:rFonts w:ascii="SimSun" w:hAnsi="SimSun"/>
        </w:rPr>
        <w:t>我们所拥有的海洋”转向“我们所希望的海洋”的</w:t>
      </w:r>
      <w:r w:rsidR="00A03EA0" w:rsidRPr="00471E7B">
        <w:t>概念，这一</w:t>
      </w:r>
      <w:r w:rsidR="00A03EA0" w:rsidRPr="00394B1E">
        <w:t>概念最终促成</w:t>
      </w:r>
      <w:r w:rsidR="00A03EA0" w:rsidRPr="00394B1E">
        <w:t>2017</w:t>
      </w:r>
      <w:r w:rsidR="00A03EA0" w:rsidRPr="00394B1E">
        <w:t>年</w:t>
      </w:r>
      <w:r w:rsidR="00A03EA0" w:rsidRPr="00394B1E">
        <w:t>12</w:t>
      </w:r>
      <w:r w:rsidR="00A03EA0" w:rsidRPr="00394B1E">
        <w:t>月宣布的联合国海洋科学促进可持续发展十年（</w:t>
      </w:r>
      <w:r w:rsidR="00A03EA0" w:rsidRPr="00394B1E">
        <w:t>2021–2030</w:t>
      </w:r>
      <w:r w:rsidR="00A03EA0" w:rsidRPr="00394B1E">
        <w:t>年），也称为海洋十年。海洋十年的主要目标是利用、促进和增强各级跨学科海洋研究的能力，以</w:t>
      </w:r>
      <w:r w:rsidR="00A03EA0" w:rsidRPr="00394B1E">
        <w:lastRenderedPageBreak/>
        <w:t>支持及时提供实现海洋良好运行所需的数据、信息和知识，支持《</w:t>
      </w:r>
      <w:r w:rsidR="00A03EA0" w:rsidRPr="00394B1E">
        <w:t>2030</w:t>
      </w:r>
      <w:r w:rsidR="00A03EA0" w:rsidRPr="00394B1E">
        <w:t>年可持续发展议程》的所有可持续发展目标。海洋十年还将为支持《</w:t>
      </w:r>
      <w:r w:rsidR="00A03EA0" w:rsidRPr="00394B1E">
        <w:t>2015–2030</w:t>
      </w:r>
      <w:r w:rsidR="00A03EA0" w:rsidRPr="00394B1E">
        <w:t>年仙台减少灾害风险框架》提供数据、信息和知识。</w:t>
      </w:r>
    </w:p>
    <w:p w14:paraId="270C5D24" w14:textId="11F5E1BD" w:rsidR="000073DA" w:rsidRPr="00394B1E" w:rsidRDefault="0064501A" w:rsidP="007C2CED">
      <w:pPr>
        <w:pStyle w:val="COI"/>
      </w:pPr>
      <w:r w:rsidRPr="00394B1E">
        <w:t>9.</w:t>
      </w:r>
      <w:r w:rsidRPr="00394B1E">
        <w:tab/>
      </w:r>
      <w:r w:rsidR="00A03EA0" w:rsidRPr="00394B1E">
        <w:rPr>
          <w:spacing w:val="-4"/>
        </w:rPr>
        <w:t>2021</w:t>
      </w:r>
      <w:r w:rsidR="00A03EA0" w:rsidRPr="00394B1E">
        <w:rPr>
          <w:spacing w:val="-4"/>
        </w:rPr>
        <w:t>年</w:t>
      </w:r>
      <w:r w:rsidR="00A03EA0" w:rsidRPr="00394B1E">
        <w:rPr>
          <w:spacing w:val="-4"/>
        </w:rPr>
        <w:t>6</w:t>
      </w:r>
      <w:r w:rsidR="00A03EA0" w:rsidRPr="00394B1E">
        <w:rPr>
          <w:spacing w:val="-4"/>
        </w:rPr>
        <w:t>月，海委会批准了海洋十年海啸计划（</w:t>
      </w:r>
      <w:r w:rsidR="00A03EA0" w:rsidRPr="00394B1E">
        <w:rPr>
          <w:spacing w:val="-4"/>
        </w:rPr>
        <w:t>ODTP</w:t>
      </w:r>
      <w:r w:rsidR="00A03EA0" w:rsidRPr="00394B1E">
        <w:rPr>
          <w:spacing w:val="-4"/>
        </w:rPr>
        <w:t>），以响应海洋十年的行动号召，</w:t>
      </w:r>
      <w:r w:rsidR="00A03EA0" w:rsidRPr="00394B1E">
        <w:t>特别是通过缩短海啸预警时限并减低其不确定性，提高沿海社区的备灾水平，显著改善现有的全球海啸预警系统，最终目标是最大限度地减少生命损失。</w:t>
      </w:r>
    </w:p>
    <w:p w14:paraId="205DFC9B" w14:textId="377A2B71" w:rsidR="000073DA" w:rsidRPr="00394B1E" w:rsidRDefault="0064501A" w:rsidP="007C2CED">
      <w:pPr>
        <w:pStyle w:val="COI"/>
      </w:pPr>
      <w:r w:rsidRPr="00394B1E">
        <w:rPr>
          <w:rFonts w:eastAsia="SimHei"/>
        </w:rPr>
        <w:t>10.</w:t>
      </w:r>
      <w:r w:rsidRPr="00394B1E">
        <w:rPr>
          <w:rFonts w:eastAsia="SimHei"/>
          <w:b/>
          <w:bCs/>
        </w:rPr>
        <w:tab/>
      </w:r>
      <w:r w:rsidR="00A03EA0" w:rsidRPr="00394B1E">
        <w:rPr>
          <w:rFonts w:eastAsia="SimHei"/>
          <w:b/>
          <w:bCs/>
        </w:rPr>
        <w:t>海洋十年海啸计划的第一个目标</w:t>
      </w:r>
      <w:r w:rsidR="00A03EA0" w:rsidRPr="00394B1E">
        <w:t>，是提高预警系统的能力，以便就各类</w:t>
      </w:r>
      <w:r w:rsidR="003B127E" w:rsidRPr="00394B1E">
        <w:t>已</w:t>
      </w:r>
      <w:r w:rsidR="00A03EA0" w:rsidRPr="00394B1E">
        <w:t>确定来源的海啸向所有面临风险的海岸发出可操作和及时的海啸预警。海洋十年海啸计划的当务之急，是力求在事发后</w:t>
      </w:r>
      <w:r w:rsidR="00A03EA0" w:rsidRPr="00394B1E">
        <w:t>10</w:t>
      </w:r>
      <w:r w:rsidR="00A03EA0" w:rsidRPr="00394B1E">
        <w:t>分钟内为风险最高的海岸提供海啸确认。这极具挑战性，因为目前的预警系统仅使用地震传感器对海啸地震进行快速检测和表征。实现这一目标将需要拓展现有监测系统，运用更先进的科学技术，将非地震</w:t>
      </w:r>
      <w:r w:rsidR="00797010">
        <w:rPr>
          <w:rFonts w:hint="eastAsia"/>
        </w:rPr>
        <w:t>海啸</w:t>
      </w:r>
      <w:r w:rsidR="00A03EA0" w:rsidRPr="00394B1E">
        <w:t>和复杂海啸也囊括在内。</w:t>
      </w:r>
    </w:p>
    <w:p w14:paraId="50B08792" w14:textId="26770A28" w:rsidR="000073DA" w:rsidRPr="00394B1E" w:rsidRDefault="0064501A" w:rsidP="007C2CED">
      <w:pPr>
        <w:pStyle w:val="COI"/>
      </w:pPr>
      <w:r w:rsidRPr="00394B1E">
        <w:t>11.</w:t>
      </w:r>
      <w:r w:rsidRPr="00394B1E">
        <w:rPr>
          <w:rFonts w:eastAsia="SimHei"/>
          <w:b/>
          <w:bCs/>
        </w:rPr>
        <w:tab/>
      </w:r>
      <w:r w:rsidR="00F313C9" w:rsidRPr="00394B1E">
        <w:rPr>
          <w:rFonts w:eastAsia="SimHei"/>
          <w:b/>
          <w:bCs/>
        </w:rPr>
        <w:t>海洋十年海啸计划的第二个目标</w:t>
      </w:r>
      <w:r w:rsidR="00F313C9" w:rsidRPr="00394B1E">
        <w:t>，是通过诸如海委会执行理事会</w:t>
      </w:r>
      <w:r w:rsidR="00F313C9" w:rsidRPr="00394B1E">
        <w:t>2022</w:t>
      </w:r>
      <w:proofErr w:type="gramStart"/>
      <w:r w:rsidR="00F313C9" w:rsidRPr="00394B1E">
        <w:t>年批</w:t>
      </w:r>
      <w:r w:rsidR="00F313C9" w:rsidRPr="00FB00B9">
        <w:rPr>
          <w:rFonts w:ascii="SimSun" w:hAnsi="SimSun"/>
        </w:rPr>
        <w:t>准的“</w:t>
      </w:r>
      <w:proofErr w:type="gramEnd"/>
      <w:r w:rsidR="00F313C9" w:rsidRPr="00FB00B9">
        <w:rPr>
          <w:rFonts w:ascii="SimSun" w:hAnsi="SimSun"/>
        </w:rPr>
        <w:t>为海啸做好准备”认可</w:t>
      </w:r>
      <w:r w:rsidR="00F313C9" w:rsidRPr="00471E7B">
        <w:t>计</w:t>
      </w:r>
      <w:r w:rsidR="00F313C9" w:rsidRPr="00394B1E">
        <w:t>划（</w:t>
      </w:r>
      <w:r w:rsidR="00F313C9" w:rsidRPr="00394B1E">
        <w:t>TRRP</w:t>
      </w:r>
      <w:r w:rsidR="00F313C9" w:rsidRPr="00394B1E">
        <w:t>）等工作，到</w:t>
      </w:r>
      <w:r w:rsidR="00F313C9" w:rsidRPr="00394B1E">
        <w:t>2030</w:t>
      </w:r>
      <w:r w:rsidR="00F313C9" w:rsidRPr="00394B1E">
        <w:t>年使所有面临风险的社区为海啸做好准备，并具备抵御海啸的能力。该计划包含</w:t>
      </w:r>
      <w:r w:rsidR="00F313C9" w:rsidRPr="00394B1E">
        <w:t>12</w:t>
      </w:r>
      <w:r w:rsidR="00F313C9" w:rsidRPr="00394B1E">
        <w:t>项评估、准备和应对指标，以支持面临风险的社区提高有效应对预警和海啸威胁的能力。</w:t>
      </w:r>
    </w:p>
    <w:p w14:paraId="1F4DCDE6" w14:textId="2E25D4B9" w:rsidR="000073DA" w:rsidRPr="00394B1E" w:rsidRDefault="0064501A" w:rsidP="007C2CED">
      <w:pPr>
        <w:pStyle w:val="COI"/>
      </w:pPr>
      <w:r w:rsidRPr="00394B1E">
        <w:t>12.</w:t>
      </w:r>
      <w:r w:rsidRPr="00394B1E">
        <w:tab/>
      </w:r>
      <w:r w:rsidR="00F761B7" w:rsidRPr="00394B1E">
        <w:t>海洋十年海啸计划将为实现可持续发展目标</w:t>
      </w:r>
      <w:r w:rsidR="00AE7BA3" w:rsidRPr="00394B1E">
        <w:t>作</w:t>
      </w:r>
      <w:r w:rsidR="00F761B7" w:rsidRPr="00394B1E">
        <w:t>出决定性贡献，不仅有助于实现可持续发展目标</w:t>
      </w:r>
      <w:r w:rsidR="00F761B7" w:rsidRPr="00394B1E">
        <w:t>14</w:t>
      </w:r>
      <w:proofErr w:type="gramStart"/>
      <w:r w:rsidR="00F761B7" w:rsidRPr="00FB00B9">
        <w:rPr>
          <w:rFonts w:ascii="SimSun" w:hAnsi="SimSun"/>
        </w:rPr>
        <w:t>（“</w:t>
      </w:r>
      <w:proofErr w:type="gramEnd"/>
      <w:r w:rsidR="00F761B7" w:rsidRPr="00FB00B9">
        <w:rPr>
          <w:rFonts w:ascii="SimSun" w:hAnsi="SimSun"/>
        </w:rPr>
        <w:t>海洋”可持</w:t>
      </w:r>
      <w:r w:rsidR="00F761B7" w:rsidRPr="00471E7B">
        <w:t>续发展</w:t>
      </w:r>
      <w:r w:rsidR="00F761B7" w:rsidRPr="00394B1E">
        <w:t>目标），还支持许多其他目标。实现每个可持续发展目标下的具体目标，需要以具体政策和规划为支撑的全球伙伴关系。国家政策和地方执行战略应支持全球规划。海洋十年海啸计划的研</w:t>
      </w:r>
      <w:r w:rsidR="001B488F" w:rsidRPr="00394B1E">
        <w:t>究和开</w:t>
      </w:r>
      <w:r w:rsidR="00F761B7" w:rsidRPr="00394B1E">
        <w:t>发计划，在全球规划中采用可持续发展目标战略，并通过国家政策和社区层面的地方实施工作来落实这些战略。</w:t>
      </w:r>
    </w:p>
    <w:p w14:paraId="06E0AC93" w14:textId="385F3B20" w:rsidR="000073DA" w:rsidRPr="00394B1E" w:rsidRDefault="0064501A" w:rsidP="007C2CED">
      <w:pPr>
        <w:pStyle w:val="COI"/>
      </w:pPr>
      <w:r w:rsidRPr="00394B1E">
        <w:t>13.</w:t>
      </w:r>
      <w:r w:rsidRPr="00394B1E">
        <w:tab/>
      </w:r>
      <w:r w:rsidR="00F761B7" w:rsidRPr="00394B1E">
        <w:t>研</w:t>
      </w:r>
      <w:r w:rsidR="001B488F" w:rsidRPr="00394B1E">
        <w:t>究和开</w:t>
      </w:r>
      <w:r w:rsidR="00F761B7" w:rsidRPr="00394B1E">
        <w:t>发计划的实施，也将确保特别关注并优先考虑满足和支持小岛屿发展中国家和最不发达国家的需求。</w:t>
      </w:r>
    </w:p>
    <w:p w14:paraId="744949D5" w14:textId="77777777" w:rsidR="000073DA" w:rsidRPr="00394B1E" w:rsidRDefault="000073DA" w:rsidP="000073DA">
      <w:pPr>
        <w:pStyle w:val="Heading2"/>
        <w:snapToGrid/>
        <w:spacing w:before="240" w:after="240" w:line="360" w:lineRule="auto"/>
        <w:jc w:val="both"/>
        <w:rPr>
          <w:rFonts w:asciiTheme="majorBidi" w:eastAsia="SimHei" w:hAnsiTheme="majorBidi"/>
          <w:b/>
          <w:bCs/>
          <w:caps/>
          <w:sz w:val="24"/>
          <w:szCs w:val="24"/>
          <w:lang w:eastAsia="zh-CN"/>
        </w:rPr>
      </w:pPr>
      <w:r w:rsidRPr="00394B1E">
        <w:rPr>
          <w:rFonts w:asciiTheme="majorBidi" w:eastAsia="SimHei" w:hAnsiTheme="majorBidi"/>
          <w:b/>
          <w:bCs/>
          <w:sz w:val="24"/>
          <w:szCs w:val="24"/>
          <w:lang w:eastAsia="zh-CN"/>
        </w:rPr>
        <w:t>海啸预警的要素和挑战</w:t>
      </w:r>
    </w:p>
    <w:p w14:paraId="3AA266B1" w14:textId="31F75B84" w:rsidR="000073DA" w:rsidRPr="00394B1E" w:rsidRDefault="0064501A" w:rsidP="007C2CED">
      <w:pPr>
        <w:pStyle w:val="COI"/>
      </w:pPr>
      <w:r w:rsidRPr="00394B1E">
        <w:t>14.</w:t>
      </w:r>
      <w:r w:rsidRPr="00394B1E">
        <w:tab/>
      </w:r>
      <w:r w:rsidR="00A65BEB" w:rsidRPr="00394B1E">
        <w:t>预警系统包括四大支柱：</w:t>
      </w:r>
      <w:r w:rsidR="00A65BEB" w:rsidRPr="00394B1E">
        <w:t>(</w:t>
      </w:r>
      <w:proofErr w:type="spellStart"/>
      <w:r w:rsidR="00A65BEB" w:rsidRPr="00394B1E">
        <w:t>i</w:t>
      </w:r>
      <w:proofErr w:type="spellEnd"/>
      <w:r w:rsidR="00A65BEB" w:rsidRPr="00394B1E">
        <w:t>)</w:t>
      </w:r>
      <w:r w:rsidR="00A65BEB" w:rsidRPr="00394B1E">
        <w:t>风险知识；</w:t>
      </w:r>
      <w:r w:rsidR="00A65BEB" w:rsidRPr="00394B1E">
        <w:t>(ii)</w:t>
      </w:r>
      <w:r w:rsidR="00A65BEB" w:rsidRPr="00394B1E">
        <w:t>探测、监测、分析和预报；</w:t>
      </w:r>
      <w:r w:rsidR="00A65BEB" w:rsidRPr="00394B1E">
        <w:t>(iii)</w:t>
      </w:r>
      <w:r w:rsidR="00A65BEB" w:rsidRPr="00394B1E">
        <w:t>预警传送和传播及</w:t>
      </w:r>
      <w:r w:rsidR="00A65BEB" w:rsidRPr="00394B1E">
        <w:t>(iv)</w:t>
      </w:r>
      <w:r w:rsidR="00A65BEB" w:rsidRPr="00394B1E">
        <w:t>备灾和应对能力。这四个组成部分又以能力发展和治理为基础。</w:t>
      </w:r>
    </w:p>
    <w:p w14:paraId="034A66F3" w14:textId="77777777" w:rsidR="000073DA" w:rsidRPr="00394B1E" w:rsidRDefault="000073DA" w:rsidP="00C7498C">
      <w:pPr>
        <w:pStyle w:val="Heading3"/>
        <w:numPr>
          <w:ilvl w:val="0"/>
          <w:numId w:val="13"/>
        </w:numPr>
        <w:snapToGrid/>
        <w:spacing w:before="240" w:after="240" w:line="360" w:lineRule="auto"/>
        <w:ind w:left="1134" w:hanging="567"/>
        <w:jc w:val="both"/>
        <w:rPr>
          <w:rFonts w:asciiTheme="majorBidi" w:eastAsia="SimHei" w:hAnsiTheme="majorBidi"/>
          <w:b/>
          <w:bCs/>
        </w:rPr>
      </w:pPr>
      <w:proofErr w:type="spellStart"/>
      <w:r w:rsidRPr="00394B1E">
        <w:rPr>
          <w:rFonts w:asciiTheme="majorBidi" w:eastAsia="SimHei" w:hAnsiTheme="majorBidi"/>
          <w:b/>
          <w:bCs/>
        </w:rPr>
        <w:lastRenderedPageBreak/>
        <w:t>海啸风险评估</w:t>
      </w:r>
      <w:proofErr w:type="spellEnd"/>
    </w:p>
    <w:p w14:paraId="585C392A" w14:textId="2C934004" w:rsidR="000073DA" w:rsidRPr="00394B1E" w:rsidRDefault="0064501A" w:rsidP="007C2CED">
      <w:pPr>
        <w:pStyle w:val="COI"/>
      </w:pPr>
      <w:r w:rsidRPr="00394B1E">
        <w:t>15.</w:t>
      </w:r>
      <w:r w:rsidRPr="00394B1E">
        <w:tab/>
      </w:r>
      <w:r w:rsidR="009945A4" w:rsidRPr="00394B1E">
        <w:t>理解风险并制定减轻</w:t>
      </w:r>
      <w:r w:rsidR="00C7498C" w:rsidRPr="00394B1E">
        <w:t>此类</w:t>
      </w:r>
      <w:r w:rsidR="009945A4" w:rsidRPr="00394B1E">
        <w:t>风险的计划，对于挽救生命至关重要。虽然海啸并不频繁，灾难性的海啸也很罕见，但历史记录表明，海啸有可能袭击世界上任何一处海岸，只是</w:t>
      </w:r>
      <w:r w:rsidR="00C7498C" w:rsidRPr="00394B1E">
        <w:t>时间、地点</w:t>
      </w:r>
      <w:r w:rsidR="00805E73" w:rsidRPr="00394B1E">
        <w:t>和</w:t>
      </w:r>
      <w:r w:rsidR="009945A4" w:rsidRPr="00394B1E">
        <w:t>规模</w:t>
      </w:r>
      <w:r w:rsidR="00FB00B9">
        <w:rPr>
          <w:rFonts w:hint="eastAsia"/>
        </w:rPr>
        <w:t>尚</w:t>
      </w:r>
      <w:r w:rsidR="00311793">
        <w:rPr>
          <w:rFonts w:hint="eastAsia"/>
        </w:rPr>
        <w:t>未可</w:t>
      </w:r>
      <w:r w:rsidR="00FB00B9">
        <w:rPr>
          <w:rFonts w:hint="eastAsia"/>
        </w:rPr>
        <w:t>知</w:t>
      </w:r>
      <w:r w:rsidR="009945A4" w:rsidRPr="00394B1E">
        <w:t>。此外，还需要评估海啸易发地区的地质历史，以确定可能面临风险的社区。这些证据将有助于这些社区在下一次海啸中减轻损失。</w:t>
      </w:r>
    </w:p>
    <w:p w14:paraId="6509E5A3" w14:textId="63C1D7BA" w:rsidR="000073DA" w:rsidRPr="00394B1E" w:rsidRDefault="0064501A" w:rsidP="007C2CED">
      <w:pPr>
        <w:pStyle w:val="COI"/>
      </w:pPr>
      <w:r w:rsidRPr="00394B1E">
        <w:t>16.</w:t>
      </w:r>
      <w:r w:rsidRPr="00394B1E">
        <w:tab/>
      </w:r>
      <w:r w:rsidR="009945A4" w:rsidRPr="00394B1E">
        <w:t>直到最近，在海啸危险性评估研究和预警操作程序中都只考虑地震源。这是因为影响近场和远场海岸的绝大多数海啸是由地震引发的。另一方面，大多数非地震海啸仅在局部地区具有高度影响。不过，与近期事件有关的影响突出了非地震海啸的重要性。因此，危险性评估还应包括所有可能影响相关地区的海啸源，而不仅仅是地震源。</w:t>
      </w:r>
    </w:p>
    <w:p w14:paraId="47BB85D7" w14:textId="0D3F599D" w:rsidR="000073DA" w:rsidRPr="00394B1E" w:rsidRDefault="000073DA" w:rsidP="00C7498C">
      <w:pPr>
        <w:pStyle w:val="Heading3"/>
        <w:numPr>
          <w:ilvl w:val="0"/>
          <w:numId w:val="13"/>
        </w:numPr>
        <w:snapToGrid/>
        <w:spacing w:before="240" w:after="240" w:line="360" w:lineRule="auto"/>
        <w:ind w:left="1134" w:hanging="567"/>
        <w:jc w:val="both"/>
        <w:rPr>
          <w:rFonts w:asciiTheme="majorBidi" w:eastAsia="SimHei" w:hAnsiTheme="majorBidi"/>
          <w:b/>
          <w:bCs/>
        </w:rPr>
      </w:pPr>
      <w:proofErr w:type="spellStart"/>
      <w:r w:rsidRPr="00394B1E">
        <w:rPr>
          <w:rFonts w:asciiTheme="majorBidi" w:eastAsia="SimHei" w:hAnsiTheme="majorBidi"/>
          <w:b/>
          <w:bCs/>
        </w:rPr>
        <w:t>探测和预警</w:t>
      </w:r>
      <w:proofErr w:type="spellEnd"/>
    </w:p>
    <w:p w14:paraId="000A6AF7" w14:textId="1E7DE74B" w:rsidR="000073DA" w:rsidRPr="00394B1E" w:rsidRDefault="0064501A" w:rsidP="007C2CED">
      <w:pPr>
        <w:pStyle w:val="COI"/>
      </w:pPr>
      <w:r w:rsidRPr="00394B1E">
        <w:t>17.</w:t>
      </w:r>
      <w:r w:rsidRPr="00394B1E">
        <w:tab/>
      </w:r>
      <w:r w:rsidR="0085217C" w:rsidRPr="00394B1E">
        <w:rPr>
          <w:spacing w:val="-4"/>
        </w:rPr>
        <w:t>密集的观测网络在快速探测地震及其引发海啸的可能性方面发挥着至关重要的作用。</w:t>
      </w:r>
      <w:r w:rsidR="0085217C" w:rsidRPr="00394B1E">
        <w:t>预警系统根据观测结果决定是否需要从海啸易发地区疏散社区居民，如果需要撤离，何时允许</w:t>
      </w:r>
      <w:r w:rsidR="00475B4B" w:rsidRPr="00394B1E">
        <w:t>回</w:t>
      </w:r>
      <w:r w:rsidR="0085217C" w:rsidRPr="00394B1E">
        <w:t>返。然而，对于海啸到达最近海岸的</w:t>
      </w:r>
      <w:r w:rsidR="005B36CA" w:rsidRPr="00394B1E">
        <w:t>预估</w:t>
      </w:r>
      <w:r w:rsidR="0085217C" w:rsidRPr="00394B1E">
        <w:t>时间小于</w:t>
      </w:r>
      <w:r w:rsidR="0085217C" w:rsidRPr="00394B1E">
        <w:t>15</w:t>
      </w:r>
      <w:r w:rsidR="0085217C" w:rsidRPr="00394B1E">
        <w:t>分钟的局地海啸，重要的是教育社区居民识别海啸的物理征兆，例如长时间的地面震动、由远及近的咆哮声、海水暴退、火山爆发等。在断裂长达数百公里的大地震的情况下，由于既定时间范围内可获取的数据有限，很难在短时间内生成准确的海啸预报。</w:t>
      </w:r>
    </w:p>
    <w:p w14:paraId="2AB641C0" w14:textId="09F1B4EA" w:rsidR="000073DA" w:rsidRPr="00394B1E" w:rsidRDefault="0064501A" w:rsidP="007C2CED">
      <w:pPr>
        <w:pStyle w:val="COI"/>
      </w:pPr>
      <w:r w:rsidRPr="00394B1E">
        <w:t>18.</w:t>
      </w:r>
      <w:r w:rsidRPr="00394B1E">
        <w:tab/>
      </w:r>
      <w:r w:rsidR="00EF2865" w:rsidRPr="00394B1E">
        <w:t>为改进海啸探测并使海啸威胁评估和影响预报更为准确，会员国确定</w:t>
      </w:r>
      <w:r w:rsidR="005C1B35" w:rsidRPr="00394B1E">
        <w:t>了</w:t>
      </w:r>
      <w:r w:rsidR="00EF2865" w:rsidRPr="00394B1E">
        <w:t>更密集的实时、多层面传感器网络和更快的综合算法</w:t>
      </w:r>
      <w:r w:rsidR="005C1B35" w:rsidRPr="00394B1E">
        <w:t>等需求</w:t>
      </w:r>
      <w:r w:rsidR="00EF2865" w:rsidRPr="00394B1E">
        <w:t>，以快速确定海啸源（地震源和非典型源）的特征，并为其海岸提供海啸淹没预报参数。传感器包括单个或阵列部署的高质量地震仪和加速度计、沿岸海面测量仪和深海测量系统（如深海海啸监测与记录系统浮标系统）、专用海底观测站和跨海盆海底电缆（如科学监测和可靠通信电缆），以及全球导航卫星系统（</w:t>
      </w:r>
      <w:r w:rsidR="00EF2865" w:rsidRPr="00394B1E">
        <w:t>GNSS</w:t>
      </w:r>
      <w:r w:rsidR="00EF2865" w:rsidRPr="00394B1E">
        <w:t>）的陆地和海洋高程监测设施。高分辨率的沿岸水深和地形测量或数字高程模型的贡献也非常重要，例如日本财团</w:t>
      </w:r>
      <w:r w:rsidR="00EF2865" w:rsidRPr="00394B1E">
        <w:t>—</w:t>
      </w:r>
      <w:r w:rsidR="00C80728" w:rsidRPr="00C80728">
        <w:rPr>
          <w:rFonts w:hint="eastAsia"/>
        </w:rPr>
        <w:t>世界大洋深度图</w:t>
      </w:r>
      <w:r w:rsidR="00EF2865" w:rsidRPr="00394B1E">
        <w:t>（</w:t>
      </w:r>
      <w:r w:rsidR="00EF2865" w:rsidRPr="00394B1E">
        <w:t>GEBCO</w:t>
      </w:r>
      <w:r w:rsidR="00EF2865" w:rsidRPr="00394B1E">
        <w:t>）</w:t>
      </w:r>
      <w:proofErr w:type="gramStart"/>
      <w:r w:rsidR="00EF2865" w:rsidRPr="00394B1E">
        <w:t>的</w:t>
      </w:r>
      <w:r w:rsidR="00EF2865" w:rsidRPr="00311793">
        <w:rPr>
          <w:rFonts w:ascii="SimSun" w:hAnsi="SimSun"/>
        </w:rPr>
        <w:t>“</w:t>
      </w:r>
      <w:proofErr w:type="gramEnd"/>
      <w:r w:rsidR="00B4331A" w:rsidRPr="00394B1E">
        <w:t>2030</w:t>
      </w:r>
      <w:r w:rsidR="00B4331A">
        <w:rPr>
          <w:rFonts w:hint="eastAsia"/>
        </w:rPr>
        <w:t>年</w:t>
      </w:r>
      <w:r w:rsidR="00EF2865" w:rsidRPr="00311793">
        <w:rPr>
          <w:rFonts w:ascii="SimSun" w:hAnsi="SimSun"/>
        </w:rPr>
        <w:t>海</w:t>
      </w:r>
      <w:r w:rsidR="00B4331A">
        <w:rPr>
          <w:rFonts w:hint="eastAsia"/>
        </w:rPr>
        <w:t>底</w:t>
      </w:r>
      <w:r w:rsidR="00EF2865" w:rsidRPr="00311793">
        <w:rPr>
          <w:rFonts w:ascii="SimSun" w:hAnsi="SimSun"/>
        </w:rPr>
        <w:t>”项目。</w:t>
      </w:r>
      <w:r w:rsidR="0056099D" w:rsidRPr="00394B1E">
        <w:t>对</w:t>
      </w:r>
      <w:r w:rsidR="00EF2865" w:rsidRPr="00394B1E">
        <w:t>地震源和非地震源</w:t>
      </w:r>
      <w:r w:rsidR="0056099D" w:rsidRPr="00394B1E">
        <w:t>而言，均</w:t>
      </w:r>
      <w:r w:rsidR="00EF2865" w:rsidRPr="00394B1E">
        <w:t>需要新的数据和方法，以便在几分钟内更精确地描述大地震复杂的断裂情况，从而用数值模型产生更准确的海啸预报。</w:t>
      </w:r>
    </w:p>
    <w:p w14:paraId="2D05292F" w14:textId="3F8BAE16" w:rsidR="000073DA" w:rsidRPr="00394B1E" w:rsidRDefault="0064501A" w:rsidP="007C2CED">
      <w:pPr>
        <w:pStyle w:val="COI"/>
      </w:pPr>
      <w:r w:rsidRPr="00394B1E">
        <w:lastRenderedPageBreak/>
        <w:t>19.</w:t>
      </w:r>
      <w:r w:rsidRPr="00394B1E">
        <w:tab/>
      </w:r>
      <w:r w:rsidR="008C3A72" w:rsidRPr="00394B1E">
        <w:t>简而言之，预警系统必须尽早识别、监测和预测风险，而当系统是建立在风险意识、应急准备和早期预警的基础之上情况下，这一点可以做到。然后，必须以及时、完整和准确的方式生成、发送、接收和使用预警。</w:t>
      </w:r>
    </w:p>
    <w:p w14:paraId="3A09CDA9" w14:textId="7B7E7D5F" w:rsidR="000073DA" w:rsidRPr="00394B1E" w:rsidRDefault="000073DA" w:rsidP="00C7498C">
      <w:pPr>
        <w:pStyle w:val="Heading3"/>
        <w:numPr>
          <w:ilvl w:val="0"/>
          <w:numId w:val="13"/>
        </w:numPr>
        <w:snapToGrid/>
        <w:spacing w:before="240" w:after="240" w:line="360" w:lineRule="auto"/>
        <w:ind w:left="1134" w:hanging="567"/>
        <w:jc w:val="both"/>
        <w:rPr>
          <w:rFonts w:asciiTheme="majorBidi" w:eastAsia="SimHei" w:hAnsiTheme="majorBidi"/>
          <w:b/>
          <w:bCs/>
        </w:rPr>
      </w:pPr>
      <w:proofErr w:type="spellStart"/>
      <w:r w:rsidRPr="00394B1E">
        <w:rPr>
          <w:rFonts w:asciiTheme="majorBidi" w:eastAsia="SimHei" w:hAnsiTheme="majorBidi"/>
          <w:b/>
          <w:bCs/>
        </w:rPr>
        <w:t>预警传送</w:t>
      </w:r>
      <w:proofErr w:type="spellEnd"/>
    </w:p>
    <w:p w14:paraId="2523A137" w14:textId="33E2A015" w:rsidR="000073DA" w:rsidRPr="00394B1E" w:rsidRDefault="0064501A" w:rsidP="007C2CED">
      <w:pPr>
        <w:pStyle w:val="COI"/>
      </w:pPr>
      <w:r w:rsidRPr="00394B1E">
        <w:t>20.</w:t>
      </w:r>
      <w:r w:rsidRPr="00394B1E">
        <w:tab/>
      </w:r>
      <w:r w:rsidR="00EE0713" w:rsidRPr="00394B1E">
        <w:t>海啸预警和疏散建议，只有在破坏性的海浪登陆之前及时传送给沿岸居民才能有效发挥作用。疏散建议的传送（及时性和可靠性）和传播</w:t>
      </w:r>
      <w:r w:rsidR="00602A3D" w:rsidRPr="00394B1E">
        <w:t>（信息的内容）</w:t>
      </w:r>
      <w:r w:rsidR="00EE0713" w:rsidRPr="00394B1E">
        <w:t>都必须成功且可行，否则可能会造成不必要的生命损失。预警传送包括组织和决策过程，还需要设有可运行的冗余通信系统。此外，将海啸预警传送（可能并不频繁）纳入多种灾害通信系统，将有助于确保可持续性和准备工作。</w:t>
      </w:r>
    </w:p>
    <w:p w14:paraId="62EC8622" w14:textId="0B2C8783" w:rsidR="000073DA" w:rsidRPr="00394B1E" w:rsidRDefault="0064501A" w:rsidP="007C2CED">
      <w:pPr>
        <w:pStyle w:val="COI"/>
      </w:pPr>
      <w:r w:rsidRPr="00394B1E">
        <w:t>21.</w:t>
      </w:r>
      <w:r w:rsidRPr="00394B1E">
        <w:tab/>
      </w:r>
      <w:r w:rsidR="00EE0713" w:rsidRPr="00394B1E">
        <w:t>传达基本、实用且可用信息的明确讯息，对确保社区做好适当准备至关重要。要实现更快的预报结果，就意味着我们需要应对更大的不确定性；</w:t>
      </w:r>
      <w:r w:rsidR="00A5664D" w:rsidRPr="00394B1E">
        <w:t>鉴</w:t>
      </w:r>
      <w:r w:rsidR="00EE0713" w:rsidRPr="00394B1E">
        <w:t>于这种复杂性，建立社区信任需要更长的时间。此外，由主管部门在预先确定的地区、国家和地方渠道建立沟通平台，也是一项基本和实际的要求。为了确保尽可能多的人收到预警，防止任何一个渠道失灵，并加强预警信息，必须使用多种传播渠道。为传送预警，发布预警的主管部门会采用各种标准和协议，例如由国际电信联盟创建并得到若干组织支持的用于公共预警和紧急警报的国际格式</w:t>
      </w:r>
      <w:r w:rsidR="00EE0713" w:rsidRPr="00394B1E">
        <w:t>——</w:t>
      </w:r>
      <w:r w:rsidR="00EE0713" w:rsidRPr="00394B1E">
        <w:t>通用警报协议（</w:t>
      </w:r>
      <w:r w:rsidR="00EE0713" w:rsidRPr="00394B1E">
        <w:t>CAP</w:t>
      </w:r>
      <w:r w:rsidR="00EE0713" w:rsidRPr="00394B1E">
        <w:t>）。</w:t>
      </w:r>
    </w:p>
    <w:p w14:paraId="26E2A750" w14:textId="47449676" w:rsidR="000073DA" w:rsidRPr="00394B1E" w:rsidRDefault="000073DA" w:rsidP="00C7498C">
      <w:pPr>
        <w:pStyle w:val="Heading3"/>
        <w:numPr>
          <w:ilvl w:val="0"/>
          <w:numId w:val="13"/>
        </w:numPr>
        <w:snapToGrid/>
        <w:spacing w:before="240" w:after="240" w:line="360" w:lineRule="auto"/>
        <w:ind w:left="1134" w:hanging="567"/>
        <w:jc w:val="both"/>
        <w:rPr>
          <w:rFonts w:asciiTheme="majorBidi" w:eastAsia="SimHei" w:hAnsiTheme="majorBidi"/>
          <w:b/>
          <w:bCs/>
        </w:rPr>
      </w:pPr>
      <w:proofErr w:type="spellStart"/>
      <w:r w:rsidRPr="00394B1E">
        <w:rPr>
          <w:rFonts w:asciiTheme="majorBidi" w:eastAsia="SimHei" w:hAnsiTheme="majorBidi"/>
          <w:b/>
          <w:bCs/>
        </w:rPr>
        <w:t>备灾和应对能力</w:t>
      </w:r>
      <w:proofErr w:type="spellEnd"/>
    </w:p>
    <w:p w14:paraId="60395D2F" w14:textId="00AC0FEF" w:rsidR="000073DA" w:rsidRPr="00394B1E" w:rsidRDefault="0064501A" w:rsidP="007C2CED">
      <w:pPr>
        <w:pStyle w:val="COI"/>
      </w:pPr>
      <w:r w:rsidRPr="00394B1E">
        <w:t>22.</w:t>
      </w:r>
      <w:r w:rsidRPr="00394B1E">
        <w:tab/>
      </w:r>
      <w:r w:rsidR="000801B7" w:rsidRPr="00394B1E">
        <w:t>风险认知，将是调动人员和资源开展提高认识和备灾行动的重要推动力。不同程度的备灾和应对，在很大程度上是由不同内在因素影响下的不同风险认知</w:t>
      </w:r>
      <w:r w:rsidR="00726DC0" w:rsidRPr="00394B1E">
        <w:t>水平</w:t>
      </w:r>
      <w:r w:rsidR="000801B7" w:rsidRPr="00394B1E">
        <w:t>所决定的。将在海啸风险认知方面着力开展研究。</w:t>
      </w:r>
    </w:p>
    <w:p w14:paraId="13B8CBF6" w14:textId="24DD3D67" w:rsidR="000073DA" w:rsidRPr="00394B1E" w:rsidRDefault="0064501A" w:rsidP="007C2CED">
      <w:pPr>
        <w:pStyle w:val="COI"/>
      </w:pPr>
      <w:r w:rsidRPr="00394B1E">
        <w:t>23.</w:t>
      </w:r>
      <w:r w:rsidRPr="00394B1E">
        <w:tab/>
      </w:r>
      <w:r w:rsidR="000801B7" w:rsidRPr="00394B1E">
        <w:t>灾害首先是地方性的，因此</w:t>
      </w:r>
      <w:r w:rsidR="004E339E" w:rsidRPr="00394B1E">
        <w:t>沿海社区将</w:t>
      </w:r>
      <w:r w:rsidR="000801B7" w:rsidRPr="00394B1E">
        <w:t>首当其冲受到</w:t>
      </w:r>
      <w:r w:rsidR="00DC0C8A" w:rsidRPr="00394B1E">
        <w:t>未来海啸的</w:t>
      </w:r>
      <w:r w:rsidR="000801B7" w:rsidRPr="00394B1E">
        <w:t>影响。更具挑战的是，跨洋海啸并不常见。在上一次海啸的记忆被淡忘之前，我们必须更加努力开展提高认识和备灾工作。为了取得成功，我们将需要政府、研究机构和大学、产业、社区、媒体和其他有关各方持续大力参与。在一个端到端的预警系统中，面临风险的社区必须知道如何在收到预警后迅速反应，这与探测和预警同等重要。</w:t>
      </w:r>
    </w:p>
    <w:p w14:paraId="337567D2" w14:textId="79F956A6" w:rsidR="000073DA" w:rsidRPr="00394B1E" w:rsidRDefault="0064501A" w:rsidP="007C2CED">
      <w:pPr>
        <w:pStyle w:val="COI"/>
      </w:pPr>
      <w:r w:rsidRPr="00394B1E">
        <w:t>24.</w:t>
      </w:r>
      <w:r w:rsidRPr="00394B1E">
        <w:tab/>
      </w:r>
      <w:proofErr w:type="gramStart"/>
      <w:r w:rsidR="000801B7" w:rsidRPr="00394B1E">
        <w:t>海委会</w:t>
      </w:r>
      <w:r w:rsidR="000801B7" w:rsidRPr="00311793">
        <w:rPr>
          <w:rFonts w:ascii="SimSun" w:hAnsi="SimSun"/>
        </w:rPr>
        <w:t>的“</w:t>
      </w:r>
      <w:proofErr w:type="gramEnd"/>
      <w:r w:rsidR="000801B7" w:rsidRPr="00311793">
        <w:rPr>
          <w:rFonts w:ascii="SimSun" w:hAnsi="SimSun"/>
        </w:rPr>
        <w:t>为海啸做好准备”认可计划</w:t>
      </w:r>
      <w:r w:rsidR="000801B7" w:rsidRPr="00394B1E">
        <w:t>，是鼓励社区采取常识性的备灾行动举措的范例，其中包括危险性评估、淹没和疏散绘图、宣传、教育和演习。该计划包括制定和实施应</w:t>
      </w:r>
      <w:r w:rsidR="000801B7" w:rsidRPr="00394B1E">
        <w:lastRenderedPageBreak/>
        <w:t>对计划等备灾措施，开展公众宣传和教育活动以及测试和评估公众认识和应对情况。大部分会员</w:t>
      </w:r>
      <w:r w:rsidR="000801B7" w:rsidRPr="00311793">
        <w:rPr>
          <w:rFonts w:ascii="SimSun" w:hAnsi="SimSun"/>
        </w:rPr>
        <w:t>国将“为海啸做好准备”视为优先活动。在“为海啸做好准备”背景下，还可以</w:t>
      </w:r>
      <w:r w:rsidR="000801B7" w:rsidRPr="00394B1E">
        <w:t>传播诸如新西兰海岸线实施的蓝线项目等新举措。最后，会员国还指出</w:t>
      </w:r>
      <w:r w:rsidR="000801B7" w:rsidRPr="00394B1E">
        <w:t>11</w:t>
      </w:r>
      <w:r w:rsidR="000801B7" w:rsidRPr="00394B1E">
        <w:t>月</w:t>
      </w:r>
      <w:r w:rsidR="000801B7" w:rsidRPr="00394B1E">
        <w:t>5</w:t>
      </w:r>
      <w:r w:rsidR="000801B7" w:rsidRPr="00394B1E">
        <w:t>日的世界海啸意识日是提高认识和备灾水平的一种手段。实施这些举措是加强海啸备灾和应对工作的关键。</w:t>
      </w:r>
    </w:p>
    <w:p w14:paraId="3A1CB9C2" w14:textId="0F0904EF" w:rsidR="000073DA" w:rsidRPr="00394B1E" w:rsidRDefault="0064501A" w:rsidP="007C2CED">
      <w:pPr>
        <w:pStyle w:val="COI"/>
      </w:pPr>
      <w:r w:rsidRPr="00394B1E">
        <w:t>25.</w:t>
      </w:r>
      <w:r w:rsidRPr="00394B1E">
        <w:tab/>
      </w:r>
      <w:r w:rsidR="000801B7" w:rsidRPr="00394B1E">
        <w:t>尽管规划及时有效的应对措施对挽救生命和保护财产大有助益，但仍然需要采取减灾措施来确保生命安全、维持生计和关键服务。将分享和推广减灾措施方面的最佳做法，如设计和建造蓝色、绿色和灰色基础设施、垂直疏散设施方面的标准以及适当的城市规划等。</w:t>
      </w:r>
    </w:p>
    <w:p w14:paraId="7B0F127A" w14:textId="77777777" w:rsidR="000073DA" w:rsidRPr="00394B1E" w:rsidRDefault="000073DA" w:rsidP="000073DA">
      <w:pPr>
        <w:pStyle w:val="Heading2"/>
        <w:snapToGrid/>
        <w:spacing w:before="240" w:after="240" w:line="360" w:lineRule="auto"/>
        <w:jc w:val="both"/>
        <w:rPr>
          <w:rFonts w:asciiTheme="majorBidi" w:eastAsia="SimHei" w:hAnsiTheme="majorBidi"/>
          <w:b/>
          <w:bCs/>
          <w:caps/>
          <w:sz w:val="24"/>
          <w:szCs w:val="24"/>
        </w:rPr>
      </w:pPr>
      <w:r w:rsidRPr="00394B1E">
        <w:rPr>
          <w:rFonts w:asciiTheme="majorBidi" w:eastAsia="SimHei" w:hAnsiTheme="majorBidi"/>
          <w:b/>
          <w:bCs/>
          <w:sz w:val="24"/>
          <w:szCs w:val="24"/>
          <w:lang w:eastAsia="zh-CN"/>
        </w:rPr>
        <w:t>治理</w:t>
      </w:r>
    </w:p>
    <w:p w14:paraId="0C44CBB5" w14:textId="69A99AE9" w:rsidR="000073DA" w:rsidRPr="00394B1E" w:rsidRDefault="000073DA" w:rsidP="0064501A">
      <w:pPr>
        <w:pStyle w:val="Heading3"/>
        <w:numPr>
          <w:ilvl w:val="0"/>
          <w:numId w:val="14"/>
        </w:numPr>
        <w:snapToGrid/>
        <w:spacing w:before="240" w:after="240" w:line="360" w:lineRule="auto"/>
        <w:ind w:left="1134" w:hanging="567"/>
        <w:jc w:val="both"/>
        <w:rPr>
          <w:rFonts w:asciiTheme="majorBidi" w:eastAsia="SimHei" w:hAnsiTheme="majorBidi"/>
          <w:b/>
          <w:bCs/>
          <w:lang w:eastAsia="zh-CN"/>
        </w:rPr>
      </w:pPr>
      <w:r w:rsidRPr="00394B1E">
        <w:rPr>
          <w:rFonts w:asciiTheme="majorBidi" w:eastAsia="SimHei" w:hAnsiTheme="majorBidi"/>
          <w:b/>
          <w:bCs/>
          <w:lang w:eastAsia="zh-CN"/>
        </w:rPr>
        <w:t>多灾种框架下的海啸预警</w:t>
      </w:r>
    </w:p>
    <w:p w14:paraId="46479C1F" w14:textId="5FFD1461" w:rsidR="000073DA" w:rsidRPr="00394B1E" w:rsidRDefault="0064501A" w:rsidP="007C2CED">
      <w:pPr>
        <w:pStyle w:val="COI"/>
      </w:pPr>
      <w:r w:rsidRPr="00394B1E">
        <w:t>26.</w:t>
      </w:r>
      <w:r w:rsidRPr="00394B1E">
        <w:tab/>
      </w:r>
      <w:r w:rsidRPr="00394B1E">
        <w:t>海啸通常是由地震</w:t>
      </w:r>
      <w:r w:rsidRPr="00394B1E">
        <w:t>—</w:t>
      </w:r>
      <w:r w:rsidRPr="00394B1E">
        <w:t>滑坡</w:t>
      </w:r>
      <w:r w:rsidRPr="00394B1E">
        <w:t>—</w:t>
      </w:r>
      <w:r w:rsidRPr="00394B1E">
        <w:t>海啸、火山爆发</w:t>
      </w:r>
      <w:r w:rsidRPr="00394B1E">
        <w:t>—</w:t>
      </w:r>
      <w:r w:rsidRPr="00394B1E">
        <w:t>地震</w:t>
      </w:r>
      <w:r w:rsidRPr="00394B1E">
        <w:t>—</w:t>
      </w:r>
      <w:r w:rsidRPr="00394B1E">
        <w:t>海啸等级联效应引起的。即使与地震有关的断层位移没有产生海啸，一次强大的沿海或海底地震也可能造成滑坡，从而引发海啸。</w:t>
      </w:r>
      <w:r w:rsidRPr="00394B1E">
        <w:t>2011</w:t>
      </w:r>
      <w:r w:rsidRPr="00394B1E">
        <w:t>年日本东北地区地震和海啸是海啸级联效应的一个典型案例，这次事件导致了核电站发生熔毁。级联效应的其他例子包括海啸期间的风暴潮，海岸侵蚀可能影响海啸波抵达海岸后的接近方式，沿海地区降雨率增加可能对滑坡产生直接影响，从而引发海啸。此外，最近还就气候变化可能对海啸危险性的长期评估以及由此对海啸风险的长期评估产生的影响进行了研究。因此，在相关调研中，必须考虑易受此类过程影响的地点发生级联效应的可能性。</w:t>
      </w:r>
    </w:p>
    <w:p w14:paraId="443D2209" w14:textId="11046E71" w:rsidR="000073DA" w:rsidRPr="00394B1E" w:rsidRDefault="0064501A" w:rsidP="007C2CED">
      <w:pPr>
        <w:pStyle w:val="COI"/>
      </w:pPr>
      <w:r w:rsidRPr="00394B1E">
        <w:t>27.</w:t>
      </w:r>
      <w:r w:rsidRPr="00394B1E">
        <w:tab/>
        <w:t>2004</w:t>
      </w:r>
      <w:r w:rsidRPr="00394B1E">
        <w:t>年印度洋海啸之后，大多数会员国建立了国家海啸预警系统。然而，这些预警系统是为单一灾害设计的，很少整合为多灾种预警系统。例如，就海洋灾害而言，在</w:t>
      </w:r>
      <w:r w:rsidRPr="00394B1E">
        <w:t>2004</w:t>
      </w:r>
      <w:r w:rsidRPr="00394B1E">
        <w:t>年海啸之后，许多会员国建立了海啸预警中心，但风暴潮预警系统并不是海啸预警系统的组成部分，</w:t>
      </w:r>
      <w:r w:rsidR="00083361" w:rsidRPr="00394B1E">
        <w:t>在</w:t>
      </w:r>
      <w:r w:rsidRPr="00394B1E">
        <w:t>许多国家</w:t>
      </w:r>
      <w:r w:rsidR="00403497" w:rsidRPr="00394B1E">
        <w:t>尚</w:t>
      </w:r>
      <w:r w:rsidRPr="00394B1E">
        <w:t>在开发</w:t>
      </w:r>
      <w:r w:rsidR="00083361" w:rsidRPr="00394B1E">
        <w:t>之中</w:t>
      </w:r>
      <w:r w:rsidRPr="00394B1E">
        <w:t>。此外，在许多会员国，有害藻华、珊瑚白化和溢油等预警系统，仍处于非常早期的阶段，而且大多由缺乏联动的不同业务机构运营。改进和协调包括但不仅限于水文气象灾害的预警系统的必要性已得到广泛承认，并反映在《仙台减少灾害风险框架》和联合国全民预警倡议中。</w:t>
      </w:r>
    </w:p>
    <w:p w14:paraId="77BA8EB2" w14:textId="754A3D57" w:rsidR="0064501A" w:rsidRPr="00394B1E" w:rsidRDefault="0064501A" w:rsidP="007C2CED">
      <w:pPr>
        <w:pStyle w:val="COI"/>
      </w:pPr>
      <w:r w:rsidRPr="00394B1E">
        <w:t>28.</w:t>
      </w:r>
      <w:r w:rsidRPr="00394B1E">
        <w:tab/>
      </w:r>
      <w:r w:rsidRPr="00394B1E">
        <w:t>为了支持冗余性、一致性和可获取性，重点必须是通过联接各类特定灾害系统来整合多灾种预警。这在最不发达国家和小岛屿发展中国家尤为必要，因为这些国家在应用先进科学知识和触及当地面临风险的群体方面仍然存在较大差距。这适用于资源、能力、信息、标</w:t>
      </w:r>
      <w:r w:rsidRPr="00394B1E">
        <w:lastRenderedPageBreak/>
        <w:t>准作业程序等方面。当一个单一灾害预警系统被纳入多灾种框架后，协调就会变得更加容易，资源可以得到最佳利用，信息也可以有效地用于减轻灾害。预警系统产生的社会效益，由此</w:t>
      </w:r>
      <w:r w:rsidR="00A45B8A" w:rsidRPr="00394B1E">
        <w:t>得</w:t>
      </w:r>
      <w:r w:rsidRPr="00394B1E">
        <w:t>以在各地区、国家和社区之间均匀分配。</w:t>
      </w:r>
    </w:p>
    <w:p w14:paraId="69465C09" w14:textId="2EE0736F" w:rsidR="0064501A" w:rsidRPr="00394B1E" w:rsidRDefault="00394B1E" w:rsidP="007C2CED">
      <w:pPr>
        <w:pStyle w:val="COI"/>
      </w:pPr>
      <w:r>
        <w:rPr>
          <w:noProof/>
        </w:rPr>
        <w:drawing>
          <wp:inline distT="0" distB="0" distL="0" distR="0" wp14:anchorId="2791BAA2" wp14:editId="362E7237">
            <wp:extent cx="5883275" cy="312737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3275" cy="3127375"/>
                    </a:xfrm>
                    <a:prstGeom prst="rect">
                      <a:avLst/>
                    </a:prstGeom>
                    <a:noFill/>
                  </pic:spPr>
                </pic:pic>
              </a:graphicData>
            </a:graphic>
          </wp:inline>
        </w:drawing>
      </w:r>
    </w:p>
    <w:p w14:paraId="1BA2175C" w14:textId="7FC6D851" w:rsidR="00394B1E" w:rsidRPr="0073458C" w:rsidRDefault="00394B1E" w:rsidP="007C2CED">
      <w:pPr>
        <w:pStyle w:val="COI"/>
      </w:pPr>
      <w:r w:rsidRPr="0073458C">
        <w:t>图</w:t>
      </w:r>
      <w:r w:rsidRPr="0073458C">
        <w:t>2</w:t>
      </w:r>
      <w:r w:rsidRPr="0073458C">
        <w:t>：联合国海洋十年海啸计划的治理结构图</w:t>
      </w:r>
    </w:p>
    <w:p w14:paraId="30D62947" w14:textId="301DB86F" w:rsidR="000073DA" w:rsidRPr="00394B1E" w:rsidRDefault="000073DA" w:rsidP="0073458C">
      <w:pPr>
        <w:pStyle w:val="Heading3"/>
        <w:numPr>
          <w:ilvl w:val="0"/>
          <w:numId w:val="13"/>
        </w:numPr>
        <w:snapToGrid/>
        <w:spacing w:before="240" w:after="240" w:line="360" w:lineRule="auto"/>
        <w:ind w:left="1134" w:hanging="567"/>
        <w:jc w:val="both"/>
        <w:rPr>
          <w:rFonts w:asciiTheme="majorBidi" w:eastAsia="SimHei" w:hAnsiTheme="majorBidi"/>
          <w:b/>
          <w:bCs/>
          <w:lang w:eastAsia="zh-CN"/>
        </w:rPr>
      </w:pPr>
      <w:r w:rsidRPr="00394B1E">
        <w:rPr>
          <w:rFonts w:asciiTheme="majorBidi" w:eastAsia="SimHei" w:hAnsiTheme="majorBidi"/>
          <w:b/>
          <w:bCs/>
          <w:lang w:eastAsia="zh-CN"/>
        </w:rPr>
        <w:t>包容性、性别多样性和青年参与</w:t>
      </w:r>
    </w:p>
    <w:p w14:paraId="22FA5466" w14:textId="0A16FD43" w:rsidR="000073DA" w:rsidRPr="00394B1E" w:rsidRDefault="0064501A" w:rsidP="007C2CED">
      <w:pPr>
        <w:pStyle w:val="COI"/>
      </w:pPr>
      <w:r w:rsidRPr="0073458C">
        <w:t>29.</w:t>
      </w:r>
      <w:r w:rsidRPr="0073458C">
        <w:tab/>
      </w:r>
      <w:r w:rsidR="0073458C" w:rsidRPr="0073458C">
        <w:t>海洋</w:t>
      </w:r>
      <w:r w:rsidR="0073458C" w:rsidRPr="0073458C">
        <w:rPr>
          <w:rFonts w:hint="eastAsia"/>
        </w:rPr>
        <w:t>十年海啸计划将采用一种包容性的治理方法，为不同性别和年龄的人群参与其中提供一个平衡的平台。包容性需要将社会不同群体的需求、视角、优先事项和切实参与纳入考量。边缘群体往往</w:t>
      </w:r>
      <w:r w:rsidR="001224A8">
        <w:rPr>
          <w:rFonts w:hint="eastAsia"/>
        </w:rPr>
        <w:t>为</w:t>
      </w:r>
      <w:r w:rsidR="0073458C" w:rsidRPr="0073458C">
        <w:rPr>
          <w:rFonts w:hint="eastAsia"/>
        </w:rPr>
        <w:t>预警系统</w:t>
      </w:r>
      <w:r w:rsidR="001224A8">
        <w:rPr>
          <w:rFonts w:hint="eastAsia"/>
        </w:rPr>
        <w:t>所</w:t>
      </w:r>
      <w:r w:rsidR="0073458C" w:rsidRPr="0073458C">
        <w:rPr>
          <w:rFonts w:hint="eastAsia"/>
        </w:rPr>
        <w:t>忽视，需要我们给予特别考虑和重点关注。性别歧视和多样性</w:t>
      </w:r>
      <w:r w:rsidR="001224A8" w:rsidRPr="0073458C">
        <w:rPr>
          <w:rFonts w:hint="eastAsia"/>
        </w:rPr>
        <w:t>缺乏</w:t>
      </w:r>
      <w:r w:rsidR="0073458C" w:rsidRPr="0073458C">
        <w:rPr>
          <w:rFonts w:hint="eastAsia"/>
        </w:rPr>
        <w:t>，限制了妇女和女童获得信息、资源和机会，使她们更容易在灾害期间面临风险、遭受损失、失去生计。青年、青年专业人员和科研新人应充分参与，因为他们可以带来新的活力、举措和方法，从而为预警系统的采用和创新作出贡献。此外，他们的及早参与也将有助于减少代际差距，确保系统的连续性。</w:t>
      </w:r>
    </w:p>
    <w:p w14:paraId="78848B18" w14:textId="77777777" w:rsidR="000073DA" w:rsidRPr="00394B1E" w:rsidRDefault="000073DA" w:rsidP="000073DA">
      <w:pPr>
        <w:pStyle w:val="Heading2"/>
        <w:snapToGrid/>
        <w:spacing w:before="240" w:after="240" w:line="360" w:lineRule="auto"/>
        <w:jc w:val="both"/>
        <w:rPr>
          <w:rFonts w:asciiTheme="majorBidi" w:eastAsia="SimHei" w:hAnsiTheme="majorBidi"/>
          <w:b/>
          <w:bCs/>
          <w:caps/>
          <w:sz w:val="24"/>
          <w:szCs w:val="24"/>
          <w:lang w:eastAsia="zh-CN"/>
        </w:rPr>
      </w:pPr>
      <w:r w:rsidRPr="00394B1E">
        <w:rPr>
          <w:rFonts w:asciiTheme="majorBidi" w:eastAsia="SimHei" w:hAnsiTheme="majorBidi"/>
          <w:b/>
          <w:bCs/>
          <w:sz w:val="24"/>
          <w:szCs w:val="24"/>
          <w:lang w:eastAsia="zh-CN"/>
        </w:rPr>
        <w:t>能力发展</w:t>
      </w:r>
    </w:p>
    <w:p w14:paraId="0FD900D9" w14:textId="5F6A3361" w:rsidR="000073DA" w:rsidRPr="00394B1E" w:rsidRDefault="0064501A" w:rsidP="007C2CED">
      <w:pPr>
        <w:pStyle w:val="COI"/>
      </w:pPr>
      <w:r w:rsidRPr="00394B1E">
        <w:t>30.</w:t>
      </w:r>
      <w:r w:rsidRPr="00394B1E">
        <w:tab/>
      </w:r>
      <w:r w:rsidR="0073458C" w:rsidRPr="0073458C">
        <w:rPr>
          <w:rFonts w:hint="eastAsia"/>
        </w:rPr>
        <w:t>在开发技术解决方案的同时，还需要发展个人和机构的能力</w:t>
      </w:r>
      <w:r w:rsidR="001224A8">
        <w:rPr>
          <w:rFonts w:hint="eastAsia"/>
        </w:rPr>
        <w:t>。</w:t>
      </w:r>
      <w:r w:rsidR="0073458C" w:rsidRPr="0073458C">
        <w:rPr>
          <w:rFonts w:hint="eastAsia"/>
        </w:rPr>
        <w:t>而目前，各个地区、国家和社区以及不同性别和年龄的人群能力各异。能力发展的目标，是公平获取数据、信息、知识、技术和基础设施，不让任何人掉队。为支持实现海洋十年海啸计划的目标，我们必须继续发展关于海啸的科学知识和社会行为。这就需要加强科研能力和技术转让。</w:t>
      </w:r>
    </w:p>
    <w:p w14:paraId="13023251" w14:textId="4B8E3025" w:rsidR="000073DA" w:rsidRPr="00394B1E" w:rsidRDefault="0064501A" w:rsidP="007C2CED">
      <w:pPr>
        <w:pStyle w:val="COI"/>
      </w:pPr>
      <w:r w:rsidRPr="00394B1E">
        <w:lastRenderedPageBreak/>
        <w:t>31.</w:t>
      </w:r>
      <w:r w:rsidRPr="00394B1E">
        <w:tab/>
      </w:r>
      <w:r w:rsidR="0073458C" w:rsidRPr="0073458C">
        <w:rPr>
          <w:rFonts w:hint="eastAsia"/>
        </w:rPr>
        <w:t>许多小岛屿发展中国家和最不发达国家比其他国家更为脆弱，面临的海啸风险更高。其中许多国家还缺乏工作人员和</w:t>
      </w:r>
      <w:r w:rsidR="0073458C" w:rsidRPr="0073458C">
        <w:rPr>
          <w:rFonts w:hint="eastAsia"/>
        </w:rPr>
        <w:t>/</w:t>
      </w:r>
      <w:r w:rsidR="0073458C" w:rsidRPr="0073458C">
        <w:rPr>
          <w:rFonts w:hint="eastAsia"/>
        </w:rPr>
        <w:t>或其工作人员不具备有效支持和加强其海啸预警系统的科学和技术能力。因此，在实施研</w:t>
      </w:r>
      <w:r w:rsidR="001224A8">
        <w:rPr>
          <w:rFonts w:hint="eastAsia"/>
        </w:rPr>
        <w:t>究和开</w:t>
      </w:r>
      <w:r w:rsidR="0073458C" w:rsidRPr="0073458C">
        <w:rPr>
          <w:rFonts w:hint="eastAsia"/>
        </w:rPr>
        <w:t>发计划时，需要确保特别考虑和优先重视满足和支持小岛屿发展中国家和最不发达国家的能力需求。这样既能确保地方一级的高水平备灾，又能弥补全球海啸预警系统方面的重要差距。</w:t>
      </w:r>
    </w:p>
    <w:p w14:paraId="56510AB7" w14:textId="77777777" w:rsidR="000073DA" w:rsidRPr="00394B1E" w:rsidRDefault="000073DA" w:rsidP="000073DA">
      <w:pPr>
        <w:pStyle w:val="Heading2"/>
        <w:snapToGrid/>
        <w:spacing w:before="240" w:after="240" w:line="360" w:lineRule="auto"/>
        <w:jc w:val="both"/>
        <w:rPr>
          <w:rFonts w:asciiTheme="majorBidi" w:eastAsia="SimHei" w:hAnsiTheme="majorBidi"/>
          <w:b/>
          <w:bCs/>
          <w:caps/>
          <w:sz w:val="24"/>
          <w:szCs w:val="24"/>
          <w:lang w:eastAsia="zh-CN"/>
        </w:rPr>
      </w:pPr>
      <w:r w:rsidRPr="00394B1E">
        <w:rPr>
          <w:rFonts w:asciiTheme="majorBidi" w:eastAsia="SimHei" w:hAnsiTheme="majorBidi"/>
          <w:b/>
          <w:bCs/>
          <w:sz w:val="24"/>
          <w:szCs w:val="24"/>
          <w:lang w:eastAsia="zh-CN"/>
        </w:rPr>
        <w:t>实施途径</w:t>
      </w:r>
    </w:p>
    <w:p w14:paraId="7E14FEA5" w14:textId="4F0D4536" w:rsidR="000073DA" w:rsidRPr="00394B1E" w:rsidRDefault="0064501A" w:rsidP="007C2CED">
      <w:pPr>
        <w:pStyle w:val="COI"/>
      </w:pPr>
      <w:r w:rsidRPr="00394B1E">
        <w:t>32.</w:t>
      </w:r>
      <w:r w:rsidRPr="00394B1E">
        <w:tab/>
      </w:r>
      <w:r w:rsidR="0073458C" w:rsidRPr="0073458C">
        <w:rPr>
          <w:rFonts w:hint="eastAsia"/>
        </w:rPr>
        <w:t>海委会的海啸计划，旨在通过会员国的贡献和参与，在与地区政府间协调小组及其海啸信息中心进行协调并与学术机构、研究人员、产业界、慈善组织和其他利益攸关方开展合作情况下，监督海洋十年海啸计划的总体实施情况。</w:t>
      </w:r>
    </w:p>
    <w:p w14:paraId="0679FCED" w14:textId="7C18A377" w:rsidR="000073DA" w:rsidRPr="00394B1E" w:rsidRDefault="0064501A" w:rsidP="007C2CED">
      <w:pPr>
        <w:pStyle w:val="COI"/>
      </w:pPr>
      <w:r w:rsidRPr="00394B1E">
        <w:t>33.</w:t>
      </w:r>
      <w:r w:rsidRPr="00394B1E">
        <w:tab/>
      </w:r>
      <w:r w:rsidR="0073458C" w:rsidRPr="0073458C">
        <w:rPr>
          <w:rFonts w:hint="eastAsia"/>
        </w:rPr>
        <w:t>考虑到海啸灾害的性质，最佳解决方案应当具有全球设计、能应对地区的当务之急并可以通过会员国和其他利益攸关方的贡献和行动加以实施。海洋十年海啸计划将在海洋十年的时间框架内，为查明差距、提出解决方案、确定资源的优先次序和实施行动提供框架。</w:t>
      </w:r>
    </w:p>
    <w:p w14:paraId="10E8C2AD" w14:textId="3AE4B050" w:rsidR="000073DA" w:rsidRPr="00394B1E" w:rsidRDefault="0064501A" w:rsidP="007C2CED">
      <w:pPr>
        <w:pStyle w:val="COI"/>
      </w:pPr>
      <w:r w:rsidRPr="00394B1E">
        <w:t>34.</w:t>
      </w:r>
      <w:r w:rsidRPr="00394B1E">
        <w:tab/>
      </w:r>
      <w:r w:rsidR="0073458C" w:rsidRPr="0073458C">
        <w:rPr>
          <w:rFonts w:hint="eastAsia"/>
        </w:rPr>
        <w:t>毋庸置疑，并非所有会员国或国家活</w:t>
      </w:r>
      <w:r w:rsidR="0073458C" w:rsidRPr="00311793">
        <w:rPr>
          <w:rFonts w:hint="eastAsia"/>
        </w:rPr>
        <w:t>动都能在风险评估、观测和预警基础设施、通信以及备灾和应对方面投入大量资源。因此，本计划的</w:t>
      </w:r>
      <w:r w:rsidR="00C62630" w:rsidRPr="00311793">
        <w:rPr>
          <w:rFonts w:hint="eastAsia"/>
        </w:rPr>
        <w:t>目的在于，通过</w:t>
      </w:r>
      <w:r w:rsidR="0073458C" w:rsidRPr="00311793">
        <w:rPr>
          <w:rFonts w:hint="eastAsia"/>
        </w:rPr>
        <w:t>针对</w:t>
      </w:r>
      <w:r w:rsidR="0055647F" w:rsidRPr="00311793">
        <w:rPr>
          <w:rFonts w:hint="eastAsia"/>
        </w:rPr>
        <w:t>在</w:t>
      </w:r>
      <w:r w:rsidR="0073458C" w:rsidRPr="00311793">
        <w:rPr>
          <w:rFonts w:hint="eastAsia"/>
        </w:rPr>
        <w:t>提高会员国能力</w:t>
      </w:r>
      <w:r w:rsidR="006A3B1A" w:rsidRPr="00311793">
        <w:rPr>
          <w:rFonts w:hint="eastAsia"/>
        </w:rPr>
        <w:t>方面</w:t>
      </w:r>
      <w:r w:rsidR="0055647F" w:rsidRPr="00311793">
        <w:rPr>
          <w:rFonts w:hint="eastAsia"/>
        </w:rPr>
        <w:t>至关</w:t>
      </w:r>
      <w:r w:rsidR="0073458C" w:rsidRPr="00311793">
        <w:rPr>
          <w:rFonts w:hint="eastAsia"/>
        </w:rPr>
        <w:t>重要的目标，提供涵盖包括财政承诺在内的各个方面的贡献途径</w:t>
      </w:r>
      <w:r w:rsidR="0073458C" w:rsidRPr="0073458C">
        <w:rPr>
          <w:rFonts w:hint="eastAsia"/>
        </w:rPr>
        <w:t>。</w:t>
      </w:r>
    </w:p>
    <w:p w14:paraId="4C8131A0" w14:textId="77777777" w:rsidR="000073DA" w:rsidRPr="00394B1E" w:rsidRDefault="000073DA" w:rsidP="000073DA">
      <w:pPr>
        <w:pStyle w:val="Heading2"/>
        <w:snapToGrid/>
        <w:spacing w:before="240" w:after="240" w:line="360" w:lineRule="auto"/>
        <w:jc w:val="both"/>
        <w:rPr>
          <w:rFonts w:asciiTheme="majorBidi" w:eastAsia="SimHei" w:hAnsiTheme="majorBidi"/>
          <w:b/>
          <w:bCs/>
          <w:caps/>
          <w:sz w:val="24"/>
          <w:szCs w:val="24"/>
          <w:lang w:eastAsia="zh-CN"/>
        </w:rPr>
      </w:pPr>
      <w:r w:rsidRPr="00394B1E">
        <w:rPr>
          <w:rFonts w:asciiTheme="majorBidi" w:eastAsia="SimHei" w:hAnsiTheme="majorBidi"/>
          <w:b/>
          <w:bCs/>
          <w:sz w:val="24"/>
          <w:szCs w:val="24"/>
          <w:lang w:eastAsia="zh-CN"/>
        </w:rPr>
        <w:t>财务和行政影响</w:t>
      </w:r>
    </w:p>
    <w:p w14:paraId="1359AB9B" w14:textId="264FBBBA" w:rsidR="000073DA" w:rsidRPr="0073458C" w:rsidRDefault="0064501A" w:rsidP="007C2CED">
      <w:pPr>
        <w:pStyle w:val="COI"/>
      </w:pPr>
      <w:r w:rsidRPr="0073458C">
        <w:t>35.</w:t>
      </w:r>
      <w:r w:rsidRPr="0073458C">
        <w:tab/>
      </w:r>
      <w:r w:rsidR="0073458C" w:rsidRPr="0073458C">
        <w:t>相关活动的直接财务和行政影响未超出海委会海啸计划正常预算的范围，特别是</w:t>
      </w:r>
      <w:r w:rsidR="0073458C" w:rsidRPr="0073458C">
        <w:t>41 C/5</w:t>
      </w:r>
      <w:r w:rsidR="0073458C" w:rsidRPr="0073458C">
        <w:t>批准本的产出</w:t>
      </w:r>
      <w:r w:rsidR="0073458C" w:rsidRPr="0073458C">
        <w:t>3.IOC1</w:t>
      </w:r>
      <w:r w:rsidR="0073458C" w:rsidRPr="0073458C">
        <w:t>（</w:t>
      </w:r>
      <w:r w:rsidR="0073458C" w:rsidRPr="0073458C">
        <w:t>03007</w:t>
      </w:r>
      <w:r w:rsidR="0073458C" w:rsidRPr="0073458C">
        <w:t>段）和</w:t>
      </w:r>
      <w:r w:rsidR="0073458C" w:rsidRPr="0073458C">
        <w:t>42 C/5</w:t>
      </w:r>
      <w:r w:rsidR="0073458C" w:rsidRPr="0073458C">
        <w:t>草案的产出</w:t>
      </w:r>
      <w:r w:rsidR="0073458C" w:rsidRPr="0073458C">
        <w:t>3.IOC1</w:t>
      </w:r>
      <w:r w:rsidR="0073458C" w:rsidRPr="0073458C">
        <w:t>（</w:t>
      </w:r>
      <w:r w:rsidR="0073458C" w:rsidRPr="0073458C">
        <w:t>03004</w:t>
      </w:r>
      <w:r w:rsidR="0073458C" w:rsidRPr="0073458C">
        <w:t>段），两者都与教科文组织《</w:t>
      </w:r>
      <w:r w:rsidR="0073458C" w:rsidRPr="0073458C">
        <w:t>2022–2029</w:t>
      </w:r>
      <w:r w:rsidR="0073458C" w:rsidRPr="0073458C">
        <w:t>年中期战略》（</w:t>
      </w:r>
      <w:r w:rsidR="0073458C" w:rsidRPr="0073458C">
        <w:t>41 C/4</w:t>
      </w:r>
      <w:r w:rsidR="0073458C" w:rsidRPr="0073458C">
        <w:t>）成果</w:t>
      </w:r>
      <w:r w:rsidR="0073458C" w:rsidRPr="0073458C">
        <w:t>3</w:t>
      </w:r>
      <w:r w:rsidR="0073458C" w:rsidRPr="0073458C">
        <w:t>第</w:t>
      </w:r>
      <w:r w:rsidR="0073458C" w:rsidRPr="0073458C">
        <w:t>49</w:t>
      </w:r>
      <w:r w:rsidR="0073458C" w:rsidRPr="0073458C">
        <w:t>段保持一致。</w:t>
      </w:r>
    </w:p>
    <w:p w14:paraId="72192309" w14:textId="77777777" w:rsidR="000073DA" w:rsidRPr="0073458C" w:rsidRDefault="000073DA" w:rsidP="000073DA">
      <w:pPr>
        <w:pStyle w:val="Heading2"/>
        <w:snapToGrid/>
        <w:spacing w:before="240" w:after="240" w:line="360" w:lineRule="auto"/>
        <w:jc w:val="both"/>
        <w:rPr>
          <w:rFonts w:ascii="SimHei" w:eastAsia="SimHei" w:hAnsi="SimHei"/>
          <w:b/>
          <w:bCs/>
          <w:caps/>
          <w:sz w:val="24"/>
          <w:szCs w:val="24"/>
          <w:lang w:eastAsia="zh-CN"/>
        </w:rPr>
      </w:pPr>
      <w:r w:rsidRPr="0073458C">
        <w:rPr>
          <w:rFonts w:ascii="SimHei" w:eastAsia="SimHei" w:hAnsi="SimHei"/>
          <w:b/>
          <w:bCs/>
          <w:sz w:val="24"/>
          <w:szCs w:val="24"/>
          <w:lang w:eastAsia="zh-CN"/>
        </w:rPr>
        <w:t>拟议决定</w:t>
      </w:r>
    </w:p>
    <w:p w14:paraId="49620648" w14:textId="2618125D" w:rsidR="000073DA" w:rsidRPr="0073458C" w:rsidRDefault="0064501A" w:rsidP="007C2CED">
      <w:pPr>
        <w:pStyle w:val="COI"/>
      </w:pPr>
      <w:r w:rsidRPr="00394B1E">
        <w:rPr>
          <w:rFonts w:eastAsia="Microsoft YaHei"/>
        </w:rPr>
        <w:t>36.</w:t>
      </w:r>
      <w:r w:rsidRPr="00394B1E">
        <w:rPr>
          <w:rFonts w:eastAsia="Microsoft YaHei"/>
        </w:rPr>
        <w:tab/>
      </w:r>
      <w:r w:rsidR="0073458C" w:rsidRPr="0073458C">
        <w:t>鉴于以上所述，海委会大会可以考虑通过《行动文件》（第</w:t>
      </w:r>
      <w:r w:rsidR="0073458C" w:rsidRPr="0073458C">
        <w:t>IOC/32-AP Prov.</w:t>
      </w:r>
      <w:r w:rsidR="0073458C" w:rsidRPr="0073458C">
        <w:t>号文件）提出的第</w:t>
      </w:r>
      <w:r w:rsidR="0073458C" w:rsidRPr="0073458C">
        <w:t xml:space="preserve">IOC-32/3.4.1 Part III </w:t>
      </w:r>
      <w:r w:rsidR="0073458C" w:rsidRPr="0073458C">
        <w:t>号决定。</w:t>
      </w:r>
    </w:p>
    <w:sectPr w:rsidR="000073DA" w:rsidRPr="0073458C" w:rsidSect="00DE7943">
      <w:headerReference w:type="even" r:id="rId10"/>
      <w:headerReference w:type="default" r:id="rId11"/>
      <w:headerReference w:type="first" r:id="rId12"/>
      <w:type w:val="oddPage"/>
      <w:pgSz w:w="11906" w:h="16838" w:code="9"/>
      <w:pgMar w:top="1418" w:right="1134" w:bottom="1134" w:left="1134"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C6AA9" w14:textId="77777777" w:rsidR="00A62EAE" w:rsidRDefault="00A62EAE" w:rsidP="000073DA">
      <w:r>
        <w:separator/>
      </w:r>
    </w:p>
  </w:endnote>
  <w:endnote w:type="continuationSeparator" w:id="0">
    <w:p w14:paraId="1C0BAB10" w14:textId="77777777" w:rsidR="00A62EAE" w:rsidRDefault="00A62EAE" w:rsidP="00007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KaiTi">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DAD41" w14:textId="77777777" w:rsidR="00A62EAE" w:rsidRDefault="00A62EAE" w:rsidP="000073DA">
      <w:r>
        <w:separator/>
      </w:r>
    </w:p>
  </w:footnote>
  <w:footnote w:type="continuationSeparator" w:id="0">
    <w:p w14:paraId="4C50CB30" w14:textId="77777777" w:rsidR="00A62EAE" w:rsidRDefault="00A62EAE" w:rsidP="00007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3906"/>
    </w:tblGrid>
    <w:tr w:rsidR="000073DA" w14:paraId="5E22F159" w14:textId="77777777" w:rsidTr="000073DA">
      <w:trPr>
        <w:trHeight w:val="2120"/>
      </w:trPr>
      <w:tc>
        <w:tcPr>
          <w:tcW w:w="4390" w:type="dxa"/>
        </w:tcPr>
        <w:p w14:paraId="2A11DA4B" w14:textId="5F0846DC" w:rsidR="000073DA" w:rsidRDefault="000073DA">
          <w:pPr>
            <w:pStyle w:val="Header"/>
          </w:pPr>
          <w:r>
            <w:rPr>
              <w:noProof/>
            </w:rPr>
            <w:drawing>
              <wp:anchor distT="0" distB="0" distL="114300" distR="114300" simplePos="0" relativeHeight="251659264" behindDoc="0" locked="0" layoutInCell="1" allowOverlap="1" wp14:anchorId="651F2789" wp14:editId="6AA1185F">
                <wp:simplePos x="0" y="0"/>
                <wp:positionH relativeFrom="column">
                  <wp:posOffset>-25400</wp:posOffset>
                </wp:positionH>
                <wp:positionV relativeFrom="paragraph">
                  <wp:posOffset>281940</wp:posOffset>
                </wp:positionV>
                <wp:extent cx="1578610" cy="1047115"/>
                <wp:effectExtent l="0" t="0" r="2540" b="635"/>
                <wp:wrapSquare wrapText="bothSides"/>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1047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hint="eastAsia"/>
            </w:rPr>
            <w:t>限量分发</w:t>
          </w:r>
          <w:proofErr w:type="spellEnd"/>
        </w:p>
      </w:tc>
      <w:tc>
        <w:tcPr>
          <w:tcW w:w="3906" w:type="dxa"/>
        </w:tcPr>
        <w:p w14:paraId="22E5A604" w14:textId="77777777" w:rsidR="000073DA" w:rsidRPr="007C710A" w:rsidRDefault="000073DA" w:rsidP="000073DA">
          <w:pPr>
            <w:pStyle w:val="Marge"/>
            <w:tabs>
              <w:tab w:val="left" w:pos="5954"/>
              <w:tab w:val="left" w:pos="7560"/>
            </w:tabs>
            <w:snapToGrid/>
            <w:spacing w:after="0"/>
            <w:rPr>
              <w:rFonts w:cs="Arial"/>
              <w:b/>
              <w:szCs w:val="22"/>
            </w:rPr>
          </w:pPr>
          <w:r>
            <w:rPr>
              <w:rFonts w:cs="Arial"/>
              <w:b/>
              <w:sz w:val="36"/>
              <w:szCs w:val="36"/>
            </w:rPr>
            <w:t>IOC-32/</w:t>
          </w:r>
          <w:r w:rsidRPr="004E63B9">
            <w:rPr>
              <w:rFonts w:cs="Arial"/>
              <w:b/>
              <w:sz w:val="36"/>
              <w:szCs w:val="36"/>
            </w:rPr>
            <w:t xml:space="preserve">3.4.1.2 </w:t>
          </w:r>
          <w:proofErr w:type="gramStart"/>
          <w:r w:rsidRPr="004E63B9">
            <w:rPr>
              <w:rFonts w:cs="Arial"/>
              <w:b/>
              <w:sz w:val="36"/>
              <w:szCs w:val="36"/>
            </w:rPr>
            <w:t>Doc(</w:t>
          </w:r>
          <w:proofErr w:type="gramEnd"/>
          <w:r w:rsidRPr="004E63B9">
            <w:rPr>
              <w:rFonts w:cs="Arial"/>
              <w:b/>
              <w:sz w:val="36"/>
              <w:szCs w:val="36"/>
            </w:rPr>
            <w:t>1</w:t>
          </w:r>
          <w:r>
            <w:rPr>
              <w:rFonts w:cs="Arial"/>
              <w:b/>
              <w:sz w:val="36"/>
              <w:szCs w:val="36"/>
            </w:rPr>
            <w:t>)</w:t>
          </w:r>
        </w:p>
        <w:p w14:paraId="5F1EB407" w14:textId="07336B16" w:rsidR="000073DA" w:rsidRPr="007C710A" w:rsidRDefault="000073DA" w:rsidP="000073DA">
          <w:pPr>
            <w:tabs>
              <w:tab w:val="clear" w:pos="567"/>
              <w:tab w:val="left" w:pos="5991"/>
            </w:tabs>
            <w:snapToGrid/>
            <w:spacing w:before="120"/>
            <w:jc w:val="both"/>
            <w:rPr>
              <w:rFonts w:cs="Arial"/>
              <w:szCs w:val="22"/>
            </w:rPr>
          </w:pPr>
          <w:proofErr w:type="spellStart"/>
          <w:r>
            <w:rPr>
              <w:rFonts w:cs="Arial" w:hint="eastAsia"/>
              <w:szCs w:val="22"/>
            </w:rPr>
            <w:t>巴黎</w:t>
          </w:r>
          <w:proofErr w:type="spellEnd"/>
          <w:r>
            <w:rPr>
              <w:rFonts w:cs="Arial" w:hint="eastAsia"/>
              <w:szCs w:val="22"/>
            </w:rPr>
            <w:t>，</w:t>
          </w:r>
          <w:r>
            <w:rPr>
              <w:rFonts w:cs="Arial" w:hint="eastAsia"/>
              <w:szCs w:val="22"/>
            </w:rPr>
            <w:t>2</w:t>
          </w:r>
          <w:r>
            <w:rPr>
              <w:rFonts w:cs="Arial"/>
              <w:szCs w:val="22"/>
            </w:rPr>
            <w:t>023</w:t>
          </w:r>
          <w:r>
            <w:rPr>
              <w:rFonts w:cs="Arial" w:hint="eastAsia"/>
              <w:szCs w:val="22"/>
            </w:rPr>
            <w:t>年</w:t>
          </w:r>
          <w:r>
            <w:rPr>
              <w:rFonts w:cs="Arial" w:hint="eastAsia"/>
              <w:szCs w:val="22"/>
            </w:rPr>
            <w:t>4</w:t>
          </w:r>
          <w:r>
            <w:rPr>
              <w:rFonts w:cs="Arial" w:hint="eastAsia"/>
              <w:szCs w:val="22"/>
            </w:rPr>
            <w:t>月</w:t>
          </w:r>
          <w:r>
            <w:rPr>
              <w:rFonts w:cs="Arial" w:hint="eastAsia"/>
              <w:szCs w:val="22"/>
            </w:rPr>
            <w:t>3</w:t>
          </w:r>
          <w:r>
            <w:rPr>
              <w:rFonts w:cs="Arial"/>
              <w:szCs w:val="22"/>
            </w:rPr>
            <w:t>0</w:t>
          </w:r>
          <w:r>
            <w:rPr>
              <w:rFonts w:cs="Arial" w:hint="eastAsia"/>
              <w:szCs w:val="22"/>
            </w:rPr>
            <w:t>日</w:t>
          </w:r>
        </w:p>
        <w:p w14:paraId="09F02E0A" w14:textId="4A99A34B" w:rsidR="000073DA" w:rsidRPr="000073DA" w:rsidRDefault="000073DA" w:rsidP="000073DA">
          <w:pPr>
            <w:tabs>
              <w:tab w:val="left" w:pos="5991"/>
            </w:tabs>
            <w:jc w:val="both"/>
            <w:rPr>
              <w:rFonts w:cs="Arial"/>
              <w:szCs w:val="22"/>
            </w:rPr>
          </w:pPr>
          <w:proofErr w:type="spellStart"/>
          <w:r>
            <w:rPr>
              <w:rFonts w:cs="Arial" w:hint="eastAsia"/>
              <w:szCs w:val="22"/>
            </w:rPr>
            <w:t>原件：英文</w:t>
          </w:r>
          <w:proofErr w:type="spellEnd"/>
        </w:p>
      </w:tc>
    </w:tr>
  </w:tbl>
  <w:p w14:paraId="2F0F4BB6" w14:textId="77777777" w:rsidR="000073DA" w:rsidRDefault="000073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97FC" w14:textId="77777777" w:rsidR="006C50B3" w:rsidRDefault="00D174D4" w:rsidP="00DE7943">
    <w:pPr>
      <w:pStyle w:val="Header"/>
      <w:rPr>
        <w:rFonts w:cs="Arial"/>
        <w:szCs w:val="22"/>
        <w:lang w:val="pt-PT"/>
      </w:rPr>
    </w:pPr>
    <w:r w:rsidRPr="00DE7943">
      <w:rPr>
        <w:rFonts w:cs="Arial"/>
        <w:szCs w:val="22"/>
        <w:lang w:val="pt-PT"/>
      </w:rPr>
      <w:t xml:space="preserve">IOC-32/3.4.1.2 </w:t>
    </w:r>
    <w:proofErr w:type="gramStart"/>
    <w:r w:rsidRPr="00DE7943">
      <w:rPr>
        <w:rFonts w:cs="Arial"/>
        <w:szCs w:val="22"/>
        <w:lang w:val="pt-PT"/>
      </w:rPr>
      <w:t>Doc(</w:t>
    </w:r>
    <w:proofErr w:type="gramEnd"/>
    <w:r w:rsidRPr="00DE7943">
      <w:rPr>
        <w:rFonts w:cs="Arial"/>
        <w:szCs w:val="22"/>
        <w:lang w:val="pt-PT"/>
      </w:rPr>
      <w:t>1)</w:t>
    </w:r>
  </w:p>
  <w:p w14:paraId="6B5931B3" w14:textId="07DFDB38" w:rsidR="00020AA1" w:rsidRPr="00DE7943" w:rsidRDefault="00D174D4" w:rsidP="00DE7943">
    <w:pPr>
      <w:pStyle w:val="Header"/>
      <w:rPr>
        <w:rFonts w:cs="Arial"/>
        <w:szCs w:val="22"/>
        <w:lang w:val="pt-PT"/>
      </w:rPr>
    </w:pPr>
    <w:proofErr w:type="spellStart"/>
    <w:r w:rsidRPr="00DE7943">
      <w:rPr>
        <w:rFonts w:cs="Arial"/>
        <w:szCs w:val="22"/>
        <w:lang w:val="pt-PT"/>
      </w:rPr>
      <w:t>page</w:t>
    </w:r>
    <w:proofErr w:type="spellEnd"/>
    <w:r w:rsidR="00DE7943" w:rsidRPr="00DE7943">
      <w:rPr>
        <w:rFonts w:cs="Arial"/>
        <w:szCs w:val="22"/>
        <w:lang w:val="pt-PT"/>
      </w:rPr>
      <w:t xml:space="preserve"> </w:t>
    </w:r>
    <w:r w:rsidRPr="00DE7943">
      <w:rPr>
        <w:rStyle w:val="PageNumber"/>
        <w:rFonts w:cs="Arial"/>
        <w:szCs w:val="22"/>
      </w:rPr>
      <w:fldChar w:fldCharType="begin"/>
    </w:r>
    <w:r w:rsidRPr="00DE7943">
      <w:rPr>
        <w:rStyle w:val="PageNumber"/>
        <w:rFonts w:cs="Arial"/>
        <w:szCs w:val="22"/>
        <w:lang w:val="pt-PT"/>
      </w:rPr>
      <w:instrText xml:space="preserve"> PAGE </w:instrText>
    </w:r>
    <w:r w:rsidRPr="00DE7943">
      <w:rPr>
        <w:rStyle w:val="PageNumber"/>
        <w:rFonts w:cs="Arial"/>
        <w:szCs w:val="22"/>
      </w:rPr>
      <w:fldChar w:fldCharType="separate"/>
    </w:r>
    <w:r w:rsidRPr="00DE7943">
      <w:rPr>
        <w:rStyle w:val="PageNumber"/>
        <w:rFonts w:cs="Arial"/>
        <w:noProof/>
        <w:szCs w:val="22"/>
        <w:lang w:val="pt-PT"/>
      </w:rPr>
      <w:t>2</w:t>
    </w:r>
    <w:r w:rsidRPr="00DE7943">
      <w:rPr>
        <w:rStyle w:val="PageNumber"/>
        <w:rFonts w:cs="Arial"/>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DDF1" w14:textId="77777777" w:rsidR="006C50B3" w:rsidRDefault="00D174D4" w:rsidP="006C50B3">
    <w:pPr>
      <w:pStyle w:val="Header"/>
      <w:ind w:left="7200"/>
      <w:rPr>
        <w:rFonts w:cs="Arial"/>
        <w:sz w:val="20"/>
        <w:szCs w:val="20"/>
        <w:lang w:val="pt-PT"/>
      </w:rPr>
    </w:pPr>
    <w:r w:rsidRPr="00B8392A">
      <w:rPr>
        <w:rFonts w:cs="Arial"/>
        <w:sz w:val="20"/>
        <w:szCs w:val="20"/>
        <w:lang w:val="pt-PT"/>
      </w:rPr>
      <w:t>IOC-32/</w:t>
    </w:r>
    <w:r w:rsidRPr="006714E8">
      <w:rPr>
        <w:rFonts w:cs="Arial"/>
        <w:sz w:val="20"/>
        <w:szCs w:val="20"/>
        <w:lang w:val="pt-PT"/>
      </w:rPr>
      <w:t>3.4.1.2</w:t>
    </w:r>
    <w:r>
      <w:rPr>
        <w:rFonts w:cs="Arial"/>
        <w:sz w:val="20"/>
        <w:szCs w:val="20"/>
        <w:lang w:val="pt-PT"/>
      </w:rPr>
      <w:t xml:space="preserve"> </w:t>
    </w:r>
    <w:proofErr w:type="gramStart"/>
    <w:r w:rsidRPr="00B8392A">
      <w:rPr>
        <w:rFonts w:cs="Arial"/>
        <w:sz w:val="20"/>
        <w:szCs w:val="20"/>
        <w:lang w:val="pt-PT"/>
      </w:rPr>
      <w:t>Doc(</w:t>
    </w:r>
    <w:proofErr w:type="gramEnd"/>
    <w:r w:rsidRPr="00B8392A">
      <w:rPr>
        <w:rFonts w:cs="Arial"/>
        <w:sz w:val="20"/>
        <w:szCs w:val="20"/>
        <w:lang w:val="pt-PT"/>
      </w:rPr>
      <w:t>1)</w:t>
    </w:r>
  </w:p>
  <w:p w14:paraId="4B598576" w14:textId="350D6B15" w:rsidR="00020AA1" w:rsidRPr="00003B31" w:rsidRDefault="00D174D4" w:rsidP="006C50B3">
    <w:pPr>
      <w:pStyle w:val="Header"/>
      <w:ind w:left="7200"/>
      <w:rPr>
        <w:rFonts w:cs="Arial"/>
        <w:szCs w:val="22"/>
        <w:lang w:val="fr-FR"/>
      </w:rPr>
    </w:pPr>
    <w:proofErr w:type="gramStart"/>
    <w:r w:rsidRPr="00003B31">
      <w:rPr>
        <w:rFonts w:cs="Arial"/>
        <w:szCs w:val="22"/>
        <w:lang w:val="fr-FR"/>
      </w:rPr>
      <w:t>page</w:t>
    </w:r>
    <w:proofErr w:type="gramEnd"/>
    <w:r w:rsidR="00DE7943">
      <w:rPr>
        <w:rFonts w:cs="Arial"/>
        <w:szCs w:val="22"/>
        <w:lang w:val="fr-FR"/>
      </w:rPr>
      <w:t xml:space="preserve"> </w:t>
    </w:r>
    <w:r w:rsidRPr="00424DE6">
      <w:rPr>
        <w:rStyle w:val="PageNumber"/>
        <w:rFonts w:cs="Arial"/>
        <w:szCs w:val="22"/>
      </w:rPr>
      <w:fldChar w:fldCharType="begin"/>
    </w:r>
    <w:r w:rsidRPr="00003B31">
      <w:rPr>
        <w:rStyle w:val="PageNumber"/>
        <w:rFonts w:cs="Arial"/>
        <w:szCs w:val="22"/>
        <w:lang w:val="fr-FR"/>
      </w:rPr>
      <w:instrText xml:space="preserve"> PAGE </w:instrText>
    </w:r>
    <w:r w:rsidRPr="00424DE6">
      <w:rPr>
        <w:rStyle w:val="PageNumber"/>
        <w:rFonts w:cs="Arial"/>
        <w:szCs w:val="22"/>
      </w:rPr>
      <w:fldChar w:fldCharType="separate"/>
    </w:r>
    <w:r>
      <w:rPr>
        <w:rStyle w:val="PageNumber"/>
        <w:rFonts w:cs="Arial"/>
        <w:noProof/>
        <w:szCs w:val="22"/>
        <w:lang w:val="fr-FR"/>
      </w:rPr>
      <w:t>3</w:t>
    </w:r>
    <w:r w:rsidRPr="00424DE6">
      <w:rPr>
        <w:rStyle w:val="PageNumber"/>
        <w:rFonts w:cs="Arial"/>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A33F" w14:textId="77777777" w:rsidR="00020AA1" w:rsidRPr="00B8392A" w:rsidRDefault="00D174D4" w:rsidP="00294AD5">
    <w:pPr>
      <w:pStyle w:val="Header"/>
      <w:jc w:val="right"/>
      <w:rPr>
        <w:rFonts w:cs="Arial"/>
        <w:sz w:val="20"/>
        <w:szCs w:val="20"/>
        <w:lang w:val="pt-PT"/>
      </w:rPr>
    </w:pPr>
    <w:r w:rsidRPr="00B8392A">
      <w:rPr>
        <w:rFonts w:cs="Arial"/>
        <w:sz w:val="20"/>
        <w:szCs w:val="20"/>
        <w:lang w:val="pt-PT"/>
      </w:rPr>
      <w:t>IOC-32/</w:t>
    </w:r>
    <w:r w:rsidRPr="006714E8">
      <w:rPr>
        <w:rFonts w:cs="Arial"/>
        <w:sz w:val="20"/>
        <w:szCs w:val="20"/>
        <w:lang w:val="pt-PT"/>
      </w:rPr>
      <w:t>3.4.1.2</w:t>
    </w:r>
    <w:r>
      <w:rPr>
        <w:rFonts w:cs="Arial"/>
        <w:sz w:val="20"/>
        <w:szCs w:val="20"/>
        <w:lang w:val="pt-PT"/>
      </w:rPr>
      <w:t xml:space="preserve"> </w:t>
    </w:r>
    <w:r w:rsidRPr="00B8392A">
      <w:rPr>
        <w:rFonts w:cs="Arial"/>
        <w:sz w:val="20"/>
        <w:szCs w:val="20"/>
        <w:lang w:val="pt-PT"/>
      </w:rPr>
      <w:t>Doc(1)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9430F8B"/>
    <w:multiLevelType w:val="hybridMultilevel"/>
    <w:tmpl w:val="A9C67C0E"/>
    <w:lvl w:ilvl="0" w:tplc="CAFE03DE">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112D27"/>
    <w:multiLevelType w:val="hybridMultilevel"/>
    <w:tmpl w:val="EE1E920C"/>
    <w:lvl w:ilvl="0" w:tplc="7A8A839C">
      <w:start w:val="1"/>
      <w:numFmt w:val="lowerRoman"/>
      <w:lvlText w:val="(%1)"/>
      <w:lvlJc w:val="left"/>
      <w:pPr>
        <w:ind w:left="2771" w:hanging="360"/>
      </w:pPr>
      <w:rPr>
        <w:rFonts w:asciiTheme="majorBidi" w:hAnsiTheme="majorBidi" w:cstheme="majorBidi" w:hint="default"/>
        <w:b/>
        <w:bCs w:val="0"/>
        <w:i w:val="0"/>
        <w:caps w:val="0"/>
        <w:strike w:val="0"/>
        <w:dstrike w:val="0"/>
        <w:vanish w:val="0"/>
        <w:sz w:val="24"/>
        <w:szCs w:val="28"/>
        <w:vertAlign w:val="baseline"/>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3"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B1C9C"/>
    <w:multiLevelType w:val="hybridMultilevel"/>
    <w:tmpl w:val="23A85EFA"/>
    <w:lvl w:ilvl="0" w:tplc="CFBCE880">
      <w:start w:val="1"/>
      <w:numFmt w:val="bullet"/>
      <w:lvlText w:val=""/>
      <w:lvlJc w:val="left"/>
      <w:pPr>
        <w:tabs>
          <w:tab w:val="num" w:pos="360"/>
        </w:tabs>
        <w:ind w:left="284" w:hanging="284"/>
      </w:pPr>
      <w:rPr>
        <w:rFonts w:ascii="Symbol" w:hAnsi="Symbol" w:hint="default"/>
      </w:rPr>
    </w:lvl>
    <w:lvl w:ilvl="1" w:tplc="04090003">
      <w:start w:val="1"/>
      <w:numFmt w:val="bullet"/>
      <w:lvlText w:val="o"/>
      <w:lvlJc w:val="left"/>
      <w:pPr>
        <w:tabs>
          <w:tab w:val="num" w:pos="1157"/>
        </w:tabs>
        <w:ind w:left="1157" w:hanging="360"/>
      </w:pPr>
      <w:rPr>
        <w:rFonts w:ascii="Courier New" w:hAnsi="Courier New"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5" w15:restartNumberingAfterBreak="0">
    <w:nsid w:val="23064429"/>
    <w:multiLevelType w:val="hybridMultilevel"/>
    <w:tmpl w:val="AC523160"/>
    <w:lvl w:ilvl="0" w:tplc="732CB8BA">
      <w:start w:val="1"/>
      <w:numFmt w:val="lowerRoman"/>
      <w:lvlText w:val="(%1)"/>
      <w:lvlJc w:val="left"/>
      <w:pPr>
        <w:ind w:left="720" w:hanging="360"/>
      </w:pPr>
      <w:rPr>
        <w:rFonts w:ascii="Arial" w:hAnsi="Arial" w:hint="default"/>
        <w:b/>
        <w:bCs w:val="0"/>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ED1DB6"/>
    <w:multiLevelType w:val="hybridMultilevel"/>
    <w:tmpl w:val="BED2F338"/>
    <w:lvl w:ilvl="0" w:tplc="44667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70C8B"/>
    <w:multiLevelType w:val="hybridMultilevel"/>
    <w:tmpl w:val="D01EB4AE"/>
    <w:lvl w:ilvl="0" w:tplc="2868A9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4E3F44"/>
    <w:multiLevelType w:val="hybridMultilevel"/>
    <w:tmpl w:val="DEB8C3CC"/>
    <w:lvl w:ilvl="0" w:tplc="24D084D8">
      <w:start w:val="1"/>
      <w:numFmt w:val="decimal"/>
      <w:lvlText w:val="%1."/>
      <w:lvlJc w:val="left"/>
      <w:pPr>
        <w:ind w:left="3054" w:hanging="360"/>
      </w:pPr>
      <w:rPr>
        <w:b w:val="0"/>
        <w:bCs/>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9"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10" w15:restartNumberingAfterBreak="0">
    <w:nsid w:val="39147AE4"/>
    <w:multiLevelType w:val="hybridMultilevel"/>
    <w:tmpl w:val="95BA95AC"/>
    <w:lvl w:ilvl="0" w:tplc="80DA89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B842C4"/>
    <w:multiLevelType w:val="hybridMultilevel"/>
    <w:tmpl w:val="CC6AB766"/>
    <w:lvl w:ilvl="0" w:tplc="9C86435A">
      <w:start w:val="1"/>
      <w:numFmt w:val="lowerRoman"/>
      <w:lvlText w:val="(%1)"/>
      <w:lvlJc w:val="left"/>
      <w:pPr>
        <w:ind w:left="720" w:hanging="360"/>
      </w:pPr>
      <w:rPr>
        <w:rFonts w:ascii="Arial" w:hAnsi="Arial" w:hint="default"/>
        <w:b/>
        <w:bCs w:val="0"/>
        <w:i w:val="0"/>
        <w:caps w:val="0"/>
        <w:strike w:val="0"/>
        <w:dstrike w:val="0"/>
        <w:vanish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204C64"/>
    <w:multiLevelType w:val="hybridMultilevel"/>
    <w:tmpl w:val="BE2E72B4"/>
    <w:lvl w:ilvl="0" w:tplc="BCA6AA70">
      <w:start w:val="1"/>
      <w:numFmt w:val="decimal"/>
      <w:lvlText w:val="%1."/>
      <w:lvlJc w:val="left"/>
      <w:pPr>
        <w:tabs>
          <w:tab w:val="num" w:pos="567"/>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93792712">
    <w:abstractNumId w:val="9"/>
  </w:num>
  <w:num w:numId="2" w16cid:durableId="1276714333">
    <w:abstractNumId w:val="12"/>
  </w:num>
  <w:num w:numId="3" w16cid:durableId="771169987">
    <w:abstractNumId w:val="0"/>
  </w:num>
  <w:num w:numId="4" w16cid:durableId="1647783954">
    <w:abstractNumId w:val="3"/>
  </w:num>
  <w:num w:numId="5" w16cid:durableId="1382023786">
    <w:abstractNumId w:val="4"/>
  </w:num>
  <w:num w:numId="6" w16cid:durableId="1469662204">
    <w:abstractNumId w:val="8"/>
  </w:num>
  <w:num w:numId="7" w16cid:durableId="1651255074">
    <w:abstractNumId w:val="1"/>
  </w:num>
  <w:num w:numId="8" w16cid:durableId="2104379462">
    <w:abstractNumId w:val="7"/>
  </w:num>
  <w:num w:numId="9" w16cid:durableId="2066946821">
    <w:abstractNumId w:val="10"/>
  </w:num>
  <w:num w:numId="10" w16cid:durableId="1314874643">
    <w:abstractNumId w:val="11"/>
  </w:num>
  <w:num w:numId="11" w16cid:durableId="1252155236">
    <w:abstractNumId w:val="11"/>
    <w:lvlOverride w:ilvl="0">
      <w:startOverride w:val="1"/>
    </w:lvlOverride>
  </w:num>
  <w:num w:numId="12" w16cid:durableId="131751316">
    <w:abstractNumId w:val="5"/>
  </w:num>
  <w:num w:numId="13" w16cid:durableId="1310552616">
    <w:abstractNumId w:val="2"/>
  </w:num>
  <w:num w:numId="14" w16cid:durableId="761026503">
    <w:abstractNumId w:val="2"/>
    <w:lvlOverride w:ilvl="0">
      <w:startOverride w:val="1"/>
    </w:lvlOverride>
  </w:num>
  <w:num w:numId="15" w16cid:durableId="8322607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0CF"/>
    <w:rsid w:val="000073DA"/>
    <w:rsid w:val="0000792B"/>
    <w:rsid w:val="000801B7"/>
    <w:rsid w:val="00083361"/>
    <w:rsid w:val="000D71F6"/>
    <w:rsid w:val="00101361"/>
    <w:rsid w:val="00113913"/>
    <w:rsid w:val="001224A8"/>
    <w:rsid w:val="001812F6"/>
    <w:rsid w:val="00192128"/>
    <w:rsid w:val="001A1BCD"/>
    <w:rsid w:val="001B488F"/>
    <w:rsid w:val="00227C3F"/>
    <w:rsid w:val="00253CB3"/>
    <w:rsid w:val="002732DC"/>
    <w:rsid w:val="00282D12"/>
    <w:rsid w:val="002A77F0"/>
    <w:rsid w:val="002E68F8"/>
    <w:rsid w:val="00311793"/>
    <w:rsid w:val="00322E83"/>
    <w:rsid w:val="003250CF"/>
    <w:rsid w:val="003257B9"/>
    <w:rsid w:val="003335E9"/>
    <w:rsid w:val="00344825"/>
    <w:rsid w:val="003542FA"/>
    <w:rsid w:val="00367EAD"/>
    <w:rsid w:val="00394B1E"/>
    <w:rsid w:val="003A1977"/>
    <w:rsid w:val="003A1A0B"/>
    <w:rsid w:val="003B127E"/>
    <w:rsid w:val="003C42F5"/>
    <w:rsid w:val="003D0636"/>
    <w:rsid w:val="003F622B"/>
    <w:rsid w:val="00403497"/>
    <w:rsid w:val="00412A30"/>
    <w:rsid w:val="004169D9"/>
    <w:rsid w:val="00421EA1"/>
    <w:rsid w:val="00471E7B"/>
    <w:rsid w:val="00473F09"/>
    <w:rsid w:val="00473FEB"/>
    <w:rsid w:val="00475B4B"/>
    <w:rsid w:val="004A0194"/>
    <w:rsid w:val="004E339E"/>
    <w:rsid w:val="00512C76"/>
    <w:rsid w:val="0055647F"/>
    <w:rsid w:val="0056099D"/>
    <w:rsid w:val="005678EA"/>
    <w:rsid w:val="005B36CA"/>
    <w:rsid w:val="005C1B35"/>
    <w:rsid w:val="005F016A"/>
    <w:rsid w:val="005F5BC0"/>
    <w:rsid w:val="00602A3D"/>
    <w:rsid w:val="00607932"/>
    <w:rsid w:val="00640C1E"/>
    <w:rsid w:val="0064501A"/>
    <w:rsid w:val="006757D9"/>
    <w:rsid w:val="0068442C"/>
    <w:rsid w:val="006922A6"/>
    <w:rsid w:val="006A3B1A"/>
    <w:rsid w:val="006C468D"/>
    <w:rsid w:val="006C50B3"/>
    <w:rsid w:val="006F1E7F"/>
    <w:rsid w:val="006F6EFD"/>
    <w:rsid w:val="007077D5"/>
    <w:rsid w:val="00717B7B"/>
    <w:rsid w:val="00717E18"/>
    <w:rsid w:val="00726DC0"/>
    <w:rsid w:val="00727321"/>
    <w:rsid w:val="0073458C"/>
    <w:rsid w:val="007908B1"/>
    <w:rsid w:val="00792FA7"/>
    <w:rsid w:val="00797010"/>
    <w:rsid w:val="007B147B"/>
    <w:rsid w:val="007C2CED"/>
    <w:rsid w:val="00805E73"/>
    <w:rsid w:val="0083172F"/>
    <w:rsid w:val="00832F2E"/>
    <w:rsid w:val="0085217C"/>
    <w:rsid w:val="00863F19"/>
    <w:rsid w:val="00864F82"/>
    <w:rsid w:val="008B16FE"/>
    <w:rsid w:val="008C3A72"/>
    <w:rsid w:val="008D666D"/>
    <w:rsid w:val="0094671D"/>
    <w:rsid w:val="0098166D"/>
    <w:rsid w:val="009945A4"/>
    <w:rsid w:val="009B54C0"/>
    <w:rsid w:val="009D084D"/>
    <w:rsid w:val="00A03EA0"/>
    <w:rsid w:val="00A23F3A"/>
    <w:rsid w:val="00A36E2E"/>
    <w:rsid w:val="00A45B8A"/>
    <w:rsid w:val="00A55B0E"/>
    <w:rsid w:val="00A5664D"/>
    <w:rsid w:val="00A62EAE"/>
    <w:rsid w:val="00A65BEB"/>
    <w:rsid w:val="00AA667C"/>
    <w:rsid w:val="00AD5F4B"/>
    <w:rsid w:val="00AE7BA3"/>
    <w:rsid w:val="00B4331A"/>
    <w:rsid w:val="00B634DF"/>
    <w:rsid w:val="00B90355"/>
    <w:rsid w:val="00BA293E"/>
    <w:rsid w:val="00BA35E6"/>
    <w:rsid w:val="00BE32B9"/>
    <w:rsid w:val="00BE35F3"/>
    <w:rsid w:val="00BF424A"/>
    <w:rsid w:val="00C16946"/>
    <w:rsid w:val="00C206A4"/>
    <w:rsid w:val="00C62630"/>
    <w:rsid w:val="00C668CF"/>
    <w:rsid w:val="00C7450F"/>
    <w:rsid w:val="00C7498C"/>
    <w:rsid w:val="00C80728"/>
    <w:rsid w:val="00D00B04"/>
    <w:rsid w:val="00D174D4"/>
    <w:rsid w:val="00D24E2D"/>
    <w:rsid w:val="00D44E3A"/>
    <w:rsid w:val="00D463EF"/>
    <w:rsid w:val="00D51108"/>
    <w:rsid w:val="00D91F53"/>
    <w:rsid w:val="00DC0C8A"/>
    <w:rsid w:val="00DC6685"/>
    <w:rsid w:val="00DD608D"/>
    <w:rsid w:val="00DE7943"/>
    <w:rsid w:val="00E1033B"/>
    <w:rsid w:val="00E309A1"/>
    <w:rsid w:val="00E71806"/>
    <w:rsid w:val="00E84E2D"/>
    <w:rsid w:val="00E9529B"/>
    <w:rsid w:val="00EB54E0"/>
    <w:rsid w:val="00EB67D0"/>
    <w:rsid w:val="00ED3069"/>
    <w:rsid w:val="00EE0713"/>
    <w:rsid w:val="00EE7527"/>
    <w:rsid w:val="00EF0B44"/>
    <w:rsid w:val="00EF2865"/>
    <w:rsid w:val="00F22A86"/>
    <w:rsid w:val="00F313C9"/>
    <w:rsid w:val="00F43200"/>
    <w:rsid w:val="00F761B7"/>
    <w:rsid w:val="00FB00B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D89BF0"/>
  <w15:chartTrackingRefBased/>
  <w15:docId w15:val="{67425EF9-13DD-465E-9B92-1B7547471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3DA"/>
    <w:pPr>
      <w:tabs>
        <w:tab w:val="left" w:pos="567"/>
      </w:tabs>
      <w:snapToGrid w:val="0"/>
    </w:pPr>
    <w:rPr>
      <w:rFonts w:ascii="Arial" w:hAnsi="Arial"/>
      <w:snapToGrid w:val="0"/>
      <w:sz w:val="22"/>
      <w:szCs w:val="24"/>
      <w:lang w:val="en-GB" w:eastAsia="en-US"/>
    </w:rPr>
  </w:style>
  <w:style w:type="paragraph" w:styleId="Heading1">
    <w:name w:val="heading 1"/>
    <w:basedOn w:val="Normal"/>
    <w:next w:val="Marge"/>
    <w:link w:val="Heading1Char"/>
    <w:qFormat/>
    <w:rsid w:val="000073DA"/>
    <w:pPr>
      <w:keepNext/>
      <w:keepLines/>
      <w:spacing w:before="240" w:after="240"/>
      <w:jc w:val="center"/>
      <w:outlineLvl w:val="0"/>
    </w:pPr>
    <w:rPr>
      <w:b/>
      <w:bCs/>
      <w:kern w:val="28"/>
    </w:rPr>
  </w:style>
  <w:style w:type="paragraph" w:styleId="Heading2">
    <w:name w:val="heading 2"/>
    <w:basedOn w:val="Normal"/>
    <w:next w:val="Normal"/>
    <w:link w:val="Heading2Char"/>
    <w:unhideWhenUsed/>
    <w:qFormat/>
    <w:rsid w:val="000073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0073DA"/>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Marge"/>
    <w:link w:val="Heading4Char"/>
    <w:qFormat/>
    <w:rsid w:val="000073DA"/>
    <w:pPr>
      <w:keepNext/>
      <w:keepLines/>
      <w:spacing w:after="240"/>
      <w:outlineLvl w:val="3"/>
    </w:pPr>
    <w:rPr>
      <w:b/>
      <w:bCs/>
    </w:rPr>
  </w:style>
  <w:style w:type="paragraph" w:styleId="Heading5">
    <w:name w:val="heading 5"/>
    <w:basedOn w:val="Normal"/>
    <w:next w:val="Marge"/>
    <w:link w:val="Heading5Char"/>
    <w:qFormat/>
    <w:rsid w:val="000073DA"/>
    <w:pPr>
      <w:keepNext/>
      <w:keepLines/>
      <w:tabs>
        <w:tab w:val="clear" w:pos="567"/>
        <w:tab w:val="left" w:pos="1134"/>
      </w:tabs>
      <w:spacing w:after="240"/>
      <w:ind w:left="1134" w:hanging="567"/>
      <w:outlineLvl w:val="4"/>
    </w:pPr>
    <w:rPr>
      <w:b/>
      <w:bCs/>
    </w:rPr>
  </w:style>
  <w:style w:type="paragraph" w:styleId="Heading6">
    <w:name w:val="heading 6"/>
    <w:basedOn w:val="Normal"/>
    <w:next w:val="Marge"/>
    <w:link w:val="Heading6Char"/>
    <w:qFormat/>
    <w:rsid w:val="000073DA"/>
    <w:pPr>
      <w:keepNext/>
      <w:keepLines/>
      <w:tabs>
        <w:tab w:val="clear" w:pos="567"/>
        <w:tab w:val="left" w:pos="1134"/>
      </w:tabs>
      <w:spacing w:after="240"/>
      <w:ind w:left="567"/>
      <w:outlineLvl w:val="5"/>
    </w:pPr>
    <w:rPr>
      <w:b/>
      <w:iCs/>
      <w:szCs w:val="22"/>
    </w:rPr>
  </w:style>
  <w:style w:type="paragraph" w:styleId="Heading7">
    <w:name w:val="heading 7"/>
    <w:basedOn w:val="Normal"/>
    <w:next w:val="Normal"/>
    <w:link w:val="Heading7Char"/>
    <w:qFormat/>
    <w:rsid w:val="000073DA"/>
    <w:pPr>
      <w:keepNext/>
      <w:spacing w:line="360" w:lineRule="atLeast"/>
      <w:outlineLvl w:val="6"/>
    </w:pPr>
    <w:rPr>
      <w:u w:val="single"/>
    </w:rPr>
  </w:style>
  <w:style w:type="paragraph" w:styleId="Heading9">
    <w:name w:val="heading 9"/>
    <w:basedOn w:val="Normal"/>
    <w:next w:val="Normal"/>
    <w:link w:val="Heading9Char"/>
    <w:semiHidden/>
    <w:unhideWhenUsed/>
    <w:qFormat/>
    <w:rsid w:val="000073DA"/>
    <w:pPr>
      <w:spacing w:before="240" w:after="60"/>
      <w:outlineLvl w:val="8"/>
    </w:pPr>
    <w:rPr>
      <w:rFonts w:cs="Arial"/>
      <w:b/>
      <w:bCs/>
      <w:i/>
      <w:iCs/>
      <w:sz w:val="18"/>
      <w:szCs w:val="18"/>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73DA"/>
    <w:pPr>
      <w:tabs>
        <w:tab w:val="center" w:pos="4680"/>
        <w:tab w:val="right" w:pos="9360"/>
      </w:tabs>
    </w:pPr>
  </w:style>
  <w:style w:type="character" w:customStyle="1" w:styleId="HeaderChar">
    <w:name w:val="Header Char"/>
    <w:basedOn w:val="DefaultParagraphFont"/>
    <w:link w:val="Header"/>
    <w:rsid w:val="000073DA"/>
    <w:rPr>
      <w:sz w:val="24"/>
      <w:szCs w:val="24"/>
      <w:lang w:val="en-GB"/>
    </w:rPr>
  </w:style>
  <w:style w:type="paragraph" w:styleId="Footer">
    <w:name w:val="footer"/>
    <w:basedOn w:val="Normal"/>
    <w:link w:val="FooterChar"/>
    <w:rsid w:val="000073DA"/>
    <w:pPr>
      <w:tabs>
        <w:tab w:val="center" w:pos="4680"/>
        <w:tab w:val="right" w:pos="9360"/>
      </w:tabs>
    </w:pPr>
  </w:style>
  <w:style w:type="character" w:customStyle="1" w:styleId="FooterChar">
    <w:name w:val="Footer Char"/>
    <w:basedOn w:val="DefaultParagraphFont"/>
    <w:link w:val="Footer"/>
    <w:rsid w:val="000073DA"/>
    <w:rPr>
      <w:sz w:val="24"/>
      <w:szCs w:val="24"/>
      <w:lang w:val="en-GB"/>
    </w:rPr>
  </w:style>
  <w:style w:type="table" w:styleId="TableGrid">
    <w:name w:val="Table Grid"/>
    <w:basedOn w:val="TableNormal"/>
    <w:rsid w:val="00007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link w:val="MargeChar"/>
    <w:uiPriority w:val="99"/>
    <w:rsid w:val="000073DA"/>
    <w:pPr>
      <w:spacing w:after="240"/>
      <w:jc w:val="both"/>
    </w:pPr>
  </w:style>
  <w:style w:type="character" w:customStyle="1" w:styleId="MargeChar">
    <w:name w:val="Marge Char"/>
    <w:basedOn w:val="DefaultParagraphFont"/>
    <w:link w:val="Marge"/>
    <w:rsid w:val="000073DA"/>
    <w:rPr>
      <w:rFonts w:ascii="Arial" w:hAnsi="Arial"/>
      <w:snapToGrid w:val="0"/>
      <w:sz w:val="22"/>
      <w:szCs w:val="24"/>
      <w:lang w:val="en-GB" w:eastAsia="en-US"/>
    </w:rPr>
  </w:style>
  <w:style w:type="character" w:customStyle="1" w:styleId="Heading7Char">
    <w:name w:val="Heading 7 Char"/>
    <w:basedOn w:val="DefaultParagraphFont"/>
    <w:link w:val="Heading7"/>
    <w:rsid w:val="000073DA"/>
    <w:rPr>
      <w:rFonts w:ascii="Arial" w:hAnsi="Arial"/>
      <w:snapToGrid w:val="0"/>
      <w:sz w:val="22"/>
      <w:szCs w:val="24"/>
      <w:u w:val="single"/>
      <w:lang w:val="en-GB" w:eastAsia="en-US"/>
    </w:rPr>
  </w:style>
  <w:style w:type="paragraph" w:customStyle="1" w:styleId="Docheading">
    <w:name w:val="Doc. heading"/>
    <w:basedOn w:val="Header"/>
    <w:rsid w:val="000073DA"/>
    <w:pPr>
      <w:tabs>
        <w:tab w:val="clear" w:pos="4680"/>
        <w:tab w:val="clear" w:pos="9360"/>
        <w:tab w:val="center" w:pos="4153"/>
        <w:tab w:val="right" w:pos="8306"/>
      </w:tabs>
      <w:spacing w:after="480"/>
      <w:jc w:val="center"/>
    </w:pPr>
    <w:rPr>
      <w:rFonts w:cs="Arial"/>
      <w:b/>
      <w:bCs/>
      <w:caps/>
    </w:rPr>
  </w:style>
  <w:style w:type="character" w:styleId="CommentReference">
    <w:name w:val="annotation reference"/>
    <w:basedOn w:val="DefaultParagraphFont"/>
    <w:unhideWhenUsed/>
    <w:rsid w:val="000073DA"/>
    <w:rPr>
      <w:sz w:val="16"/>
      <w:szCs w:val="16"/>
    </w:rPr>
  </w:style>
  <w:style w:type="paragraph" w:styleId="CommentText">
    <w:name w:val="annotation text"/>
    <w:basedOn w:val="Normal"/>
    <w:link w:val="CommentTextChar"/>
    <w:unhideWhenUsed/>
    <w:rsid w:val="000073DA"/>
    <w:rPr>
      <w:sz w:val="20"/>
      <w:szCs w:val="20"/>
    </w:rPr>
  </w:style>
  <w:style w:type="character" w:customStyle="1" w:styleId="CommentTextChar">
    <w:name w:val="Comment Text Char"/>
    <w:basedOn w:val="DefaultParagraphFont"/>
    <w:link w:val="CommentText"/>
    <w:rsid w:val="000073DA"/>
    <w:rPr>
      <w:rFonts w:ascii="Arial" w:hAnsi="Arial"/>
      <w:snapToGrid w:val="0"/>
      <w:lang w:val="en-GB" w:eastAsia="en-US"/>
    </w:rPr>
  </w:style>
  <w:style w:type="character" w:customStyle="1" w:styleId="Heading2Char">
    <w:name w:val="Heading 2 Char"/>
    <w:basedOn w:val="DefaultParagraphFont"/>
    <w:link w:val="Heading2"/>
    <w:semiHidden/>
    <w:rsid w:val="000073DA"/>
    <w:rPr>
      <w:rFonts w:asciiTheme="majorHAnsi" w:eastAsiaTheme="majorEastAsia" w:hAnsiTheme="majorHAnsi" w:cstheme="majorBidi"/>
      <w:snapToGrid w:val="0"/>
      <w:color w:val="2F5496" w:themeColor="accent1" w:themeShade="BF"/>
      <w:sz w:val="26"/>
      <w:szCs w:val="26"/>
      <w:lang w:val="en-GB" w:eastAsia="en-US"/>
    </w:rPr>
  </w:style>
  <w:style w:type="character" w:customStyle="1" w:styleId="Heading3Char">
    <w:name w:val="Heading 3 Char"/>
    <w:basedOn w:val="DefaultParagraphFont"/>
    <w:link w:val="Heading3"/>
    <w:semiHidden/>
    <w:rsid w:val="000073DA"/>
    <w:rPr>
      <w:rFonts w:asciiTheme="majorHAnsi" w:eastAsiaTheme="majorEastAsia" w:hAnsiTheme="majorHAnsi" w:cstheme="majorBidi"/>
      <w:snapToGrid w:val="0"/>
      <w:color w:val="1F3763" w:themeColor="accent1" w:themeShade="7F"/>
      <w:sz w:val="24"/>
      <w:szCs w:val="24"/>
      <w:lang w:val="en-GB" w:eastAsia="en-US"/>
    </w:rPr>
  </w:style>
  <w:style w:type="character" w:customStyle="1" w:styleId="Heading1Char">
    <w:name w:val="Heading 1 Char"/>
    <w:basedOn w:val="DefaultParagraphFont"/>
    <w:link w:val="Heading1"/>
    <w:rsid w:val="000073DA"/>
    <w:rPr>
      <w:rFonts w:ascii="Arial" w:hAnsi="Arial"/>
      <w:b/>
      <w:bCs/>
      <w:snapToGrid w:val="0"/>
      <w:kern w:val="28"/>
      <w:sz w:val="22"/>
      <w:szCs w:val="24"/>
      <w:lang w:val="en-GB" w:eastAsia="en-US"/>
    </w:rPr>
  </w:style>
  <w:style w:type="character" w:customStyle="1" w:styleId="Heading4Char">
    <w:name w:val="Heading 4 Char"/>
    <w:basedOn w:val="DefaultParagraphFont"/>
    <w:link w:val="Heading4"/>
    <w:rsid w:val="000073DA"/>
    <w:rPr>
      <w:rFonts w:ascii="Arial" w:hAnsi="Arial"/>
      <w:b/>
      <w:bCs/>
      <w:snapToGrid w:val="0"/>
      <w:sz w:val="22"/>
      <w:szCs w:val="24"/>
      <w:lang w:val="en-GB" w:eastAsia="en-US"/>
    </w:rPr>
  </w:style>
  <w:style w:type="character" w:customStyle="1" w:styleId="Heading5Char">
    <w:name w:val="Heading 5 Char"/>
    <w:basedOn w:val="DefaultParagraphFont"/>
    <w:link w:val="Heading5"/>
    <w:rsid w:val="000073DA"/>
    <w:rPr>
      <w:rFonts w:ascii="Arial" w:hAnsi="Arial"/>
      <w:b/>
      <w:bCs/>
      <w:snapToGrid w:val="0"/>
      <w:sz w:val="22"/>
      <w:szCs w:val="24"/>
      <w:lang w:val="en-GB" w:eastAsia="en-US"/>
    </w:rPr>
  </w:style>
  <w:style w:type="character" w:customStyle="1" w:styleId="Heading6Char">
    <w:name w:val="Heading 6 Char"/>
    <w:basedOn w:val="DefaultParagraphFont"/>
    <w:link w:val="Heading6"/>
    <w:rsid w:val="000073DA"/>
    <w:rPr>
      <w:rFonts w:ascii="Arial" w:hAnsi="Arial"/>
      <w:b/>
      <w:iCs/>
      <w:snapToGrid w:val="0"/>
      <w:sz w:val="22"/>
      <w:szCs w:val="22"/>
      <w:lang w:val="en-GB" w:eastAsia="en-US"/>
    </w:rPr>
  </w:style>
  <w:style w:type="character" w:customStyle="1" w:styleId="Heading9Char">
    <w:name w:val="Heading 9 Char"/>
    <w:basedOn w:val="DefaultParagraphFont"/>
    <w:link w:val="Heading9"/>
    <w:semiHidden/>
    <w:rsid w:val="000073DA"/>
    <w:rPr>
      <w:rFonts w:ascii="Arial" w:hAnsi="Arial" w:cs="Arial"/>
      <w:b/>
      <w:bCs/>
      <w:i/>
      <w:iCs/>
      <w:snapToGrid w:val="0"/>
      <w:sz w:val="18"/>
      <w:szCs w:val="18"/>
      <w:u w:val="single"/>
      <w:lang w:val="en-GB"/>
    </w:rPr>
  </w:style>
  <w:style w:type="paragraph" w:customStyle="1" w:styleId="Par">
    <w:name w:val="Par"/>
    <w:basedOn w:val="Normal"/>
    <w:link w:val="ParChar"/>
    <w:rsid w:val="000073DA"/>
    <w:pPr>
      <w:spacing w:after="240"/>
      <w:ind w:firstLine="567"/>
      <w:jc w:val="both"/>
    </w:pPr>
  </w:style>
  <w:style w:type="paragraph" w:customStyle="1" w:styleId="a">
    <w:name w:val="(a)"/>
    <w:basedOn w:val="Normal"/>
    <w:rsid w:val="000073DA"/>
    <w:pPr>
      <w:tabs>
        <w:tab w:val="left" w:pos="-737"/>
      </w:tabs>
      <w:spacing w:after="240"/>
      <w:ind w:left="567" w:hanging="567"/>
      <w:jc w:val="both"/>
    </w:pPr>
  </w:style>
  <w:style w:type="paragraph" w:customStyle="1" w:styleId="b">
    <w:name w:val="(b)"/>
    <w:basedOn w:val="a"/>
    <w:rsid w:val="000073DA"/>
    <w:pPr>
      <w:tabs>
        <w:tab w:val="clear" w:pos="567"/>
        <w:tab w:val="left" w:pos="1134"/>
      </w:tabs>
      <w:ind w:left="1134"/>
    </w:pPr>
  </w:style>
  <w:style w:type="paragraph" w:customStyle="1" w:styleId="c">
    <w:name w:val="(c)"/>
    <w:basedOn w:val="Normal"/>
    <w:rsid w:val="000073DA"/>
    <w:pPr>
      <w:tabs>
        <w:tab w:val="clear" w:pos="567"/>
        <w:tab w:val="left" w:pos="1701"/>
      </w:tabs>
      <w:spacing w:after="240"/>
      <w:ind w:left="1701" w:hanging="567"/>
      <w:jc w:val="both"/>
    </w:pPr>
  </w:style>
  <w:style w:type="paragraph" w:customStyle="1" w:styleId="alina">
    <w:name w:val="alinéa"/>
    <w:basedOn w:val="Normal"/>
    <w:rsid w:val="000073DA"/>
    <w:pPr>
      <w:snapToGrid/>
      <w:spacing w:after="240"/>
      <w:ind w:left="567"/>
      <w:jc w:val="both"/>
    </w:pPr>
    <w:rPr>
      <w:snapToGrid/>
    </w:rPr>
  </w:style>
  <w:style w:type="character" w:styleId="FootnoteReference">
    <w:name w:val="footnote reference"/>
    <w:rsid w:val="000073DA"/>
    <w:rPr>
      <w:vertAlign w:val="superscript"/>
    </w:rPr>
  </w:style>
  <w:style w:type="paragraph" w:styleId="FootnoteText">
    <w:name w:val="footnote text"/>
    <w:basedOn w:val="Normal"/>
    <w:link w:val="FootnoteTextChar"/>
    <w:rsid w:val="000073DA"/>
    <w:pPr>
      <w:ind w:left="567" w:hanging="567"/>
    </w:pPr>
    <w:rPr>
      <w:sz w:val="20"/>
      <w:szCs w:val="20"/>
    </w:rPr>
  </w:style>
  <w:style w:type="character" w:customStyle="1" w:styleId="FootnoteTextChar">
    <w:name w:val="Footnote Text Char"/>
    <w:basedOn w:val="DefaultParagraphFont"/>
    <w:link w:val="FootnoteText"/>
    <w:rsid w:val="000073DA"/>
    <w:rPr>
      <w:rFonts w:ascii="Arial" w:hAnsi="Arial"/>
      <w:snapToGrid w:val="0"/>
      <w:lang w:val="en-GB" w:eastAsia="en-US"/>
    </w:rPr>
  </w:style>
  <w:style w:type="character" w:styleId="PageNumber">
    <w:name w:val="page number"/>
    <w:basedOn w:val="DefaultParagraphFont"/>
    <w:rsid w:val="000073DA"/>
  </w:style>
  <w:style w:type="paragraph" w:customStyle="1" w:styleId="TIRETbul1cm">
    <w:name w:val="TIRET bul 1cm"/>
    <w:basedOn w:val="Normal"/>
    <w:rsid w:val="000073DA"/>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rsid w:val="000073DA"/>
    <w:pPr>
      <w:tabs>
        <w:tab w:val="clear" w:pos="567"/>
      </w:tabs>
      <w:suppressAutoHyphens/>
      <w:snapToGrid/>
      <w:jc w:val="both"/>
      <w:outlineLvl w:val="2"/>
    </w:pPr>
    <w:rPr>
      <w:snapToGrid/>
      <w:szCs w:val="20"/>
      <w:lang w:eastAsia="fr-FR"/>
    </w:rPr>
  </w:style>
  <w:style w:type="paragraph" w:customStyle="1" w:styleId="COI">
    <w:name w:val="COI"/>
    <w:basedOn w:val="Marge"/>
    <w:link w:val="COIChar"/>
    <w:autoRedefine/>
    <w:rsid w:val="007C2CED"/>
    <w:pPr>
      <w:snapToGrid/>
      <w:spacing w:before="240" w:line="360" w:lineRule="auto"/>
    </w:pPr>
    <w:rPr>
      <w:rFonts w:asciiTheme="majorBidi" w:hAnsiTheme="majorBidi" w:cstheme="majorBidi"/>
      <w:sz w:val="24"/>
      <w:lang w:eastAsia="zh-CN"/>
    </w:rPr>
  </w:style>
  <w:style w:type="paragraph" w:styleId="BlockText">
    <w:name w:val="Block Text"/>
    <w:basedOn w:val="Normal"/>
    <w:rsid w:val="000073DA"/>
    <w:pPr>
      <w:tabs>
        <w:tab w:val="clear" w:pos="567"/>
      </w:tabs>
      <w:snapToGrid/>
      <w:ind w:left="360" w:right="540"/>
      <w:jc w:val="both"/>
    </w:pPr>
    <w:rPr>
      <w:i/>
      <w:iCs/>
      <w:snapToGrid/>
      <w:lang w:val="en-US"/>
    </w:rPr>
  </w:style>
  <w:style w:type="paragraph" w:styleId="BodyText2">
    <w:name w:val="Body Text 2"/>
    <w:basedOn w:val="Normal"/>
    <w:link w:val="BodyText2Char"/>
    <w:rsid w:val="000073DA"/>
    <w:pPr>
      <w:tabs>
        <w:tab w:val="clear" w:pos="567"/>
      </w:tabs>
      <w:snapToGrid/>
      <w:spacing w:before="100" w:beforeAutospacing="1" w:after="100" w:afterAutospacing="1" w:line="360" w:lineRule="auto"/>
    </w:pPr>
    <w:rPr>
      <w:rFonts w:eastAsia="MS Mincho" w:cs="Arial"/>
      <w:snapToGrid/>
      <w:color w:val="FF0000"/>
      <w:lang w:val="en-US" w:eastAsia="ja-JP"/>
    </w:rPr>
  </w:style>
  <w:style w:type="character" w:customStyle="1" w:styleId="BodyText2Char">
    <w:name w:val="Body Text 2 Char"/>
    <w:basedOn w:val="DefaultParagraphFont"/>
    <w:link w:val="BodyText2"/>
    <w:rsid w:val="000073DA"/>
    <w:rPr>
      <w:rFonts w:ascii="Arial" w:eastAsia="MS Mincho" w:hAnsi="Arial" w:cs="Arial"/>
      <w:color w:val="FF0000"/>
      <w:sz w:val="22"/>
      <w:szCs w:val="24"/>
      <w:lang w:eastAsia="ja-JP"/>
    </w:rPr>
  </w:style>
  <w:style w:type="paragraph" w:styleId="BodyTextIndent">
    <w:name w:val="Body Text Indent"/>
    <w:aliases w:val="Quotation"/>
    <w:basedOn w:val="Normal"/>
    <w:link w:val="BodyTextIndentChar"/>
    <w:rsid w:val="000073DA"/>
    <w:pPr>
      <w:tabs>
        <w:tab w:val="clear" w:pos="567"/>
      </w:tabs>
      <w:snapToGrid/>
      <w:spacing w:before="120" w:after="100" w:afterAutospacing="1"/>
      <w:ind w:left="1134" w:right="1134"/>
      <w:jc w:val="both"/>
    </w:pPr>
    <w:rPr>
      <w:i/>
      <w:snapToGrid/>
    </w:rPr>
  </w:style>
  <w:style w:type="character" w:customStyle="1" w:styleId="BodyTextIndentChar">
    <w:name w:val="Body Text Indent Char"/>
    <w:aliases w:val="Quotation Char"/>
    <w:basedOn w:val="DefaultParagraphFont"/>
    <w:link w:val="BodyTextIndent"/>
    <w:rsid w:val="000073DA"/>
    <w:rPr>
      <w:rFonts w:ascii="Arial" w:hAnsi="Arial"/>
      <w:i/>
      <w:sz w:val="22"/>
      <w:szCs w:val="24"/>
      <w:lang w:val="en-GB" w:eastAsia="en-US"/>
    </w:rPr>
  </w:style>
  <w:style w:type="paragraph" w:styleId="BodyTextFirstIndent2">
    <w:name w:val="Body Text First Indent 2"/>
    <w:basedOn w:val="BodyTextIndent"/>
    <w:link w:val="BodyTextFirstIndent2Char"/>
    <w:rsid w:val="000073DA"/>
    <w:pPr>
      <w:tabs>
        <w:tab w:val="left" w:pos="567"/>
      </w:tabs>
      <w:snapToGrid w:val="0"/>
      <w:spacing w:after="120"/>
      <w:ind w:left="283" w:firstLine="210"/>
      <w:jc w:val="left"/>
    </w:pPr>
    <w:rPr>
      <w:snapToGrid w:val="0"/>
    </w:rPr>
  </w:style>
  <w:style w:type="character" w:customStyle="1" w:styleId="BodyTextFirstIndent2Char">
    <w:name w:val="Body Text First Indent 2 Char"/>
    <w:basedOn w:val="BodyTextIndentChar"/>
    <w:link w:val="BodyTextFirstIndent2"/>
    <w:rsid w:val="000073DA"/>
    <w:rPr>
      <w:rFonts w:ascii="Arial" w:hAnsi="Arial"/>
      <w:i/>
      <w:snapToGrid w:val="0"/>
      <w:sz w:val="22"/>
      <w:szCs w:val="24"/>
      <w:lang w:val="en-GB" w:eastAsia="en-US"/>
    </w:rPr>
  </w:style>
  <w:style w:type="paragraph" w:customStyle="1" w:styleId="Listnumbered">
    <w:name w:val="List numbered"/>
    <w:basedOn w:val="ListBullet2"/>
    <w:autoRedefine/>
    <w:rsid w:val="000073DA"/>
    <w:pPr>
      <w:numPr>
        <w:numId w:val="3"/>
      </w:numPr>
      <w:jc w:val="both"/>
    </w:pPr>
  </w:style>
  <w:style w:type="paragraph" w:customStyle="1" w:styleId="Style1">
    <w:name w:val="Style1"/>
    <w:basedOn w:val="Listnumbered"/>
    <w:autoRedefine/>
    <w:rsid w:val="000073DA"/>
  </w:style>
  <w:style w:type="character" w:customStyle="1" w:styleId="ParChar">
    <w:name w:val="Par Char"/>
    <w:link w:val="Par"/>
    <w:rsid w:val="000073DA"/>
    <w:rPr>
      <w:rFonts w:ascii="Arial" w:hAnsi="Arial"/>
      <w:snapToGrid w:val="0"/>
      <w:sz w:val="22"/>
      <w:szCs w:val="24"/>
      <w:lang w:val="en-GB" w:eastAsia="en-US"/>
    </w:rPr>
  </w:style>
  <w:style w:type="paragraph" w:styleId="ListBullet2">
    <w:name w:val="List Bullet 2"/>
    <w:basedOn w:val="Normal"/>
    <w:rsid w:val="000073DA"/>
    <w:pPr>
      <w:numPr>
        <w:numId w:val="4"/>
      </w:numPr>
      <w:spacing w:after="240"/>
    </w:pPr>
  </w:style>
  <w:style w:type="character" w:customStyle="1" w:styleId="COIChar">
    <w:name w:val="COI Char"/>
    <w:link w:val="COI"/>
    <w:rsid w:val="007C2CED"/>
    <w:rPr>
      <w:rFonts w:asciiTheme="majorBidi" w:hAnsiTheme="majorBidi" w:cstheme="majorBidi"/>
      <w:snapToGrid w:val="0"/>
      <w:sz w:val="24"/>
      <w:szCs w:val="24"/>
      <w:lang w:val="en-GB"/>
    </w:rPr>
  </w:style>
  <w:style w:type="character" w:customStyle="1" w:styleId="Titre9Car1">
    <w:name w:val="Titre 9 Car1"/>
    <w:semiHidden/>
    <w:rsid w:val="000073DA"/>
    <w:rPr>
      <w:rFonts w:ascii="Cambria" w:eastAsia="Times New Roman" w:hAnsi="Cambria" w:cs="Times New Roman"/>
      <w:snapToGrid w:val="0"/>
      <w:sz w:val="22"/>
      <w:szCs w:val="22"/>
      <w:lang w:val="en-GB" w:eastAsia="en-US"/>
    </w:rPr>
  </w:style>
  <w:style w:type="character" w:styleId="Hyperlink">
    <w:name w:val="Hyperlink"/>
    <w:basedOn w:val="DefaultParagraphFont"/>
    <w:rsid w:val="000073DA"/>
    <w:rPr>
      <w:color w:val="0563C1" w:themeColor="hyperlink"/>
      <w:u w:val="single"/>
    </w:rPr>
  </w:style>
  <w:style w:type="character" w:styleId="FollowedHyperlink">
    <w:name w:val="FollowedHyperlink"/>
    <w:basedOn w:val="DefaultParagraphFont"/>
    <w:rsid w:val="000073DA"/>
    <w:rPr>
      <w:color w:val="954F72" w:themeColor="followedHyperlink"/>
      <w:u w:val="single"/>
    </w:rPr>
  </w:style>
  <w:style w:type="paragraph" w:styleId="CommentSubject">
    <w:name w:val="annotation subject"/>
    <w:basedOn w:val="CommentText"/>
    <w:next w:val="CommentText"/>
    <w:link w:val="CommentSubjectChar"/>
    <w:unhideWhenUsed/>
    <w:rsid w:val="000073DA"/>
    <w:rPr>
      <w:b/>
      <w:bCs/>
    </w:rPr>
  </w:style>
  <w:style w:type="character" w:customStyle="1" w:styleId="CommentSubjectChar">
    <w:name w:val="Comment Subject Char"/>
    <w:basedOn w:val="CommentTextChar"/>
    <w:link w:val="CommentSubject"/>
    <w:rsid w:val="000073DA"/>
    <w:rPr>
      <w:rFonts w:ascii="Arial" w:hAnsi="Arial"/>
      <w:b/>
      <w:bCs/>
      <w:snapToGrid w:val="0"/>
      <w:lang w:val="en-GB" w:eastAsia="en-US"/>
    </w:rPr>
  </w:style>
  <w:style w:type="paragraph" w:styleId="BalloonText">
    <w:name w:val="Balloon Text"/>
    <w:basedOn w:val="Normal"/>
    <w:link w:val="BalloonTextChar"/>
    <w:unhideWhenUsed/>
    <w:rsid w:val="000073DA"/>
    <w:rPr>
      <w:rFonts w:ascii="Segoe UI" w:hAnsi="Segoe UI" w:cs="Segoe UI"/>
      <w:sz w:val="18"/>
      <w:szCs w:val="18"/>
    </w:rPr>
  </w:style>
  <w:style w:type="character" w:customStyle="1" w:styleId="BalloonTextChar">
    <w:name w:val="Balloon Text Char"/>
    <w:basedOn w:val="DefaultParagraphFont"/>
    <w:link w:val="BalloonText"/>
    <w:rsid w:val="000073DA"/>
    <w:rPr>
      <w:rFonts w:ascii="Segoe UI" w:hAnsi="Segoe UI" w:cs="Segoe UI"/>
      <w:snapToGrid w:val="0"/>
      <w:sz w:val="18"/>
      <w:szCs w:val="18"/>
      <w:lang w:val="en-GB" w:eastAsia="en-US"/>
    </w:rPr>
  </w:style>
  <w:style w:type="paragraph" w:styleId="Revision">
    <w:name w:val="Revision"/>
    <w:hidden/>
    <w:uiPriority w:val="99"/>
    <w:semiHidden/>
    <w:rsid w:val="000073DA"/>
    <w:rPr>
      <w:rFonts w:ascii="Arial" w:hAnsi="Arial"/>
      <w:snapToGrid w:val="0"/>
      <w:sz w:val="22"/>
      <w:szCs w:val="24"/>
      <w:lang w:val="en-GB" w:eastAsia="en-US"/>
    </w:rPr>
  </w:style>
  <w:style w:type="paragraph" w:customStyle="1" w:styleId="paragraph">
    <w:name w:val="paragraph"/>
    <w:basedOn w:val="COI"/>
    <w:link w:val="paragraphChar"/>
    <w:qFormat/>
    <w:rsid w:val="000073DA"/>
    <w:pPr>
      <w:ind w:left="720" w:hanging="360"/>
    </w:pPr>
  </w:style>
  <w:style w:type="character" w:customStyle="1" w:styleId="paragraphChar">
    <w:name w:val="paragraph Char"/>
    <w:basedOn w:val="COIChar"/>
    <w:link w:val="paragraph"/>
    <w:rsid w:val="000073DA"/>
    <w:rPr>
      <w:rFonts w:ascii="Arial" w:eastAsia="Arial Unicode MS" w:hAnsi="Arial" w:cstheme="majorBidi"/>
      <w:snapToGrid w:val="0"/>
      <w:sz w:val="22"/>
      <w:szCs w:val="22"/>
      <w:lang w:val="en-GB" w:eastAsia="en-US"/>
    </w:rPr>
  </w:style>
  <w:style w:type="paragraph" w:styleId="ListParagraph">
    <w:name w:val="List Paragraph"/>
    <w:basedOn w:val="Normal"/>
    <w:uiPriority w:val="34"/>
    <w:qFormat/>
    <w:rsid w:val="000073DA"/>
    <w:pPr>
      <w:ind w:left="720"/>
      <w:contextualSpacing/>
    </w:pPr>
  </w:style>
  <w:style w:type="character" w:styleId="UnresolvedMention">
    <w:name w:val="Unresolved Mention"/>
    <w:basedOn w:val="DefaultParagraphFont"/>
    <w:uiPriority w:val="99"/>
    <w:semiHidden/>
    <w:unhideWhenUsed/>
    <w:rsid w:val="00007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hinese\Pool\TEMPLATE\Modele\Norm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Template>
  <TotalTime>157</TotalTime>
  <Pages>10</Pages>
  <Words>6475</Words>
  <Characters>6838</Characters>
  <Application>Microsoft Office Word</Application>
  <DocSecurity>0</DocSecurity>
  <Lines>208</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（教科文组织）政府间海洋学委员会大会第三十二届会议，海洋十年海啸计划，研究、开发和实施计划执行摘要_x000d_
_x000d_
</dc:title>
  <dc:subject>IOC/A-32/3.4.1.2.DOC(1)</dc:subject>
  <dc:creator>Xiao QIN</dc:creator>
  <cp:keywords>0</cp:keywords>
  <dc:description/>
  <cp:lastModifiedBy>Xiao QIN</cp:lastModifiedBy>
  <cp:revision>31</cp:revision>
  <dcterms:created xsi:type="dcterms:W3CDTF">2023-05-31T13:38:00Z</dcterms:created>
  <dcterms:modified xsi:type="dcterms:W3CDTF">2023-06-06T12:10:00Z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DCPMS">
    <vt:lpwstr>202301603</vt:lpwstr>
  </property>
  <property fmtid="{D5CDD505-2E9C-101B-9397-08002B2CF9AE}" pid="3" name="Language">
    <vt:lpwstr>C</vt:lpwstr>
  </property>
</Properties>
</file>