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1BFBB718"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E92BB5">
        <w:rPr>
          <w:bCs/>
        </w:rPr>
        <w:t>’</w:t>
      </w:r>
      <w:r w:rsidRPr="00EB3895">
        <w:rPr>
          <w:bCs/>
        </w:rPr>
        <w:t>UNESCO)</w:t>
      </w:r>
    </w:p>
    <w:p w14:paraId="5B0D4193" w14:textId="32FA1B5B" w:rsidR="00EB3895" w:rsidRPr="00EB3895" w:rsidRDefault="000723F0" w:rsidP="00EB3895">
      <w:pPr>
        <w:spacing w:before="240"/>
        <w:jc w:val="center"/>
        <w:rPr>
          <w:b/>
        </w:rPr>
      </w:pPr>
      <w:r>
        <w:rPr>
          <w:b/>
        </w:rPr>
        <w:t>Trente-deuxi</w:t>
      </w:r>
      <w:r w:rsidR="00EB3895" w:rsidRPr="00EB3895">
        <w:rPr>
          <w:b/>
        </w:rPr>
        <w:t xml:space="preserve">ème session </w:t>
      </w:r>
      <w:r>
        <w:rPr>
          <w:b/>
        </w:rPr>
        <w:t>de l</w:t>
      </w:r>
      <w:r w:rsidR="00E92BB5">
        <w:rPr>
          <w:b/>
        </w:rPr>
        <w:t>’</w:t>
      </w:r>
      <w:r>
        <w:rPr>
          <w:b/>
        </w:rPr>
        <w:t>Assemblée</w:t>
      </w:r>
      <w:r w:rsidR="00EB3895">
        <w:rPr>
          <w:b/>
        </w:rPr>
        <w:br/>
      </w:r>
      <w:r w:rsidR="00EB3895" w:rsidRPr="00EB3895">
        <w:rPr>
          <w:bCs/>
        </w:rPr>
        <w:t xml:space="preserve">UNESCO, Paris, </w:t>
      </w:r>
      <w:r>
        <w:rPr>
          <w:bCs/>
        </w:rPr>
        <w:t>21-30</w:t>
      </w:r>
      <w:r w:rsidR="00421E71">
        <w:rPr>
          <w:bCs/>
        </w:rPr>
        <w:t> </w:t>
      </w:r>
      <w:r w:rsidR="00EB3895" w:rsidRPr="00EB3895">
        <w:rPr>
          <w:bCs/>
        </w:rPr>
        <w:t>juin 202</w:t>
      </w:r>
      <w:r>
        <w:rPr>
          <w:bCs/>
        </w:rPr>
        <w:t>3</w:t>
      </w:r>
    </w:p>
    <w:p w14:paraId="607D1C93" w14:textId="302BEEC4" w:rsidR="00EB3895" w:rsidRDefault="005C7D01" w:rsidP="005C7D01">
      <w:pPr>
        <w:pStyle w:val="Heading1"/>
        <w:spacing w:before="360" w:after="360"/>
        <w:jc w:val="left"/>
        <w:rPr>
          <w:rFonts w:cs="Arial"/>
          <w:b w:val="0"/>
          <w:bCs w:val="0"/>
          <w:u w:val="single"/>
        </w:rPr>
      </w:pPr>
      <w:r w:rsidRPr="005C7D01">
        <w:rPr>
          <w:rFonts w:cs="Arial"/>
          <w:b w:val="0"/>
          <w:bCs w:val="0"/>
          <w:u w:val="single"/>
        </w:rPr>
        <w:t>Points</w:t>
      </w:r>
      <w:r w:rsidR="00421E71">
        <w:rPr>
          <w:rFonts w:cs="Arial"/>
          <w:b w:val="0"/>
          <w:bCs w:val="0"/>
          <w:u w:val="single"/>
        </w:rPr>
        <w:t> </w:t>
      </w:r>
      <w:r w:rsidR="00C3317D">
        <w:rPr>
          <w:rFonts w:cs="Arial"/>
          <w:u w:val="single"/>
        </w:rPr>
        <w:t>4</w:t>
      </w:r>
      <w:r w:rsidRPr="005C7D01">
        <w:rPr>
          <w:rFonts w:cs="Arial"/>
          <w:u w:val="single"/>
        </w:rPr>
        <w:t>.</w:t>
      </w:r>
      <w:r w:rsidR="0082438D">
        <w:rPr>
          <w:rFonts w:cs="Arial"/>
          <w:u w:val="single"/>
        </w:rPr>
        <w:t>7</w:t>
      </w:r>
      <w:r w:rsidRPr="005C7D01">
        <w:rPr>
          <w:rFonts w:cs="Arial"/>
          <w:b w:val="0"/>
          <w:bCs w:val="0"/>
          <w:u w:val="single"/>
        </w:rPr>
        <w:t xml:space="preserve"> de l</w:t>
      </w:r>
      <w:r w:rsidR="00E92BB5">
        <w:rPr>
          <w:rFonts w:cs="Arial"/>
          <w:b w:val="0"/>
          <w:bCs w:val="0"/>
          <w:u w:val="single"/>
        </w:rPr>
        <w:t>’</w:t>
      </w:r>
      <w:r w:rsidRPr="005C7D01">
        <w:rPr>
          <w:rFonts w:cs="Arial"/>
          <w:b w:val="0"/>
          <w:bCs w:val="0"/>
          <w:u w:val="single"/>
        </w:rPr>
        <w:t>ordre d</w:t>
      </w:r>
      <w:r>
        <w:rPr>
          <w:rFonts w:cs="Arial"/>
          <w:b w:val="0"/>
          <w:bCs w:val="0"/>
          <w:u w:val="single"/>
        </w:rPr>
        <w:t>u jour provisoire</w:t>
      </w:r>
    </w:p>
    <w:p w14:paraId="0F51379D" w14:textId="217B1631" w:rsidR="00191E6D" w:rsidRDefault="006F490E" w:rsidP="008C2B13">
      <w:pPr>
        <w:pStyle w:val="Heading1"/>
        <w:spacing w:before="360" w:after="480"/>
      </w:pPr>
      <w:r w:rsidRPr="00B460EA">
        <w:rPr>
          <w:color w:val="000000" w:themeColor="text1"/>
          <w:szCs w:val="22"/>
        </w:rPr>
        <w:t>ÉLABORATION D</w:t>
      </w:r>
      <w:r w:rsidR="00E92BB5">
        <w:rPr>
          <w:color w:val="000000" w:themeColor="text1"/>
          <w:szCs w:val="22"/>
        </w:rPr>
        <w:t>’</w:t>
      </w:r>
      <w:r w:rsidRPr="00B460EA">
        <w:rPr>
          <w:color w:val="000000" w:themeColor="text1"/>
          <w:szCs w:val="22"/>
        </w:rPr>
        <w:t>UNE NOUVELLE STRATÉGIE À L</w:t>
      </w:r>
      <w:r w:rsidR="00E92BB5">
        <w:rPr>
          <w:color w:val="000000" w:themeColor="text1"/>
          <w:szCs w:val="22"/>
        </w:rPr>
        <w:t>’</w:t>
      </w:r>
      <w:r w:rsidRPr="00B460EA">
        <w:rPr>
          <w:color w:val="000000" w:themeColor="text1"/>
          <w:szCs w:val="22"/>
        </w:rPr>
        <w:t>ÉCHELLE DE LA COI</w:t>
      </w:r>
      <w:r w:rsidRPr="00B460EA">
        <w:rPr>
          <w:color w:val="000000" w:themeColor="text1"/>
          <w:szCs w:val="22"/>
        </w:rPr>
        <w:br/>
        <w:t>SUR LA PLANIFICATION ET LA GESTION DURABLES DE L</w:t>
      </w:r>
      <w:r w:rsidR="00E92BB5">
        <w:rPr>
          <w:color w:val="000000" w:themeColor="text1"/>
          <w:szCs w:val="22"/>
        </w:rPr>
        <w:t>’</w:t>
      </w:r>
      <w:r w:rsidRPr="00B460EA">
        <w:rPr>
          <w:color w:val="000000" w:themeColor="text1"/>
          <w:szCs w:val="22"/>
        </w:rPr>
        <w:t>OCÉAN</w:t>
      </w:r>
      <w:r w:rsidR="00C3317D">
        <w:t xml:space="preserve"> </w:t>
      </w:r>
    </w:p>
    <w:tbl>
      <w:tblPr>
        <w:tblStyle w:val="TableGrid"/>
        <w:tblW w:w="0" w:type="auto"/>
        <w:tblInd w:w="846" w:type="dxa"/>
        <w:tblLook w:val="04A0" w:firstRow="1" w:lastRow="0" w:firstColumn="1" w:lastColumn="0" w:noHBand="0" w:noVBand="1"/>
      </w:tblPr>
      <w:tblGrid>
        <w:gridCol w:w="7796"/>
      </w:tblGrid>
      <w:tr w:rsidR="005C7D01" w14:paraId="1A94C8A9" w14:textId="77777777" w:rsidTr="00642BBE">
        <w:tc>
          <w:tcPr>
            <w:tcW w:w="7796" w:type="dxa"/>
          </w:tcPr>
          <w:p w14:paraId="1FD6FF16" w14:textId="77777777" w:rsidR="005C7D01" w:rsidRDefault="005C7D01" w:rsidP="00BC0383">
            <w:pPr>
              <w:spacing w:before="12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742FAAED" w14:textId="56BB7138" w:rsidR="006F490E" w:rsidRPr="006F490E" w:rsidRDefault="006F490E" w:rsidP="006F490E">
            <w:pPr>
              <w:tabs>
                <w:tab w:val="clear" w:pos="567"/>
              </w:tabs>
              <w:snapToGrid/>
              <w:spacing w:after="240"/>
              <w:ind w:left="283" w:right="283"/>
              <w:jc w:val="both"/>
              <w:rPr>
                <w:rFonts w:cs="Arial"/>
                <w:szCs w:val="22"/>
              </w:rPr>
            </w:pPr>
            <w:r w:rsidRPr="006F490E">
              <w:rPr>
                <w:rFonts w:cs="Arial"/>
                <w:szCs w:val="22"/>
              </w:rPr>
              <w:t>Le présent document fournit des informations concernant les récentes avancées dans le domaine de la gestion de l</w:t>
            </w:r>
            <w:r w:rsidR="00E92BB5">
              <w:rPr>
                <w:rFonts w:cs="Arial"/>
                <w:szCs w:val="22"/>
              </w:rPr>
              <w:t>’</w:t>
            </w:r>
            <w:r w:rsidRPr="006F490E">
              <w:rPr>
                <w:rFonts w:cs="Arial"/>
                <w:szCs w:val="22"/>
              </w:rPr>
              <w:t>océan, ainsi que les considérations et le processus en fonction desquels la Commission et ses États membres pourraient envisager d</w:t>
            </w:r>
            <w:r w:rsidR="00E92BB5">
              <w:rPr>
                <w:rFonts w:cs="Arial"/>
                <w:szCs w:val="22"/>
              </w:rPr>
              <w:t>’</w:t>
            </w:r>
            <w:r w:rsidRPr="006F490E">
              <w:rPr>
                <w:rFonts w:cs="Arial"/>
                <w:szCs w:val="22"/>
              </w:rPr>
              <w:t>adopter une stratégie à l</w:t>
            </w:r>
            <w:r w:rsidR="00E92BB5">
              <w:rPr>
                <w:rFonts w:cs="Arial"/>
                <w:szCs w:val="22"/>
              </w:rPr>
              <w:t>’</w:t>
            </w:r>
            <w:r w:rsidRPr="006F490E">
              <w:rPr>
                <w:rFonts w:cs="Arial"/>
                <w:szCs w:val="22"/>
              </w:rPr>
              <w:t>échelle de la COI sur la planification et la gestion durables de l</w:t>
            </w:r>
            <w:r w:rsidR="00E92BB5">
              <w:rPr>
                <w:rFonts w:cs="Arial"/>
                <w:szCs w:val="22"/>
              </w:rPr>
              <w:t>’</w:t>
            </w:r>
            <w:r w:rsidRPr="006F490E">
              <w:rPr>
                <w:rFonts w:cs="Arial"/>
                <w:szCs w:val="22"/>
              </w:rPr>
              <w:t xml:space="preserve">océan </w:t>
            </w:r>
            <w:bookmarkStart w:id="0" w:name="_Hlk137037472"/>
            <w:r w:rsidRPr="006F490E">
              <w:rPr>
                <w:rFonts w:cs="Arial"/>
                <w:szCs w:val="22"/>
              </w:rPr>
              <w:t>qui guiderait les contributions apportées par la COI, dans le cadre de ses programmes relatifs aux sciences, observations et données océaniques et de ses services d</w:t>
            </w:r>
            <w:r w:rsidR="00E92BB5">
              <w:rPr>
                <w:rFonts w:cs="Arial"/>
                <w:szCs w:val="22"/>
              </w:rPr>
              <w:t>’</w:t>
            </w:r>
            <w:r w:rsidRPr="006F490E">
              <w:rPr>
                <w:rFonts w:cs="Arial"/>
                <w:szCs w:val="22"/>
              </w:rPr>
              <w:t>alerte précoce et d</w:t>
            </w:r>
            <w:r w:rsidR="00E92BB5">
              <w:rPr>
                <w:rFonts w:cs="Arial"/>
                <w:szCs w:val="22"/>
              </w:rPr>
              <w:t>’</w:t>
            </w:r>
            <w:r w:rsidRPr="006F490E">
              <w:rPr>
                <w:rFonts w:cs="Arial"/>
                <w:szCs w:val="22"/>
              </w:rPr>
              <w:t>évaluation, par l</w:t>
            </w:r>
            <w:r w:rsidR="00E92BB5">
              <w:rPr>
                <w:rFonts w:cs="Arial"/>
                <w:szCs w:val="22"/>
              </w:rPr>
              <w:t>’</w:t>
            </w:r>
            <w:r w:rsidRPr="006F490E">
              <w:rPr>
                <w:rFonts w:cs="Arial"/>
                <w:szCs w:val="22"/>
              </w:rPr>
              <w:t>élaboration de nouveaux services, outils de gestion axés sur les écosystèmes et produits d</w:t>
            </w:r>
            <w:r w:rsidR="00E92BB5">
              <w:rPr>
                <w:rFonts w:cs="Arial"/>
                <w:szCs w:val="22"/>
              </w:rPr>
              <w:t>’</w:t>
            </w:r>
            <w:r w:rsidRPr="006F490E">
              <w:rPr>
                <w:rFonts w:cs="Arial"/>
                <w:szCs w:val="22"/>
              </w:rPr>
              <w:t>évaluation et d</w:t>
            </w:r>
            <w:r w:rsidR="00E92BB5">
              <w:rPr>
                <w:rFonts w:cs="Arial"/>
                <w:szCs w:val="22"/>
              </w:rPr>
              <w:t>’</w:t>
            </w:r>
            <w:r w:rsidRPr="006F490E">
              <w:rPr>
                <w:rFonts w:cs="Arial"/>
                <w:szCs w:val="22"/>
              </w:rPr>
              <w:t>information dérivée, ainsi que par le développement des capacités en matière de gestion durable de l</w:t>
            </w:r>
            <w:r w:rsidR="00E92BB5">
              <w:rPr>
                <w:rFonts w:cs="Arial"/>
                <w:szCs w:val="22"/>
              </w:rPr>
              <w:t>’</w:t>
            </w:r>
            <w:r w:rsidRPr="006F490E">
              <w:rPr>
                <w:rFonts w:cs="Arial"/>
                <w:szCs w:val="22"/>
              </w:rPr>
              <w:t>océan</w:t>
            </w:r>
            <w:bookmarkEnd w:id="0"/>
            <w:r w:rsidRPr="006F490E">
              <w:rPr>
                <w:rFonts w:cs="Arial"/>
                <w:szCs w:val="22"/>
              </w:rPr>
              <w:t xml:space="preserve">. </w:t>
            </w:r>
          </w:p>
          <w:p w14:paraId="63BD464C" w14:textId="1933C76E" w:rsidR="006F490E" w:rsidRPr="006F490E" w:rsidRDefault="006F490E" w:rsidP="006F490E">
            <w:pPr>
              <w:tabs>
                <w:tab w:val="clear" w:pos="567"/>
              </w:tabs>
              <w:snapToGrid/>
              <w:spacing w:after="240"/>
              <w:ind w:left="283" w:right="283"/>
              <w:jc w:val="both"/>
              <w:rPr>
                <w:rFonts w:cs="Arial"/>
                <w:szCs w:val="22"/>
              </w:rPr>
            </w:pPr>
            <w:r w:rsidRPr="006F490E">
              <w:rPr>
                <w:rFonts w:cs="Arial"/>
                <w:szCs w:val="22"/>
                <w:u w:val="single"/>
              </w:rPr>
              <w:t>Incidences financières</w:t>
            </w:r>
            <w:r w:rsidRPr="006F490E">
              <w:rPr>
                <w:rFonts w:cs="Arial"/>
                <w:szCs w:val="22"/>
              </w:rPr>
              <w:t> : l</w:t>
            </w:r>
            <w:r w:rsidR="00E92BB5">
              <w:rPr>
                <w:rFonts w:cs="Arial"/>
                <w:szCs w:val="22"/>
              </w:rPr>
              <w:t>’</w:t>
            </w:r>
            <w:r w:rsidRPr="006F490E">
              <w:rPr>
                <w:rFonts w:cs="Arial"/>
                <w:szCs w:val="22"/>
              </w:rPr>
              <w:t>établissement de la Stratégie ne comporte aucune incidence financière directe, mais sa mise en œuvre aura des incidences financières qui devront apparaître dans le plan de travail associé à l</w:t>
            </w:r>
            <w:r w:rsidR="00E92BB5">
              <w:rPr>
                <w:rFonts w:cs="Arial"/>
                <w:szCs w:val="22"/>
              </w:rPr>
              <w:t>’</w:t>
            </w:r>
            <w:r w:rsidRPr="006F490E">
              <w:rPr>
                <w:rFonts w:cs="Arial"/>
                <w:szCs w:val="22"/>
              </w:rPr>
              <w:t>ensemble des résultats escomptés.</w:t>
            </w:r>
          </w:p>
          <w:p w14:paraId="60C2571C" w14:textId="139355D4" w:rsidR="005C7D01" w:rsidRPr="00191E6D" w:rsidRDefault="006F490E" w:rsidP="006F490E">
            <w:pPr>
              <w:spacing w:after="240"/>
              <w:ind w:left="283" w:right="283"/>
              <w:jc w:val="both"/>
              <w:rPr>
                <w:rFonts w:eastAsia="Times New Roman" w:cs="Arial"/>
                <w:szCs w:val="22"/>
                <w:lang w:eastAsia="en-US"/>
              </w:rPr>
            </w:pPr>
            <w:r w:rsidRPr="006F490E">
              <w:rPr>
                <w:rFonts w:eastAsia="Times New Roman" w:cs="Arial"/>
                <w:szCs w:val="22"/>
                <w:u w:val="single"/>
                <w:lang w:eastAsia="en-US"/>
              </w:rPr>
              <w:t>Décision proposée</w:t>
            </w:r>
            <w:r w:rsidRPr="006F490E">
              <w:rPr>
                <w:rFonts w:eastAsia="Times New Roman" w:cs="Arial"/>
                <w:szCs w:val="22"/>
                <w:lang w:eastAsia="en-US"/>
              </w:rPr>
              <w:t> : l</w:t>
            </w:r>
            <w:r w:rsidR="00E92BB5">
              <w:rPr>
                <w:rFonts w:eastAsia="Times New Roman" w:cs="Arial"/>
                <w:szCs w:val="22"/>
                <w:lang w:eastAsia="en-US"/>
              </w:rPr>
              <w:t>’</w:t>
            </w:r>
            <w:r w:rsidRPr="006F490E">
              <w:rPr>
                <w:rFonts w:eastAsia="Times New Roman" w:cs="Arial"/>
                <w:szCs w:val="22"/>
                <w:lang w:eastAsia="en-US"/>
              </w:rPr>
              <w:t>Assemblée est invitée à examiner le projet de décision portant la référence Déc., A-32/4.7 dans le Document provisoire relatif aux décisions à adopter (</w:t>
            </w:r>
            <w:r w:rsidRPr="0058747B">
              <w:rPr>
                <w:rFonts w:eastAsia="Times New Roman" w:cs="Arial"/>
                <w:szCs w:val="22"/>
                <w:lang w:eastAsia="en-US"/>
              </w:rPr>
              <w:t xml:space="preserve">document </w:t>
            </w:r>
            <w:r w:rsidR="00642BBE" w:rsidRPr="0058747B">
              <w:rPr>
                <w:rFonts w:eastAsia="Times New Roman" w:cs="Arial"/>
                <w:szCs w:val="22"/>
                <w:lang w:eastAsia="en-US"/>
              </w:rPr>
              <w:t>IOC/A-</w:t>
            </w:r>
            <w:r w:rsidRPr="0058747B">
              <w:rPr>
                <w:rFonts w:eastAsia="Times New Roman" w:cs="Arial"/>
                <w:szCs w:val="22"/>
                <w:lang w:eastAsia="en-US"/>
              </w:rPr>
              <w:t>32/AP Prov.).</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705E4947" w14:textId="77777777" w:rsidR="006F490E" w:rsidRPr="006F490E" w:rsidRDefault="006F490E" w:rsidP="006F490E">
      <w:pPr>
        <w:spacing w:after="240"/>
      </w:pPr>
      <w:bookmarkStart w:id="3" w:name="_Toc135566126"/>
      <w:bookmarkStart w:id="4" w:name="_Toc136185728"/>
      <w:r w:rsidRPr="006F490E">
        <w:rPr>
          <w:rFonts w:cs="Arial"/>
          <w:b/>
          <w:bCs/>
          <w:color w:val="000000" w:themeColor="text1"/>
        </w:rPr>
        <w:lastRenderedPageBreak/>
        <w:t>Introduction</w:t>
      </w:r>
      <w:bookmarkEnd w:id="3"/>
      <w:bookmarkEnd w:id="4"/>
    </w:p>
    <w:p w14:paraId="6C2E2D90" w14:textId="5A2CA780" w:rsidR="006F490E" w:rsidRPr="00107061" w:rsidRDefault="006F490E" w:rsidP="006F490E">
      <w:pPr>
        <w:pStyle w:val="Marge"/>
        <w:rPr>
          <w:rFonts w:cs="Arial"/>
          <w:szCs w:val="22"/>
        </w:rPr>
      </w:pPr>
      <w:r>
        <w:rPr>
          <w:szCs w:val="22"/>
        </w:rPr>
        <w:t>1.</w:t>
      </w:r>
      <w:r>
        <w:rPr>
          <w:szCs w:val="22"/>
        </w:rPr>
        <w:tab/>
      </w:r>
      <w:r w:rsidRPr="006F490E">
        <w:rPr>
          <w:szCs w:val="22"/>
        </w:rPr>
        <w:t>Accélérer la gestion intégrée de l</w:t>
      </w:r>
      <w:r w:rsidR="00E92BB5">
        <w:rPr>
          <w:szCs w:val="22"/>
        </w:rPr>
        <w:t>’</w:t>
      </w:r>
      <w:r w:rsidRPr="006F490E">
        <w:rPr>
          <w:szCs w:val="22"/>
        </w:rPr>
        <w:t>océan est l</w:t>
      </w:r>
      <w:r w:rsidR="00E92BB5">
        <w:rPr>
          <w:szCs w:val="22"/>
        </w:rPr>
        <w:t>’</w:t>
      </w:r>
      <w:r w:rsidRPr="006F490E">
        <w:rPr>
          <w:szCs w:val="22"/>
        </w:rPr>
        <w:t xml:space="preserve">un des objectifs de la </w:t>
      </w:r>
      <w:bookmarkStart w:id="5" w:name="_Hlk136866530"/>
      <w:r w:rsidRPr="006F490E">
        <w:rPr>
          <w:szCs w:val="22"/>
        </w:rPr>
        <w:t>Décennie des Nations Unies pour les sciences océaniques au service du développement durable</w:t>
      </w:r>
      <w:bookmarkEnd w:id="5"/>
      <w:r w:rsidRPr="006F490E">
        <w:rPr>
          <w:szCs w:val="22"/>
        </w:rPr>
        <w:t xml:space="preserve"> (2021</w:t>
      </w:r>
      <w:r w:rsidRPr="006F490E">
        <w:rPr>
          <w:szCs w:val="22"/>
        </w:rPr>
        <w:noBreakHyphen/>
        <w:t>2030). La Déclaration de Lisbonne adoptée lors de la Conférence des Nations Unies sur les océans a mis en avant l</w:t>
      </w:r>
      <w:r w:rsidR="00E92BB5">
        <w:rPr>
          <w:szCs w:val="22"/>
        </w:rPr>
        <w:t>’</w:t>
      </w:r>
      <w:r w:rsidRPr="006F490E">
        <w:rPr>
          <w:szCs w:val="22"/>
        </w:rPr>
        <w:t xml:space="preserve">importance des actions menées sur des bases scientifiques pour une gestion et </w:t>
      </w:r>
      <w:proofErr w:type="gramStart"/>
      <w:r w:rsidRPr="006F490E">
        <w:rPr>
          <w:szCs w:val="22"/>
        </w:rPr>
        <w:t>une planification éclairées</w:t>
      </w:r>
      <w:proofErr w:type="gramEnd"/>
      <w:r w:rsidRPr="006F490E">
        <w:rPr>
          <w:szCs w:val="22"/>
        </w:rPr>
        <w:t xml:space="preserve"> de l</w:t>
      </w:r>
      <w:r w:rsidR="00E92BB5">
        <w:rPr>
          <w:szCs w:val="22"/>
        </w:rPr>
        <w:t>’</w:t>
      </w:r>
      <w:r w:rsidRPr="006F490E">
        <w:rPr>
          <w:szCs w:val="22"/>
        </w:rPr>
        <w:t>océan.</w:t>
      </w:r>
      <w:r w:rsidRPr="00107061">
        <w:rPr>
          <w:rFonts w:cs="Arial"/>
          <w:szCs w:val="22"/>
        </w:rPr>
        <w:t xml:space="preserve"> </w:t>
      </w:r>
    </w:p>
    <w:p w14:paraId="4296E86B" w14:textId="5C2BB8BF" w:rsidR="006F490E" w:rsidRPr="00990935" w:rsidRDefault="006F490E" w:rsidP="006F490E">
      <w:pPr>
        <w:pStyle w:val="Marge"/>
        <w:rPr>
          <w:rFonts w:cs="Arial"/>
          <w:szCs w:val="22"/>
        </w:rPr>
      </w:pPr>
      <w:r w:rsidRPr="0048549A">
        <w:rPr>
          <w:rFonts w:cs="Arial"/>
          <w:szCs w:val="22"/>
        </w:rPr>
        <w:t>2.</w:t>
      </w:r>
      <w:r w:rsidRPr="0048549A">
        <w:rPr>
          <w:rFonts w:cs="Arial"/>
          <w:szCs w:val="22"/>
        </w:rPr>
        <w:tab/>
        <w:t>En septembre 2021, la Division des services de contrôle interne de l</w:t>
      </w:r>
      <w:r w:rsidR="00E92BB5">
        <w:rPr>
          <w:rFonts w:cs="Arial"/>
          <w:szCs w:val="22"/>
        </w:rPr>
        <w:t>’</w:t>
      </w:r>
      <w:r w:rsidRPr="0048549A">
        <w:rPr>
          <w:rFonts w:cs="Arial"/>
          <w:szCs w:val="22"/>
        </w:rPr>
        <w:t xml:space="preserve">UNESCO a publié une </w:t>
      </w:r>
      <w:r w:rsidRPr="0048549A">
        <w:rPr>
          <w:rFonts w:cs="Arial"/>
          <w:i/>
          <w:iCs/>
          <w:szCs w:val="22"/>
        </w:rPr>
        <w:t xml:space="preserve">Évaluation du positionnement stratégique de la Commission océanographique intergouvernementale </w:t>
      </w:r>
      <w:r w:rsidRPr="0048549A">
        <w:rPr>
          <w:rFonts w:cs="Arial"/>
          <w:szCs w:val="22"/>
        </w:rPr>
        <w:t>(« l</w:t>
      </w:r>
      <w:r w:rsidR="00E92BB5">
        <w:rPr>
          <w:rFonts w:cs="Arial"/>
          <w:szCs w:val="22"/>
        </w:rPr>
        <w:t>’</w:t>
      </w:r>
      <w:r w:rsidR="0048549A" w:rsidRPr="0048549A">
        <w:rPr>
          <w:rFonts w:cs="Arial"/>
          <w:szCs w:val="22"/>
        </w:rPr>
        <w:t>É</w:t>
      </w:r>
      <w:r w:rsidRPr="0048549A">
        <w:rPr>
          <w:rFonts w:cs="Arial"/>
          <w:szCs w:val="22"/>
        </w:rPr>
        <w:t>valuation »)</w:t>
      </w:r>
      <w:r w:rsidRPr="0048549A">
        <w:rPr>
          <w:rFonts w:cs="Arial"/>
          <w:i/>
          <w:iCs/>
          <w:szCs w:val="22"/>
        </w:rPr>
        <w:t xml:space="preserve"> </w:t>
      </w:r>
      <w:r w:rsidRPr="0048549A">
        <w:rPr>
          <w:rFonts w:cs="Arial"/>
          <w:szCs w:val="22"/>
        </w:rPr>
        <w:t>(</w:t>
      </w:r>
      <w:hyperlink r:id="rId11" w:history="1">
        <w:r w:rsidRPr="0048549A">
          <w:rPr>
            <w:rStyle w:val="Hyperlink"/>
            <w:rFonts w:cs="Arial"/>
            <w:szCs w:val="22"/>
          </w:rPr>
          <w:t>IOS/EVS/PI/197</w:t>
        </w:r>
      </w:hyperlink>
      <w:r w:rsidRPr="0048549A">
        <w:rPr>
          <w:rStyle w:val="Hyperlink"/>
          <w:rFonts w:cs="Arial"/>
          <w:color w:val="auto"/>
          <w:szCs w:val="22"/>
          <w:u w:val="none"/>
        </w:rPr>
        <w:t xml:space="preserve"> ; </w:t>
      </w:r>
      <w:hyperlink r:id="rId12" w:history="1">
        <w:r w:rsidRPr="0048549A">
          <w:rPr>
            <w:rStyle w:val="Hyperlink"/>
            <w:rFonts w:cs="Arial"/>
            <w:szCs w:val="22"/>
          </w:rPr>
          <w:t>212 EX/9</w:t>
        </w:r>
      </w:hyperlink>
      <w:r w:rsidRPr="0048549A">
        <w:rPr>
          <w:rFonts w:cs="Arial"/>
          <w:szCs w:val="22"/>
        </w:rPr>
        <w:t>) présentant un ensemble de six recommandations et des suggestions concernant les mesures à prendre. L</w:t>
      </w:r>
      <w:r w:rsidR="00E92BB5">
        <w:rPr>
          <w:rFonts w:cs="Arial"/>
          <w:szCs w:val="22"/>
        </w:rPr>
        <w:t>’</w:t>
      </w:r>
      <w:r w:rsidRPr="0048549A">
        <w:rPr>
          <w:rFonts w:cs="Arial"/>
          <w:szCs w:val="22"/>
        </w:rPr>
        <w:t>évaluation a souligné l</w:t>
      </w:r>
      <w:r w:rsidR="00E92BB5">
        <w:rPr>
          <w:rFonts w:cs="Arial"/>
          <w:szCs w:val="22"/>
        </w:rPr>
        <w:t>’</w:t>
      </w:r>
      <w:r w:rsidRPr="0048549A">
        <w:rPr>
          <w:rFonts w:cs="Arial"/>
          <w:szCs w:val="22"/>
        </w:rPr>
        <w:t>importance croissante de la COI pour la gestion durable de l</w:t>
      </w:r>
      <w:r w:rsidR="00E92BB5">
        <w:rPr>
          <w:rFonts w:cs="Arial"/>
          <w:szCs w:val="22"/>
        </w:rPr>
        <w:t>’</w:t>
      </w:r>
      <w:r w:rsidRPr="0048549A">
        <w:rPr>
          <w:rFonts w:cs="Arial"/>
          <w:szCs w:val="22"/>
        </w:rPr>
        <w:t>océan et le rôle central que la Commission devrait exercer.</w:t>
      </w:r>
    </w:p>
    <w:p w14:paraId="325F3B7F" w14:textId="11BB90F8" w:rsidR="006F490E" w:rsidRPr="006F490E" w:rsidRDefault="006F490E" w:rsidP="006F490E">
      <w:pPr>
        <w:pStyle w:val="ListParagraph"/>
        <w:autoSpaceDE w:val="0"/>
        <w:autoSpaceDN w:val="0"/>
        <w:spacing w:after="240" w:line="240" w:lineRule="auto"/>
        <w:ind w:left="567" w:right="851"/>
        <w:contextualSpacing w:val="0"/>
        <w:jc w:val="both"/>
        <w:rPr>
          <w:rFonts w:asciiTheme="minorBidi" w:hAnsiTheme="minorBidi" w:cstheme="minorBidi"/>
          <w:i/>
          <w:iCs/>
          <w:lang w:val="fr-FR"/>
        </w:rPr>
      </w:pPr>
      <w:r w:rsidRPr="006F490E">
        <w:rPr>
          <w:rFonts w:asciiTheme="minorBidi" w:hAnsiTheme="minorBidi" w:cstheme="minorBidi"/>
          <w:lang w:val="fr-FR"/>
        </w:rPr>
        <w:t>«</w:t>
      </w:r>
      <w:r w:rsidRPr="006F490E">
        <w:rPr>
          <w:rFonts w:asciiTheme="minorBidi" w:hAnsiTheme="minorBidi" w:cstheme="minorBidi"/>
          <w:i/>
          <w:iCs/>
          <w:lang w:val="fr-FR"/>
        </w:rPr>
        <w:t> …Dans le cadre du Programme 2030, la COI voit son rôle encore accru. La Décennie est donc pour elle une occasion de réaffirmer sa position de chef de file mondial et sa pertinence pour les membres d</w:t>
      </w:r>
      <w:r w:rsidR="00E92BB5">
        <w:rPr>
          <w:rFonts w:asciiTheme="minorBidi" w:hAnsiTheme="minorBidi" w:cstheme="minorBidi"/>
          <w:i/>
          <w:iCs/>
          <w:lang w:val="fr-FR"/>
        </w:rPr>
        <w:t>’</w:t>
      </w:r>
      <w:r w:rsidRPr="006F490E">
        <w:rPr>
          <w:rFonts w:asciiTheme="minorBidi" w:hAnsiTheme="minorBidi" w:cstheme="minorBidi"/>
          <w:i/>
          <w:iCs/>
          <w:lang w:val="fr-FR"/>
        </w:rPr>
        <w:t>ONU-Océans, les décideurs et le monde entier s</w:t>
      </w:r>
      <w:r w:rsidR="00E92BB5">
        <w:rPr>
          <w:rFonts w:asciiTheme="minorBidi" w:hAnsiTheme="minorBidi" w:cstheme="minorBidi"/>
          <w:i/>
          <w:iCs/>
          <w:lang w:val="fr-FR"/>
        </w:rPr>
        <w:t>’</w:t>
      </w:r>
      <w:r w:rsidRPr="006F490E">
        <w:rPr>
          <w:rFonts w:asciiTheme="minorBidi" w:hAnsiTheme="minorBidi" w:cstheme="minorBidi"/>
          <w:i/>
          <w:iCs/>
          <w:lang w:val="fr-FR"/>
        </w:rPr>
        <w:t>agissant d</w:t>
      </w:r>
      <w:r w:rsidR="00E92BB5">
        <w:rPr>
          <w:rFonts w:asciiTheme="minorBidi" w:hAnsiTheme="minorBidi" w:cstheme="minorBidi"/>
          <w:i/>
          <w:iCs/>
          <w:lang w:val="fr-FR"/>
        </w:rPr>
        <w:t>’</w:t>
      </w:r>
      <w:r w:rsidRPr="006F490E">
        <w:rPr>
          <w:rFonts w:asciiTheme="minorBidi" w:hAnsiTheme="minorBidi" w:cstheme="minorBidi"/>
          <w:i/>
          <w:iCs/>
          <w:lang w:val="fr-FR"/>
        </w:rPr>
        <w:t>assurer une gestion plus durable des océans. </w:t>
      </w:r>
      <w:r w:rsidRPr="006F490E">
        <w:rPr>
          <w:rFonts w:asciiTheme="minorBidi" w:hAnsiTheme="minorBidi" w:cstheme="minorBidi"/>
          <w:lang w:val="fr-FR"/>
        </w:rPr>
        <w:t>»</w:t>
      </w:r>
    </w:p>
    <w:p w14:paraId="0A7A3CD3" w14:textId="36E75FA1" w:rsidR="006F490E" w:rsidRPr="000F495F" w:rsidRDefault="006F490E" w:rsidP="006F490E">
      <w:pPr>
        <w:pStyle w:val="Marge"/>
        <w:rPr>
          <w:rFonts w:cs="Arial"/>
          <w:i/>
          <w:iCs/>
          <w:szCs w:val="22"/>
        </w:rPr>
      </w:pPr>
      <w:r>
        <w:rPr>
          <w:rFonts w:cs="Arial"/>
          <w:szCs w:val="22"/>
        </w:rPr>
        <w:t>3.</w:t>
      </w:r>
      <w:r>
        <w:rPr>
          <w:rFonts w:cs="Arial"/>
          <w:szCs w:val="22"/>
        </w:rPr>
        <w:tab/>
      </w:r>
      <w:r w:rsidRPr="000F495F">
        <w:rPr>
          <w:rFonts w:cs="Arial"/>
          <w:szCs w:val="22"/>
        </w:rPr>
        <w:t>De plus, alors que les obligations internationales en matière de gestion et de planification de l</w:t>
      </w:r>
      <w:r w:rsidR="00E92BB5">
        <w:rPr>
          <w:rFonts w:cs="Arial"/>
          <w:szCs w:val="22"/>
        </w:rPr>
        <w:t>’</w:t>
      </w:r>
      <w:r w:rsidRPr="000F495F">
        <w:rPr>
          <w:rFonts w:cs="Arial"/>
          <w:szCs w:val="22"/>
        </w:rPr>
        <w:t>océan vont croiss</w:t>
      </w:r>
      <w:r>
        <w:rPr>
          <w:rFonts w:cs="Arial"/>
          <w:szCs w:val="22"/>
        </w:rPr>
        <w:t xml:space="preserve">ant </w:t>
      </w:r>
      <w:r w:rsidRPr="000F495F">
        <w:rPr>
          <w:rFonts w:cs="Arial"/>
          <w:szCs w:val="22"/>
        </w:rPr>
        <w:t xml:space="preserve">et </w:t>
      </w:r>
      <w:r>
        <w:rPr>
          <w:rFonts w:cs="Arial"/>
          <w:szCs w:val="22"/>
        </w:rPr>
        <w:t xml:space="preserve">exigent un recours toujours </w:t>
      </w:r>
      <w:r w:rsidRPr="006F490E">
        <w:rPr>
          <w:szCs w:val="22"/>
        </w:rPr>
        <w:t>plus</w:t>
      </w:r>
      <w:r>
        <w:rPr>
          <w:rFonts w:cs="Arial"/>
          <w:szCs w:val="22"/>
        </w:rPr>
        <w:t xml:space="preserve"> étendu à la science, la </w:t>
      </w:r>
      <w:r w:rsidRPr="000F495F">
        <w:rPr>
          <w:rFonts w:cs="Arial"/>
          <w:szCs w:val="22"/>
        </w:rPr>
        <w:t xml:space="preserve">COI </w:t>
      </w:r>
      <w:r>
        <w:rPr>
          <w:rFonts w:cs="Arial"/>
          <w:szCs w:val="22"/>
        </w:rPr>
        <w:t xml:space="preserve">doit tirer pleinement parti de son </w:t>
      </w:r>
      <w:r w:rsidRPr="000F495F">
        <w:rPr>
          <w:rFonts w:cs="Arial"/>
          <w:szCs w:val="22"/>
        </w:rPr>
        <w:t xml:space="preserve">leadership et </w:t>
      </w:r>
      <w:r>
        <w:rPr>
          <w:rFonts w:cs="Arial"/>
          <w:szCs w:val="22"/>
        </w:rPr>
        <w:t xml:space="preserve">de sa </w:t>
      </w:r>
      <w:r w:rsidRPr="000F495F">
        <w:rPr>
          <w:rFonts w:cs="Arial"/>
          <w:szCs w:val="22"/>
        </w:rPr>
        <w:t xml:space="preserve">position </w:t>
      </w:r>
      <w:r>
        <w:rPr>
          <w:rFonts w:cs="Arial"/>
          <w:szCs w:val="22"/>
        </w:rPr>
        <w:t>au niveau mondial</w:t>
      </w:r>
      <w:r w:rsidRPr="000F495F">
        <w:rPr>
          <w:rFonts w:cs="Arial"/>
          <w:szCs w:val="22"/>
        </w:rPr>
        <w:t xml:space="preserve"> </w:t>
      </w:r>
      <w:r>
        <w:rPr>
          <w:rFonts w:cs="Arial"/>
          <w:szCs w:val="22"/>
        </w:rPr>
        <w:t>pour aider les</w:t>
      </w:r>
      <w:r w:rsidRPr="000F495F">
        <w:rPr>
          <w:rFonts w:cs="Arial"/>
          <w:szCs w:val="22"/>
        </w:rPr>
        <w:t xml:space="preserve"> </w:t>
      </w:r>
      <w:r>
        <w:rPr>
          <w:rFonts w:cs="Arial"/>
          <w:szCs w:val="22"/>
        </w:rPr>
        <w:t>pays</w:t>
      </w:r>
      <w:r w:rsidRPr="000F495F">
        <w:rPr>
          <w:rFonts w:cs="Arial"/>
          <w:szCs w:val="22"/>
        </w:rPr>
        <w:t xml:space="preserve"> </w:t>
      </w:r>
      <w:r>
        <w:rPr>
          <w:rFonts w:cs="Arial"/>
          <w:szCs w:val="22"/>
        </w:rPr>
        <w:t>à tenir leurs engage</w:t>
      </w:r>
      <w:r w:rsidRPr="000F495F">
        <w:rPr>
          <w:rFonts w:cs="Arial"/>
          <w:szCs w:val="22"/>
        </w:rPr>
        <w:t xml:space="preserve">ments </w:t>
      </w:r>
      <w:r>
        <w:rPr>
          <w:rFonts w:cs="Arial"/>
          <w:szCs w:val="22"/>
        </w:rPr>
        <w:t>en les faisant bénéficier de</w:t>
      </w:r>
      <w:r w:rsidRPr="000F495F">
        <w:rPr>
          <w:rFonts w:cs="Arial"/>
          <w:szCs w:val="22"/>
        </w:rPr>
        <w:t xml:space="preserve"> </w:t>
      </w:r>
      <w:r>
        <w:rPr>
          <w:rFonts w:cs="Arial"/>
          <w:szCs w:val="22"/>
        </w:rPr>
        <w:t>sa formidable expertise scientifique et technique et dans le domaine des données</w:t>
      </w:r>
      <w:r w:rsidRPr="000F495F">
        <w:rPr>
          <w:rFonts w:cs="Arial"/>
          <w:szCs w:val="22"/>
        </w:rPr>
        <w:t xml:space="preserve">. </w:t>
      </w:r>
    </w:p>
    <w:p w14:paraId="0E7C1B49" w14:textId="1FC40017" w:rsidR="006F490E" w:rsidRPr="008C599D" w:rsidRDefault="006F490E" w:rsidP="006F490E">
      <w:pPr>
        <w:pStyle w:val="Marge"/>
        <w:rPr>
          <w:rFonts w:cs="Arial"/>
          <w:szCs w:val="22"/>
        </w:rPr>
      </w:pPr>
      <w:r>
        <w:rPr>
          <w:rFonts w:cs="Arial"/>
          <w:szCs w:val="22"/>
        </w:rPr>
        <w:t>4.</w:t>
      </w:r>
      <w:r>
        <w:rPr>
          <w:rFonts w:cs="Arial"/>
          <w:szCs w:val="22"/>
        </w:rPr>
        <w:tab/>
      </w:r>
      <w:r w:rsidRPr="00990935">
        <w:rPr>
          <w:rFonts w:cs="Arial"/>
          <w:szCs w:val="22"/>
        </w:rPr>
        <w:t>L</w:t>
      </w:r>
      <w:r w:rsidR="00E92BB5">
        <w:rPr>
          <w:rFonts w:cs="Arial"/>
          <w:szCs w:val="22"/>
        </w:rPr>
        <w:t>’</w:t>
      </w:r>
      <w:r w:rsidRPr="00990935">
        <w:rPr>
          <w:rFonts w:cs="Arial"/>
          <w:szCs w:val="22"/>
        </w:rPr>
        <w:t>intitu</w:t>
      </w:r>
      <w:r>
        <w:rPr>
          <w:rFonts w:cs="Arial"/>
          <w:szCs w:val="22"/>
        </w:rPr>
        <w:t>l</w:t>
      </w:r>
      <w:r w:rsidRPr="00990935">
        <w:rPr>
          <w:rFonts w:cs="Arial"/>
          <w:szCs w:val="22"/>
        </w:rPr>
        <w:t>é complet de la Dé</w:t>
      </w:r>
      <w:r>
        <w:rPr>
          <w:rFonts w:cs="Arial"/>
          <w:szCs w:val="22"/>
        </w:rPr>
        <w:t xml:space="preserve">cennie </w:t>
      </w:r>
      <w:r w:rsidR="004E2480">
        <w:rPr>
          <w:rFonts w:cs="Arial"/>
          <w:szCs w:val="22"/>
        </w:rPr>
        <w:t>–</w:t>
      </w:r>
      <w:r>
        <w:rPr>
          <w:rFonts w:cs="Arial"/>
          <w:szCs w:val="22"/>
        </w:rPr>
        <w:t xml:space="preserve"> </w:t>
      </w:r>
      <w:r w:rsidRPr="00990935">
        <w:rPr>
          <w:rFonts w:cs="Arial"/>
          <w:i/>
          <w:iCs/>
          <w:szCs w:val="22"/>
        </w:rPr>
        <w:t>Décennie des Nations Unies pour les sciences océaniques au service du développement durable (2021</w:t>
      </w:r>
      <w:r w:rsidR="004E2480">
        <w:rPr>
          <w:rFonts w:cs="Arial"/>
          <w:i/>
          <w:iCs/>
          <w:szCs w:val="22"/>
        </w:rPr>
        <w:t>-</w:t>
      </w:r>
      <w:r w:rsidRPr="00990935">
        <w:rPr>
          <w:rFonts w:cs="Arial"/>
          <w:i/>
          <w:iCs/>
          <w:szCs w:val="22"/>
        </w:rPr>
        <w:t>2030)</w:t>
      </w:r>
      <w:r>
        <w:rPr>
          <w:rFonts w:cs="Arial"/>
          <w:szCs w:val="22"/>
        </w:rPr>
        <w:t xml:space="preserve"> –</w:t>
      </w:r>
      <w:r w:rsidRPr="00990935">
        <w:rPr>
          <w:rFonts w:cs="Arial"/>
          <w:szCs w:val="22"/>
        </w:rPr>
        <w:t xml:space="preserve"> </w:t>
      </w:r>
      <w:r>
        <w:rPr>
          <w:rFonts w:cs="Arial"/>
          <w:szCs w:val="22"/>
        </w:rPr>
        <w:t>témoigne de l</w:t>
      </w:r>
      <w:r w:rsidR="00E92BB5">
        <w:rPr>
          <w:rFonts w:cs="Arial"/>
          <w:szCs w:val="22"/>
        </w:rPr>
        <w:t>’</w:t>
      </w:r>
      <w:r>
        <w:rPr>
          <w:rFonts w:cs="Arial"/>
          <w:szCs w:val="22"/>
        </w:rPr>
        <w:t>importance cruciale du développement durable dans la réalisation des effets escomptés</w:t>
      </w:r>
      <w:r w:rsidRPr="00990935">
        <w:rPr>
          <w:rFonts w:cs="Arial"/>
          <w:szCs w:val="22"/>
        </w:rPr>
        <w:t xml:space="preserve">. </w:t>
      </w:r>
      <w:r w:rsidRPr="0039546A">
        <w:rPr>
          <w:rFonts w:cs="Arial"/>
          <w:szCs w:val="22"/>
        </w:rPr>
        <w:t>Sans une stratégi</w:t>
      </w:r>
      <w:r>
        <w:rPr>
          <w:rFonts w:cs="Arial"/>
          <w:szCs w:val="22"/>
        </w:rPr>
        <w:t>e</w:t>
      </w:r>
      <w:r w:rsidRPr="0039546A">
        <w:rPr>
          <w:rFonts w:cs="Arial"/>
          <w:szCs w:val="22"/>
        </w:rPr>
        <w:t xml:space="preserve"> </w:t>
      </w:r>
      <w:r>
        <w:rPr>
          <w:rFonts w:cs="Arial"/>
          <w:szCs w:val="22"/>
        </w:rPr>
        <w:t>précisant comment faire de la science un levier de la gestion</w:t>
      </w:r>
      <w:r w:rsidRPr="0039546A">
        <w:rPr>
          <w:rFonts w:cs="Arial"/>
          <w:szCs w:val="22"/>
        </w:rPr>
        <w:t xml:space="preserve"> </w:t>
      </w:r>
      <w:r>
        <w:rPr>
          <w:rFonts w:cs="Arial"/>
          <w:szCs w:val="22"/>
        </w:rPr>
        <w:t>marine</w:t>
      </w:r>
      <w:r w:rsidRPr="0039546A">
        <w:rPr>
          <w:rFonts w:cs="Arial"/>
          <w:szCs w:val="22"/>
        </w:rPr>
        <w:t xml:space="preserve">, </w:t>
      </w:r>
      <w:r>
        <w:rPr>
          <w:rFonts w:cs="Arial"/>
          <w:szCs w:val="22"/>
        </w:rPr>
        <w:t>il sera impossible de la mettre « </w:t>
      </w:r>
      <w:r w:rsidRPr="0039546A">
        <w:rPr>
          <w:rFonts w:cs="Arial"/>
          <w:i/>
          <w:iCs/>
          <w:szCs w:val="22"/>
        </w:rPr>
        <w:t>au service du développement durable</w:t>
      </w:r>
      <w:r>
        <w:rPr>
          <w:rFonts w:cs="Arial"/>
          <w:szCs w:val="22"/>
        </w:rPr>
        <w:t> »</w:t>
      </w:r>
      <w:r w:rsidRPr="0039546A">
        <w:rPr>
          <w:rFonts w:cs="Arial"/>
          <w:szCs w:val="22"/>
        </w:rPr>
        <w:t>.</w:t>
      </w:r>
      <w:r>
        <w:rPr>
          <w:rFonts w:cs="Arial"/>
          <w:szCs w:val="22"/>
        </w:rPr>
        <w:t xml:space="preserve"> </w:t>
      </w:r>
      <w:r w:rsidRPr="008C599D">
        <w:rPr>
          <w:rFonts w:cs="Arial"/>
          <w:szCs w:val="22"/>
        </w:rPr>
        <w:t>La COI est extrêmement bien placée pour soutenir les pays sur la voie d</w:t>
      </w:r>
      <w:r w:rsidR="00E92BB5">
        <w:rPr>
          <w:rFonts w:cs="Arial"/>
          <w:szCs w:val="22"/>
        </w:rPr>
        <w:t>’</w:t>
      </w:r>
      <w:r w:rsidRPr="008C599D">
        <w:rPr>
          <w:rFonts w:cs="Arial"/>
          <w:szCs w:val="22"/>
        </w:rPr>
        <w:t>une planification durable des océans.</w:t>
      </w:r>
      <w:r>
        <w:rPr>
          <w:rFonts w:cs="Arial"/>
          <w:szCs w:val="22"/>
        </w:rPr>
        <w:t xml:space="preserve"> </w:t>
      </w:r>
      <w:r w:rsidRPr="008C599D">
        <w:rPr>
          <w:rFonts w:cs="Arial"/>
          <w:szCs w:val="22"/>
        </w:rPr>
        <w:t xml:space="preserve">Elle </w:t>
      </w:r>
      <w:r>
        <w:rPr>
          <w:rFonts w:cs="Arial"/>
          <w:szCs w:val="22"/>
        </w:rPr>
        <w:t>dispose d</w:t>
      </w:r>
      <w:r w:rsidR="00E92BB5">
        <w:rPr>
          <w:rFonts w:cs="Arial"/>
          <w:szCs w:val="22"/>
        </w:rPr>
        <w:t>’</w:t>
      </w:r>
      <w:r>
        <w:rPr>
          <w:rFonts w:cs="Arial"/>
          <w:szCs w:val="22"/>
        </w:rPr>
        <w:t>un</w:t>
      </w:r>
      <w:r w:rsidRPr="008C599D">
        <w:rPr>
          <w:rFonts w:cs="Arial"/>
          <w:szCs w:val="22"/>
        </w:rPr>
        <w:t xml:space="preserve"> </w:t>
      </w:r>
      <w:r>
        <w:rPr>
          <w:rFonts w:cs="Arial"/>
          <w:szCs w:val="22"/>
        </w:rPr>
        <w:t xml:space="preserve">meilleur </w:t>
      </w:r>
      <w:r w:rsidRPr="008C599D">
        <w:rPr>
          <w:rFonts w:cs="Arial"/>
          <w:szCs w:val="22"/>
        </w:rPr>
        <w:t>accès à l</w:t>
      </w:r>
      <w:r w:rsidR="00E92BB5">
        <w:rPr>
          <w:rFonts w:cs="Arial"/>
          <w:szCs w:val="22"/>
        </w:rPr>
        <w:t>’</w:t>
      </w:r>
      <w:r w:rsidRPr="008C599D">
        <w:rPr>
          <w:rFonts w:cs="Arial"/>
          <w:szCs w:val="22"/>
        </w:rPr>
        <w:t>expertise et aux données techniques</w:t>
      </w:r>
      <w:r>
        <w:rPr>
          <w:rFonts w:cs="Arial"/>
          <w:szCs w:val="22"/>
        </w:rPr>
        <w:t xml:space="preserve"> que toute autre organisation mondiale</w:t>
      </w:r>
      <w:r w:rsidRPr="008C599D">
        <w:rPr>
          <w:rFonts w:cs="Arial"/>
          <w:szCs w:val="22"/>
        </w:rPr>
        <w:t>, et doit mett</w:t>
      </w:r>
      <w:r>
        <w:rPr>
          <w:rFonts w:cs="Arial"/>
          <w:szCs w:val="22"/>
        </w:rPr>
        <w:t>re à profit son influence et ses moyens pour promouvoir la</w:t>
      </w:r>
      <w:r w:rsidRPr="008C599D">
        <w:rPr>
          <w:rFonts w:cs="Arial"/>
          <w:szCs w:val="22"/>
        </w:rPr>
        <w:t xml:space="preserve"> </w:t>
      </w:r>
      <w:r>
        <w:rPr>
          <w:rFonts w:cs="Arial"/>
          <w:szCs w:val="22"/>
        </w:rPr>
        <w:t>gestion durable</w:t>
      </w:r>
      <w:r w:rsidRPr="008C599D">
        <w:rPr>
          <w:rFonts w:cs="Arial"/>
          <w:szCs w:val="22"/>
        </w:rPr>
        <w:t xml:space="preserve"> </w:t>
      </w:r>
      <w:r>
        <w:rPr>
          <w:rFonts w:cs="Arial"/>
          <w:szCs w:val="22"/>
        </w:rPr>
        <w:t>de l</w:t>
      </w:r>
      <w:r w:rsidR="00E92BB5">
        <w:rPr>
          <w:rFonts w:cs="Arial"/>
          <w:szCs w:val="22"/>
        </w:rPr>
        <w:t>’</w:t>
      </w:r>
      <w:r w:rsidRPr="008C599D">
        <w:rPr>
          <w:rFonts w:cs="Arial"/>
          <w:szCs w:val="22"/>
        </w:rPr>
        <w:t xml:space="preserve">océan. </w:t>
      </w:r>
    </w:p>
    <w:p w14:paraId="4A2F6E93" w14:textId="0EA92D08" w:rsidR="006F490E" w:rsidRPr="000F495F" w:rsidRDefault="006F490E" w:rsidP="006F490E">
      <w:pPr>
        <w:pStyle w:val="Marge"/>
        <w:rPr>
          <w:rFonts w:cs="Arial"/>
          <w:szCs w:val="22"/>
        </w:rPr>
      </w:pPr>
      <w:r>
        <w:rPr>
          <w:rFonts w:cs="Arial"/>
          <w:szCs w:val="22"/>
        </w:rPr>
        <w:t>5.</w:t>
      </w:r>
      <w:r>
        <w:rPr>
          <w:rFonts w:cs="Arial"/>
          <w:szCs w:val="22"/>
        </w:rPr>
        <w:tab/>
      </w:r>
      <w:r w:rsidRPr="000F495F">
        <w:rPr>
          <w:rFonts w:cs="Arial"/>
          <w:szCs w:val="22"/>
        </w:rPr>
        <w:t>Compte tenu de ces avancées récentes dans le doma</w:t>
      </w:r>
      <w:r>
        <w:rPr>
          <w:rFonts w:cs="Arial"/>
          <w:szCs w:val="22"/>
        </w:rPr>
        <w:t xml:space="preserve">ine de la </w:t>
      </w:r>
      <w:r w:rsidRPr="000F495F">
        <w:rPr>
          <w:rFonts w:cs="Arial"/>
          <w:szCs w:val="22"/>
        </w:rPr>
        <w:t xml:space="preserve">planification et </w:t>
      </w:r>
      <w:r>
        <w:rPr>
          <w:rFonts w:cs="Arial"/>
          <w:szCs w:val="22"/>
        </w:rPr>
        <w:t xml:space="preserve">de la </w:t>
      </w:r>
      <w:r w:rsidRPr="000F495F">
        <w:rPr>
          <w:rFonts w:cs="Arial"/>
          <w:szCs w:val="22"/>
        </w:rPr>
        <w:t>gestion de l</w:t>
      </w:r>
      <w:r w:rsidR="00E92BB5">
        <w:rPr>
          <w:rFonts w:cs="Arial"/>
          <w:szCs w:val="22"/>
        </w:rPr>
        <w:t>’</w:t>
      </w:r>
      <w:r w:rsidRPr="000F495F">
        <w:rPr>
          <w:rFonts w:cs="Arial"/>
          <w:szCs w:val="22"/>
        </w:rPr>
        <w:t xml:space="preserve">océan et </w:t>
      </w:r>
      <w:r>
        <w:rPr>
          <w:rFonts w:cs="Arial"/>
          <w:szCs w:val="22"/>
        </w:rPr>
        <w:t>eu égard aux</w:t>
      </w:r>
      <w:r w:rsidRPr="000F495F">
        <w:rPr>
          <w:rFonts w:cs="Arial"/>
          <w:szCs w:val="22"/>
        </w:rPr>
        <w:t xml:space="preserve"> objectifs </w:t>
      </w:r>
      <w:r>
        <w:rPr>
          <w:rFonts w:cs="Arial"/>
          <w:szCs w:val="22"/>
        </w:rPr>
        <w:t>de la</w:t>
      </w:r>
      <w:r w:rsidRPr="000F495F">
        <w:rPr>
          <w:rFonts w:cs="Arial"/>
          <w:szCs w:val="22"/>
        </w:rPr>
        <w:t xml:space="preserve"> </w:t>
      </w:r>
      <w:hyperlink r:id="rId13" w:history="1">
        <w:r w:rsidRPr="000F495F">
          <w:rPr>
            <w:rStyle w:val="Hyperlink"/>
            <w:rFonts w:cs="Arial"/>
            <w:szCs w:val="22"/>
          </w:rPr>
          <w:t>Strat</w:t>
        </w:r>
        <w:r>
          <w:rPr>
            <w:rStyle w:val="Hyperlink"/>
            <w:rFonts w:cs="Arial"/>
            <w:szCs w:val="22"/>
          </w:rPr>
          <w:t>é</w:t>
        </w:r>
        <w:r w:rsidRPr="000F495F">
          <w:rPr>
            <w:rStyle w:val="Hyperlink"/>
            <w:rFonts w:cs="Arial"/>
            <w:szCs w:val="22"/>
          </w:rPr>
          <w:t>g</w:t>
        </w:r>
        <w:r>
          <w:rPr>
            <w:rStyle w:val="Hyperlink"/>
            <w:rFonts w:cs="Arial"/>
            <w:szCs w:val="22"/>
          </w:rPr>
          <w:t>ie à moyen terme de la COI</w:t>
        </w:r>
        <w:r w:rsidRPr="000F495F">
          <w:rPr>
            <w:rStyle w:val="Hyperlink"/>
            <w:rFonts w:cs="Arial"/>
            <w:szCs w:val="22"/>
          </w:rPr>
          <w:t xml:space="preserve"> (2022</w:t>
        </w:r>
        <w:r>
          <w:rPr>
            <w:rStyle w:val="Hyperlink"/>
            <w:rFonts w:cs="Arial"/>
            <w:szCs w:val="22"/>
          </w:rPr>
          <w:noBreakHyphen/>
        </w:r>
        <w:r w:rsidRPr="000F495F">
          <w:rPr>
            <w:rStyle w:val="Hyperlink"/>
            <w:rFonts w:cs="Arial"/>
            <w:szCs w:val="22"/>
          </w:rPr>
          <w:t>2029)</w:t>
        </w:r>
      </w:hyperlink>
      <w:r w:rsidRPr="000F495F">
        <w:rPr>
          <w:rFonts w:cs="Arial"/>
          <w:szCs w:val="22"/>
        </w:rPr>
        <w:t xml:space="preserve">, </w:t>
      </w:r>
      <w:r>
        <w:rPr>
          <w:rFonts w:cs="Arial"/>
          <w:szCs w:val="22"/>
        </w:rPr>
        <w:t xml:space="preserve">le moment est venu pour la </w:t>
      </w:r>
      <w:r w:rsidRPr="000F495F">
        <w:rPr>
          <w:rFonts w:cs="Arial"/>
          <w:szCs w:val="22"/>
        </w:rPr>
        <w:t>C</w:t>
      </w:r>
      <w:r>
        <w:rPr>
          <w:rFonts w:cs="Arial"/>
          <w:szCs w:val="22"/>
        </w:rPr>
        <w:t xml:space="preserve">ommission </w:t>
      </w:r>
      <w:r w:rsidRPr="000F495F">
        <w:rPr>
          <w:rFonts w:cs="Arial"/>
          <w:szCs w:val="22"/>
        </w:rPr>
        <w:t xml:space="preserve">et ses États membres </w:t>
      </w:r>
      <w:r>
        <w:rPr>
          <w:rFonts w:cs="Arial"/>
          <w:szCs w:val="22"/>
        </w:rPr>
        <w:t>d</w:t>
      </w:r>
      <w:r w:rsidR="00E92BB5">
        <w:rPr>
          <w:rFonts w:cs="Arial"/>
          <w:szCs w:val="22"/>
        </w:rPr>
        <w:t>’</w:t>
      </w:r>
      <w:r>
        <w:rPr>
          <w:rFonts w:cs="Arial"/>
          <w:szCs w:val="22"/>
        </w:rPr>
        <w:t xml:space="preserve">envisager </w:t>
      </w:r>
      <w:r w:rsidRPr="000F495F">
        <w:rPr>
          <w:rFonts w:cs="Arial"/>
          <w:szCs w:val="22"/>
        </w:rPr>
        <w:t>d</w:t>
      </w:r>
      <w:r w:rsidR="00E92BB5">
        <w:rPr>
          <w:rFonts w:cs="Arial"/>
          <w:szCs w:val="22"/>
        </w:rPr>
        <w:t>’</w:t>
      </w:r>
      <w:r w:rsidRPr="000F495F">
        <w:rPr>
          <w:rFonts w:cs="Arial"/>
          <w:szCs w:val="22"/>
        </w:rPr>
        <w:t>adopter une stratégie à l</w:t>
      </w:r>
      <w:r w:rsidR="00E92BB5">
        <w:rPr>
          <w:rFonts w:cs="Arial"/>
          <w:szCs w:val="22"/>
        </w:rPr>
        <w:t>’</w:t>
      </w:r>
      <w:r w:rsidRPr="000F495F">
        <w:rPr>
          <w:rFonts w:cs="Arial"/>
          <w:szCs w:val="22"/>
        </w:rPr>
        <w:t>échelle de la COI sur la planification et la gestion durable</w:t>
      </w:r>
      <w:r>
        <w:rPr>
          <w:rFonts w:cs="Arial"/>
          <w:szCs w:val="22"/>
        </w:rPr>
        <w:t>s</w:t>
      </w:r>
      <w:r w:rsidRPr="000F495F">
        <w:rPr>
          <w:rFonts w:cs="Arial"/>
          <w:szCs w:val="22"/>
        </w:rPr>
        <w:t xml:space="preserve"> de l</w:t>
      </w:r>
      <w:r w:rsidR="00E92BB5">
        <w:rPr>
          <w:rFonts w:cs="Arial"/>
          <w:szCs w:val="22"/>
        </w:rPr>
        <w:t>’</w:t>
      </w:r>
      <w:r w:rsidRPr="000F495F">
        <w:rPr>
          <w:rFonts w:cs="Arial"/>
          <w:szCs w:val="22"/>
        </w:rPr>
        <w:t xml:space="preserve">océan </w:t>
      </w:r>
      <w:r w:rsidRPr="00CC6F82">
        <w:rPr>
          <w:rFonts w:cs="Arial"/>
          <w:szCs w:val="22"/>
        </w:rPr>
        <w:t xml:space="preserve">qui guiderait les contributions apportées par la COI, dans le cadre de ses programmes relatifs aux sciences, </w:t>
      </w:r>
      <w:r w:rsidRPr="006F490E">
        <w:rPr>
          <w:szCs w:val="22"/>
        </w:rPr>
        <w:t>observations</w:t>
      </w:r>
      <w:r w:rsidRPr="00CC6F82">
        <w:rPr>
          <w:rFonts w:cs="Arial"/>
          <w:szCs w:val="22"/>
        </w:rPr>
        <w:t xml:space="preserve"> et données océaniques et </w:t>
      </w:r>
      <w:r>
        <w:rPr>
          <w:rFonts w:cs="Arial"/>
          <w:szCs w:val="22"/>
        </w:rPr>
        <w:t>de ses</w:t>
      </w:r>
      <w:r w:rsidRPr="00CC6F82">
        <w:rPr>
          <w:rFonts w:cs="Arial"/>
          <w:szCs w:val="22"/>
        </w:rPr>
        <w:t xml:space="preserve"> services d</w:t>
      </w:r>
      <w:r w:rsidR="00E92BB5">
        <w:rPr>
          <w:rFonts w:cs="Arial"/>
          <w:szCs w:val="22"/>
        </w:rPr>
        <w:t>’</w:t>
      </w:r>
      <w:r w:rsidRPr="00CC6F82">
        <w:rPr>
          <w:rFonts w:cs="Arial"/>
          <w:szCs w:val="22"/>
        </w:rPr>
        <w:t>alerte précoce et d</w:t>
      </w:r>
      <w:r w:rsidR="00E92BB5">
        <w:rPr>
          <w:rFonts w:cs="Arial"/>
          <w:szCs w:val="22"/>
        </w:rPr>
        <w:t>’</w:t>
      </w:r>
      <w:r w:rsidRPr="00CC6F82">
        <w:rPr>
          <w:rFonts w:cs="Arial"/>
          <w:szCs w:val="22"/>
        </w:rPr>
        <w:t>évaluation, par l</w:t>
      </w:r>
      <w:r w:rsidR="00E92BB5">
        <w:rPr>
          <w:rFonts w:cs="Arial"/>
          <w:szCs w:val="22"/>
        </w:rPr>
        <w:t>’</w:t>
      </w:r>
      <w:r w:rsidRPr="00CC6F82">
        <w:rPr>
          <w:rFonts w:cs="Arial"/>
          <w:szCs w:val="22"/>
        </w:rPr>
        <w:t>élaboration de nouveaux services, outils de gestion axés sur les écosystèmes et produits d</w:t>
      </w:r>
      <w:r w:rsidR="00E92BB5">
        <w:rPr>
          <w:rFonts w:cs="Arial"/>
          <w:szCs w:val="22"/>
        </w:rPr>
        <w:t>’</w:t>
      </w:r>
      <w:r w:rsidRPr="00CC6F82">
        <w:rPr>
          <w:rFonts w:cs="Arial"/>
          <w:szCs w:val="22"/>
        </w:rPr>
        <w:t>évaluation et d</w:t>
      </w:r>
      <w:r w:rsidR="00E92BB5">
        <w:rPr>
          <w:rFonts w:cs="Arial"/>
          <w:szCs w:val="22"/>
        </w:rPr>
        <w:t>’</w:t>
      </w:r>
      <w:r w:rsidRPr="00CC6F82">
        <w:rPr>
          <w:rFonts w:cs="Arial"/>
          <w:szCs w:val="22"/>
        </w:rPr>
        <w:t>information dérivée, ainsi que par le développement des capacités en matière de gestion durable de l</w:t>
      </w:r>
      <w:r w:rsidR="00E92BB5">
        <w:rPr>
          <w:rFonts w:cs="Arial"/>
          <w:szCs w:val="22"/>
        </w:rPr>
        <w:t>’</w:t>
      </w:r>
      <w:r w:rsidRPr="00CC6F82">
        <w:rPr>
          <w:rFonts w:cs="Arial"/>
          <w:szCs w:val="22"/>
        </w:rPr>
        <w:t>océan</w:t>
      </w:r>
      <w:r w:rsidRPr="000F495F">
        <w:rPr>
          <w:rFonts w:cs="Arial"/>
          <w:szCs w:val="22"/>
        </w:rPr>
        <w:t>.</w:t>
      </w:r>
    </w:p>
    <w:p w14:paraId="18B1D9F1" w14:textId="77777777" w:rsidR="006F490E" w:rsidRPr="005D1E11" w:rsidRDefault="006F490E" w:rsidP="006F490E">
      <w:pPr>
        <w:pStyle w:val="Heading1"/>
        <w:jc w:val="both"/>
      </w:pPr>
      <w:r>
        <w:rPr>
          <w:rFonts w:cs="Arial"/>
          <w:color w:val="000000" w:themeColor="text1"/>
          <w:szCs w:val="22"/>
        </w:rPr>
        <w:t>Une stratégie fondée sur l</w:t>
      </w:r>
      <w:r w:rsidRPr="005D1E11">
        <w:rPr>
          <w:rFonts w:cs="Arial"/>
          <w:color w:val="000000" w:themeColor="text1"/>
          <w:szCs w:val="22"/>
        </w:rPr>
        <w:t xml:space="preserve">es </w:t>
      </w:r>
      <w:r>
        <w:rPr>
          <w:rFonts w:cs="Arial"/>
          <w:color w:val="000000" w:themeColor="text1"/>
          <w:szCs w:val="22"/>
        </w:rPr>
        <w:t>cadres directeurs</w:t>
      </w:r>
    </w:p>
    <w:p w14:paraId="7A02B289" w14:textId="11E45146" w:rsidR="006F490E" w:rsidRPr="00D74CF8" w:rsidRDefault="006F490E" w:rsidP="006F490E">
      <w:pPr>
        <w:pStyle w:val="Marge"/>
        <w:rPr>
          <w:rFonts w:cs="Arial"/>
          <w:szCs w:val="22"/>
        </w:rPr>
      </w:pPr>
      <w:r>
        <w:rPr>
          <w:rFonts w:cs="Arial"/>
          <w:szCs w:val="22"/>
        </w:rPr>
        <w:t>6.</w:t>
      </w:r>
      <w:r>
        <w:rPr>
          <w:rFonts w:cs="Arial"/>
          <w:szCs w:val="22"/>
        </w:rPr>
        <w:tab/>
        <w:t>Une</w:t>
      </w:r>
      <w:r w:rsidRPr="005D1E11">
        <w:rPr>
          <w:rFonts w:cs="Arial"/>
          <w:szCs w:val="22"/>
        </w:rPr>
        <w:t xml:space="preserve"> stratégie </w:t>
      </w:r>
      <w:r>
        <w:rPr>
          <w:rFonts w:cs="Arial"/>
          <w:szCs w:val="22"/>
        </w:rPr>
        <w:t xml:space="preserve">est nécessaire </w:t>
      </w:r>
      <w:r w:rsidRPr="006F490E">
        <w:rPr>
          <w:szCs w:val="22"/>
        </w:rPr>
        <w:t>pour</w:t>
      </w:r>
      <w:r>
        <w:rPr>
          <w:rFonts w:cs="Arial"/>
          <w:szCs w:val="22"/>
        </w:rPr>
        <w:t xml:space="preserve"> appliquer les cadres directeurs liés les uns aux autres qui ont été adoptés aux</w:t>
      </w:r>
      <w:r w:rsidRPr="005D1E11">
        <w:rPr>
          <w:rFonts w:cs="Arial"/>
          <w:szCs w:val="22"/>
        </w:rPr>
        <w:t xml:space="preserve"> niveaux </w:t>
      </w:r>
      <w:r>
        <w:rPr>
          <w:rFonts w:cs="Arial"/>
          <w:szCs w:val="22"/>
        </w:rPr>
        <w:t>mondi</w:t>
      </w:r>
      <w:r w:rsidRPr="005D1E11">
        <w:rPr>
          <w:rFonts w:cs="Arial"/>
          <w:szCs w:val="22"/>
        </w:rPr>
        <w:t xml:space="preserve">al, régional et national </w:t>
      </w:r>
      <w:r>
        <w:rPr>
          <w:rFonts w:cs="Arial"/>
          <w:szCs w:val="22"/>
        </w:rPr>
        <w:t>en vue d</w:t>
      </w:r>
      <w:r w:rsidR="00E92BB5">
        <w:rPr>
          <w:rFonts w:cs="Arial"/>
          <w:szCs w:val="22"/>
        </w:rPr>
        <w:t>’</w:t>
      </w:r>
      <w:r>
        <w:rPr>
          <w:rFonts w:cs="Arial"/>
          <w:szCs w:val="22"/>
        </w:rPr>
        <w:t>une</w:t>
      </w:r>
      <w:r w:rsidRPr="005D1E11">
        <w:rPr>
          <w:rFonts w:cs="Arial"/>
          <w:szCs w:val="22"/>
        </w:rPr>
        <w:t xml:space="preserve"> gestion durable de l</w:t>
      </w:r>
      <w:r w:rsidR="00E92BB5">
        <w:rPr>
          <w:rFonts w:cs="Arial"/>
          <w:szCs w:val="22"/>
        </w:rPr>
        <w:t>’</w:t>
      </w:r>
      <w:r>
        <w:rPr>
          <w:rFonts w:cs="Arial"/>
          <w:szCs w:val="22"/>
        </w:rPr>
        <w:t>océan</w:t>
      </w:r>
      <w:r w:rsidRPr="005D1E11">
        <w:rPr>
          <w:rFonts w:cs="Arial"/>
          <w:szCs w:val="22"/>
        </w:rPr>
        <w:t xml:space="preserve">. </w:t>
      </w:r>
      <w:r>
        <w:rPr>
          <w:rFonts w:cs="Arial"/>
          <w:szCs w:val="22"/>
        </w:rPr>
        <w:t>En reconnaissant l</w:t>
      </w:r>
      <w:r w:rsidR="00E92BB5">
        <w:rPr>
          <w:rFonts w:cs="Arial"/>
          <w:szCs w:val="22"/>
        </w:rPr>
        <w:t>’</w:t>
      </w:r>
      <w:r w:rsidRPr="00D74CF8">
        <w:rPr>
          <w:rFonts w:cs="Arial"/>
          <w:szCs w:val="22"/>
        </w:rPr>
        <w:t xml:space="preserve">importance </w:t>
      </w:r>
      <w:r>
        <w:rPr>
          <w:rFonts w:cs="Arial"/>
          <w:szCs w:val="22"/>
        </w:rPr>
        <w:t>de l</w:t>
      </w:r>
      <w:r w:rsidR="00E92BB5">
        <w:rPr>
          <w:rFonts w:cs="Arial"/>
          <w:szCs w:val="22"/>
        </w:rPr>
        <w:t>’</w:t>
      </w:r>
      <w:r w:rsidRPr="00D74CF8">
        <w:rPr>
          <w:rFonts w:cs="Arial"/>
          <w:szCs w:val="22"/>
        </w:rPr>
        <w:t>ODD</w:t>
      </w:r>
      <w:r>
        <w:rPr>
          <w:rFonts w:cs="Arial"/>
          <w:szCs w:val="22"/>
        </w:rPr>
        <w:t> </w:t>
      </w:r>
      <w:r w:rsidRPr="00D74CF8">
        <w:rPr>
          <w:rFonts w:cs="Arial"/>
          <w:szCs w:val="22"/>
        </w:rPr>
        <w:t xml:space="preserve">14, </w:t>
      </w:r>
      <w:r>
        <w:rPr>
          <w:rFonts w:cs="Arial"/>
          <w:szCs w:val="22"/>
        </w:rPr>
        <w:t xml:space="preserve">des </w:t>
      </w:r>
      <w:r w:rsidRPr="00D74CF8">
        <w:rPr>
          <w:rFonts w:cs="Arial"/>
          <w:szCs w:val="22"/>
        </w:rPr>
        <w:t xml:space="preserve">cadres </w:t>
      </w:r>
      <w:r>
        <w:rPr>
          <w:rFonts w:cs="Arial"/>
          <w:szCs w:val="22"/>
        </w:rPr>
        <w:t>mondiaux</w:t>
      </w:r>
      <w:r w:rsidRPr="00D74CF8">
        <w:rPr>
          <w:rFonts w:cs="Arial"/>
          <w:szCs w:val="22"/>
        </w:rPr>
        <w:t xml:space="preserve"> et régiona</w:t>
      </w:r>
      <w:r>
        <w:rPr>
          <w:rFonts w:cs="Arial"/>
          <w:szCs w:val="22"/>
        </w:rPr>
        <w:t>ux</w:t>
      </w:r>
      <w:r w:rsidRPr="00D74CF8">
        <w:rPr>
          <w:rFonts w:cs="Arial"/>
          <w:szCs w:val="22"/>
        </w:rPr>
        <w:t>, a</w:t>
      </w:r>
      <w:r>
        <w:rPr>
          <w:rFonts w:cs="Arial"/>
          <w:szCs w:val="22"/>
        </w:rPr>
        <w:t xml:space="preserve">insi que des </w:t>
      </w:r>
      <w:r w:rsidRPr="00D74CF8">
        <w:rPr>
          <w:rFonts w:cs="Arial"/>
          <w:szCs w:val="22"/>
        </w:rPr>
        <w:t xml:space="preserve">législations nationales, </w:t>
      </w:r>
      <w:r>
        <w:rPr>
          <w:rFonts w:cs="Arial"/>
          <w:szCs w:val="22"/>
        </w:rPr>
        <w:t>la</w:t>
      </w:r>
      <w:r w:rsidRPr="00D74CF8">
        <w:rPr>
          <w:rFonts w:cs="Arial"/>
          <w:szCs w:val="22"/>
        </w:rPr>
        <w:t xml:space="preserve"> COI </w:t>
      </w:r>
      <w:r>
        <w:rPr>
          <w:rFonts w:cs="Arial"/>
          <w:szCs w:val="22"/>
        </w:rPr>
        <w:t>pourra proposer</w:t>
      </w:r>
      <w:r w:rsidRPr="00D74CF8">
        <w:rPr>
          <w:rFonts w:cs="Arial"/>
          <w:szCs w:val="22"/>
        </w:rPr>
        <w:t xml:space="preserve"> </w:t>
      </w:r>
      <w:r>
        <w:rPr>
          <w:rFonts w:cs="Arial"/>
          <w:szCs w:val="22"/>
        </w:rPr>
        <w:t>une</w:t>
      </w:r>
      <w:r w:rsidRPr="00D74CF8">
        <w:rPr>
          <w:rFonts w:cs="Arial"/>
          <w:szCs w:val="22"/>
        </w:rPr>
        <w:t xml:space="preserve"> approche coh</w:t>
      </w:r>
      <w:r>
        <w:rPr>
          <w:rFonts w:cs="Arial"/>
          <w:szCs w:val="22"/>
        </w:rPr>
        <w:t xml:space="preserve">érente </w:t>
      </w:r>
      <w:r w:rsidRPr="00D74CF8">
        <w:rPr>
          <w:rFonts w:cs="Arial"/>
          <w:szCs w:val="22"/>
        </w:rPr>
        <w:t>e</w:t>
      </w:r>
      <w:r>
        <w:rPr>
          <w:rFonts w:cs="Arial"/>
          <w:szCs w:val="22"/>
        </w:rPr>
        <w:t>t</w:t>
      </w:r>
      <w:r w:rsidRPr="00D74CF8">
        <w:rPr>
          <w:rFonts w:cs="Arial"/>
          <w:szCs w:val="22"/>
        </w:rPr>
        <w:t xml:space="preserve"> coordonnée </w:t>
      </w:r>
      <w:r>
        <w:rPr>
          <w:rFonts w:cs="Arial"/>
          <w:szCs w:val="22"/>
        </w:rPr>
        <w:t>propre à aider les</w:t>
      </w:r>
      <w:r w:rsidRPr="00D74CF8">
        <w:rPr>
          <w:rFonts w:cs="Arial"/>
          <w:szCs w:val="22"/>
        </w:rPr>
        <w:t xml:space="preserve"> États membres </w:t>
      </w:r>
      <w:r>
        <w:rPr>
          <w:rFonts w:cs="Arial"/>
          <w:szCs w:val="22"/>
        </w:rPr>
        <w:t>à réaliser</w:t>
      </w:r>
      <w:r w:rsidRPr="00D74CF8">
        <w:rPr>
          <w:rFonts w:cs="Arial"/>
          <w:szCs w:val="22"/>
        </w:rPr>
        <w:t xml:space="preserve"> leurs objectifs de développement durable, </w:t>
      </w:r>
      <w:r>
        <w:rPr>
          <w:rFonts w:cs="Arial"/>
          <w:szCs w:val="22"/>
        </w:rPr>
        <w:t xml:space="preserve">à </w:t>
      </w:r>
      <w:r w:rsidRPr="00D74CF8">
        <w:rPr>
          <w:rFonts w:cs="Arial"/>
          <w:szCs w:val="22"/>
        </w:rPr>
        <w:t>promo</w:t>
      </w:r>
      <w:r>
        <w:rPr>
          <w:rFonts w:cs="Arial"/>
          <w:szCs w:val="22"/>
        </w:rPr>
        <w:t xml:space="preserve">uvoir la </w:t>
      </w:r>
      <w:r w:rsidRPr="00D74CF8">
        <w:rPr>
          <w:rFonts w:cs="Arial"/>
          <w:szCs w:val="22"/>
        </w:rPr>
        <w:t xml:space="preserve">conservation et </w:t>
      </w:r>
      <w:r>
        <w:rPr>
          <w:rFonts w:cs="Arial"/>
          <w:szCs w:val="22"/>
        </w:rPr>
        <w:t>l</w:t>
      </w:r>
      <w:r w:rsidR="00E92BB5">
        <w:rPr>
          <w:rFonts w:cs="Arial"/>
          <w:szCs w:val="22"/>
        </w:rPr>
        <w:t>’</w:t>
      </w:r>
      <w:r>
        <w:rPr>
          <w:rFonts w:cs="Arial"/>
          <w:szCs w:val="22"/>
        </w:rPr>
        <w:t xml:space="preserve">utilisation </w:t>
      </w:r>
      <w:r w:rsidRPr="00D74CF8">
        <w:rPr>
          <w:rFonts w:cs="Arial"/>
          <w:szCs w:val="22"/>
        </w:rPr>
        <w:t>durable</w:t>
      </w:r>
      <w:r>
        <w:rPr>
          <w:rFonts w:cs="Arial"/>
          <w:szCs w:val="22"/>
        </w:rPr>
        <w:t>s</w:t>
      </w:r>
      <w:r w:rsidRPr="00D74CF8">
        <w:rPr>
          <w:rFonts w:cs="Arial"/>
          <w:szCs w:val="22"/>
        </w:rPr>
        <w:t xml:space="preserve"> </w:t>
      </w:r>
      <w:r>
        <w:rPr>
          <w:rFonts w:cs="Arial"/>
          <w:szCs w:val="22"/>
        </w:rPr>
        <w:t>des</w:t>
      </w:r>
      <w:r w:rsidRPr="00D74CF8">
        <w:rPr>
          <w:rFonts w:cs="Arial"/>
          <w:szCs w:val="22"/>
        </w:rPr>
        <w:t xml:space="preserve"> ressources marines et </w:t>
      </w:r>
      <w:r>
        <w:rPr>
          <w:rFonts w:cs="Arial"/>
          <w:szCs w:val="22"/>
        </w:rPr>
        <w:t>à favoriser une</w:t>
      </w:r>
      <w:r w:rsidRPr="00D74CF8">
        <w:rPr>
          <w:rFonts w:cs="Arial"/>
          <w:szCs w:val="22"/>
        </w:rPr>
        <w:t xml:space="preserve"> gouvernance eff</w:t>
      </w:r>
      <w:r>
        <w:rPr>
          <w:rFonts w:cs="Arial"/>
          <w:szCs w:val="22"/>
        </w:rPr>
        <w:t>icac</w:t>
      </w:r>
      <w:r w:rsidRPr="00D74CF8">
        <w:rPr>
          <w:rFonts w:cs="Arial"/>
          <w:szCs w:val="22"/>
        </w:rPr>
        <w:t xml:space="preserve">e </w:t>
      </w:r>
      <w:r>
        <w:rPr>
          <w:rFonts w:cs="Arial"/>
          <w:szCs w:val="22"/>
        </w:rPr>
        <w:t>de l</w:t>
      </w:r>
      <w:r w:rsidR="00E92BB5">
        <w:rPr>
          <w:rFonts w:cs="Arial"/>
          <w:szCs w:val="22"/>
        </w:rPr>
        <w:t>’</w:t>
      </w:r>
      <w:r w:rsidRPr="00D74CF8">
        <w:rPr>
          <w:rFonts w:cs="Arial"/>
          <w:szCs w:val="22"/>
        </w:rPr>
        <w:t>océan.</w:t>
      </w:r>
    </w:p>
    <w:p w14:paraId="5488369E" w14:textId="39051E72" w:rsidR="006F490E" w:rsidRPr="00F15179" w:rsidRDefault="006F490E" w:rsidP="006F490E">
      <w:pPr>
        <w:pStyle w:val="Marge"/>
        <w:rPr>
          <w:rFonts w:cs="Arial"/>
          <w:szCs w:val="22"/>
        </w:rPr>
      </w:pPr>
      <w:r>
        <w:rPr>
          <w:rFonts w:cs="Arial"/>
          <w:szCs w:val="22"/>
        </w:rPr>
        <w:lastRenderedPageBreak/>
        <w:t>7.</w:t>
      </w:r>
      <w:r>
        <w:rPr>
          <w:rFonts w:cs="Arial"/>
          <w:szCs w:val="22"/>
        </w:rPr>
        <w:tab/>
        <w:t>Aux niveaux tant</w:t>
      </w:r>
      <w:r w:rsidRPr="00C008B3">
        <w:rPr>
          <w:rFonts w:cs="Arial"/>
          <w:szCs w:val="22"/>
        </w:rPr>
        <w:t xml:space="preserve"> régional </w:t>
      </w:r>
      <w:r>
        <w:rPr>
          <w:rFonts w:cs="Arial"/>
          <w:szCs w:val="22"/>
        </w:rPr>
        <w:t>que mondia</w:t>
      </w:r>
      <w:r w:rsidRPr="00C008B3">
        <w:rPr>
          <w:rFonts w:cs="Arial"/>
          <w:szCs w:val="22"/>
        </w:rPr>
        <w:t>l, le</w:t>
      </w:r>
      <w:r>
        <w:rPr>
          <w:rFonts w:cs="Arial"/>
          <w:szCs w:val="22"/>
        </w:rPr>
        <w:t xml:space="preserve">s </w:t>
      </w:r>
      <w:r w:rsidRPr="00C008B3">
        <w:rPr>
          <w:rFonts w:cs="Arial"/>
          <w:szCs w:val="22"/>
        </w:rPr>
        <w:t xml:space="preserve">cadres et initiatives </w:t>
      </w:r>
      <w:r>
        <w:rPr>
          <w:rFonts w:cs="Arial"/>
          <w:szCs w:val="22"/>
        </w:rPr>
        <w:t xml:space="preserve">tels que la </w:t>
      </w:r>
      <w:r w:rsidRPr="00C008B3">
        <w:rPr>
          <w:rFonts w:cs="Arial"/>
          <w:szCs w:val="22"/>
        </w:rPr>
        <w:t>Directive de l</w:t>
      </w:r>
      <w:r w:rsidR="00E92BB5">
        <w:rPr>
          <w:rFonts w:cs="Arial"/>
          <w:szCs w:val="22"/>
        </w:rPr>
        <w:t>’</w:t>
      </w:r>
      <w:r w:rsidRPr="00C008B3">
        <w:rPr>
          <w:rFonts w:cs="Arial"/>
          <w:szCs w:val="22"/>
        </w:rPr>
        <w:t>Union européenne pour la planification de l</w:t>
      </w:r>
      <w:r w:rsidR="00E92BB5">
        <w:rPr>
          <w:rFonts w:cs="Arial"/>
          <w:szCs w:val="22"/>
        </w:rPr>
        <w:t>’</w:t>
      </w:r>
      <w:r w:rsidRPr="00C008B3">
        <w:rPr>
          <w:rFonts w:cs="Arial"/>
          <w:szCs w:val="22"/>
        </w:rPr>
        <w:t>espace mar</w:t>
      </w:r>
      <w:r w:rsidR="006D3496">
        <w:rPr>
          <w:rFonts w:cs="Arial"/>
          <w:szCs w:val="22"/>
        </w:rPr>
        <w:t>in</w:t>
      </w:r>
      <w:r w:rsidRPr="00C008B3">
        <w:rPr>
          <w:rFonts w:cs="Arial"/>
          <w:szCs w:val="22"/>
        </w:rPr>
        <w:t xml:space="preserve"> (PEM) et </w:t>
      </w:r>
      <w:r>
        <w:rPr>
          <w:rFonts w:cs="Arial"/>
          <w:szCs w:val="22"/>
        </w:rPr>
        <w:t xml:space="preserve">les </w:t>
      </w:r>
      <w:r w:rsidRPr="00C008B3">
        <w:rPr>
          <w:rFonts w:cs="Arial"/>
          <w:szCs w:val="22"/>
        </w:rPr>
        <w:t xml:space="preserve">mécanismes </w:t>
      </w:r>
      <w:r>
        <w:rPr>
          <w:rFonts w:cs="Arial"/>
          <w:szCs w:val="22"/>
        </w:rPr>
        <w:t xml:space="preserve">de mise en œuvre de </w:t>
      </w:r>
      <w:r w:rsidRPr="00C008B3">
        <w:rPr>
          <w:rFonts w:cs="Arial"/>
          <w:szCs w:val="22"/>
        </w:rPr>
        <w:t>cadres internationa</w:t>
      </w:r>
      <w:r>
        <w:rPr>
          <w:rFonts w:cs="Arial"/>
          <w:szCs w:val="22"/>
        </w:rPr>
        <w:t>ux comme le</w:t>
      </w:r>
      <w:r w:rsidRPr="00C008B3">
        <w:rPr>
          <w:rFonts w:cs="Arial"/>
          <w:szCs w:val="22"/>
        </w:rPr>
        <w:t xml:space="preserve"> Cadre mondial de la biodiversité </w:t>
      </w:r>
      <w:r>
        <w:rPr>
          <w:rFonts w:cs="Arial"/>
          <w:szCs w:val="22"/>
        </w:rPr>
        <w:t>reflètent tous une prise de conscience croissante de la nécessité d</w:t>
      </w:r>
      <w:r w:rsidR="00E92BB5">
        <w:rPr>
          <w:rFonts w:cs="Arial"/>
          <w:szCs w:val="22"/>
        </w:rPr>
        <w:t>’</w:t>
      </w:r>
      <w:r w:rsidRPr="00C008B3">
        <w:rPr>
          <w:rFonts w:cs="Arial"/>
          <w:szCs w:val="22"/>
        </w:rPr>
        <w:t>approches intégré</w:t>
      </w:r>
      <w:r>
        <w:rPr>
          <w:rFonts w:cs="Arial"/>
          <w:szCs w:val="22"/>
        </w:rPr>
        <w:t xml:space="preserve">es de la gestion durable des </w:t>
      </w:r>
      <w:r w:rsidRPr="00C008B3">
        <w:rPr>
          <w:rFonts w:cs="Arial"/>
          <w:szCs w:val="22"/>
        </w:rPr>
        <w:t xml:space="preserve">zones marines et côtières. </w:t>
      </w:r>
      <w:r>
        <w:rPr>
          <w:rFonts w:cs="Arial"/>
          <w:szCs w:val="22"/>
        </w:rPr>
        <w:t>Une</w:t>
      </w:r>
      <w:r w:rsidRPr="00F15179">
        <w:rPr>
          <w:rFonts w:cs="Arial"/>
          <w:szCs w:val="22"/>
        </w:rPr>
        <w:t xml:space="preserve"> stratégie à l</w:t>
      </w:r>
      <w:r w:rsidR="00E92BB5">
        <w:rPr>
          <w:rFonts w:cs="Arial"/>
          <w:szCs w:val="22"/>
        </w:rPr>
        <w:t>’</w:t>
      </w:r>
      <w:r w:rsidRPr="00F15179">
        <w:rPr>
          <w:rFonts w:cs="Arial"/>
          <w:szCs w:val="22"/>
        </w:rPr>
        <w:t xml:space="preserve">échelle de la COI </w:t>
      </w:r>
      <w:r>
        <w:rPr>
          <w:rFonts w:cs="Arial"/>
          <w:szCs w:val="22"/>
        </w:rPr>
        <w:t>prendrait acte de ces cadres directeurs et faciliterait l</w:t>
      </w:r>
      <w:r w:rsidR="00E92BB5">
        <w:rPr>
          <w:rFonts w:cs="Arial"/>
          <w:szCs w:val="22"/>
        </w:rPr>
        <w:t>’</w:t>
      </w:r>
      <w:r w:rsidRPr="00F15179">
        <w:rPr>
          <w:rFonts w:cs="Arial"/>
          <w:szCs w:val="22"/>
        </w:rPr>
        <w:t xml:space="preserve">harmonisation </w:t>
      </w:r>
      <w:r>
        <w:rPr>
          <w:rFonts w:cs="Arial"/>
          <w:szCs w:val="22"/>
        </w:rPr>
        <w:t>des</w:t>
      </w:r>
      <w:r w:rsidRPr="00F15179">
        <w:rPr>
          <w:rFonts w:cs="Arial"/>
          <w:szCs w:val="22"/>
        </w:rPr>
        <w:t xml:space="preserve"> efforts, </w:t>
      </w:r>
      <w:r>
        <w:rPr>
          <w:rFonts w:cs="Arial"/>
          <w:szCs w:val="22"/>
        </w:rPr>
        <w:t>en renforçant la</w:t>
      </w:r>
      <w:r w:rsidRPr="00F15179">
        <w:rPr>
          <w:rFonts w:cs="Arial"/>
          <w:szCs w:val="22"/>
        </w:rPr>
        <w:t xml:space="preserve"> coh</w:t>
      </w:r>
      <w:r>
        <w:rPr>
          <w:rFonts w:cs="Arial"/>
          <w:szCs w:val="22"/>
        </w:rPr>
        <w:t>é</w:t>
      </w:r>
      <w:r w:rsidRPr="00F15179">
        <w:rPr>
          <w:rFonts w:cs="Arial"/>
          <w:szCs w:val="22"/>
        </w:rPr>
        <w:t xml:space="preserve">rence et </w:t>
      </w:r>
      <w:r>
        <w:rPr>
          <w:rFonts w:cs="Arial"/>
          <w:szCs w:val="22"/>
        </w:rPr>
        <w:t xml:space="preserve">la </w:t>
      </w:r>
      <w:r w:rsidRPr="00F15179">
        <w:rPr>
          <w:rFonts w:cs="Arial"/>
          <w:szCs w:val="22"/>
        </w:rPr>
        <w:t xml:space="preserve">collaboration </w:t>
      </w:r>
      <w:r>
        <w:rPr>
          <w:rFonts w:cs="Arial"/>
          <w:szCs w:val="22"/>
        </w:rPr>
        <w:t>aux fins de la</w:t>
      </w:r>
      <w:r w:rsidRPr="00F15179">
        <w:rPr>
          <w:rFonts w:cs="Arial"/>
          <w:szCs w:val="22"/>
        </w:rPr>
        <w:t xml:space="preserve"> gestion et </w:t>
      </w:r>
      <w:r>
        <w:rPr>
          <w:rFonts w:cs="Arial"/>
          <w:szCs w:val="22"/>
        </w:rPr>
        <w:t xml:space="preserve">de la </w:t>
      </w:r>
      <w:r w:rsidRPr="00F15179">
        <w:rPr>
          <w:rFonts w:cs="Arial"/>
          <w:szCs w:val="22"/>
        </w:rPr>
        <w:t>planification durable</w:t>
      </w:r>
      <w:r>
        <w:rPr>
          <w:rFonts w:cs="Arial"/>
          <w:szCs w:val="22"/>
        </w:rPr>
        <w:t>s</w:t>
      </w:r>
      <w:r w:rsidRPr="00F15179">
        <w:rPr>
          <w:rFonts w:cs="Arial"/>
          <w:szCs w:val="22"/>
        </w:rPr>
        <w:t xml:space="preserve"> de l</w:t>
      </w:r>
      <w:r w:rsidR="00E92BB5">
        <w:rPr>
          <w:rFonts w:cs="Arial"/>
          <w:szCs w:val="22"/>
        </w:rPr>
        <w:t>’</w:t>
      </w:r>
      <w:r w:rsidRPr="00F15179">
        <w:rPr>
          <w:rFonts w:cs="Arial"/>
          <w:szCs w:val="22"/>
        </w:rPr>
        <w:t xml:space="preserve">océan </w:t>
      </w:r>
      <w:r>
        <w:rPr>
          <w:rFonts w:cs="Arial"/>
          <w:szCs w:val="22"/>
        </w:rPr>
        <w:t>dans les</w:t>
      </w:r>
      <w:r w:rsidRPr="00F15179">
        <w:rPr>
          <w:rFonts w:cs="Arial"/>
          <w:szCs w:val="22"/>
        </w:rPr>
        <w:t xml:space="preserve"> différent</w:t>
      </w:r>
      <w:r>
        <w:rPr>
          <w:rFonts w:cs="Arial"/>
          <w:szCs w:val="22"/>
        </w:rPr>
        <w:t>es</w:t>
      </w:r>
      <w:r w:rsidRPr="00F15179">
        <w:rPr>
          <w:rFonts w:cs="Arial"/>
          <w:szCs w:val="22"/>
        </w:rPr>
        <w:t xml:space="preserve"> régions.</w:t>
      </w:r>
    </w:p>
    <w:p w14:paraId="08A42730" w14:textId="5FF2A9A9" w:rsidR="006F490E" w:rsidRPr="00F15179" w:rsidRDefault="006F490E" w:rsidP="006F490E">
      <w:pPr>
        <w:pStyle w:val="Marge"/>
        <w:rPr>
          <w:rFonts w:cs="Arial"/>
          <w:szCs w:val="22"/>
        </w:rPr>
      </w:pPr>
      <w:r>
        <w:rPr>
          <w:rFonts w:cs="Arial"/>
          <w:szCs w:val="22"/>
        </w:rPr>
        <w:t>8.</w:t>
      </w:r>
      <w:r>
        <w:rPr>
          <w:rFonts w:cs="Arial"/>
          <w:szCs w:val="22"/>
        </w:rPr>
        <w:tab/>
        <w:t>De plus</w:t>
      </w:r>
      <w:r w:rsidRPr="005D1E11">
        <w:rPr>
          <w:rFonts w:cs="Arial"/>
          <w:szCs w:val="22"/>
        </w:rPr>
        <w:t>, l</w:t>
      </w:r>
      <w:r>
        <w:rPr>
          <w:rFonts w:cs="Arial"/>
          <w:szCs w:val="22"/>
        </w:rPr>
        <w:t>es l</w:t>
      </w:r>
      <w:r w:rsidRPr="005D1E11">
        <w:rPr>
          <w:rFonts w:cs="Arial"/>
          <w:szCs w:val="22"/>
        </w:rPr>
        <w:t xml:space="preserve">égislations nationales </w:t>
      </w:r>
      <w:r>
        <w:rPr>
          <w:rFonts w:cs="Arial"/>
          <w:szCs w:val="22"/>
        </w:rPr>
        <w:t>concernant, entre autres, la</w:t>
      </w:r>
      <w:r w:rsidRPr="005D1E11">
        <w:rPr>
          <w:rFonts w:cs="Arial"/>
          <w:szCs w:val="22"/>
        </w:rPr>
        <w:t xml:space="preserve"> gestion intégrée des zones côtières (GIZC), </w:t>
      </w:r>
      <w:r>
        <w:rPr>
          <w:rFonts w:cs="Arial"/>
          <w:szCs w:val="22"/>
        </w:rPr>
        <w:t>la</w:t>
      </w:r>
      <w:r w:rsidRPr="005D1E11">
        <w:rPr>
          <w:rFonts w:cs="Arial"/>
          <w:szCs w:val="22"/>
        </w:rPr>
        <w:t xml:space="preserve"> planification de l</w:t>
      </w:r>
      <w:r w:rsidR="00E92BB5">
        <w:rPr>
          <w:rFonts w:cs="Arial"/>
          <w:szCs w:val="22"/>
        </w:rPr>
        <w:t>’</w:t>
      </w:r>
      <w:r w:rsidRPr="005D1E11">
        <w:rPr>
          <w:rFonts w:cs="Arial"/>
          <w:szCs w:val="22"/>
        </w:rPr>
        <w:t>espace marin (PEM)</w:t>
      </w:r>
      <w:r>
        <w:rPr>
          <w:rFonts w:cs="Arial"/>
          <w:szCs w:val="22"/>
        </w:rPr>
        <w:t xml:space="preserve"> et les </w:t>
      </w:r>
      <w:r w:rsidRPr="005D1E11">
        <w:rPr>
          <w:rFonts w:cs="Arial"/>
          <w:szCs w:val="22"/>
        </w:rPr>
        <w:t>aires marines protégées</w:t>
      </w:r>
      <w:r>
        <w:rPr>
          <w:rFonts w:cs="Arial"/>
          <w:szCs w:val="22"/>
        </w:rPr>
        <w:t xml:space="preserve"> soulignent encore davantage l</w:t>
      </w:r>
      <w:r w:rsidR="00E92BB5">
        <w:rPr>
          <w:rFonts w:cs="Arial"/>
          <w:szCs w:val="22"/>
        </w:rPr>
        <w:t>’</w:t>
      </w:r>
      <w:r w:rsidRPr="005D1E11">
        <w:rPr>
          <w:rFonts w:cs="Arial"/>
          <w:szCs w:val="22"/>
        </w:rPr>
        <w:t xml:space="preserve">importance </w:t>
      </w:r>
      <w:r>
        <w:rPr>
          <w:rFonts w:cs="Arial"/>
          <w:szCs w:val="22"/>
        </w:rPr>
        <w:t>d</w:t>
      </w:r>
      <w:r w:rsidR="00E92BB5">
        <w:rPr>
          <w:rFonts w:cs="Arial"/>
          <w:szCs w:val="22"/>
        </w:rPr>
        <w:t>’</w:t>
      </w:r>
      <w:r w:rsidRPr="005D1E11">
        <w:rPr>
          <w:rFonts w:cs="Arial"/>
          <w:szCs w:val="22"/>
        </w:rPr>
        <w:t>approches e</w:t>
      </w:r>
      <w:r>
        <w:rPr>
          <w:rFonts w:cs="Arial"/>
          <w:szCs w:val="22"/>
        </w:rPr>
        <w:t>f</w:t>
      </w:r>
      <w:r w:rsidRPr="005D1E11">
        <w:rPr>
          <w:rFonts w:cs="Arial"/>
          <w:szCs w:val="22"/>
        </w:rPr>
        <w:t>f</w:t>
      </w:r>
      <w:r>
        <w:rPr>
          <w:rFonts w:cs="Arial"/>
          <w:szCs w:val="22"/>
        </w:rPr>
        <w:t xml:space="preserve">icaces et globales de la </w:t>
      </w:r>
      <w:r w:rsidRPr="005D1E11">
        <w:rPr>
          <w:rFonts w:cs="Arial"/>
          <w:szCs w:val="22"/>
        </w:rPr>
        <w:t xml:space="preserve">gouvernance et </w:t>
      </w:r>
      <w:r>
        <w:rPr>
          <w:rFonts w:cs="Arial"/>
          <w:szCs w:val="22"/>
        </w:rPr>
        <w:t xml:space="preserve">de la </w:t>
      </w:r>
      <w:r w:rsidRPr="005D1E11">
        <w:rPr>
          <w:rFonts w:cs="Arial"/>
          <w:szCs w:val="22"/>
        </w:rPr>
        <w:t xml:space="preserve">gestion </w:t>
      </w:r>
      <w:r>
        <w:rPr>
          <w:rFonts w:cs="Arial"/>
          <w:szCs w:val="22"/>
        </w:rPr>
        <w:t>par zone de l</w:t>
      </w:r>
      <w:r w:rsidR="00E92BB5">
        <w:rPr>
          <w:rFonts w:cs="Arial"/>
          <w:szCs w:val="22"/>
        </w:rPr>
        <w:t>’</w:t>
      </w:r>
      <w:r w:rsidRPr="005D1E11">
        <w:rPr>
          <w:rFonts w:cs="Arial"/>
          <w:szCs w:val="22"/>
        </w:rPr>
        <w:t>océan a</w:t>
      </w:r>
      <w:r>
        <w:rPr>
          <w:rFonts w:cs="Arial"/>
          <w:szCs w:val="22"/>
        </w:rPr>
        <w:t xml:space="preserve">u niveau </w:t>
      </w:r>
      <w:r w:rsidRPr="005D1E11">
        <w:rPr>
          <w:rFonts w:cs="Arial"/>
          <w:szCs w:val="22"/>
        </w:rPr>
        <w:t xml:space="preserve">national. </w:t>
      </w:r>
      <w:r>
        <w:rPr>
          <w:rFonts w:cs="Arial"/>
          <w:szCs w:val="22"/>
        </w:rPr>
        <w:t>Une</w:t>
      </w:r>
      <w:r w:rsidRPr="00F15179">
        <w:rPr>
          <w:rFonts w:cs="Arial"/>
          <w:szCs w:val="22"/>
        </w:rPr>
        <w:t xml:space="preserve"> </w:t>
      </w:r>
      <w:r>
        <w:rPr>
          <w:rFonts w:cs="Arial"/>
          <w:szCs w:val="22"/>
        </w:rPr>
        <w:t>stratégie à l</w:t>
      </w:r>
      <w:r w:rsidR="00E92BB5">
        <w:rPr>
          <w:rFonts w:cs="Arial"/>
          <w:szCs w:val="22"/>
        </w:rPr>
        <w:t>’</w:t>
      </w:r>
      <w:r>
        <w:rPr>
          <w:rFonts w:cs="Arial"/>
          <w:szCs w:val="22"/>
        </w:rPr>
        <w:t>échelle de la COI</w:t>
      </w:r>
      <w:r w:rsidRPr="00F15179">
        <w:rPr>
          <w:rFonts w:cs="Arial"/>
          <w:szCs w:val="22"/>
        </w:rPr>
        <w:t xml:space="preserve"> </w:t>
      </w:r>
      <w:r>
        <w:rPr>
          <w:rFonts w:cs="Arial"/>
          <w:szCs w:val="22"/>
        </w:rPr>
        <w:t xml:space="preserve">permettrait de guider les </w:t>
      </w:r>
      <w:r w:rsidRPr="00F15179">
        <w:rPr>
          <w:rFonts w:cs="Arial"/>
          <w:szCs w:val="22"/>
        </w:rPr>
        <w:t xml:space="preserve">États membres et </w:t>
      </w:r>
      <w:r>
        <w:rPr>
          <w:rFonts w:cs="Arial"/>
          <w:szCs w:val="22"/>
        </w:rPr>
        <w:t>de les aider, par la fourniture d</w:t>
      </w:r>
      <w:r w:rsidR="00E92BB5">
        <w:rPr>
          <w:rFonts w:cs="Arial"/>
          <w:szCs w:val="22"/>
        </w:rPr>
        <w:t>’</w:t>
      </w:r>
      <w:r>
        <w:rPr>
          <w:rFonts w:cs="Arial"/>
          <w:szCs w:val="22"/>
        </w:rPr>
        <w:t>une a</w:t>
      </w:r>
      <w:r w:rsidRPr="00F15179">
        <w:rPr>
          <w:rFonts w:cs="Arial"/>
          <w:szCs w:val="22"/>
        </w:rPr>
        <w:t xml:space="preserve">ssistance </w:t>
      </w:r>
      <w:r w:rsidRPr="006F490E">
        <w:rPr>
          <w:szCs w:val="22"/>
        </w:rPr>
        <w:t>technique</w:t>
      </w:r>
      <w:r>
        <w:rPr>
          <w:rFonts w:cs="Arial"/>
          <w:szCs w:val="22"/>
        </w:rPr>
        <w:t>, à aligner leurs</w:t>
      </w:r>
      <w:r w:rsidRPr="00F15179">
        <w:rPr>
          <w:rFonts w:cs="Arial"/>
          <w:szCs w:val="22"/>
        </w:rPr>
        <w:t xml:space="preserve"> législations et politiques nationales </w:t>
      </w:r>
      <w:r>
        <w:rPr>
          <w:rFonts w:cs="Arial"/>
          <w:szCs w:val="22"/>
        </w:rPr>
        <w:t>sur les</w:t>
      </w:r>
      <w:r w:rsidRPr="00F15179">
        <w:rPr>
          <w:rFonts w:cs="Arial"/>
          <w:szCs w:val="22"/>
        </w:rPr>
        <w:t xml:space="preserve"> cadres </w:t>
      </w:r>
      <w:r>
        <w:rPr>
          <w:rFonts w:cs="Arial"/>
          <w:szCs w:val="22"/>
        </w:rPr>
        <w:t>mondiaux</w:t>
      </w:r>
      <w:r w:rsidRPr="00F15179">
        <w:rPr>
          <w:rFonts w:cs="Arial"/>
          <w:szCs w:val="22"/>
        </w:rPr>
        <w:t xml:space="preserve"> et régiona</w:t>
      </w:r>
      <w:r>
        <w:rPr>
          <w:rFonts w:cs="Arial"/>
          <w:szCs w:val="22"/>
        </w:rPr>
        <w:t>ux</w:t>
      </w:r>
      <w:r w:rsidRPr="00F15179">
        <w:rPr>
          <w:rFonts w:cs="Arial"/>
          <w:szCs w:val="22"/>
        </w:rPr>
        <w:t xml:space="preserve">, </w:t>
      </w:r>
      <w:r>
        <w:rPr>
          <w:rFonts w:cs="Arial"/>
          <w:szCs w:val="22"/>
        </w:rPr>
        <w:t>tout en favorisant le</w:t>
      </w:r>
      <w:r w:rsidRPr="00F15179">
        <w:rPr>
          <w:rFonts w:cs="Arial"/>
          <w:szCs w:val="22"/>
        </w:rPr>
        <w:t xml:space="preserve"> </w:t>
      </w:r>
      <w:r>
        <w:rPr>
          <w:rFonts w:cs="Arial"/>
          <w:szCs w:val="22"/>
        </w:rPr>
        <w:t>renforcement</w:t>
      </w:r>
      <w:r w:rsidRPr="00F15179">
        <w:rPr>
          <w:rFonts w:cs="Arial"/>
          <w:szCs w:val="22"/>
        </w:rPr>
        <w:t xml:space="preserve"> des capacités et </w:t>
      </w:r>
      <w:r>
        <w:rPr>
          <w:rFonts w:cs="Arial"/>
          <w:szCs w:val="22"/>
        </w:rPr>
        <w:t xml:space="preserve">en </w:t>
      </w:r>
      <w:r w:rsidRPr="00F15179">
        <w:rPr>
          <w:rFonts w:cs="Arial"/>
          <w:szCs w:val="22"/>
        </w:rPr>
        <w:t>facilita</w:t>
      </w:r>
      <w:r>
        <w:rPr>
          <w:rFonts w:cs="Arial"/>
          <w:szCs w:val="22"/>
        </w:rPr>
        <w:t>n</w:t>
      </w:r>
      <w:r w:rsidRPr="00F15179">
        <w:rPr>
          <w:rFonts w:cs="Arial"/>
          <w:szCs w:val="22"/>
        </w:rPr>
        <w:t>t</w:t>
      </w:r>
      <w:r>
        <w:rPr>
          <w:rFonts w:cs="Arial"/>
          <w:szCs w:val="22"/>
        </w:rPr>
        <w:t xml:space="preserve"> l</w:t>
      </w:r>
      <w:r w:rsidR="00E92BB5">
        <w:rPr>
          <w:rFonts w:cs="Arial"/>
          <w:szCs w:val="22"/>
        </w:rPr>
        <w:t>’</w:t>
      </w:r>
      <w:r>
        <w:rPr>
          <w:rFonts w:cs="Arial"/>
          <w:szCs w:val="22"/>
        </w:rPr>
        <w:t>échange de connaissances</w:t>
      </w:r>
      <w:r w:rsidRPr="00F15179">
        <w:rPr>
          <w:rFonts w:cs="Arial"/>
          <w:szCs w:val="22"/>
        </w:rPr>
        <w:t xml:space="preserve">, </w:t>
      </w:r>
      <w:r>
        <w:rPr>
          <w:rFonts w:cs="Arial"/>
          <w:szCs w:val="22"/>
        </w:rPr>
        <w:t>de façon à améliorer à terme la mise en œuvre des pratique</w:t>
      </w:r>
      <w:r w:rsidRPr="00F15179">
        <w:rPr>
          <w:rFonts w:cs="Arial"/>
          <w:szCs w:val="22"/>
        </w:rPr>
        <w:t xml:space="preserve">s </w:t>
      </w:r>
      <w:r>
        <w:rPr>
          <w:rFonts w:cs="Arial"/>
          <w:szCs w:val="22"/>
        </w:rPr>
        <w:t>de</w:t>
      </w:r>
      <w:r w:rsidRPr="00F15179">
        <w:rPr>
          <w:rFonts w:cs="Arial"/>
          <w:szCs w:val="22"/>
        </w:rPr>
        <w:t xml:space="preserve"> gestion et </w:t>
      </w:r>
      <w:r>
        <w:rPr>
          <w:rFonts w:cs="Arial"/>
          <w:szCs w:val="22"/>
        </w:rPr>
        <w:t xml:space="preserve">de </w:t>
      </w:r>
      <w:r w:rsidRPr="00F15179">
        <w:rPr>
          <w:rFonts w:cs="Arial"/>
          <w:szCs w:val="22"/>
        </w:rPr>
        <w:t>planification durable</w:t>
      </w:r>
      <w:r>
        <w:rPr>
          <w:rFonts w:cs="Arial"/>
          <w:szCs w:val="22"/>
        </w:rPr>
        <w:t>s</w:t>
      </w:r>
      <w:r w:rsidRPr="00F15179">
        <w:rPr>
          <w:rFonts w:cs="Arial"/>
          <w:szCs w:val="22"/>
        </w:rPr>
        <w:t xml:space="preserve"> de l</w:t>
      </w:r>
      <w:r w:rsidR="00E92BB5">
        <w:rPr>
          <w:rFonts w:cs="Arial"/>
          <w:szCs w:val="22"/>
        </w:rPr>
        <w:t>’</w:t>
      </w:r>
      <w:r w:rsidRPr="00F15179">
        <w:rPr>
          <w:rFonts w:cs="Arial"/>
          <w:szCs w:val="22"/>
        </w:rPr>
        <w:t>océan.</w:t>
      </w:r>
    </w:p>
    <w:p w14:paraId="1C802379" w14:textId="26247037" w:rsidR="006F490E" w:rsidRPr="00162508" w:rsidRDefault="006F490E" w:rsidP="006F490E">
      <w:pPr>
        <w:pStyle w:val="Marge"/>
      </w:pPr>
      <w:r>
        <w:rPr>
          <w:rFonts w:cs="Arial"/>
          <w:szCs w:val="22"/>
        </w:rPr>
        <w:t>9.</w:t>
      </w:r>
      <w:r>
        <w:rPr>
          <w:rFonts w:cs="Arial"/>
          <w:szCs w:val="22"/>
        </w:rPr>
        <w:tab/>
        <w:t>En outre</w:t>
      </w:r>
      <w:r w:rsidRPr="00F15179">
        <w:rPr>
          <w:rFonts w:cs="Arial"/>
          <w:szCs w:val="22"/>
        </w:rPr>
        <w:t>, le Groupe de haut niveau pour une économie océanique durable (</w:t>
      </w:r>
      <w:r>
        <w:rPr>
          <w:rFonts w:cs="Arial"/>
          <w:szCs w:val="22"/>
        </w:rPr>
        <w:t>« le Groupe »</w:t>
      </w:r>
      <w:r w:rsidRPr="00F15179">
        <w:rPr>
          <w:rFonts w:cs="Arial"/>
          <w:szCs w:val="22"/>
        </w:rPr>
        <w:t>)</w:t>
      </w:r>
      <w:r w:rsidRPr="00F15179">
        <w:rPr>
          <w:rStyle w:val="FootnoteReference"/>
          <w:rFonts w:cs="Arial"/>
          <w:szCs w:val="22"/>
        </w:rPr>
        <w:t xml:space="preserve"> </w:t>
      </w:r>
      <w:r w:rsidRPr="00F15179">
        <w:rPr>
          <w:rFonts w:cs="Arial"/>
          <w:szCs w:val="22"/>
        </w:rPr>
        <w:t xml:space="preserve"> a</w:t>
      </w:r>
      <w:r>
        <w:rPr>
          <w:rFonts w:cs="Arial"/>
          <w:szCs w:val="22"/>
        </w:rPr>
        <w:t xml:space="preserve"> lancé l</w:t>
      </w:r>
      <w:r w:rsidR="00E92BB5">
        <w:rPr>
          <w:rFonts w:cs="Arial"/>
          <w:szCs w:val="22"/>
        </w:rPr>
        <w:t>’</w:t>
      </w:r>
      <w:r>
        <w:rPr>
          <w:rFonts w:cs="Arial"/>
          <w:szCs w:val="22"/>
        </w:rPr>
        <w:t>idée</w:t>
      </w:r>
      <w:r w:rsidRPr="00F15179">
        <w:rPr>
          <w:rFonts w:cs="Arial"/>
          <w:szCs w:val="22"/>
        </w:rPr>
        <w:t xml:space="preserve"> </w:t>
      </w:r>
      <w:r>
        <w:rPr>
          <w:rFonts w:cs="Arial"/>
          <w:szCs w:val="22"/>
        </w:rPr>
        <w:t>d</w:t>
      </w:r>
      <w:r w:rsidR="00E92BB5">
        <w:rPr>
          <w:rFonts w:cs="Arial"/>
          <w:szCs w:val="22"/>
        </w:rPr>
        <w:t>’</w:t>
      </w:r>
      <w:r>
        <w:rPr>
          <w:rFonts w:cs="Arial"/>
          <w:szCs w:val="22"/>
        </w:rPr>
        <w:t>une</w:t>
      </w:r>
      <w:r w:rsidRPr="00F15179">
        <w:rPr>
          <w:rFonts w:cs="Arial"/>
          <w:szCs w:val="22"/>
        </w:rPr>
        <w:t xml:space="preserve"> planification durable de l</w:t>
      </w:r>
      <w:r w:rsidR="00E92BB5">
        <w:rPr>
          <w:rFonts w:cs="Arial"/>
          <w:szCs w:val="22"/>
        </w:rPr>
        <w:t>’</w:t>
      </w:r>
      <w:r w:rsidRPr="00F15179">
        <w:rPr>
          <w:rFonts w:cs="Arial"/>
          <w:szCs w:val="22"/>
        </w:rPr>
        <w:t xml:space="preserve">océan </w:t>
      </w:r>
      <w:r>
        <w:rPr>
          <w:rFonts w:cs="Arial"/>
          <w:szCs w:val="22"/>
        </w:rPr>
        <w:t>en vertu de laquelle les pays membres prendraient intégralement en charge la gestion durable des aires océaniques relevant de leur juridiction nationale</w:t>
      </w:r>
      <w:r w:rsidRPr="00F15179">
        <w:rPr>
          <w:rFonts w:cs="Arial"/>
          <w:szCs w:val="22"/>
        </w:rPr>
        <w:t xml:space="preserve">. </w:t>
      </w:r>
      <w:r w:rsidRPr="00F91B5E">
        <w:rPr>
          <w:rFonts w:cs="Arial"/>
          <w:szCs w:val="22"/>
        </w:rPr>
        <w:t xml:space="preserve">Dans </w:t>
      </w:r>
      <w:r>
        <w:rPr>
          <w:rFonts w:cs="Arial"/>
          <w:szCs w:val="22"/>
        </w:rPr>
        <w:t>son</w:t>
      </w:r>
      <w:r w:rsidRPr="00F91B5E">
        <w:rPr>
          <w:rFonts w:cs="Arial"/>
          <w:szCs w:val="22"/>
        </w:rPr>
        <w:t xml:space="preserve"> appel à l</w:t>
      </w:r>
      <w:r w:rsidR="00E92BB5">
        <w:rPr>
          <w:rFonts w:cs="Arial"/>
          <w:szCs w:val="22"/>
        </w:rPr>
        <w:t>’</w:t>
      </w:r>
      <w:r w:rsidRPr="00F91B5E">
        <w:rPr>
          <w:rFonts w:cs="Arial"/>
          <w:szCs w:val="22"/>
        </w:rPr>
        <w:t>action, le Groupe a également encour</w:t>
      </w:r>
      <w:r>
        <w:rPr>
          <w:rFonts w:cs="Arial"/>
          <w:szCs w:val="22"/>
        </w:rPr>
        <w:t>agé l</w:t>
      </w:r>
      <w:r w:rsidR="00E92BB5">
        <w:rPr>
          <w:rFonts w:cs="Arial"/>
          <w:szCs w:val="22"/>
        </w:rPr>
        <w:t>’</w:t>
      </w:r>
      <w:r>
        <w:rPr>
          <w:rFonts w:cs="Arial"/>
          <w:szCs w:val="22"/>
        </w:rPr>
        <w:t xml:space="preserve">ensemble des États côtiers et océaniques à se rallier à ce processus. </w:t>
      </w:r>
      <w:r w:rsidRPr="00F91B5E">
        <w:rPr>
          <w:rFonts w:cs="Arial"/>
          <w:szCs w:val="22"/>
        </w:rPr>
        <w:t xml:space="preserve">Les plans de </w:t>
      </w:r>
      <w:r w:rsidRPr="006F490E">
        <w:rPr>
          <w:szCs w:val="22"/>
        </w:rPr>
        <w:t>gestion</w:t>
      </w:r>
      <w:r w:rsidRPr="00F91B5E">
        <w:rPr>
          <w:rFonts w:cs="Arial"/>
          <w:szCs w:val="22"/>
        </w:rPr>
        <w:t xml:space="preserve"> durable </w:t>
      </w:r>
      <w:r>
        <w:rPr>
          <w:rFonts w:cs="Arial"/>
          <w:szCs w:val="22"/>
        </w:rPr>
        <w:t>constitu</w:t>
      </w:r>
      <w:r w:rsidRPr="00F91B5E">
        <w:rPr>
          <w:rFonts w:cs="Arial"/>
          <w:szCs w:val="22"/>
        </w:rPr>
        <w:t>ent un cadre global censé intégrer</w:t>
      </w:r>
      <w:r>
        <w:rPr>
          <w:rFonts w:cs="Arial"/>
          <w:szCs w:val="22"/>
        </w:rPr>
        <w:t xml:space="preserve"> diverses composantes, parmi lesquelles des plans par zone (tels que </w:t>
      </w:r>
      <w:r w:rsidR="003D1604">
        <w:rPr>
          <w:rFonts w:cs="Arial"/>
          <w:szCs w:val="22"/>
        </w:rPr>
        <w:t xml:space="preserve">la </w:t>
      </w:r>
      <w:r w:rsidRPr="00F91B5E">
        <w:rPr>
          <w:rFonts w:cs="Arial"/>
          <w:szCs w:val="22"/>
        </w:rPr>
        <w:t>PEM o</w:t>
      </w:r>
      <w:r>
        <w:rPr>
          <w:rFonts w:cs="Arial"/>
          <w:szCs w:val="22"/>
        </w:rPr>
        <w:t>u</w:t>
      </w:r>
      <w:r w:rsidRPr="00F91B5E">
        <w:rPr>
          <w:rFonts w:cs="Arial"/>
          <w:szCs w:val="22"/>
        </w:rPr>
        <w:t xml:space="preserve"> </w:t>
      </w:r>
      <w:r w:rsidR="003D1604">
        <w:rPr>
          <w:rFonts w:cs="Arial"/>
          <w:szCs w:val="22"/>
        </w:rPr>
        <w:t xml:space="preserve">la </w:t>
      </w:r>
      <w:r w:rsidRPr="00F91B5E">
        <w:rPr>
          <w:rFonts w:cs="Arial"/>
          <w:szCs w:val="22"/>
        </w:rPr>
        <w:t xml:space="preserve">GIZC), </w:t>
      </w:r>
      <w:r>
        <w:rPr>
          <w:rFonts w:cs="Arial"/>
          <w:szCs w:val="22"/>
        </w:rPr>
        <w:t xml:space="preserve">des </w:t>
      </w:r>
      <w:r w:rsidRPr="00F91B5E">
        <w:rPr>
          <w:rFonts w:cs="Arial"/>
          <w:szCs w:val="22"/>
        </w:rPr>
        <w:t>consid</w:t>
      </w:r>
      <w:r>
        <w:rPr>
          <w:rFonts w:cs="Arial"/>
          <w:szCs w:val="22"/>
        </w:rPr>
        <w:t>é</w:t>
      </w:r>
      <w:r w:rsidRPr="00F91B5E">
        <w:rPr>
          <w:rFonts w:cs="Arial"/>
          <w:szCs w:val="22"/>
        </w:rPr>
        <w:t xml:space="preserve">rations </w:t>
      </w:r>
      <w:r>
        <w:rPr>
          <w:rFonts w:cs="Arial"/>
          <w:szCs w:val="22"/>
        </w:rPr>
        <w:t>d</w:t>
      </w:r>
      <w:r w:rsidR="00E92BB5">
        <w:rPr>
          <w:rFonts w:cs="Arial"/>
          <w:szCs w:val="22"/>
        </w:rPr>
        <w:t>’</w:t>
      </w:r>
      <w:r>
        <w:rPr>
          <w:rFonts w:cs="Arial"/>
          <w:szCs w:val="22"/>
        </w:rPr>
        <w:t xml:space="preserve">ordre </w:t>
      </w:r>
      <w:r w:rsidRPr="00F91B5E">
        <w:rPr>
          <w:rFonts w:cs="Arial"/>
          <w:szCs w:val="22"/>
        </w:rPr>
        <w:t>social (</w:t>
      </w:r>
      <w:r>
        <w:rPr>
          <w:rFonts w:cs="Arial"/>
          <w:szCs w:val="22"/>
        </w:rPr>
        <w:t>telles que</w:t>
      </w:r>
      <w:r w:rsidR="003D1604">
        <w:rPr>
          <w:rFonts w:cs="Arial"/>
          <w:szCs w:val="22"/>
        </w:rPr>
        <w:t xml:space="preserve"> des</w:t>
      </w:r>
      <w:r>
        <w:rPr>
          <w:rFonts w:cs="Arial"/>
          <w:szCs w:val="22"/>
        </w:rPr>
        <w:t xml:space="preserve"> </w:t>
      </w:r>
      <w:r w:rsidRPr="00F91B5E">
        <w:rPr>
          <w:rFonts w:cs="Arial"/>
          <w:szCs w:val="22"/>
        </w:rPr>
        <w:t>r</w:t>
      </w:r>
      <w:r>
        <w:rPr>
          <w:rFonts w:cs="Arial"/>
          <w:szCs w:val="22"/>
        </w:rPr>
        <w:t>ô</w:t>
      </w:r>
      <w:r w:rsidRPr="00F91B5E">
        <w:rPr>
          <w:rFonts w:cs="Arial"/>
          <w:szCs w:val="22"/>
        </w:rPr>
        <w:t>les</w:t>
      </w:r>
      <w:r>
        <w:rPr>
          <w:rFonts w:cs="Arial"/>
          <w:szCs w:val="22"/>
        </w:rPr>
        <w:t xml:space="preserve"> é</w:t>
      </w:r>
      <w:r w:rsidRPr="00F91B5E">
        <w:rPr>
          <w:rFonts w:cs="Arial"/>
          <w:szCs w:val="22"/>
        </w:rPr>
        <w:t>quitable</w:t>
      </w:r>
      <w:r>
        <w:rPr>
          <w:rFonts w:cs="Arial"/>
          <w:szCs w:val="22"/>
        </w:rPr>
        <w:t>s</w:t>
      </w:r>
      <w:r w:rsidRPr="00F91B5E">
        <w:rPr>
          <w:rFonts w:cs="Arial"/>
          <w:szCs w:val="22"/>
        </w:rPr>
        <w:t xml:space="preserve">), </w:t>
      </w:r>
      <w:r>
        <w:rPr>
          <w:rFonts w:cs="Arial"/>
          <w:szCs w:val="22"/>
        </w:rPr>
        <w:t xml:space="preserve">des </w:t>
      </w:r>
      <w:r w:rsidRPr="00F91B5E">
        <w:rPr>
          <w:rFonts w:cs="Arial"/>
          <w:szCs w:val="22"/>
        </w:rPr>
        <w:t xml:space="preserve">stratégies </w:t>
      </w:r>
      <w:r>
        <w:rPr>
          <w:rFonts w:cs="Arial"/>
          <w:szCs w:val="22"/>
        </w:rPr>
        <w:t xml:space="preserve">de </w:t>
      </w:r>
      <w:r w:rsidRPr="00F91B5E">
        <w:rPr>
          <w:rFonts w:cs="Arial"/>
          <w:szCs w:val="22"/>
        </w:rPr>
        <w:t xml:space="preserve">développement économique et </w:t>
      </w:r>
      <w:r>
        <w:rPr>
          <w:rFonts w:cs="Arial"/>
          <w:szCs w:val="22"/>
        </w:rPr>
        <w:t xml:space="preserve">des </w:t>
      </w:r>
      <w:r w:rsidRPr="00F91B5E">
        <w:rPr>
          <w:rFonts w:cs="Arial"/>
          <w:color w:val="000000" w:themeColor="text1"/>
          <w:szCs w:val="22"/>
        </w:rPr>
        <w:t>approches</w:t>
      </w:r>
      <w:r w:rsidRPr="00F91B5E">
        <w:rPr>
          <w:rFonts w:cs="Arial"/>
          <w:szCs w:val="22"/>
        </w:rPr>
        <w:t xml:space="preserve"> </w:t>
      </w:r>
      <w:r>
        <w:rPr>
          <w:rFonts w:cs="Arial"/>
          <w:szCs w:val="22"/>
        </w:rPr>
        <w:t xml:space="preserve">de la </w:t>
      </w:r>
      <w:r w:rsidRPr="00F91B5E">
        <w:rPr>
          <w:rFonts w:cs="Arial"/>
          <w:szCs w:val="22"/>
        </w:rPr>
        <w:t>protection de l</w:t>
      </w:r>
      <w:r w:rsidR="00E92BB5">
        <w:rPr>
          <w:rFonts w:cs="Arial"/>
          <w:szCs w:val="22"/>
        </w:rPr>
        <w:t>’</w:t>
      </w:r>
      <w:r w:rsidRPr="00F91B5E">
        <w:rPr>
          <w:rFonts w:cs="Arial"/>
          <w:szCs w:val="22"/>
        </w:rPr>
        <w:t>environnement</w:t>
      </w:r>
      <w:r w:rsidRPr="00F91B5E">
        <w:rPr>
          <w:rFonts w:cs="Arial"/>
          <w:color w:val="000000" w:themeColor="text1"/>
          <w:szCs w:val="22"/>
        </w:rPr>
        <w:t xml:space="preserve">, </w:t>
      </w:r>
      <w:r>
        <w:rPr>
          <w:rFonts w:cs="Arial"/>
          <w:color w:val="000000" w:themeColor="text1"/>
          <w:szCs w:val="22"/>
        </w:rPr>
        <w:t>qui s</w:t>
      </w:r>
      <w:r w:rsidR="00E92BB5">
        <w:rPr>
          <w:rFonts w:cs="Arial"/>
          <w:color w:val="000000" w:themeColor="text1"/>
          <w:szCs w:val="22"/>
        </w:rPr>
        <w:t>’</w:t>
      </w:r>
      <w:r>
        <w:rPr>
          <w:rFonts w:cs="Arial"/>
          <w:color w:val="000000" w:themeColor="text1"/>
          <w:szCs w:val="22"/>
        </w:rPr>
        <w:t xml:space="preserve">appuient toutes les unes sur les autres pour former un tout cohérent offrant aux </w:t>
      </w:r>
      <w:r w:rsidRPr="00F91B5E">
        <w:rPr>
          <w:rFonts w:cs="Arial"/>
          <w:color w:val="000000" w:themeColor="text1"/>
          <w:szCs w:val="22"/>
        </w:rPr>
        <w:t xml:space="preserve">décideurs </w:t>
      </w:r>
      <w:r>
        <w:rPr>
          <w:rFonts w:cs="Arial"/>
          <w:color w:val="000000" w:themeColor="text1"/>
          <w:szCs w:val="22"/>
        </w:rPr>
        <w:t>des orientations claires pour une</w:t>
      </w:r>
      <w:r w:rsidRPr="00F91B5E">
        <w:rPr>
          <w:rFonts w:cs="Arial"/>
          <w:color w:val="000000" w:themeColor="text1"/>
          <w:szCs w:val="22"/>
        </w:rPr>
        <w:t xml:space="preserve"> gestion durable.</w:t>
      </w:r>
      <w:r>
        <w:rPr>
          <w:rFonts w:cs="Arial"/>
          <w:color w:val="000000" w:themeColor="text1"/>
          <w:szCs w:val="22"/>
        </w:rPr>
        <w:t xml:space="preserve"> </w:t>
      </w:r>
      <w:r w:rsidRPr="00162508">
        <w:rPr>
          <w:rFonts w:cs="Arial"/>
          <w:color w:val="000000" w:themeColor="text1"/>
          <w:szCs w:val="22"/>
        </w:rPr>
        <w:t xml:space="preserve">Les données, </w:t>
      </w:r>
      <w:r>
        <w:rPr>
          <w:rFonts w:cs="Arial"/>
          <w:color w:val="000000" w:themeColor="text1"/>
          <w:szCs w:val="22"/>
        </w:rPr>
        <w:t>l</w:t>
      </w:r>
      <w:r w:rsidR="00E92BB5">
        <w:rPr>
          <w:rFonts w:cs="Arial"/>
          <w:color w:val="000000" w:themeColor="text1"/>
          <w:szCs w:val="22"/>
        </w:rPr>
        <w:t>’</w:t>
      </w:r>
      <w:r>
        <w:rPr>
          <w:rFonts w:cs="Arial"/>
          <w:color w:val="000000" w:themeColor="text1"/>
          <w:szCs w:val="22"/>
        </w:rPr>
        <w:t>e</w:t>
      </w:r>
      <w:r w:rsidRPr="00162508">
        <w:rPr>
          <w:rFonts w:cs="Arial"/>
          <w:color w:val="000000" w:themeColor="text1"/>
          <w:szCs w:val="22"/>
        </w:rPr>
        <w:t>xpert</w:t>
      </w:r>
      <w:r>
        <w:rPr>
          <w:rFonts w:cs="Arial"/>
          <w:color w:val="000000" w:themeColor="text1"/>
          <w:szCs w:val="22"/>
        </w:rPr>
        <w:t>ise</w:t>
      </w:r>
      <w:r w:rsidRPr="00162508">
        <w:rPr>
          <w:rFonts w:cs="Arial"/>
          <w:color w:val="000000" w:themeColor="text1"/>
          <w:szCs w:val="22"/>
        </w:rPr>
        <w:t xml:space="preserve"> et </w:t>
      </w:r>
      <w:r>
        <w:rPr>
          <w:rFonts w:cs="Arial"/>
          <w:color w:val="000000" w:themeColor="text1"/>
          <w:szCs w:val="22"/>
        </w:rPr>
        <w:t xml:space="preserve">les </w:t>
      </w:r>
      <w:r w:rsidRPr="00162508">
        <w:rPr>
          <w:rFonts w:cs="Arial"/>
          <w:color w:val="000000" w:themeColor="text1"/>
          <w:szCs w:val="22"/>
        </w:rPr>
        <w:t>relations exist</w:t>
      </w:r>
      <w:r>
        <w:rPr>
          <w:rFonts w:cs="Arial"/>
          <w:color w:val="000000" w:themeColor="text1"/>
          <w:szCs w:val="22"/>
        </w:rPr>
        <w:t>ant</w:t>
      </w:r>
      <w:r w:rsidRPr="00162508">
        <w:rPr>
          <w:rFonts w:cs="Arial"/>
          <w:color w:val="000000" w:themeColor="text1"/>
          <w:szCs w:val="22"/>
        </w:rPr>
        <w:t xml:space="preserve"> </w:t>
      </w:r>
      <w:r>
        <w:rPr>
          <w:rFonts w:cs="Arial"/>
          <w:color w:val="000000" w:themeColor="text1"/>
          <w:szCs w:val="22"/>
        </w:rPr>
        <w:t>au sein et à tous les niveaux de la</w:t>
      </w:r>
      <w:r w:rsidRPr="00162508">
        <w:rPr>
          <w:rFonts w:cs="Arial"/>
          <w:color w:val="000000" w:themeColor="text1"/>
          <w:szCs w:val="22"/>
        </w:rPr>
        <w:t xml:space="preserve"> COI, a</w:t>
      </w:r>
      <w:r>
        <w:rPr>
          <w:rFonts w:cs="Arial"/>
          <w:color w:val="000000" w:themeColor="text1"/>
          <w:szCs w:val="22"/>
        </w:rPr>
        <w:t>insi que l</w:t>
      </w:r>
      <w:r w:rsidR="00E92BB5">
        <w:rPr>
          <w:rFonts w:cs="Arial"/>
          <w:color w:val="000000" w:themeColor="text1"/>
          <w:szCs w:val="22"/>
        </w:rPr>
        <w:t>’</w:t>
      </w:r>
      <w:r w:rsidRPr="00162508">
        <w:rPr>
          <w:rFonts w:cs="Arial"/>
          <w:color w:val="000000" w:themeColor="text1"/>
          <w:szCs w:val="22"/>
        </w:rPr>
        <w:t xml:space="preserve">expérience </w:t>
      </w:r>
      <w:r>
        <w:rPr>
          <w:rFonts w:cs="Arial"/>
          <w:color w:val="000000" w:themeColor="text1"/>
          <w:szCs w:val="22"/>
        </w:rPr>
        <w:t>que celle-ci a acquise comme chef de file mondial en matière de</w:t>
      </w:r>
      <w:r w:rsidRPr="00162508">
        <w:rPr>
          <w:rFonts w:cs="Arial"/>
          <w:color w:val="000000" w:themeColor="text1"/>
          <w:szCs w:val="22"/>
        </w:rPr>
        <w:t xml:space="preserve"> planification</w:t>
      </w:r>
      <w:r>
        <w:rPr>
          <w:rFonts w:cs="Arial"/>
          <w:color w:val="000000" w:themeColor="text1"/>
          <w:szCs w:val="22"/>
        </w:rPr>
        <w:t xml:space="preserve"> de l</w:t>
      </w:r>
      <w:r w:rsidR="00E92BB5">
        <w:rPr>
          <w:rFonts w:cs="Arial"/>
          <w:color w:val="000000" w:themeColor="text1"/>
          <w:szCs w:val="22"/>
        </w:rPr>
        <w:t>’</w:t>
      </w:r>
      <w:r>
        <w:rPr>
          <w:rFonts w:cs="Arial"/>
          <w:color w:val="000000" w:themeColor="text1"/>
          <w:szCs w:val="22"/>
        </w:rPr>
        <w:t>espace marin</w:t>
      </w:r>
      <w:r w:rsidRPr="00162508">
        <w:rPr>
          <w:rFonts w:cs="Arial"/>
          <w:color w:val="000000" w:themeColor="text1"/>
          <w:szCs w:val="22"/>
        </w:rPr>
        <w:t xml:space="preserve">, </w:t>
      </w:r>
      <w:r>
        <w:rPr>
          <w:rFonts w:cs="Arial"/>
          <w:color w:val="000000" w:themeColor="text1"/>
          <w:szCs w:val="22"/>
        </w:rPr>
        <w:t xml:space="preserve">lui confèrent des atouts </w:t>
      </w:r>
      <w:r w:rsidRPr="00162508">
        <w:rPr>
          <w:rFonts w:cs="Arial"/>
          <w:color w:val="000000" w:themeColor="text1"/>
          <w:szCs w:val="22"/>
        </w:rPr>
        <w:t>unique</w:t>
      </w:r>
      <w:r>
        <w:rPr>
          <w:rFonts w:cs="Arial"/>
          <w:color w:val="000000" w:themeColor="text1"/>
          <w:szCs w:val="22"/>
        </w:rPr>
        <w:t>s</w:t>
      </w:r>
      <w:r w:rsidRPr="00162508">
        <w:rPr>
          <w:rFonts w:cs="Arial"/>
          <w:color w:val="000000" w:themeColor="text1"/>
          <w:szCs w:val="22"/>
        </w:rPr>
        <w:t xml:space="preserve"> </w:t>
      </w:r>
      <w:r>
        <w:rPr>
          <w:rFonts w:cs="Arial"/>
          <w:color w:val="000000" w:themeColor="text1"/>
          <w:szCs w:val="22"/>
        </w:rPr>
        <w:t>pour</w:t>
      </w:r>
      <w:r w:rsidRPr="00162508">
        <w:rPr>
          <w:rFonts w:cs="Arial"/>
          <w:color w:val="000000" w:themeColor="text1"/>
          <w:szCs w:val="22"/>
        </w:rPr>
        <w:t xml:space="preserve"> contribu</w:t>
      </w:r>
      <w:r>
        <w:rPr>
          <w:rFonts w:cs="Arial"/>
          <w:color w:val="000000" w:themeColor="text1"/>
          <w:szCs w:val="22"/>
        </w:rPr>
        <w:t>er à</w:t>
      </w:r>
      <w:r w:rsidRPr="00162508">
        <w:rPr>
          <w:rFonts w:cs="Arial"/>
          <w:color w:val="000000" w:themeColor="text1"/>
          <w:szCs w:val="22"/>
        </w:rPr>
        <w:t xml:space="preserve"> ces plans et</w:t>
      </w:r>
      <w:r>
        <w:rPr>
          <w:rFonts w:cs="Arial"/>
          <w:color w:val="000000" w:themeColor="text1"/>
          <w:szCs w:val="22"/>
        </w:rPr>
        <w:t xml:space="preserve">, plus généralement, à la </w:t>
      </w:r>
      <w:r w:rsidRPr="00162508">
        <w:rPr>
          <w:rFonts w:cs="Arial"/>
          <w:color w:val="000000" w:themeColor="text1"/>
          <w:szCs w:val="22"/>
        </w:rPr>
        <w:t>planification durable de l</w:t>
      </w:r>
      <w:r w:rsidR="00E92BB5">
        <w:rPr>
          <w:rFonts w:cs="Arial"/>
          <w:color w:val="000000" w:themeColor="text1"/>
          <w:szCs w:val="22"/>
        </w:rPr>
        <w:t>’</w:t>
      </w:r>
      <w:r w:rsidRPr="00162508">
        <w:rPr>
          <w:rFonts w:cs="Arial"/>
          <w:color w:val="000000" w:themeColor="text1"/>
          <w:szCs w:val="22"/>
        </w:rPr>
        <w:t xml:space="preserve">océan. </w:t>
      </w:r>
    </w:p>
    <w:p w14:paraId="7ADD93EC" w14:textId="5ABDB632" w:rsidR="006F490E" w:rsidRPr="00AF0E1D" w:rsidRDefault="006F490E" w:rsidP="006F490E">
      <w:pPr>
        <w:pStyle w:val="Marge"/>
        <w:rPr>
          <w:rFonts w:cs="Arial"/>
          <w:szCs w:val="22"/>
        </w:rPr>
      </w:pPr>
      <w:r>
        <w:rPr>
          <w:rFonts w:cs="Arial"/>
          <w:szCs w:val="22"/>
        </w:rPr>
        <w:t>10.</w:t>
      </w:r>
      <w:r>
        <w:rPr>
          <w:rFonts w:cs="Arial"/>
          <w:szCs w:val="22"/>
        </w:rPr>
        <w:tab/>
      </w:r>
      <w:r w:rsidRPr="00AF0E1D">
        <w:rPr>
          <w:rFonts w:cs="Arial"/>
          <w:szCs w:val="22"/>
        </w:rPr>
        <w:t>Enfin, l</w:t>
      </w:r>
      <w:r w:rsidR="00E92BB5">
        <w:rPr>
          <w:rFonts w:cs="Arial"/>
          <w:szCs w:val="22"/>
        </w:rPr>
        <w:t>’</w:t>
      </w:r>
      <w:r w:rsidRPr="00AF0E1D">
        <w:rPr>
          <w:rFonts w:cs="Arial"/>
          <w:szCs w:val="22"/>
        </w:rPr>
        <w:t>élaboration (</w:t>
      </w:r>
      <w:r>
        <w:rPr>
          <w:rFonts w:cs="Arial"/>
          <w:szCs w:val="22"/>
        </w:rPr>
        <w:t>prévue en</w:t>
      </w:r>
      <w:r w:rsidRPr="00AF0E1D">
        <w:rPr>
          <w:rFonts w:cs="Arial"/>
          <w:szCs w:val="22"/>
        </w:rPr>
        <w:t xml:space="preserve"> 2023</w:t>
      </w:r>
      <w:r w:rsidR="003D1604">
        <w:rPr>
          <w:rFonts w:cs="Arial"/>
          <w:szCs w:val="22"/>
        </w:rPr>
        <w:t>-</w:t>
      </w:r>
      <w:r w:rsidRPr="00AF0E1D">
        <w:rPr>
          <w:rFonts w:cs="Arial"/>
          <w:szCs w:val="22"/>
        </w:rPr>
        <w:t>2024)</w:t>
      </w:r>
      <w:r>
        <w:rPr>
          <w:rFonts w:cs="Arial"/>
          <w:szCs w:val="22"/>
        </w:rPr>
        <w:t>,</w:t>
      </w:r>
      <w:r w:rsidRPr="00AF0E1D">
        <w:rPr>
          <w:rFonts w:cs="Arial"/>
          <w:szCs w:val="22"/>
        </w:rPr>
        <w:t xml:space="preserve"> </w:t>
      </w:r>
      <w:r>
        <w:rPr>
          <w:rFonts w:cs="Arial"/>
          <w:szCs w:val="22"/>
        </w:rPr>
        <w:t>dans le cadre de la Décennie de l</w:t>
      </w:r>
      <w:r w:rsidR="00E92BB5">
        <w:rPr>
          <w:rFonts w:cs="Arial"/>
          <w:szCs w:val="22"/>
        </w:rPr>
        <w:t>’</w:t>
      </w:r>
      <w:r>
        <w:rPr>
          <w:rFonts w:cs="Arial"/>
          <w:szCs w:val="22"/>
        </w:rPr>
        <w:t>Océan,</w:t>
      </w:r>
      <w:r w:rsidRPr="00AF0E1D">
        <w:rPr>
          <w:rFonts w:cs="Arial"/>
          <w:szCs w:val="22"/>
        </w:rPr>
        <w:t xml:space="preserve"> d</w:t>
      </w:r>
      <w:r w:rsidR="00E92BB5">
        <w:rPr>
          <w:rFonts w:cs="Arial"/>
          <w:szCs w:val="22"/>
        </w:rPr>
        <w:t>’</w:t>
      </w:r>
      <w:r w:rsidRPr="00AF0E1D">
        <w:rPr>
          <w:rFonts w:cs="Arial"/>
          <w:szCs w:val="22"/>
        </w:rPr>
        <w:t>un programme sur la</w:t>
      </w:r>
      <w:r>
        <w:rPr>
          <w:rFonts w:cs="Arial"/>
          <w:szCs w:val="22"/>
        </w:rPr>
        <w:t xml:space="preserve"> planification durable de </w:t>
      </w:r>
      <w:r w:rsidRPr="006F490E">
        <w:rPr>
          <w:szCs w:val="22"/>
        </w:rPr>
        <w:t>l</w:t>
      </w:r>
      <w:r w:rsidR="00E92BB5">
        <w:rPr>
          <w:szCs w:val="22"/>
        </w:rPr>
        <w:t>’</w:t>
      </w:r>
      <w:r w:rsidRPr="006F490E">
        <w:rPr>
          <w:szCs w:val="22"/>
        </w:rPr>
        <w:t>océan</w:t>
      </w:r>
      <w:r>
        <w:rPr>
          <w:rFonts w:cs="Arial"/>
          <w:szCs w:val="22"/>
        </w:rPr>
        <w:t xml:space="preserve"> qui mobilisera les meilleurs soutiens et connaissances </w:t>
      </w:r>
      <w:r w:rsidRPr="00AF0E1D">
        <w:rPr>
          <w:rFonts w:cs="Arial"/>
          <w:szCs w:val="22"/>
        </w:rPr>
        <w:t>technique</w:t>
      </w:r>
      <w:r>
        <w:rPr>
          <w:rFonts w:cs="Arial"/>
          <w:szCs w:val="22"/>
        </w:rPr>
        <w:t>s</w:t>
      </w:r>
      <w:r w:rsidRPr="00AF0E1D">
        <w:rPr>
          <w:rFonts w:cs="Arial"/>
          <w:szCs w:val="22"/>
        </w:rPr>
        <w:t xml:space="preserve"> et scien</w:t>
      </w:r>
      <w:r>
        <w:rPr>
          <w:rFonts w:cs="Arial"/>
          <w:szCs w:val="22"/>
        </w:rPr>
        <w:t>tifiques disponibles dans les domaines de l</w:t>
      </w:r>
      <w:r w:rsidR="00E92BB5">
        <w:rPr>
          <w:rFonts w:cs="Arial"/>
          <w:szCs w:val="22"/>
        </w:rPr>
        <w:t>’</w:t>
      </w:r>
      <w:r w:rsidRPr="00AF0E1D">
        <w:rPr>
          <w:rFonts w:cs="Arial"/>
          <w:szCs w:val="22"/>
        </w:rPr>
        <w:t xml:space="preserve">écologie, </w:t>
      </w:r>
      <w:r>
        <w:rPr>
          <w:rFonts w:cs="Arial"/>
          <w:szCs w:val="22"/>
        </w:rPr>
        <w:t xml:space="preserve">des </w:t>
      </w:r>
      <w:r w:rsidRPr="00AF0E1D">
        <w:rPr>
          <w:rFonts w:cs="Arial"/>
          <w:szCs w:val="22"/>
        </w:rPr>
        <w:t xml:space="preserve">sciences sociales, </w:t>
      </w:r>
      <w:r>
        <w:rPr>
          <w:rFonts w:cs="Arial"/>
          <w:szCs w:val="22"/>
        </w:rPr>
        <w:t xml:space="preserve">de la </w:t>
      </w:r>
      <w:r w:rsidRPr="00AF0E1D">
        <w:rPr>
          <w:rFonts w:cs="Arial"/>
          <w:szCs w:val="22"/>
        </w:rPr>
        <w:t xml:space="preserve">théorie économique et </w:t>
      </w:r>
      <w:r>
        <w:rPr>
          <w:rFonts w:cs="Arial"/>
          <w:szCs w:val="22"/>
        </w:rPr>
        <w:t xml:space="preserve">de la </w:t>
      </w:r>
      <w:r w:rsidRPr="00AF0E1D">
        <w:rPr>
          <w:rFonts w:cs="Arial"/>
          <w:szCs w:val="22"/>
        </w:rPr>
        <w:t>gouvernance</w:t>
      </w:r>
      <w:r w:rsidR="000E544B">
        <w:rPr>
          <w:rFonts w:cs="Arial"/>
          <w:szCs w:val="22"/>
        </w:rPr>
        <w:t>,</w:t>
      </w:r>
      <w:r w:rsidRPr="00AF0E1D">
        <w:rPr>
          <w:rFonts w:cs="Arial"/>
          <w:szCs w:val="22"/>
        </w:rPr>
        <w:t xml:space="preserve"> </w:t>
      </w:r>
      <w:r>
        <w:rPr>
          <w:rFonts w:cs="Arial"/>
          <w:szCs w:val="22"/>
        </w:rPr>
        <w:t xml:space="preserve">exigera une solide </w:t>
      </w:r>
      <w:r w:rsidRPr="00AF0E1D">
        <w:rPr>
          <w:rFonts w:cs="Arial"/>
          <w:szCs w:val="22"/>
        </w:rPr>
        <w:t xml:space="preserve">contribution </w:t>
      </w:r>
      <w:r>
        <w:rPr>
          <w:rFonts w:cs="Arial"/>
          <w:szCs w:val="22"/>
        </w:rPr>
        <w:t>de la</w:t>
      </w:r>
      <w:r w:rsidRPr="00AF0E1D">
        <w:rPr>
          <w:rFonts w:cs="Arial"/>
          <w:szCs w:val="22"/>
        </w:rPr>
        <w:t xml:space="preserve"> COI. </w:t>
      </w:r>
    </w:p>
    <w:p w14:paraId="2180C311" w14:textId="7D12B604" w:rsidR="006F490E" w:rsidRPr="00894719" w:rsidRDefault="006F490E" w:rsidP="006F490E">
      <w:pPr>
        <w:pStyle w:val="Marge"/>
        <w:rPr>
          <w:rFonts w:cs="Arial"/>
          <w:szCs w:val="22"/>
        </w:rPr>
      </w:pPr>
      <w:r>
        <w:rPr>
          <w:rFonts w:cs="Arial"/>
          <w:szCs w:val="22"/>
        </w:rPr>
        <w:t>11.</w:t>
      </w:r>
      <w:r>
        <w:rPr>
          <w:rFonts w:cs="Arial"/>
          <w:szCs w:val="22"/>
        </w:rPr>
        <w:tab/>
      </w:r>
      <w:r w:rsidRPr="00726FE6">
        <w:rPr>
          <w:rFonts w:cs="Arial"/>
          <w:szCs w:val="22"/>
        </w:rPr>
        <w:t>Le</w:t>
      </w:r>
      <w:r>
        <w:rPr>
          <w:rFonts w:cs="Arial"/>
          <w:szCs w:val="22"/>
        </w:rPr>
        <w:t xml:space="preserve"> présent</w:t>
      </w:r>
      <w:r w:rsidRPr="00726FE6">
        <w:rPr>
          <w:rFonts w:cs="Arial"/>
          <w:szCs w:val="22"/>
        </w:rPr>
        <w:t xml:space="preserve"> document </w:t>
      </w:r>
      <w:r>
        <w:rPr>
          <w:rFonts w:cs="Arial"/>
          <w:szCs w:val="22"/>
        </w:rPr>
        <w:t xml:space="preserve">a pour objet de définir le </w:t>
      </w:r>
      <w:r w:rsidRPr="00726FE6">
        <w:rPr>
          <w:rFonts w:cs="Arial"/>
          <w:szCs w:val="22"/>
        </w:rPr>
        <w:t>process</w:t>
      </w:r>
      <w:r>
        <w:rPr>
          <w:rFonts w:cs="Arial"/>
          <w:szCs w:val="22"/>
        </w:rPr>
        <w:t>us d</w:t>
      </w:r>
      <w:r w:rsidR="00E92BB5">
        <w:rPr>
          <w:rFonts w:cs="Arial"/>
          <w:szCs w:val="22"/>
        </w:rPr>
        <w:t>’</w:t>
      </w:r>
      <w:r>
        <w:rPr>
          <w:rFonts w:cs="Arial"/>
          <w:szCs w:val="22"/>
        </w:rPr>
        <w:t>élaboration d</w:t>
      </w:r>
      <w:r w:rsidR="00E92BB5">
        <w:rPr>
          <w:rFonts w:cs="Arial"/>
          <w:szCs w:val="22"/>
        </w:rPr>
        <w:t>’</w:t>
      </w:r>
      <w:r>
        <w:rPr>
          <w:rFonts w:cs="Arial"/>
          <w:szCs w:val="22"/>
        </w:rPr>
        <w:t>un projet de s</w:t>
      </w:r>
      <w:r w:rsidRPr="00726FE6">
        <w:rPr>
          <w:rFonts w:cs="Arial"/>
          <w:szCs w:val="22"/>
        </w:rPr>
        <w:t>tratégie à l</w:t>
      </w:r>
      <w:r w:rsidR="00E92BB5">
        <w:rPr>
          <w:rFonts w:cs="Arial"/>
          <w:szCs w:val="22"/>
        </w:rPr>
        <w:t>’</w:t>
      </w:r>
      <w:r w:rsidRPr="00726FE6">
        <w:rPr>
          <w:rFonts w:cs="Arial"/>
          <w:szCs w:val="22"/>
        </w:rPr>
        <w:t xml:space="preserve">échelle de la COI sur la </w:t>
      </w:r>
      <w:r w:rsidRPr="006F490E">
        <w:rPr>
          <w:szCs w:val="22"/>
        </w:rPr>
        <w:t>planification</w:t>
      </w:r>
      <w:r w:rsidRPr="00726FE6">
        <w:rPr>
          <w:rFonts w:cs="Arial"/>
          <w:szCs w:val="22"/>
        </w:rPr>
        <w:t xml:space="preserve"> et la gestion durables de l</w:t>
      </w:r>
      <w:r w:rsidR="00E92BB5">
        <w:rPr>
          <w:rFonts w:cs="Arial"/>
          <w:szCs w:val="22"/>
        </w:rPr>
        <w:t>’</w:t>
      </w:r>
      <w:r w:rsidRPr="00726FE6">
        <w:rPr>
          <w:rFonts w:cs="Arial"/>
          <w:szCs w:val="22"/>
        </w:rPr>
        <w:t>océan (</w:t>
      </w:r>
      <w:r>
        <w:rPr>
          <w:rFonts w:cs="Arial"/>
          <w:szCs w:val="22"/>
        </w:rPr>
        <w:t>la stratégie</w:t>
      </w:r>
      <w:r w:rsidRPr="00726FE6">
        <w:rPr>
          <w:rFonts w:cs="Arial"/>
          <w:szCs w:val="22"/>
        </w:rPr>
        <w:t xml:space="preserve">), </w:t>
      </w:r>
      <w:r>
        <w:rPr>
          <w:rFonts w:cs="Arial"/>
          <w:szCs w:val="22"/>
        </w:rPr>
        <w:t>d</w:t>
      </w:r>
      <w:r w:rsidR="00E92BB5">
        <w:rPr>
          <w:rFonts w:cs="Arial"/>
          <w:szCs w:val="22"/>
        </w:rPr>
        <w:t>’</w:t>
      </w:r>
      <w:r>
        <w:rPr>
          <w:rFonts w:cs="Arial"/>
          <w:szCs w:val="22"/>
        </w:rPr>
        <w:t xml:space="preserve">expliquer pourquoi une </w:t>
      </w:r>
      <w:r w:rsidRPr="00726FE6">
        <w:rPr>
          <w:rFonts w:cs="Arial"/>
          <w:szCs w:val="22"/>
        </w:rPr>
        <w:t xml:space="preserve">stratégie </w:t>
      </w:r>
      <w:r>
        <w:rPr>
          <w:rFonts w:cs="Arial"/>
          <w:szCs w:val="22"/>
        </w:rPr>
        <w:t>est</w:t>
      </w:r>
      <w:r w:rsidRPr="00726FE6">
        <w:rPr>
          <w:rFonts w:cs="Arial"/>
          <w:szCs w:val="22"/>
        </w:rPr>
        <w:t xml:space="preserve"> </w:t>
      </w:r>
      <w:r>
        <w:rPr>
          <w:rFonts w:cs="Arial"/>
          <w:szCs w:val="22"/>
        </w:rPr>
        <w:t>nécessaire</w:t>
      </w:r>
      <w:r w:rsidRPr="00726FE6">
        <w:rPr>
          <w:rFonts w:cs="Arial"/>
          <w:szCs w:val="22"/>
        </w:rPr>
        <w:t xml:space="preserve"> et </w:t>
      </w:r>
      <w:r>
        <w:rPr>
          <w:rFonts w:cs="Arial"/>
          <w:szCs w:val="22"/>
        </w:rPr>
        <w:t>d</w:t>
      </w:r>
      <w:r w:rsidR="00E92BB5">
        <w:rPr>
          <w:rFonts w:cs="Arial"/>
          <w:szCs w:val="22"/>
        </w:rPr>
        <w:t>’</w:t>
      </w:r>
      <w:r>
        <w:rPr>
          <w:rFonts w:cs="Arial"/>
          <w:szCs w:val="22"/>
        </w:rPr>
        <w:t>avancer de premières</w:t>
      </w:r>
      <w:r w:rsidRPr="00726FE6">
        <w:rPr>
          <w:rFonts w:cs="Arial"/>
          <w:szCs w:val="22"/>
        </w:rPr>
        <w:t xml:space="preserve"> </w:t>
      </w:r>
      <w:r>
        <w:rPr>
          <w:rFonts w:cs="Arial"/>
          <w:szCs w:val="22"/>
        </w:rPr>
        <w:t>idées sur les domaines qu</w:t>
      </w:r>
      <w:r w:rsidR="00E92BB5">
        <w:rPr>
          <w:rFonts w:cs="Arial"/>
          <w:szCs w:val="22"/>
        </w:rPr>
        <w:t>’</w:t>
      </w:r>
      <w:r>
        <w:rPr>
          <w:rFonts w:cs="Arial"/>
          <w:szCs w:val="22"/>
        </w:rPr>
        <w:t>elle pourrait couvrir</w:t>
      </w:r>
      <w:r w:rsidRPr="00726FE6">
        <w:rPr>
          <w:rFonts w:cs="Arial"/>
          <w:szCs w:val="22"/>
        </w:rPr>
        <w:t xml:space="preserve">. Le </w:t>
      </w:r>
      <w:r>
        <w:rPr>
          <w:rFonts w:cs="Arial"/>
          <w:szCs w:val="22"/>
        </w:rPr>
        <w:t>projet de stratégie</w:t>
      </w:r>
      <w:r w:rsidRPr="00726FE6">
        <w:rPr>
          <w:rFonts w:cs="Arial"/>
          <w:szCs w:val="22"/>
        </w:rPr>
        <w:t xml:space="preserve"> sera développé plus avant en même temps que le cadre conceptuel </w:t>
      </w:r>
      <w:r>
        <w:rPr>
          <w:rFonts w:cs="Arial"/>
          <w:szCs w:val="22"/>
        </w:rPr>
        <w:t>du programme</w:t>
      </w:r>
      <w:r w:rsidRPr="00726FE6">
        <w:rPr>
          <w:rFonts w:cs="Arial"/>
          <w:szCs w:val="22"/>
        </w:rPr>
        <w:t xml:space="preserve"> de </w:t>
      </w:r>
      <w:r>
        <w:rPr>
          <w:rFonts w:cs="Arial"/>
          <w:szCs w:val="22"/>
        </w:rPr>
        <w:t xml:space="preserve">la Décennie sur la </w:t>
      </w:r>
      <w:r w:rsidRPr="00726FE6">
        <w:rPr>
          <w:rFonts w:cs="Arial"/>
          <w:szCs w:val="22"/>
        </w:rPr>
        <w:t>planification durable de</w:t>
      </w:r>
      <w:r>
        <w:rPr>
          <w:rFonts w:cs="Arial"/>
          <w:szCs w:val="22"/>
        </w:rPr>
        <w:t xml:space="preserve"> l</w:t>
      </w:r>
      <w:r w:rsidR="00E92BB5">
        <w:rPr>
          <w:rFonts w:cs="Arial"/>
          <w:szCs w:val="22"/>
        </w:rPr>
        <w:t>’</w:t>
      </w:r>
      <w:r>
        <w:rPr>
          <w:rFonts w:cs="Arial"/>
          <w:szCs w:val="22"/>
        </w:rPr>
        <w:t>océan, en tirant les enseignements croisés de l</w:t>
      </w:r>
      <w:r w:rsidR="00E92BB5">
        <w:rPr>
          <w:rFonts w:cs="Arial"/>
          <w:szCs w:val="22"/>
        </w:rPr>
        <w:t>’</w:t>
      </w:r>
      <w:r>
        <w:rPr>
          <w:rFonts w:cs="Arial"/>
          <w:szCs w:val="22"/>
        </w:rPr>
        <w:t>un et l</w:t>
      </w:r>
      <w:r w:rsidR="00E92BB5">
        <w:rPr>
          <w:rFonts w:cs="Arial"/>
          <w:szCs w:val="22"/>
        </w:rPr>
        <w:t>’</w:t>
      </w:r>
      <w:r>
        <w:rPr>
          <w:rFonts w:cs="Arial"/>
          <w:szCs w:val="22"/>
        </w:rPr>
        <w:t>autre exercices, qui seront achevés d</w:t>
      </w:r>
      <w:r w:rsidR="00E92BB5">
        <w:rPr>
          <w:rFonts w:cs="Arial"/>
          <w:szCs w:val="22"/>
        </w:rPr>
        <w:t>’</w:t>
      </w:r>
      <w:r>
        <w:rPr>
          <w:rFonts w:cs="Arial"/>
          <w:szCs w:val="22"/>
        </w:rPr>
        <w:t xml:space="preserve">ici </w:t>
      </w:r>
      <w:r w:rsidRPr="00726FE6">
        <w:rPr>
          <w:rFonts w:cs="Arial"/>
          <w:szCs w:val="22"/>
        </w:rPr>
        <w:t xml:space="preserve">février 2024, </w:t>
      </w:r>
      <w:r>
        <w:rPr>
          <w:rFonts w:cs="Arial"/>
          <w:szCs w:val="22"/>
        </w:rPr>
        <w:t>le projet de stratégie devant être soumis pour</w:t>
      </w:r>
      <w:r w:rsidRPr="00726FE6">
        <w:rPr>
          <w:rFonts w:cs="Arial"/>
          <w:szCs w:val="22"/>
        </w:rPr>
        <w:t xml:space="preserve"> adoption </w:t>
      </w:r>
      <w:r>
        <w:rPr>
          <w:rFonts w:cs="Arial"/>
          <w:szCs w:val="22"/>
        </w:rPr>
        <w:t>au</w:t>
      </w:r>
      <w:r w:rsidRPr="00726FE6">
        <w:rPr>
          <w:rFonts w:cs="Arial"/>
          <w:szCs w:val="22"/>
        </w:rPr>
        <w:t xml:space="preserve"> Conseil exécutif de la COI </w:t>
      </w:r>
      <w:r>
        <w:rPr>
          <w:rFonts w:cs="Arial"/>
          <w:szCs w:val="22"/>
        </w:rPr>
        <w:t>à sa</w:t>
      </w:r>
      <w:r w:rsidRPr="00726FE6">
        <w:rPr>
          <w:rFonts w:cs="Arial"/>
          <w:szCs w:val="22"/>
        </w:rPr>
        <w:t xml:space="preserve"> 57</w:t>
      </w:r>
      <w:r w:rsidRPr="00894719">
        <w:rPr>
          <w:rFonts w:cs="Arial"/>
          <w:szCs w:val="22"/>
          <w:vertAlign w:val="superscript"/>
        </w:rPr>
        <w:t>e</w:t>
      </w:r>
      <w:r>
        <w:rPr>
          <w:rFonts w:cs="Arial"/>
          <w:szCs w:val="22"/>
        </w:rPr>
        <w:t xml:space="preserve"> </w:t>
      </w:r>
      <w:r w:rsidRPr="00726FE6">
        <w:rPr>
          <w:rFonts w:cs="Arial"/>
          <w:szCs w:val="22"/>
        </w:rPr>
        <w:t xml:space="preserve">session </w:t>
      </w:r>
      <w:r>
        <w:rPr>
          <w:rFonts w:cs="Arial"/>
          <w:szCs w:val="22"/>
        </w:rPr>
        <w:t>e</w:t>
      </w:r>
      <w:r w:rsidRPr="00726FE6">
        <w:rPr>
          <w:rFonts w:cs="Arial"/>
          <w:szCs w:val="22"/>
        </w:rPr>
        <w:t xml:space="preserve">n 2024. </w:t>
      </w:r>
      <w:r>
        <w:rPr>
          <w:rFonts w:cs="Arial"/>
          <w:szCs w:val="22"/>
        </w:rPr>
        <w:t xml:space="preserve">Les fonds nécessaires à ces </w:t>
      </w:r>
      <w:r w:rsidRPr="00894719">
        <w:rPr>
          <w:rFonts w:cs="Arial"/>
          <w:szCs w:val="22"/>
        </w:rPr>
        <w:t>activit</w:t>
      </w:r>
      <w:r>
        <w:rPr>
          <w:rFonts w:cs="Arial"/>
          <w:szCs w:val="22"/>
        </w:rPr>
        <w:t>é</w:t>
      </w:r>
      <w:r w:rsidRPr="00894719">
        <w:rPr>
          <w:rFonts w:cs="Arial"/>
          <w:szCs w:val="22"/>
        </w:rPr>
        <w:t xml:space="preserve">s </w:t>
      </w:r>
      <w:r>
        <w:rPr>
          <w:rFonts w:cs="Arial"/>
          <w:szCs w:val="22"/>
        </w:rPr>
        <w:t xml:space="preserve">ont été réunis grâce à des </w:t>
      </w:r>
      <w:r w:rsidRPr="00894719">
        <w:rPr>
          <w:rFonts w:cs="Arial"/>
          <w:szCs w:val="22"/>
        </w:rPr>
        <w:t xml:space="preserve">contributions extrabudgétaires </w:t>
      </w:r>
      <w:r>
        <w:rPr>
          <w:rFonts w:cs="Arial"/>
          <w:szCs w:val="22"/>
        </w:rPr>
        <w:t xml:space="preserve">fournies </w:t>
      </w:r>
      <w:r w:rsidRPr="00894719">
        <w:rPr>
          <w:rFonts w:cs="Arial"/>
          <w:szCs w:val="22"/>
        </w:rPr>
        <w:t>par le NORAD</w:t>
      </w:r>
      <w:r>
        <w:rPr>
          <w:rFonts w:cs="Arial"/>
          <w:szCs w:val="22"/>
        </w:rPr>
        <w:t>,</w:t>
      </w:r>
      <w:r w:rsidRPr="00894719">
        <w:rPr>
          <w:rFonts w:cs="Arial"/>
          <w:szCs w:val="22"/>
        </w:rPr>
        <w:t xml:space="preserve"> et l</w:t>
      </w:r>
      <w:r>
        <w:rPr>
          <w:rFonts w:cs="Arial"/>
          <w:szCs w:val="22"/>
        </w:rPr>
        <w:t>e</w:t>
      </w:r>
      <w:r w:rsidRPr="00894719">
        <w:rPr>
          <w:rFonts w:cs="Arial"/>
          <w:szCs w:val="22"/>
        </w:rPr>
        <w:t xml:space="preserve"> </w:t>
      </w:r>
      <w:proofErr w:type="spellStart"/>
      <w:r w:rsidRPr="00894719">
        <w:rPr>
          <w:rFonts w:cs="Arial"/>
          <w:szCs w:val="22"/>
        </w:rPr>
        <w:t>Sustainable</w:t>
      </w:r>
      <w:proofErr w:type="spellEnd"/>
      <w:r w:rsidRPr="00894719">
        <w:rPr>
          <w:rFonts w:cs="Arial"/>
          <w:szCs w:val="22"/>
        </w:rPr>
        <w:t xml:space="preserve"> Development Reform Hub (SDR Hub)</w:t>
      </w:r>
      <w:r w:rsidRPr="007953C7">
        <w:rPr>
          <w:rStyle w:val="FootnoteReference"/>
          <w:rFonts w:cs="Arial"/>
          <w:szCs w:val="22"/>
        </w:rPr>
        <w:footnoteReference w:id="1"/>
      </w:r>
      <w:r w:rsidRPr="00894719">
        <w:rPr>
          <w:rFonts w:cs="Arial"/>
          <w:szCs w:val="22"/>
        </w:rPr>
        <w:t>, basé à l</w:t>
      </w:r>
      <w:r w:rsidR="00E92BB5">
        <w:rPr>
          <w:rFonts w:cs="Arial"/>
          <w:szCs w:val="22"/>
        </w:rPr>
        <w:t>’</w:t>
      </w:r>
      <w:r w:rsidRPr="00894719">
        <w:rPr>
          <w:rFonts w:cs="Arial"/>
          <w:szCs w:val="22"/>
        </w:rPr>
        <w:t>Université de Nouvelle-Galles</w:t>
      </w:r>
      <w:r w:rsidR="007C6057">
        <w:rPr>
          <w:rFonts w:cs="Arial"/>
          <w:szCs w:val="22"/>
        </w:rPr>
        <w:t xml:space="preserve"> </w:t>
      </w:r>
      <w:r w:rsidRPr="00894719">
        <w:rPr>
          <w:rFonts w:cs="Arial"/>
          <w:szCs w:val="22"/>
        </w:rPr>
        <w:t>du</w:t>
      </w:r>
      <w:r w:rsidR="007C6057">
        <w:rPr>
          <w:rFonts w:cs="Arial"/>
          <w:szCs w:val="22"/>
        </w:rPr>
        <w:t xml:space="preserve"> </w:t>
      </w:r>
      <w:r w:rsidRPr="00894719">
        <w:rPr>
          <w:rFonts w:cs="Arial"/>
          <w:szCs w:val="22"/>
        </w:rPr>
        <w:t xml:space="preserve">Sud (Sydney, Australie), </w:t>
      </w:r>
      <w:r>
        <w:rPr>
          <w:rFonts w:cs="Arial"/>
          <w:szCs w:val="22"/>
        </w:rPr>
        <w:t>a été chargé de soutenir le p</w:t>
      </w:r>
      <w:r w:rsidRPr="00894719">
        <w:rPr>
          <w:rFonts w:cs="Arial"/>
          <w:szCs w:val="22"/>
        </w:rPr>
        <w:t>rocess</w:t>
      </w:r>
      <w:r>
        <w:rPr>
          <w:rFonts w:cs="Arial"/>
          <w:szCs w:val="22"/>
        </w:rPr>
        <w:t>us</w:t>
      </w:r>
      <w:r w:rsidRPr="00894719">
        <w:rPr>
          <w:rFonts w:cs="Arial"/>
          <w:szCs w:val="22"/>
        </w:rPr>
        <w:t xml:space="preserve"> et </w:t>
      </w:r>
      <w:r>
        <w:rPr>
          <w:rFonts w:cs="Arial"/>
          <w:szCs w:val="22"/>
        </w:rPr>
        <w:t>de piloter l</w:t>
      </w:r>
      <w:r w:rsidR="00E92BB5">
        <w:rPr>
          <w:rFonts w:cs="Arial"/>
          <w:szCs w:val="22"/>
        </w:rPr>
        <w:t>’</w:t>
      </w:r>
      <w:r>
        <w:rPr>
          <w:rFonts w:cs="Arial"/>
          <w:szCs w:val="22"/>
        </w:rPr>
        <w:t>élaboration de la s</w:t>
      </w:r>
      <w:r w:rsidRPr="00894719">
        <w:rPr>
          <w:rFonts w:cs="Arial"/>
          <w:szCs w:val="22"/>
        </w:rPr>
        <w:t>tratégie à l</w:t>
      </w:r>
      <w:r w:rsidR="00E92BB5">
        <w:rPr>
          <w:rFonts w:cs="Arial"/>
          <w:szCs w:val="22"/>
        </w:rPr>
        <w:t>’</w:t>
      </w:r>
      <w:r w:rsidRPr="00894719">
        <w:rPr>
          <w:rFonts w:cs="Arial"/>
          <w:szCs w:val="22"/>
        </w:rPr>
        <w:t>échelle de la COI.</w:t>
      </w:r>
    </w:p>
    <w:p w14:paraId="63C8203E" w14:textId="56525CEA" w:rsidR="006F490E" w:rsidRPr="006D27D3" w:rsidRDefault="006F490E" w:rsidP="006F490E">
      <w:pPr>
        <w:pStyle w:val="Heading1"/>
        <w:jc w:val="both"/>
        <w:rPr>
          <w:rFonts w:cs="Arial"/>
          <w:b w:val="0"/>
          <w:bCs w:val="0"/>
          <w:color w:val="000000" w:themeColor="text1"/>
          <w:szCs w:val="22"/>
        </w:rPr>
      </w:pPr>
      <w:bookmarkStart w:id="6" w:name="_Toc135566127"/>
      <w:bookmarkStart w:id="7" w:name="_Toc136185730"/>
      <w:r w:rsidRPr="006D27D3">
        <w:rPr>
          <w:rFonts w:cs="Arial"/>
          <w:color w:val="000000" w:themeColor="text1"/>
          <w:szCs w:val="22"/>
        </w:rPr>
        <w:t>De l</w:t>
      </w:r>
      <w:r>
        <w:rPr>
          <w:rFonts w:cs="Arial"/>
          <w:color w:val="000000" w:themeColor="text1"/>
          <w:szCs w:val="22"/>
        </w:rPr>
        <w:t>a</w:t>
      </w:r>
      <w:r w:rsidRPr="006D27D3">
        <w:rPr>
          <w:rFonts w:cs="Arial"/>
          <w:color w:val="000000" w:themeColor="text1"/>
          <w:szCs w:val="22"/>
        </w:rPr>
        <w:t xml:space="preserve"> gestion intégrée de</w:t>
      </w:r>
      <w:r>
        <w:rPr>
          <w:rFonts w:cs="Arial"/>
          <w:color w:val="000000" w:themeColor="text1"/>
          <w:szCs w:val="22"/>
        </w:rPr>
        <w:t>s zones côtières/planification de l</w:t>
      </w:r>
      <w:r w:rsidR="00E92BB5">
        <w:rPr>
          <w:rFonts w:cs="Arial"/>
          <w:color w:val="000000" w:themeColor="text1"/>
          <w:szCs w:val="22"/>
        </w:rPr>
        <w:t>’</w:t>
      </w:r>
      <w:r>
        <w:rPr>
          <w:rFonts w:cs="Arial"/>
          <w:color w:val="000000" w:themeColor="text1"/>
          <w:szCs w:val="22"/>
        </w:rPr>
        <w:t>espace marin</w:t>
      </w:r>
      <w:r w:rsidRPr="006D27D3">
        <w:rPr>
          <w:rFonts w:cs="Arial"/>
          <w:color w:val="000000" w:themeColor="text1"/>
          <w:szCs w:val="22"/>
        </w:rPr>
        <w:t xml:space="preserve"> </w:t>
      </w:r>
      <w:r>
        <w:rPr>
          <w:rFonts w:cs="Arial"/>
          <w:color w:val="000000" w:themeColor="text1"/>
          <w:szCs w:val="22"/>
        </w:rPr>
        <w:t>à la</w:t>
      </w:r>
      <w:r w:rsidRPr="006D27D3">
        <w:rPr>
          <w:rFonts w:cs="Arial"/>
          <w:color w:val="000000" w:themeColor="text1"/>
          <w:szCs w:val="22"/>
        </w:rPr>
        <w:t xml:space="preserve"> </w:t>
      </w:r>
      <w:bookmarkEnd w:id="6"/>
      <w:r w:rsidRPr="006D27D3">
        <w:rPr>
          <w:rFonts w:cs="Arial"/>
          <w:color w:val="000000" w:themeColor="text1"/>
          <w:szCs w:val="22"/>
        </w:rPr>
        <w:t>planification et</w:t>
      </w:r>
      <w:r>
        <w:rPr>
          <w:rFonts w:cs="Arial"/>
          <w:color w:val="000000" w:themeColor="text1"/>
          <w:szCs w:val="22"/>
        </w:rPr>
        <w:t xml:space="preserve"> la </w:t>
      </w:r>
      <w:r w:rsidRPr="006D27D3">
        <w:rPr>
          <w:rFonts w:cs="Arial"/>
          <w:color w:val="000000" w:themeColor="text1"/>
          <w:szCs w:val="22"/>
        </w:rPr>
        <w:t>gestion durables de l</w:t>
      </w:r>
      <w:r w:rsidR="00E92BB5">
        <w:rPr>
          <w:rFonts w:cs="Arial"/>
          <w:color w:val="000000" w:themeColor="text1"/>
          <w:szCs w:val="22"/>
        </w:rPr>
        <w:t>’</w:t>
      </w:r>
      <w:r w:rsidRPr="006D27D3">
        <w:rPr>
          <w:rFonts w:cs="Arial"/>
          <w:color w:val="000000" w:themeColor="text1"/>
          <w:szCs w:val="22"/>
        </w:rPr>
        <w:t>océan</w:t>
      </w:r>
      <w:bookmarkEnd w:id="7"/>
      <w:r>
        <w:rPr>
          <w:rFonts w:cs="Arial"/>
          <w:color w:val="000000" w:themeColor="text1"/>
          <w:szCs w:val="22"/>
        </w:rPr>
        <w:t xml:space="preserve"> au sein de la COI</w:t>
      </w:r>
    </w:p>
    <w:p w14:paraId="0F89C5CA" w14:textId="0171883F" w:rsidR="006F490E" w:rsidRPr="00027876" w:rsidRDefault="006F490E" w:rsidP="006F490E">
      <w:pPr>
        <w:pStyle w:val="Marge"/>
        <w:rPr>
          <w:rFonts w:cs="Arial"/>
          <w:szCs w:val="22"/>
        </w:rPr>
      </w:pPr>
      <w:r>
        <w:rPr>
          <w:rFonts w:cs="Arial"/>
          <w:szCs w:val="22"/>
        </w:rPr>
        <w:t>12.</w:t>
      </w:r>
      <w:r>
        <w:rPr>
          <w:rFonts w:cs="Arial"/>
          <w:szCs w:val="22"/>
        </w:rPr>
        <w:tab/>
        <w:t>Une</w:t>
      </w:r>
      <w:r w:rsidRPr="006D27D3">
        <w:rPr>
          <w:rFonts w:cs="Arial"/>
          <w:szCs w:val="22"/>
        </w:rPr>
        <w:t xml:space="preserve"> stratégie </w:t>
      </w:r>
      <w:r>
        <w:rPr>
          <w:rFonts w:cs="Arial"/>
          <w:szCs w:val="22"/>
        </w:rPr>
        <w:t xml:space="preserve">globale </w:t>
      </w:r>
      <w:r w:rsidRPr="006D27D3">
        <w:rPr>
          <w:rFonts w:cs="Arial"/>
          <w:szCs w:val="22"/>
        </w:rPr>
        <w:t>de</w:t>
      </w:r>
      <w:r>
        <w:rPr>
          <w:rFonts w:cs="Arial"/>
          <w:szCs w:val="22"/>
        </w:rPr>
        <w:t xml:space="preserve"> la</w:t>
      </w:r>
      <w:r w:rsidRPr="006D27D3">
        <w:rPr>
          <w:rFonts w:cs="Arial"/>
          <w:szCs w:val="22"/>
        </w:rPr>
        <w:t xml:space="preserve"> COI </w:t>
      </w:r>
      <w:r>
        <w:rPr>
          <w:rFonts w:cs="Arial"/>
          <w:szCs w:val="22"/>
        </w:rPr>
        <w:t>sur la</w:t>
      </w:r>
      <w:r w:rsidRPr="006D27D3">
        <w:rPr>
          <w:rFonts w:cs="Arial"/>
          <w:szCs w:val="22"/>
        </w:rPr>
        <w:t xml:space="preserve"> planification et </w:t>
      </w:r>
      <w:r>
        <w:rPr>
          <w:rFonts w:cs="Arial"/>
          <w:szCs w:val="22"/>
        </w:rPr>
        <w:t xml:space="preserve">la </w:t>
      </w:r>
      <w:r w:rsidRPr="006D27D3">
        <w:rPr>
          <w:rFonts w:cs="Arial"/>
          <w:szCs w:val="22"/>
        </w:rPr>
        <w:t>gestion durables de l</w:t>
      </w:r>
      <w:r w:rsidR="00E92BB5">
        <w:rPr>
          <w:rFonts w:cs="Arial"/>
          <w:szCs w:val="22"/>
        </w:rPr>
        <w:t>’</w:t>
      </w:r>
      <w:r w:rsidRPr="006D27D3">
        <w:rPr>
          <w:rFonts w:cs="Arial"/>
          <w:szCs w:val="22"/>
        </w:rPr>
        <w:t xml:space="preserve">océan </w:t>
      </w:r>
      <w:r>
        <w:rPr>
          <w:rFonts w:cs="Arial"/>
          <w:szCs w:val="22"/>
        </w:rPr>
        <w:t xml:space="preserve">regrouperait les initiatives menées par la Commission dans divers autres domaines relatifs à la </w:t>
      </w:r>
      <w:r w:rsidRPr="006D27D3">
        <w:rPr>
          <w:rFonts w:cs="Arial"/>
          <w:szCs w:val="22"/>
        </w:rPr>
        <w:lastRenderedPageBreak/>
        <w:t xml:space="preserve">gestion et </w:t>
      </w:r>
      <w:r>
        <w:rPr>
          <w:rFonts w:cs="Arial"/>
          <w:szCs w:val="22"/>
        </w:rPr>
        <w:t xml:space="preserve">à la </w:t>
      </w:r>
      <w:r w:rsidRPr="006D27D3">
        <w:rPr>
          <w:rFonts w:cs="Arial"/>
          <w:szCs w:val="22"/>
        </w:rPr>
        <w:t>planification de l</w:t>
      </w:r>
      <w:r w:rsidR="00E92BB5">
        <w:rPr>
          <w:rFonts w:cs="Arial"/>
          <w:szCs w:val="22"/>
        </w:rPr>
        <w:t>’</w:t>
      </w:r>
      <w:r w:rsidRPr="006D27D3">
        <w:rPr>
          <w:rFonts w:cs="Arial"/>
          <w:szCs w:val="22"/>
        </w:rPr>
        <w:t xml:space="preserve">océan, </w:t>
      </w:r>
      <w:r>
        <w:rPr>
          <w:rFonts w:cs="Arial"/>
          <w:szCs w:val="22"/>
        </w:rPr>
        <w:t>notamment le</w:t>
      </w:r>
      <w:r w:rsidRPr="006D27D3">
        <w:rPr>
          <w:rFonts w:cs="Arial"/>
          <w:szCs w:val="22"/>
        </w:rPr>
        <w:t xml:space="preserve"> Programme de gestion intégrée des zones côtières (ICAM) et </w:t>
      </w:r>
      <w:r>
        <w:rPr>
          <w:rFonts w:cs="Arial"/>
          <w:szCs w:val="22"/>
        </w:rPr>
        <w:t>les activités de longue date en matière de planification de l</w:t>
      </w:r>
      <w:r w:rsidR="00E92BB5">
        <w:rPr>
          <w:rFonts w:cs="Arial"/>
          <w:szCs w:val="22"/>
        </w:rPr>
        <w:t>’</w:t>
      </w:r>
      <w:r>
        <w:rPr>
          <w:rFonts w:cs="Arial"/>
          <w:szCs w:val="22"/>
        </w:rPr>
        <w:t>espace marin</w:t>
      </w:r>
      <w:r w:rsidRPr="006D27D3">
        <w:rPr>
          <w:rFonts w:cs="Arial"/>
          <w:szCs w:val="22"/>
        </w:rPr>
        <w:t xml:space="preserve"> (</w:t>
      </w:r>
      <w:r>
        <w:rPr>
          <w:rFonts w:cs="Arial"/>
          <w:szCs w:val="22"/>
        </w:rPr>
        <w:t>PEM</w:t>
      </w:r>
      <w:r w:rsidRPr="006D27D3">
        <w:rPr>
          <w:rFonts w:cs="Arial"/>
          <w:szCs w:val="22"/>
        </w:rPr>
        <w:t>). La</w:t>
      </w:r>
      <w:r>
        <w:rPr>
          <w:rFonts w:cs="Arial"/>
          <w:szCs w:val="22"/>
        </w:rPr>
        <w:t xml:space="preserve"> stratégie de l</w:t>
      </w:r>
      <w:r w:rsidR="00E92BB5">
        <w:rPr>
          <w:rFonts w:cs="Arial"/>
          <w:szCs w:val="22"/>
        </w:rPr>
        <w:t>’</w:t>
      </w:r>
      <w:r w:rsidRPr="006D27D3">
        <w:rPr>
          <w:rFonts w:cs="Arial"/>
          <w:szCs w:val="22"/>
        </w:rPr>
        <w:t>ICAM, approuvé</w:t>
      </w:r>
      <w:r>
        <w:rPr>
          <w:rFonts w:cs="Arial"/>
          <w:szCs w:val="22"/>
        </w:rPr>
        <w:t>e</w:t>
      </w:r>
      <w:r w:rsidRPr="006D27D3">
        <w:rPr>
          <w:rFonts w:cs="Arial"/>
          <w:szCs w:val="22"/>
        </w:rPr>
        <w:t xml:space="preserve"> </w:t>
      </w:r>
      <w:r>
        <w:rPr>
          <w:rFonts w:cs="Arial"/>
          <w:szCs w:val="22"/>
        </w:rPr>
        <w:t>e</w:t>
      </w:r>
      <w:r w:rsidRPr="006D27D3">
        <w:rPr>
          <w:rFonts w:cs="Arial"/>
          <w:szCs w:val="22"/>
        </w:rPr>
        <w:t xml:space="preserve">n 2015 </w:t>
      </w:r>
      <w:r>
        <w:rPr>
          <w:rFonts w:cs="Arial"/>
          <w:szCs w:val="22"/>
        </w:rPr>
        <w:t>par l</w:t>
      </w:r>
      <w:r w:rsidR="00E92BB5">
        <w:rPr>
          <w:rFonts w:cs="Arial"/>
          <w:szCs w:val="22"/>
        </w:rPr>
        <w:t>’</w:t>
      </w:r>
      <w:r w:rsidRPr="006D27D3">
        <w:rPr>
          <w:rFonts w:cs="Arial"/>
          <w:szCs w:val="22"/>
        </w:rPr>
        <w:t>Assemblée de la COI</w:t>
      </w:r>
      <w:r>
        <w:rPr>
          <w:rFonts w:cs="Arial"/>
          <w:szCs w:val="22"/>
        </w:rPr>
        <w:t>,</w:t>
      </w:r>
      <w:r w:rsidRPr="006D27D3">
        <w:rPr>
          <w:rFonts w:cs="Arial"/>
          <w:szCs w:val="22"/>
        </w:rPr>
        <w:t xml:space="preserve"> </w:t>
      </w:r>
      <w:r>
        <w:rPr>
          <w:rFonts w:cs="Arial"/>
          <w:szCs w:val="22"/>
        </w:rPr>
        <w:t>constituera un</w:t>
      </w:r>
      <w:r w:rsidRPr="006D27D3">
        <w:rPr>
          <w:rFonts w:cs="Arial"/>
          <w:szCs w:val="22"/>
        </w:rPr>
        <w:t xml:space="preserve"> important pilier </w:t>
      </w:r>
      <w:r>
        <w:rPr>
          <w:rFonts w:cs="Arial"/>
          <w:szCs w:val="22"/>
        </w:rPr>
        <w:t>de la</w:t>
      </w:r>
      <w:r w:rsidRPr="006D27D3">
        <w:rPr>
          <w:rFonts w:cs="Arial"/>
          <w:szCs w:val="22"/>
        </w:rPr>
        <w:t xml:space="preserve"> stratégie à l</w:t>
      </w:r>
      <w:r w:rsidR="00E92BB5">
        <w:rPr>
          <w:rFonts w:cs="Arial"/>
          <w:szCs w:val="22"/>
        </w:rPr>
        <w:t>’</w:t>
      </w:r>
      <w:r w:rsidRPr="006D27D3">
        <w:rPr>
          <w:rFonts w:cs="Arial"/>
          <w:szCs w:val="22"/>
        </w:rPr>
        <w:t xml:space="preserve">échelle de la COI. </w:t>
      </w:r>
      <w:r w:rsidRPr="00FA34A9">
        <w:rPr>
          <w:rFonts w:cs="Arial"/>
          <w:szCs w:val="22"/>
        </w:rPr>
        <w:t>El</w:t>
      </w:r>
      <w:r>
        <w:rPr>
          <w:rFonts w:cs="Arial"/>
          <w:szCs w:val="22"/>
        </w:rPr>
        <w:t xml:space="preserve">le est actuellement axée sur le </w:t>
      </w:r>
      <w:r w:rsidRPr="006F490E">
        <w:rPr>
          <w:szCs w:val="22"/>
        </w:rPr>
        <w:t>développement</w:t>
      </w:r>
      <w:r>
        <w:rPr>
          <w:rFonts w:cs="Arial"/>
          <w:szCs w:val="22"/>
        </w:rPr>
        <w:t xml:space="preserve"> des </w:t>
      </w:r>
      <w:r w:rsidRPr="00FA34A9">
        <w:rPr>
          <w:rFonts w:cs="Arial"/>
          <w:szCs w:val="22"/>
        </w:rPr>
        <w:t>capacit</w:t>
      </w:r>
      <w:r>
        <w:rPr>
          <w:rFonts w:cs="Arial"/>
          <w:szCs w:val="22"/>
        </w:rPr>
        <w:t>é</w:t>
      </w:r>
      <w:r w:rsidRPr="00FA34A9">
        <w:rPr>
          <w:rFonts w:cs="Arial"/>
          <w:szCs w:val="22"/>
        </w:rPr>
        <w:t>s technique</w:t>
      </w:r>
      <w:r>
        <w:rPr>
          <w:rFonts w:cs="Arial"/>
          <w:szCs w:val="22"/>
        </w:rPr>
        <w:t>s</w:t>
      </w:r>
      <w:r w:rsidRPr="00FA34A9">
        <w:rPr>
          <w:rFonts w:cs="Arial"/>
          <w:szCs w:val="22"/>
        </w:rPr>
        <w:t xml:space="preserve"> </w:t>
      </w:r>
      <w:r>
        <w:rPr>
          <w:rFonts w:cs="Arial"/>
          <w:szCs w:val="22"/>
        </w:rPr>
        <w:t>en matière de gestion par</w:t>
      </w:r>
      <w:r w:rsidRPr="00FA34A9">
        <w:rPr>
          <w:rFonts w:cs="Arial"/>
          <w:szCs w:val="22"/>
        </w:rPr>
        <w:t xml:space="preserve"> </w:t>
      </w:r>
      <w:r>
        <w:rPr>
          <w:rFonts w:cs="Arial"/>
          <w:szCs w:val="22"/>
        </w:rPr>
        <w:t>é</w:t>
      </w:r>
      <w:r w:rsidRPr="00FA34A9">
        <w:rPr>
          <w:rFonts w:cs="Arial"/>
          <w:szCs w:val="22"/>
        </w:rPr>
        <w:t>cosyst</w:t>
      </w:r>
      <w:r>
        <w:rPr>
          <w:rFonts w:cs="Arial"/>
          <w:szCs w:val="22"/>
        </w:rPr>
        <w:t xml:space="preserve">ème et </w:t>
      </w:r>
      <w:r w:rsidRPr="00FA34A9">
        <w:rPr>
          <w:rFonts w:cs="Arial"/>
          <w:szCs w:val="22"/>
        </w:rPr>
        <w:t xml:space="preserve">par zone, </w:t>
      </w:r>
      <w:r>
        <w:rPr>
          <w:rFonts w:cs="Arial"/>
          <w:szCs w:val="22"/>
        </w:rPr>
        <w:t xml:space="preserve">la prise en compte des </w:t>
      </w:r>
      <w:r w:rsidRPr="00FA34A9">
        <w:rPr>
          <w:rFonts w:cs="Arial"/>
          <w:szCs w:val="22"/>
        </w:rPr>
        <w:t>aléas liés à l</w:t>
      </w:r>
      <w:r w:rsidR="00E92BB5">
        <w:rPr>
          <w:rFonts w:cs="Arial"/>
          <w:szCs w:val="22"/>
        </w:rPr>
        <w:t>’</w:t>
      </w:r>
      <w:r w:rsidRPr="00FA34A9">
        <w:rPr>
          <w:rFonts w:cs="Arial"/>
          <w:szCs w:val="22"/>
        </w:rPr>
        <w:t xml:space="preserve">océan et </w:t>
      </w:r>
      <w:r>
        <w:rPr>
          <w:rFonts w:cs="Arial"/>
          <w:szCs w:val="22"/>
        </w:rPr>
        <w:t>l</w:t>
      </w:r>
      <w:r w:rsidR="00E92BB5">
        <w:rPr>
          <w:rFonts w:cs="Arial"/>
          <w:szCs w:val="22"/>
        </w:rPr>
        <w:t>’</w:t>
      </w:r>
      <w:r w:rsidRPr="00FA34A9">
        <w:rPr>
          <w:rFonts w:cs="Arial"/>
          <w:szCs w:val="22"/>
        </w:rPr>
        <w:t xml:space="preserve">adaptation au changement climatique </w:t>
      </w:r>
      <w:r>
        <w:rPr>
          <w:rFonts w:cs="Arial"/>
          <w:szCs w:val="22"/>
        </w:rPr>
        <w:t>dans les</w:t>
      </w:r>
      <w:r w:rsidRPr="00FA34A9">
        <w:rPr>
          <w:rFonts w:cs="Arial"/>
          <w:szCs w:val="22"/>
        </w:rPr>
        <w:t xml:space="preserve"> outils </w:t>
      </w:r>
      <w:r>
        <w:rPr>
          <w:rFonts w:cs="Arial"/>
          <w:szCs w:val="22"/>
        </w:rPr>
        <w:t xml:space="preserve">de </w:t>
      </w:r>
      <w:r w:rsidRPr="00FA34A9">
        <w:rPr>
          <w:rFonts w:cs="Arial"/>
          <w:szCs w:val="22"/>
        </w:rPr>
        <w:t xml:space="preserve">gestion et </w:t>
      </w:r>
      <w:r>
        <w:rPr>
          <w:rFonts w:cs="Arial"/>
          <w:szCs w:val="22"/>
        </w:rPr>
        <w:t xml:space="preserve">de </w:t>
      </w:r>
      <w:r w:rsidRPr="00FA34A9">
        <w:rPr>
          <w:rFonts w:cs="Arial"/>
          <w:szCs w:val="22"/>
        </w:rPr>
        <w:t xml:space="preserve">planification </w:t>
      </w:r>
      <w:r>
        <w:rPr>
          <w:rFonts w:cs="Arial"/>
          <w:szCs w:val="22"/>
        </w:rPr>
        <w:t>des zones côtières et marines, et l</w:t>
      </w:r>
      <w:r w:rsidR="00E92BB5">
        <w:rPr>
          <w:rFonts w:cs="Arial"/>
          <w:szCs w:val="22"/>
        </w:rPr>
        <w:t>’</w:t>
      </w:r>
      <w:r>
        <w:rPr>
          <w:rFonts w:cs="Arial"/>
          <w:szCs w:val="22"/>
        </w:rPr>
        <w:t xml:space="preserve">exploitation et la diffusion de </w:t>
      </w:r>
      <w:r w:rsidRPr="00FA34A9">
        <w:rPr>
          <w:rFonts w:cs="Arial"/>
          <w:szCs w:val="22"/>
        </w:rPr>
        <w:t xml:space="preserve">données, </w:t>
      </w:r>
      <w:r>
        <w:rPr>
          <w:rFonts w:cs="Arial"/>
          <w:szCs w:val="22"/>
        </w:rPr>
        <w:t>d</w:t>
      </w:r>
      <w:r w:rsidR="00E92BB5">
        <w:rPr>
          <w:rFonts w:cs="Arial"/>
          <w:szCs w:val="22"/>
        </w:rPr>
        <w:t>’</w:t>
      </w:r>
      <w:r w:rsidRPr="00FA34A9">
        <w:rPr>
          <w:rFonts w:cs="Arial"/>
          <w:szCs w:val="22"/>
        </w:rPr>
        <w:t>information</w:t>
      </w:r>
      <w:r>
        <w:rPr>
          <w:rFonts w:cs="Arial"/>
          <w:szCs w:val="22"/>
        </w:rPr>
        <w:t>s</w:t>
      </w:r>
      <w:r w:rsidRPr="00FA34A9">
        <w:rPr>
          <w:rFonts w:cs="Arial"/>
          <w:szCs w:val="22"/>
        </w:rPr>
        <w:t xml:space="preserve"> et </w:t>
      </w:r>
      <w:r>
        <w:rPr>
          <w:rFonts w:cs="Arial"/>
          <w:szCs w:val="22"/>
        </w:rPr>
        <w:t>d</w:t>
      </w:r>
      <w:r w:rsidR="00E92BB5">
        <w:rPr>
          <w:rFonts w:cs="Arial"/>
          <w:szCs w:val="22"/>
        </w:rPr>
        <w:t>’</w:t>
      </w:r>
      <w:r>
        <w:rPr>
          <w:rFonts w:cs="Arial"/>
          <w:szCs w:val="22"/>
        </w:rPr>
        <w:t>outils d</w:t>
      </w:r>
      <w:r w:rsidR="00E92BB5">
        <w:rPr>
          <w:rFonts w:cs="Arial"/>
          <w:szCs w:val="22"/>
        </w:rPr>
        <w:t>’</w:t>
      </w:r>
      <w:r>
        <w:rPr>
          <w:rFonts w:cs="Arial"/>
          <w:szCs w:val="22"/>
        </w:rPr>
        <w:t>aide à la dé</w:t>
      </w:r>
      <w:r w:rsidRPr="00FA34A9">
        <w:rPr>
          <w:rFonts w:cs="Arial"/>
          <w:szCs w:val="22"/>
        </w:rPr>
        <w:t xml:space="preserve">cision </w:t>
      </w:r>
      <w:r>
        <w:rPr>
          <w:rFonts w:cs="Arial"/>
          <w:szCs w:val="22"/>
        </w:rPr>
        <w:t xml:space="preserve">sur la </w:t>
      </w:r>
      <w:r w:rsidRPr="00FA34A9">
        <w:rPr>
          <w:rFonts w:cs="Arial"/>
          <w:szCs w:val="22"/>
        </w:rPr>
        <w:t>gestion</w:t>
      </w:r>
      <w:r>
        <w:rPr>
          <w:rFonts w:cs="Arial"/>
          <w:szCs w:val="22"/>
        </w:rPr>
        <w:t xml:space="preserve"> des côtes et de l</w:t>
      </w:r>
      <w:r w:rsidR="00E92BB5">
        <w:rPr>
          <w:rFonts w:cs="Arial"/>
          <w:szCs w:val="22"/>
        </w:rPr>
        <w:t>’</w:t>
      </w:r>
      <w:r>
        <w:rPr>
          <w:rFonts w:cs="Arial"/>
          <w:szCs w:val="22"/>
        </w:rPr>
        <w:t>océan</w:t>
      </w:r>
      <w:r w:rsidRPr="00FA34A9">
        <w:rPr>
          <w:rFonts w:cs="Arial"/>
          <w:szCs w:val="22"/>
        </w:rPr>
        <w:t xml:space="preserve"> (</w:t>
      </w:r>
      <w:r w:rsidRPr="00027876">
        <w:rPr>
          <w:rFonts w:cs="Arial"/>
          <w:szCs w:val="22"/>
        </w:rPr>
        <w:t xml:space="preserve">voir </w:t>
      </w:r>
      <w:hyperlink r:id="rId14" w:history="1">
        <w:r w:rsidRPr="00027876">
          <w:rPr>
            <w:rStyle w:val="Hyperlink"/>
            <w:rFonts w:cs="Arial"/>
            <w:szCs w:val="22"/>
          </w:rPr>
          <w:t>IOC-XXIX/2 Annex 16</w:t>
        </w:r>
      </w:hyperlink>
      <w:r w:rsidRPr="00027876">
        <w:rPr>
          <w:szCs w:val="22"/>
        </w:rPr>
        <w:t>).</w:t>
      </w:r>
    </w:p>
    <w:p w14:paraId="33759300" w14:textId="02E5DDA5" w:rsidR="006F490E" w:rsidRPr="002D4C09" w:rsidRDefault="006F490E" w:rsidP="006F490E">
      <w:pPr>
        <w:pStyle w:val="Marge"/>
        <w:rPr>
          <w:rFonts w:cs="Arial"/>
          <w:szCs w:val="22"/>
        </w:rPr>
      </w:pPr>
      <w:r>
        <w:rPr>
          <w:rFonts w:cs="Arial"/>
          <w:szCs w:val="22"/>
        </w:rPr>
        <w:t>13.</w:t>
      </w:r>
      <w:r>
        <w:rPr>
          <w:rFonts w:cs="Arial"/>
          <w:szCs w:val="22"/>
        </w:rPr>
        <w:tab/>
      </w:r>
      <w:r w:rsidRPr="00FA34A9">
        <w:rPr>
          <w:rFonts w:cs="Arial"/>
          <w:szCs w:val="22"/>
        </w:rPr>
        <w:t>Les actions passées de la COI da</w:t>
      </w:r>
      <w:r>
        <w:rPr>
          <w:rFonts w:cs="Arial"/>
          <w:szCs w:val="22"/>
        </w:rPr>
        <w:t>ns le domaine de la</w:t>
      </w:r>
      <w:r w:rsidRPr="00FA34A9">
        <w:rPr>
          <w:rFonts w:cs="Arial"/>
          <w:szCs w:val="22"/>
        </w:rPr>
        <w:t xml:space="preserve"> PEM, </w:t>
      </w:r>
      <w:r>
        <w:rPr>
          <w:rFonts w:cs="Arial"/>
          <w:szCs w:val="22"/>
        </w:rPr>
        <w:t xml:space="preserve">telles que décrites dans </w:t>
      </w:r>
      <w:r w:rsidRPr="00FA34A9">
        <w:rPr>
          <w:rFonts w:cs="Arial"/>
          <w:szCs w:val="22"/>
        </w:rPr>
        <w:t>l</w:t>
      </w:r>
      <w:r w:rsidR="00E92BB5">
        <w:rPr>
          <w:rFonts w:cs="Arial"/>
          <w:szCs w:val="22"/>
        </w:rPr>
        <w:t>’</w:t>
      </w:r>
      <w:r w:rsidRPr="00FA34A9">
        <w:rPr>
          <w:rFonts w:cs="Arial"/>
          <w:szCs w:val="22"/>
        </w:rPr>
        <w:t xml:space="preserve">évaluation, </w:t>
      </w:r>
      <w:r>
        <w:rPr>
          <w:rFonts w:cs="Arial"/>
          <w:szCs w:val="22"/>
        </w:rPr>
        <w:t xml:space="preserve">sont significatives et répondent manifestement à une forte demande des </w:t>
      </w:r>
      <w:r w:rsidRPr="00FA34A9">
        <w:rPr>
          <w:rFonts w:cs="Arial"/>
          <w:szCs w:val="22"/>
        </w:rPr>
        <w:t xml:space="preserve">États membres. </w:t>
      </w:r>
      <w:r w:rsidRPr="002D4C09">
        <w:rPr>
          <w:rFonts w:cs="Arial"/>
          <w:szCs w:val="22"/>
        </w:rPr>
        <w:t>Le passage, au sein de la COI,</w:t>
      </w:r>
      <w:r>
        <w:rPr>
          <w:rFonts w:cs="Arial"/>
          <w:szCs w:val="22"/>
        </w:rPr>
        <w:t xml:space="preserve"> de ces activités pionnières en matière de </w:t>
      </w:r>
      <w:r w:rsidRPr="002D4C09">
        <w:rPr>
          <w:rFonts w:cs="Arial"/>
          <w:szCs w:val="22"/>
        </w:rPr>
        <w:t xml:space="preserve">PEM </w:t>
      </w:r>
      <w:r>
        <w:rPr>
          <w:rFonts w:cs="Arial"/>
          <w:szCs w:val="22"/>
        </w:rPr>
        <w:t>à une</w:t>
      </w:r>
      <w:r w:rsidRPr="002D4C09">
        <w:rPr>
          <w:rFonts w:cs="Arial"/>
          <w:szCs w:val="22"/>
        </w:rPr>
        <w:t xml:space="preserve"> planification durable de l</w:t>
      </w:r>
      <w:r w:rsidR="00E92BB5">
        <w:rPr>
          <w:rFonts w:cs="Arial"/>
          <w:szCs w:val="22"/>
        </w:rPr>
        <w:t>’</w:t>
      </w:r>
      <w:r w:rsidRPr="002D4C09">
        <w:rPr>
          <w:rFonts w:cs="Arial"/>
          <w:szCs w:val="22"/>
        </w:rPr>
        <w:t xml:space="preserve">océan </w:t>
      </w:r>
      <w:r>
        <w:rPr>
          <w:rFonts w:cs="Arial"/>
          <w:szCs w:val="22"/>
        </w:rPr>
        <w:t>représente une</w:t>
      </w:r>
      <w:r w:rsidRPr="002D4C09">
        <w:rPr>
          <w:rFonts w:cs="Arial"/>
          <w:szCs w:val="22"/>
        </w:rPr>
        <w:t xml:space="preserve"> extension naturel</w:t>
      </w:r>
      <w:r>
        <w:rPr>
          <w:rFonts w:cs="Arial"/>
          <w:szCs w:val="22"/>
        </w:rPr>
        <w:t>le de son</w:t>
      </w:r>
      <w:r w:rsidRPr="002D4C09">
        <w:rPr>
          <w:rFonts w:cs="Arial"/>
          <w:szCs w:val="22"/>
        </w:rPr>
        <w:t xml:space="preserve"> </w:t>
      </w:r>
      <w:r w:rsidRPr="006F490E">
        <w:rPr>
          <w:szCs w:val="22"/>
        </w:rPr>
        <w:t>programme</w:t>
      </w:r>
      <w:r w:rsidRPr="002D4C09">
        <w:rPr>
          <w:rFonts w:cs="Arial"/>
          <w:szCs w:val="22"/>
        </w:rPr>
        <w:t xml:space="preserve"> </w:t>
      </w:r>
      <w:r>
        <w:rPr>
          <w:rFonts w:cs="Arial"/>
          <w:szCs w:val="22"/>
        </w:rPr>
        <w:t>qui</w:t>
      </w:r>
      <w:r w:rsidRPr="002D4C09">
        <w:rPr>
          <w:rFonts w:cs="Arial"/>
          <w:szCs w:val="22"/>
        </w:rPr>
        <w:t xml:space="preserve"> </w:t>
      </w:r>
      <w:r>
        <w:rPr>
          <w:rFonts w:cs="Arial"/>
          <w:szCs w:val="22"/>
        </w:rPr>
        <w:t>lui permettra de faire face à des enjeux plus vastes comme l</w:t>
      </w:r>
      <w:r w:rsidR="00E92BB5">
        <w:rPr>
          <w:rFonts w:cs="Arial"/>
          <w:szCs w:val="22"/>
        </w:rPr>
        <w:t>’</w:t>
      </w:r>
      <w:r w:rsidRPr="002D4C09">
        <w:rPr>
          <w:rFonts w:cs="Arial"/>
          <w:szCs w:val="22"/>
        </w:rPr>
        <w:t>initiation à l</w:t>
      </w:r>
      <w:r w:rsidR="00E92BB5">
        <w:rPr>
          <w:rFonts w:cs="Arial"/>
          <w:szCs w:val="22"/>
        </w:rPr>
        <w:t>’</w:t>
      </w:r>
      <w:r w:rsidRPr="002D4C09">
        <w:rPr>
          <w:rFonts w:cs="Arial"/>
          <w:szCs w:val="22"/>
        </w:rPr>
        <w:t xml:space="preserve">océan, </w:t>
      </w:r>
      <w:r>
        <w:rPr>
          <w:rFonts w:cs="Arial"/>
          <w:szCs w:val="22"/>
        </w:rPr>
        <w:t>la participation des</w:t>
      </w:r>
      <w:r w:rsidRPr="002D4C09">
        <w:rPr>
          <w:rFonts w:cs="Arial"/>
          <w:szCs w:val="22"/>
        </w:rPr>
        <w:t xml:space="preserve"> communautés et </w:t>
      </w:r>
      <w:r>
        <w:rPr>
          <w:rFonts w:cs="Arial"/>
          <w:szCs w:val="22"/>
        </w:rPr>
        <w:t>l</w:t>
      </w:r>
      <w:r w:rsidR="00E92BB5">
        <w:rPr>
          <w:rFonts w:cs="Arial"/>
          <w:szCs w:val="22"/>
        </w:rPr>
        <w:t>’</w:t>
      </w:r>
      <w:r>
        <w:rPr>
          <w:rFonts w:cs="Arial"/>
          <w:szCs w:val="22"/>
        </w:rPr>
        <w:t>équité entre les genres</w:t>
      </w:r>
      <w:r w:rsidRPr="002D4C09">
        <w:rPr>
          <w:rFonts w:cs="Arial"/>
          <w:szCs w:val="22"/>
        </w:rPr>
        <w:t xml:space="preserve">, </w:t>
      </w:r>
      <w:r>
        <w:rPr>
          <w:rFonts w:cs="Arial"/>
          <w:szCs w:val="22"/>
        </w:rPr>
        <w:t>qui occupent tous une place centrale dans l</w:t>
      </w:r>
      <w:r w:rsidR="00E92BB5">
        <w:rPr>
          <w:rFonts w:cs="Arial"/>
          <w:szCs w:val="22"/>
        </w:rPr>
        <w:t>’</w:t>
      </w:r>
      <w:r>
        <w:rPr>
          <w:rFonts w:cs="Arial"/>
          <w:szCs w:val="22"/>
        </w:rPr>
        <w:t xml:space="preserve">actuelle </w:t>
      </w:r>
      <w:r w:rsidRPr="002D4C09">
        <w:rPr>
          <w:rFonts w:cs="Arial"/>
          <w:szCs w:val="22"/>
        </w:rPr>
        <w:t>Stratégie à moyen terme de la COI.</w:t>
      </w:r>
    </w:p>
    <w:p w14:paraId="40953ED1" w14:textId="5A50A5F4" w:rsidR="006F490E" w:rsidRPr="006250A9" w:rsidRDefault="006F490E" w:rsidP="006F490E">
      <w:pPr>
        <w:pStyle w:val="Marge"/>
        <w:rPr>
          <w:rFonts w:cs="Arial"/>
          <w:szCs w:val="22"/>
        </w:rPr>
      </w:pPr>
      <w:r>
        <w:rPr>
          <w:rFonts w:cs="Arial"/>
          <w:szCs w:val="22"/>
        </w:rPr>
        <w:t>14.</w:t>
      </w:r>
      <w:r>
        <w:rPr>
          <w:rFonts w:cs="Arial"/>
          <w:szCs w:val="22"/>
        </w:rPr>
        <w:tab/>
      </w:r>
      <w:r w:rsidRPr="002D4C09">
        <w:rPr>
          <w:rFonts w:cs="Arial"/>
          <w:szCs w:val="22"/>
        </w:rPr>
        <w:t xml:space="preserve">La PEM et les cadres de gestion </w:t>
      </w:r>
      <w:r>
        <w:rPr>
          <w:rFonts w:cs="Arial"/>
          <w:szCs w:val="22"/>
        </w:rPr>
        <w:t>qui lui sont associés jouent un rôle central dans la viabilité de l</w:t>
      </w:r>
      <w:r w:rsidR="00E92BB5">
        <w:rPr>
          <w:rFonts w:cs="Arial"/>
          <w:szCs w:val="22"/>
        </w:rPr>
        <w:t>’</w:t>
      </w:r>
      <w:r w:rsidRPr="002D4C09">
        <w:rPr>
          <w:rFonts w:cs="Arial"/>
          <w:szCs w:val="22"/>
        </w:rPr>
        <w:t xml:space="preserve">économie océanique et </w:t>
      </w:r>
      <w:r>
        <w:rPr>
          <w:rFonts w:cs="Arial"/>
          <w:szCs w:val="22"/>
        </w:rPr>
        <w:t>sont considérés comme des facteurs de succès décisifs</w:t>
      </w:r>
      <w:r w:rsidRPr="002D4C09">
        <w:rPr>
          <w:rFonts w:cs="Arial"/>
          <w:szCs w:val="22"/>
        </w:rPr>
        <w:t>. Les personnes interrogée</w:t>
      </w:r>
      <w:r>
        <w:rPr>
          <w:rFonts w:cs="Arial"/>
          <w:szCs w:val="22"/>
        </w:rPr>
        <w:t>s aux fins de l</w:t>
      </w:r>
      <w:r w:rsidR="00E92BB5">
        <w:rPr>
          <w:rFonts w:cs="Arial"/>
          <w:szCs w:val="22"/>
        </w:rPr>
        <w:t>’</w:t>
      </w:r>
      <w:r>
        <w:rPr>
          <w:rFonts w:cs="Arial"/>
          <w:szCs w:val="22"/>
        </w:rPr>
        <w:t xml:space="preserve">évaluation ont toutes mentionné les </w:t>
      </w:r>
      <w:r w:rsidRPr="002D4C09">
        <w:rPr>
          <w:rFonts w:cs="Arial"/>
          <w:szCs w:val="22"/>
        </w:rPr>
        <w:t xml:space="preserve">ateliers bien organisés et </w:t>
      </w:r>
      <w:r>
        <w:rPr>
          <w:rFonts w:cs="Arial"/>
          <w:szCs w:val="22"/>
        </w:rPr>
        <w:t xml:space="preserve">les </w:t>
      </w:r>
      <w:r w:rsidRPr="002D4C09">
        <w:rPr>
          <w:rFonts w:cs="Arial"/>
          <w:szCs w:val="22"/>
        </w:rPr>
        <w:t xml:space="preserve">programmes de formation </w:t>
      </w:r>
      <w:r>
        <w:rPr>
          <w:rFonts w:cs="Arial"/>
          <w:szCs w:val="22"/>
        </w:rPr>
        <w:t>détaillés de la</w:t>
      </w:r>
      <w:r w:rsidRPr="002D4C09">
        <w:rPr>
          <w:rFonts w:cs="Arial"/>
          <w:szCs w:val="22"/>
        </w:rPr>
        <w:t xml:space="preserve"> COI </w:t>
      </w:r>
      <w:r>
        <w:rPr>
          <w:rFonts w:cs="Arial"/>
          <w:szCs w:val="22"/>
        </w:rPr>
        <w:t xml:space="preserve">comme une </w:t>
      </w:r>
      <w:r w:rsidRPr="002D4C09">
        <w:rPr>
          <w:rFonts w:cs="Arial"/>
          <w:szCs w:val="22"/>
        </w:rPr>
        <w:t>contribution in</w:t>
      </w:r>
      <w:r>
        <w:rPr>
          <w:rFonts w:cs="Arial"/>
          <w:szCs w:val="22"/>
        </w:rPr>
        <w:t>estim</w:t>
      </w:r>
      <w:r w:rsidRPr="002D4C09">
        <w:rPr>
          <w:rFonts w:cs="Arial"/>
          <w:szCs w:val="22"/>
        </w:rPr>
        <w:t xml:space="preserve">able </w:t>
      </w:r>
      <w:r>
        <w:rPr>
          <w:rFonts w:cs="Arial"/>
          <w:szCs w:val="22"/>
        </w:rPr>
        <w:t>à la promotion de la</w:t>
      </w:r>
      <w:r w:rsidRPr="002D4C09">
        <w:rPr>
          <w:rFonts w:cs="Arial"/>
          <w:szCs w:val="22"/>
        </w:rPr>
        <w:t xml:space="preserve"> PEM. </w:t>
      </w:r>
      <w:r w:rsidRPr="00671876">
        <w:rPr>
          <w:rFonts w:cs="Arial"/>
          <w:szCs w:val="22"/>
        </w:rPr>
        <w:t>L</w:t>
      </w:r>
      <w:r>
        <w:rPr>
          <w:rFonts w:cs="Arial"/>
          <w:szCs w:val="22"/>
        </w:rPr>
        <w:t>es</w:t>
      </w:r>
      <w:r w:rsidRPr="00671876">
        <w:rPr>
          <w:rFonts w:cs="Arial"/>
          <w:szCs w:val="22"/>
        </w:rPr>
        <w:t xml:space="preserve"> principes directeurs</w:t>
      </w:r>
      <w:r>
        <w:rPr>
          <w:rFonts w:cs="Arial"/>
          <w:szCs w:val="22"/>
        </w:rPr>
        <w:t xml:space="preserve"> conçus par la</w:t>
      </w:r>
      <w:r w:rsidRPr="00671876">
        <w:rPr>
          <w:rFonts w:cs="Arial"/>
          <w:szCs w:val="22"/>
        </w:rPr>
        <w:t xml:space="preserve"> COI </w:t>
      </w:r>
      <w:r>
        <w:rPr>
          <w:rFonts w:cs="Arial"/>
          <w:szCs w:val="22"/>
        </w:rPr>
        <w:t>en matière de</w:t>
      </w:r>
      <w:r w:rsidRPr="00671876">
        <w:rPr>
          <w:rFonts w:cs="Arial"/>
          <w:szCs w:val="22"/>
        </w:rPr>
        <w:t xml:space="preserve"> </w:t>
      </w:r>
      <w:r w:rsidRPr="006F490E">
        <w:rPr>
          <w:szCs w:val="22"/>
        </w:rPr>
        <w:t>PEM</w:t>
      </w:r>
      <w:r w:rsidRPr="00671876">
        <w:rPr>
          <w:rFonts w:cs="Arial"/>
          <w:szCs w:val="22"/>
        </w:rPr>
        <w:t xml:space="preserve"> </w:t>
      </w:r>
      <w:r>
        <w:rPr>
          <w:rFonts w:cs="Arial"/>
          <w:szCs w:val="22"/>
        </w:rPr>
        <w:t>ont été par</w:t>
      </w:r>
      <w:r w:rsidRPr="00671876">
        <w:rPr>
          <w:rFonts w:cs="Arial"/>
          <w:szCs w:val="22"/>
        </w:rPr>
        <w:t xml:space="preserve">ticulièrement </w:t>
      </w:r>
      <w:r>
        <w:rPr>
          <w:rFonts w:cs="Arial"/>
          <w:szCs w:val="22"/>
        </w:rPr>
        <w:t>utiles partout dans le monde</w:t>
      </w:r>
      <w:r w:rsidRPr="00671876">
        <w:rPr>
          <w:rFonts w:cs="Arial"/>
          <w:szCs w:val="22"/>
        </w:rPr>
        <w:t>. L</w:t>
      </w:r>
      <w:r w:rsidR="00E92BB5">
        <w:rPr>
          <w:rFonts w:cs="Arial"/>
          <w:szCs w:val="22"/>
        </w:rPr>
        <w:t>’</w:t>
      </w:r>
      <w:r w:rsidRPr="00671876">
        <w:rPr>
          <w:rFonts w:cs="Arial"/>
          <w:szCs w:val="22"/>
        </w:rPr>
        <w:t>action de la COI a exercé une influence manifeste su</w:t>
      </w:r>
      <w:r>
        <w:rPr>
          <w:rFonts w:cs="Arial"/>
          <w:szCs w:val="22"/>
        </w:rPr>
        <w:t>r l</w:t>
      </w:r>
      <w:r w:rsidR="00E92BB5">
        <w:rPr>
          <w:rFonts w:cs="Arial"/>
          <w:szCs w:val="22"/>
        </w:rPr>
        <w:t>’</w:t>
      </w:r>
      <w:r>
        <w:rPr>
          <w:rFonts w:cs="Arial"/>
          <w:szCs w:val="22"/>
        </w:rPr>
        <w:t>établissement de cadres d</w:t>
      </w:r>
      <w:r w:rsidR="00E92BB5">
        <w:rPr>
          <w:rFonts w:cs="Arial"/>
          <w:szCs w:val="22"/>
        </w:rPr>
        <w:t>’</w:t>
      </w:r>
      <w:r>
        <w:rPr>
          <w:rFonts w:cs="Arial"/>
          <w:szCs w:val="22"/>
        </w:rPr>
        <w:t xml:space="preserve">orientation et la production de résultats </w:t>
      </w:r>
      <w:r w:rsidRPr="00671876">
        <w:rPr>
          <w:rFonts w:cs="Arial"/>
          <w:szCs w:val="22"/>
        </w:rPr>
        <w:t xml:space="preserve">durables, </w:t>
      </w:r>
      <w:r>
        <w:rPr>
          <w:rFonts w:cs="Arial"/>
          <w:szCs w:val="22"/>
        </w:rPr>
        <w:t>faisant de la</w:t>
      </w:r>
      <w:r w:rsidRPr="00671876">
        <w:rPr>
          <w:rFonts w:cs="Arial"/>
          <w:szCs w:val="22"/>
        </w:rPr>
        <w:t xml:space="preserve"> PEM </w:t>
      </w:r>
      <w:r>
        <w:rPr>
          <w:rFonts w:cs="Arial"/>
          <w:szCs w:val="22"/>
        </w:rPr>
        <w:t>un</w:t>
      </w:r>
      <w:r w:rsidRPr="00671876">
        <w:rPr>
          <w:rFonts w:cs="Arial"/>
          <w:szCs w:val="22"/>
        </w:rPr>
        <w:t xml:space="preserve"> exemple </w:t>
      </w:r>
      <w:r>
        <w:rPr>
          <w:rFonts w:cs="Arial"/>
          <w:szCs w:val="22"/>
        </w:rPr>
        <w:t>éminent</w:t>
      </w:r>
      <w:r w:rsidRPr="00671876">
        <w:rPr>
          <w:rFonts w:cs="Arial"/>
          <w:szCs w:val="22"/>
        </w:rPr>
        <w:t xml:space="preserve"> </w:t>
      </w:r>
      <w:r>
        <w:rPr>
          <w:rFonts w:cs="Arial"/>
          <w:szCs w:val="22"/>
        </w:rPr>
        <w:t>de ses</w:t>
      </w:r>
      <w:r w:rsidRPr="00671876">
        <w:rPr>
          <w:rFonts w:cs="Arial"/>
          <w:szCs w:val="22"/>
        </w:rPr>
        <w:t xml:space="preserve"> contributions</w:t>
      </w:r>
      <w:r>
        <w:rPr>
          <w:rFonts w:cs="Arial"/>
          <w:szCs w:val="22"/>
        </w:rPr>
        <w:t xml:space="preserve"> fructueuses</w:t>
      </w:r>
      <w:r w:rsidRPr="00671876">
        <w:rPr>
          <w:rFonts w:cs="Arial"/>
          <w:szCs w:val="22"/>
        </w:rPr>
        <w:t>. La Comm</w:t>
      </w:r>
      <w:r>
        <w:rPr>
          <w:rFonts w:cs="Arial"/>
          <w:szCs w:val="22"/>
        </w:rPr>
        <w:t xml:space="preserve">ission est réputée pour sa </w:t>
      </w:r>
      <w:r w:rsidRPr="00671876">
        <w:rPr>
          <w:rFonts w:cs="Arial"/>
          <w:szCs w:val="22"/>
        </w:rPr>
        <w:t>neutr</w:t>
      </w:r>
      <w:r>
        <w:rPr>
          <w:rFonts w:cs="Arial"/>
          <w:szCs w:val="22"/>
        </w:rPr>
        <w:t>al</w:t>
      </w:r>
      <w:r w:rsidRPr="00671876">
        <w:rPr>
          <w:rFonts w:cs="Arial"/>
          <w:szCs w:val="22"/>
        </w:rPr>
        <w:t>ité</w:t>
      </w:r>
      <w:r>
        <w:rPr>
          <w:rFonts w:cs="Arial"/>
          <w:szCs w:val="22"/>
        </w:rPr>
        <w:t>,</w:t>
      </w:r>
      <w:r w:rsidRPr="00671876">
        <w:rPr>
          <w:rFonts w:cs="Arial"/>
          <w:szCs w:val="22"/>
        </w:rPr>
        <w:t xml:space="preserve"> </w:t>
      </w:r>
      <w:r>
        <w:rPr>
          <w:rFonts w:cs="Arial"/>
          <w:szCs w:val="22"/>
        </w:rPr>
        <w:t>qui lui vaut la confiance requise pour combler le</w:t>
      </w:r>
      <w:r w:rsidRPr="00671876">
        <w:rPr>
          <w:rFonts w:cs="Arial"/>
          <w:szCs w:val="22"/>
        </w:rPr>
        <w:t xml:space="preserve"> fossé entre la science et la politique. </w:t>
      </w:r>
      <w:r w:rsidRPr="006250A9">
        <w:rPr>
          <w:rFonts w:cs="Arial"/>
          <w:szCs w:val="22"/>
        </w:rPr>
        <w:t>Elle d</w:t>
      </w:r>
      <w:r>
        <w:rPr>
          <w:rFonts w:cs="Arial"/>
          <w:szCs w:val="22"/>
        </w:rPr>
        <w:t>evra</w:t>
      </w:r>
      <w:r w:rsidRPr="006250A9">
        <w:rPr>
          <w:rFonts w:cs="Arial"/>
          <w:szCs w:val="22"/>
        </w:rPr>
        <w:t>it</w:t>
      </w:r>
      <w:r>
        <w:rPr>
          <w:rFonts w:cs="Arial"/>
          <w:szCs w:val="22"/>
        </w:rPr>
        <w:t xml:space="preserve"> mettre à profit les atouts qui sont les siens dans ces domaines et user de son </w:t>
      </w:r>
      <w:r w:rsidRPr="006250A9">
        <w:rPr>
          <w:rFonts w:cs="Arial"/>
          <w:szCs w:val="22"/>
        </w:rPr>
        <w:t xml:space="preserve">expertise </w:t>
      </w:r>
      <w:r>
        <w:rPr>
          <w:rFonts w:cs="Arial"/>
          <w:szCs w:val="22"/>
        </w:rPr>
        <w:t>aux fins d</w:t>
      </w:r>
      <w:r w:rsidR="00E92BB5">
        <w:rPr>
          <w:rFonts w:cs="Arial"/>
          <w:szCs w:val="22"/>
        </w:rPr>
        <w:t>’</w:t>
      </w:r>
      <w:r>
        <w:rPr>
          <w:rFonts w:cs="Arial"/>
          <w:szCs w:val="22"/>
        </w:rPr>
        <w:t>une</w:t>
      </w:r>
      <w:r w:rsidRPr="006250A9">
        <w:rPr>
          <w:rFonts w:cs="Arial"/>
          <w:szCs w:val="22"/>
        </w:rPr>
        <w:t xml:space="preserve"> </w:t>
      </w:r>
      <w:r>
        <w:rPr>
          <w:rFonts w:cs="Arial"/>
          <w:szCs w:val="22"/>
        </w:rPr>
        <w:t xml:space="preserve">plus ample </w:t>
      </w:r>
      <w:r w:rsidRPr="006250A9">
        <w:rPr>
          <w:rFonts w:cs="Arial"/>
          <w:szCs w:val="22"/>
        </w:rPr>
        <w:t>planification durable de l</w:t>
      </w:r>
      <w:r w:rsidR="00E92BB5">
        <w:rPr>
          <w:rFonts w:cs="Arial"/>
          <w:szCs w:val="22"/>
        </w:rPr>
        <w:t>’</w:t>
      </w:r>
      <w:r w:rsidRPr="006250A9">
        <w:rPr>
          <w:rFonts w:cs="Arial"/>
          <w:szCs w:val="22"/>
        </w:rPr>
        <w:t xml:space="preserve">océan </w:t>
      </w:r>
      <w:r>
        <w:rPr>
          <w:rFonts w:cs="Arial"/>
          <w:szCs w:val="22"/>
        </w:rPr>
        <w:t>à l</w:t>
      </w:r>
      <w:r w:rsidR="00E92BB5">
        <w:rPr>
          <w:rFonts w:cs="Arial"/>
          <w:szCs w:val="22"/>
        </w:rPr>
        <w:t>’</w:t>
      </w:r>
      <w:r>
        <w:rPr>
          <w:rFonts w:cs="Arial"/>
          <w:szCs w:val="22"/>
        </w:rPr>
        <w:t xml:space="preserve">échelle transnationale et </w:t>
      </w:r>
      <w:r w:rsidRPr="006250A9">
        <w:rPr>
          <w:rFonts w:cs="Arial"/>
          <w:szCs w:val="22"/>
        </w:rPr>
        <w:t>trans</w:t>
      </w:r>
      <w:r>
        <w:rPr>
          <w:rFonts w:cs="Arial"/>
          <w:szCs w:val="22"/>
        </w:rPr>
        <w:t>frontières</w:t>
      </w:r>
      <w:r w:rsidRPr="006250A9">
        <w:rPr>
          <w:rFonts w:cs="Arial"/>
          <w:szCs w:val="22"/>
        </w:rPr>
        <w:t xml:space="preserve">. </w:t>
      </w:r>
      <w:r>
        <w:rPr>
          <w:rFonts w:cs="Arial"/>
          <w:szCs w:val="22"/>
        </w:rPr>
        <w:t>La</w:t>
      </w:r>
      <w:r w:rsidRPr="006250A9">
        <w:rPr>
          <w:rFonts w:cs="Arial"/>
          <w:szCs w:val="22"/>
        </w:rPr>
        <w:t xml:space="preserve"> Feuille de route pour la PEM</w:t>
      </w:r>
      <w:r w:rsidRPr="007953C7">
        <w:rPr>
          <w:rStyle w:val="FootnoteReference"/>
          <w:rFonts w:cs="Arial"/>
          <w:szCs w:val="22"/>
        </w:rPr>
        <w:footnoteReference w:id="2"/>
      </w:r>
      <w:r w:rsidRPr="006250A9">
        <w:rPr>
          <w:rFonts w:cs="Arial"/>
          <w:szCs w:val="22"/>
        </w:rPr>
        <w:t xml:space="preserve">, </w:t>
      </w:r>
      <w:r>
        <w:rPr>
          <w:rFonts w:cs="Arial"/>
          <w:szCs w:val="22"/>
        </w:rPr>
        <w:t xml:space="preserve">lancée </w:t>
      </w:r>
      <w:r w:rsidRPr="006250A9">
        <w:rPr>
          <w:rFonts w:cs="Arial"/>
          <w:szCs w:val="22"/>
        </w:rPr>
        <w:t>de concert av</w:t>
      </w:r>
      <w:r>
        <w:rPr>
          <w:rFonts w:cs="Arial"/>
          <w:szCs w:val="22"/>
        </w:rPr>
        <w:t>ec la</w:t>
      </w:r>
      <w:r w:rsidRPr="006250A9">
        <w:rPr>
          <w:rFonts w:cs="Arial"/>
          <w:szCs w:val="22"/>
        </w:rPr>
        <w:t xml:space="preserve"> Commission européenne, </w:t>
      </w:r>
      <w:r>
        <w:rPr>
          <w:rFonts w:cs="Arial"/>
          <w:szCs w:val="22"/>
        </w:rPr>
        <w:t>recense</w:t>
      </w:r>
      <w:r w:rsidRPr="006250A9">
        <w:rPr>
          <w:rFonts w:cs="Arial"/>
          <w:szCs w:val="22"/>
        </w:rPr>
        <w:t xml:space="preserve"> six domaines prioritaires. S</w:t>
      </w:r>
      <w:r w:rsidR="00E92BB5">
        <w:rPr>
          <w:rFonts w:cs="Arial"/>
          <w:szCs w:val="22"/>
        </w:rPr>
        <w:t>’</w:t>
      </w:r>
      <w:r>
        <w:rPr>
          <w:rFonts w:cs="Arial"/>
          <w:szCs w:val="22"/>
        </w:rPr>
        <w:t>appuyer sur ces résultats pour obtenir les mêmes succès et défendre les mêmes priorités dans le domaine de la</w:t>
      </w:r>
      <w:r w:rsidRPr="006250A9">
        <w:rPr>
          <w:rFonts w:cs="Arial"/>
          <w:szCs w:val="22"/>
        </w:rPr>
        <w:t xml:space="preserve"> planification et </w:t>
      </w:r>
      <w:r>
        <w:rPr>
          <w:rFonts w:cs="Arial"/>
          <w:szCs w:val="22"/>
        </w:rPr>
        <w:t xml:space="preserve">de la </w:t>
      </w:r>
      <w:r w:rsidRPr="006250A9">
        <w:rPr>
          <w:rFonts w:cs="Arial"/>
          <w:szCs w:val="22"/>
        </w:rPr>
        <w:t>gestion durables de l</w:t>
      </w:r>
      <w:r w:rsidR="00E92BB5">
        <w:rPr>
          <w:rFonts w:cs="Arial"/>
          <w:szCs w:val="22"/>
        </w:rPr>
        <w:t>’</w:t>
      </w:r>
      <w:r w:rsidRPr="006250A9">
        <w:rPr>
          <w:rFonts w:cs="Arial"/>
          <w:szCs w:val="22"/>
        </w:rPr>
        <w:t xml:space="preserve">océan </w:t>
      </w:r>
      <w:r>
        <w:rPr>
          <w:rFonts w:cs="Arial"/>
          <w:szCs w:val="22"/>
        </w:rPr>
        <w:t>est une nouvelle étape logique</w:t>
      </w:r>
      <w:r w:rsidRPr="006250A9">
        <w:rPr>
          <w:rFonts w:cs="Arial"/>
          <w:szCs w:val="22"/>
        </w:rPr>
        <w:t xml:space="preserve">. </w:t>
      </w:r>
    </w:p>
    <w:p w14:paraId="3897AD45" w14:textId="33D0702E" w:rsidR="006F490E" w:rsidRPr="00D11D7E" w:rsidRDefault="006F490E" w:rsidP="006F490E">
      <w:pPr>
        <w:pStyle w:val="Marge"/>
        <w:rPr>
          <w:rFonts w:cs="Arial"/>
          <w:szCs w:val="22"/>
        </w:rPr>
      </w:pPr>
      <w:r>
        <w:rPr>
          <w:rFonts w:cs="Arial"/>
          <w:szCs w:val="22"/>
        </w:rPr>
        <w:t>15.</w:t>
      </w:r>
      <w:r>
        <w:rPr>
          <w:rFonts w:cs="Arial"/>
          <w:szCs w:val="22"/>
        </w:rPr>
        <w:tab/>
      </w:r>
      <w:r w:rsidRPr="006250A9">
        <w:rPr>
          <w:rFonts w:cs="Arial"/>
          <w:szCs w:val="22"/>
        </w:rPr>
        <w:t>Cela permet</w:t>
      </w:r>
      <w:r>
        <w:rPr>
          <w:rFonts w:cs="Arial"/>
          <w:szCs w:val="22"/>
        </w:rPr>
        <w:t>trait aussi à la</w:t>
      </w:r>
      <w:r w:rsidRPr="006250A9">
        <w:rPr>
          <w:rFonts w:cs="Arial"/>
          <w:szCs w:val="22"/>
        </w:rPr>
        <w:t xml:space="preserve"> COI </w:t>
      </w:r>
      <w:r>
        <w:rPr>
          <w:rFonts w:cs="Arial"/>
          <w:szCs w:val="22"/>
        </w:rPr>
        <w:t xml:space="preserve">de combler certaines des lacunes relevées dans </w:t>
      </w:r>
      <w:r w:rsidRPr="006250A9">
        <w:rPr>
          <w:rFonts w:cs="Arial"/>
          <w:szCs w:val="22"/>
        </w:rPr>
        <w:t>l</w:t>
      </w:r>
      <w:r w:rsidR="00E92BB5">
        <w:rPr>
          <w:rFonts w:cs="Arial"/>
          <w:szCs w:val="22"/>
        </w:rPr>
        <w:t>’</w:t>
      </w:r>
      <w:r w:rsidRPr="006250A9">
        <w:rPr>
          <w:rFonts w:cs="Arial"/>
          <w:szCs w:val="22"/>
        </w:rPr>
        <w:t xml:space="preserve">évaluation et </w:t>
      </w:r>
      <w:r>
        <w:rPr>
          <w:rFonts w:cs="Arial"/>
          <w:szCs w:val="22"/>
        </w:rPr>
        <w:t xml:space="preserve">de </w:t>
      </w:r>
      <w:r w:rsidRPr="006250A9">
        <w:rPr>
          <w:rFonts w:cs="Arial"/>
          <w:szCs w:val="22"/>
        </w:rPr>
        <w:t>contribu</w:t>
      </w:r>
      <w:r>
        <w:rPr>
          <w:rFonts w:cs="Arial"/>
          <w:szCs w:val="22"/>
        </w:rPr>
        <w:t xml:space="preserve">er à la réalisation des </w:t>
      </w:r>
      <w:r w:rsidRPr="006250A9">
        <w:rPr>
          <w:rFonts w:cs="Arial"/>
          <w:szCs w:val="22"/>
        </w:rPr>
        <w:t xml:space="preserve">objectifs </w:t>
      </w:r>
      <w:r>
        <w:rPr>
          <w:rFonts w:cs="Arial"/>
          <w:szCs w:val="22"/>
        </w:rPr>
        <w:t>fixés dans sa</w:t>
      </w:r>
      <w:r w:rsidRPr="006250A9">
        <w:rPr>
          <w:rFonts w:cs="Arial"/>
          <w:szCs w:val="22"/>
        </w:rPr>
        <w:t xml:space="preserve"> Stratégie à moyen terme</w:t>
      </w:r>
      <w:r>
        <w:rPr>
          <w:rFonts w:cs="Arial"/>
          <w:szCs w:val="22"/>
        </w:rPr>
        <w:t xml:space="preserve">, et de tenir compte tout particulièrement des besoins des </w:t>
      </w:r>
      <w:r w:rsidRPr="00CD5E96">
        <w:rPr>
          <w:rFonts w:cs="Arial"/>
          <w:szCs w:val="22"/>
        </w:rPr>
        <w:t>nations tributaires de l</w:t>
      </w:r>
      <w:r w:rsidR="00E92BB5">
        <w:rPr>
          <w:rFonts w:cs="Arial"/>
          <w:szCs w:val="22"/>
        </w:rPr>
        <w:t>’</w:t>
      </w:r>
      <w:r w:rsidRPr="00CD5E96">
        <w:rPr>
          <w:rFonts w:cs="Arial"/>
          <w:szCs w:val="22"/>
        </w:rPr>
        <w:t>océan comm</w:t>
      </w:r>
      <w:r>
        <w:rPr>
          <w:rFonts w:cs="Arial"/>
          <w:szCs w:val="22"/>
        </w:rPr>
        <w:t>e les p</w:t>
      </w:r>
      <w:r w:rsidRPr="00CD5E96">
        <w:rPr>
          <w:rFonts w:cs="Arial"/>
          <w:szCs w:val="22"/>
        </w:rPr>
        <w:t xml:space="preserve">etits États insulaires en développement, </w:t>
      </w:r>
      <w:r>
        <w:rPr>
          <w:rFonts w:cs="Arial"/>
          <w:szCs w:val="22"/>
        </w:rPr>
        <w:t xml:space="preserve">en renforçant leur </w:t>
      </w:r>
      <w:r w:rsidRPr="006F490E">
        <w:rPr>
          <w:szCs w:val="22"/>
        </w:rPr>
        <w:t>capacité</w:t>
      </w:r>
      <w:r>
        <w:rPr>
          <w:rFonts w:cs="Arial"/>
          <w:szCs w:val="22"/>
        </w:rPr>
        <w:t xml:space="preserve"> de mettre en </w:t>
      </w:r>
      <w:r w:rsidR="004019AD">
        <w:rPr>
          <w:rFonts w:cs="Arial"/>
          <w:szCs w:val="22"/>
        </w:rPr>
        <w:t>œuvre</w:t>
      </w:r>
      <w:r>
        <w:rPr>
          <w:rFonts w:cs="Arial"/>
          <w:szCs w:val="22"/>
        </w:rPr>
        <w:t xml:space="preserve"> la </w:t>
      </w:r>
      <w:r w:rsidRPr="00CD5E96">
        <w:rPr>
          <w:rFonts w:cs="Arial"/>
          <w:szCs w:val="22"/>
        </w:rPr>
        <w:t>planification durable de l</w:t>
      </w:r>
      <w:r w:rsidR="00E92BB5">
        <w:rPr>
          <w:rFonts w:cs="Arial"/>
          <w:szCs w:val="22"/>
        </w:rPr>
        <w:t>’</w:t>
      </w:r>
      <w:r w:rsidRPr="00CD5E96">
        <w:rPr>
          <w:rFonts w:cs="Arial"/>
          <w:szCs w:val="22"/>
        </w:rPr>
        <w:t xml:space="preserve">océan. </w:t>
      </w:r>
      <w:r w:rsidRPr="00D11D7E">
        <w:rPr>
          <w:rFonts w:cs="Arial"/>
          <w:szCs w:val="22"/>
        </w:rPr>
        <w:t>Il lui sera</w:t>
      </w:r>
      <w:r>
        <w:rPr>
          <w:rFonts w:cs="Arial"/>
          <w:szCs w:val="22"/>
        </w:rPr>
        <w:t xml:space="preserve">it également possible de nouer des liens plus étroits avec les </w:t>
      </w:r>
      <w:r w:rsidRPr="00D11D7E">
        <w:rPr>
          <w:rFonts w:cs="Arial"/>
          <w:szCs w:val="22"/>
        </w:rPr>
        <w:t>organisations technique</w:t>
      </w:r>
      <w:r>
        <w:rPr>
          <w:rFonts w:cs="Arial"/>
          <w:szCs w:val="22"/>
        </w:rPr>
        <w:t>s</w:t>
      </w:r>
      <w:r w:rsidRPr="00D11D7E">
        <w:rPr>
          <w:rFonts w:cs="Arial"/>
          <w:szCs w:val="22"/>
        </w:rPr>
        <w:t xml:space="preserve"> régional</w:t>
      </w:r>
      <w:r>
        <w:rPr>
          <w:rFonts w:cs="Arial"/>
          <w:szCs w:val="22"/>
        </w:rPr>
        <w:t>es</w:t>
      </w:r>
      <w:r w:rsidRPr="00D11D7E">
        <w:rPr>
          <w:rFonts w:cs="Arial"/>
          <w:szCs w:val="22"/>
        </w:rPr>
        <w:t xml:space="preserve"> et </w:t>
      </w:r>
      <w:r>
        <w:rPr>
          <w:rFonts w:cs="Arial"/>
          <w:szCs w:val="22"/>
        </w:rPr>
        <w:t>d</w:t>
      </w:r>
      <w:r w:rsidR="00E92BB5">
        <w:rPr>
          <w:rFonts w:cs="Arial"/>
          <w:szCs w:val="22"/>
        </w:rPr>
        <w:t>’</w:t>
      </w:r>
      <w:r>
        <w:rPr>
          <w:rFonts w:cs="Arial"/>
          <w:szCs w:val="22"/>
        </w:rPr>
        <w:t>in</w:t>
      </w:r>
      <w:r w:rsidRPr="00D11D7E">
        <w:rPr>
          <w:rFonts w:cs="Arial"/>
          <w:szCs w:val="22"/>
        </w:rPr>
        <w:t>tégrer</w:t>
      </w:r>
      <w:r>
        <w:rPr>
          <w:rFonts w:cs="Arial"/>
          <w:szCs w:val="22"/>
        </w:rPr>
        <w:t xml:space="preserve"> ainsi plus efficacement les</w:t>
      </w:r>
      <w:r w:rsidRPr="00D11D7E">
        <w:rPr>
          <w:rFonts w:cs="Arial"/>
          <w:szCs w:val="22"/>
        </w:rPr>
        <w:t xml:space="preserve"> données </w:t>
      </w:r>
      <w:r>
        <w:rPr>
          <w:rFonts w:cs="Arial"/>
          <w:szCs w:val="22"/>
        </w:rPr>
        <w:t>en évitant les doublons</w:t>
      </w:r>
      <w:r w:rsidRPr="00D11D7E">
        <w:rPr>
          <w:rFonts w:cs="Arial"/>
          <w:szCs w:val="22"/>
        </w:rPr>
        <w:t>. La stratégie mettrait en outre à prof</w:t>
      </w:r>
      <w:r>
        <w:rPr>
          <w:rFonts w:cs="Arial"/>
          <w:szCs w:val="22"/>
        </w:rPr>
        <w:t xml:space="preserve">it la capacité unique de la </w:t>
      </w:r>
      <w:r w:rsidRPr="00D11D7E">
        <w:rPr>
          <w:rFonts w:cs="Arial"/>
          <w:szCs w:val="22"/>
        </w:rPr>
        <w:t xml:space="preserve">COI </w:t>
      </w:r>
      <w:r>
        <w:rPr>
          <w:rFonts w:cs="Arial"/>
          <w:szCs w:val="22"/>
        </w:rPr>
        <w:t>d</w:t>
      </w:r>
      <w:r w:rsidR="00E92BB5">
        <w:rPr>
          <w:rFonts w:cs="Arial"/>
          <w:szCs w:val="22"/>
        </w:rPr>
        <w:t>’</w:t>
      </w:r>
      <w:r>
        <w:rPr>
          <w:rFonts w:cs="Arial"/>
          <w:szCs w:val="22"/>
        </w:rPr>
        <w:t>intervenir à l</w:t>
      </w:r>
      <w:r w:rsidR="00E92BB5">
        <w:rPr>
          <w:rFonts w:cs="Arial"/>
          <w:szCs w:val="22"/>
        </w:rPr>
        <w:t>’</w:t>
      </w:r>
      <w:r>
        <w:rPr>
          <w:rFonts w:cs="Arial"/>
          <w:szCs w:val="22"/>
        </w:rPr>
        <w:t>échelon régional</w:t>
      </w:r>
      <w:r w:rsidRPr="00D11D7E">
        <w:rPr>
          <w:rFonts w:cs="Arial"/>
          <w:szCs w:val="22"/>
        </w:rPr>
        <w:t xml:space="preserve">. </w:t>
      </w:r>
    </w:p>
    <w:p w14:paraId="2DDF05A3" w14:textId="4C3E6AFB" w:rsidR="006F490E" w:rsidRPr="00ED129C" w:rsidRDefault="006F490E" w:rsidP="006F490E">
      <w:pPr>
        <w:pStyle w:val="Marge"/>
        <w:rPr>
          <w:rFonts w:cs="Arial"/>
          <w:i/>
          <w:iCs/>
          <w:szCs w:val="22"/>
        </w:rPr>
      </w:pPr>
      <w:r>
        <w:rPr>
          <w:rFonts w:cs="Arial"/>
          <w:szCs w:val="22"/>
        </w:rPr>
        <w:t>16.</w:t>
      </w:r>
      <w:r>
        <w:rPr>
          <w:rFonts w:cs="Arial"/>
          <w:szCs w:val="22"/>
        </w:rPr>
        <w:tab/>
      </w:r>
      <w:r w:rsidRPr="00D11D7E">
        <w:rPr>
          <w:rFonts w:cs="Arial"/>
          <w:szCs w:val="22"/>
        </w:rPr>
        <w:t>La</w:t>
      </w:r>
      <w:r>
        <w:rPr>
          <w:rFonts w:cs="Arial"/>
          <w:szCs w:val="22"/>
        </w:rPr>
        <w:t xml:space="preserve"> COI devrait exercer une influence plus affirmée sur les</w:t>
      </w:r>
      <w:r w:rsidRPr="00D11D7E">
        <w:rPr>
          <w:rFonts w:cs="Arial"/>
          <w:szCs w:val="22"/>
        </w:rPr>
        <w:t xml:space="preserve"> discussions </w:t>
      </w:r>
      <w:r>
        <w:rPr>
          <w:rFonts w:cs="Arial"/>
          <w:szCs w:val="22"/>
        </w:rPr>
        <w:t>relatives au développement durable de l</w:t>
      </w:r>
      <w:r w:rsidR="00E92BB5">
        <w:rPr>
          <w:rFonts w:cs="Arial"/>
          <w:szCs w:val="22"/>
        </w:rPr>
        <w:t>’</w:t>
      </w:r>
      <w:r>
        <w:rPr>
          <w:rFonts w:cs="Arial"/>
          <w:szCs w:val="22"/>
        </w:rPr>
        <w:t xml:space="preserve">économie océanique, et une </w:t>
      </w:r>
      <w:r w:rsidRPr="00D11D7E">
        <w:rPr>
          <w:rFonts w:cs="Arial"/>
          <w:szCs w:val="22"/>
        </w:rPr>
        <w:t xml:space="preserve">stratégie </w:t>
      </w:r>
      <w:r>
        <w:rPr>
          <w:rFonts w:cs="Arial"/>
          <w:szCs w:val="22"/>
        </w:rPr>
        <w:t>sur la</w:t>
      </w:r>
      <w:r w:rsidRPr="00D11D7E">
        <w:rPr>
          <w:rFonts w:cs="Arial"/>
          <w:szCs w:val="22"/>
        </w:rPr>
        <w:t xml:space="preserve"> planification et </w:t>
      </w:r>
      <w:r>
        <w:rPr>
          <w:rFonts w:cs="Arial"/>
          <w:szCs w:val="22"/>
        </w:rPr>
        <w:t xml:space="preserve">la </w:t>
      </w:r>
      <w:r w:rsidRPr="00D11D7E">
        <w:rPr>
          <w:rFonts w:cs="Arial"/>
          <w:szCs w:val="22"/>
        </w:rPr>
        <w:t>gestion durables de l</w:t>
      </w:r>
      <w:r w:rsidR="00E92BB5">
        <w:rPr>
          <w:rFonts w:cs="Arial"/>
          <w:szCs w:val="22"/>
        </w:rPr>
        <w:t>’</w:t>
      </w:r>
      <w:r w:rsidRPr="00D11D7E">
        <w:rPr>
          <w:rFonts w:cs="Arial"/>
          <w:szCs w:val="22"/>
        </w:rPr>
        <w:t xml:space="preserve">océan </w:t>
      </w:r>
      <w:r>
        <w:rPr>
          <w:rFonts w:cs="Arial"/>
          <w:szCs w:val="22"/>
        </w:rPr>
        <w:t>lui permettrait d</w:t>
      </w:r>
      <w:r w:rsidR="00E92BB5">
        <w:rPr>
          <w:rFonts w:cs="Arial"/>
          <w:szCs w:val="22"/>
        </w:rPr>
        <w:t>’</w:t>
      </w:r>
      <w:r>
        <w:rPr>
          <w:rFonts w:cs="Arial"/>
          <w:szCs w:val="22"/>
        </w:rPr>
        <w:t xml:space="preserve">intervenir, au-delà du </w:t>
      </w:r>
      <w:r w:rsidRPr="006F490E">
        <w:rPr>
          <w:szCs w:val="22"/>
        </w:rPr>
        <w:t>cadre</w:t>
      </w:r>
      <w:r>
        <w:rPr>
          <w:rFonts w:cs="Arial"/>
          <w:szCs w:val="22"/>
        </w:rPr>
        <w:t xml:space="preserve"> actuel de la </w:t>
      </w:r>
      <w:r w:rsidRPr="00D11D7E">
        <w:rPr>
          <w:rFonts w:cs="Arial"/>
          <w:szCs w:val="22"/>
        </w:rPr>
        <w:t>PEM</w:t>
      </w:r>
      <w:r>
        <w:rPr>
          <w:rFonts w:cs="Arial"/>
          <w:szCs w:val="22"/>
        </w:rPr>
        <w:t>, dans le débat plus général sur l</w:t>
      </w:r>
      <w:r w:rsidR="00E92BB5">
        <w:rPr>
          <w:rFonts w:cs="Arial"/>
          <w:szCs w:val="22"/>
        </w:rPr>
        <w:t>’</w:t>
      </w:r>
      <w:r w:rsidRPr="00D11D7E">
        <w:rPr>
          <w:rFonts w:cs="Arial"/>
          <w:szCs w:val="22"/>
        </w:rPr>
        <w:t xml:space="preserve">économie </w:t>
      </w:r>
      <w:r>
        <w:rPr>
          <w:rFonts w:cs="Arial"/>
          <w:szCs w:val="22"/>
        </w:rPr>
        <w:t>bleue</w:t>
      </w:r>
      <w:r w:rsidRPr="00D11D7E">
        <w:rPr>
          <w:rFonts w:cs="Arial"/>
          <w:szCs w:val="22"/>
        </w:rPr>
        <w:t xml:space="preserve">. </w:t>
      </w:r>
      <w:r>
        <w:rPr>
          <w:rFonts w:cs="Arial"/>
          <w:szCs w:val="22"/>
        </w:rPr>
        <w:t>Elle</w:t>
      </w:r>
      <w:r w:rsidRPr="00ED129C">
        <w:rPr>
          <w:rFonts w:cs="Arial"/>
          <w:szCs w:val="22"/>
        </w:rPr>
        <w:t xml:space="preserve"> pourrait a</w:t>
      </w:r>
      <w:r>
        <w:rPr>
          <w:rFonts w:cs="Arial"/>
          <w:szCs w:val="22"/>
        </w:rPr>
        <w:t xml:space="preserve">insi peser davantage </w:t>
      </w:r>
      <w:r w:rsidRPr="00ED129C">
        <w:rPr>
          <w:rFonts w:cs="Arial"/>
          <w:szCs w:val="22"/>
        </w:rPr>
        <w:t>sur les politiques et assu</w:t>
      </w:r>
      <w:r>
        <w:rPr>
          <w:rFonts w:cs="Arial"/>
          <w:szCs w:val="22"/>
        </w:rPr>
        <w:t>rer</w:t>
      </w:r>
      <w:r w:rsidRPr="00ED129C">
        <w:rPr>
          <w:rFonts w:cs="Arial"/>
          <w:szCs w:val="22"/>
        </w:rPr>
        <w:t xml:space="preserve"> </w:t>
      </w:r>
      <w:r>
        <w:rPr>
          <w:rFonts w:cs="Arial"/>
          <w:szCs w:val="22"/>
        </w:rPr>
        <w:t>l</w:t>
      </w:r>
      <w:r w:rsidR="00E92BB5">
        <w:rPr>
          <w:rFonts w:cs="Arial"/>
          <w:szCs w:val="22"/>
        </w:rPr>
        <w:t>’</w:t>
      </w:r>
      <w:r>
        <w:rPr>
          <w:rFonts w:cs="Arial"/>
          <w:szCs w:val="22"/>
        </w:rPr>
        <w:t>intégration coordonnée des</w:t>
      </w:r>
      <w:r w:rsidRPr="00ED129C">
        <w:rPr>
          <w:rFonts w:cs="Arial"/>
          <w:szCs w:val="22"/>
        </w:rPr>
        <w:t xml:space="preserve"> données </w:t>
      </w:r>
      <w:r>
        <w:rPr>
          <w:rFonts w:cs="Arial"/>
          <w:szCs w:val="22"/>
        </w:rPr>
        <w:t>détenues</w:t>
      </w:r>
      <w:r w:rsidRPr="00ED129C">
        <w:rPr>
          <w:rFonts w:cs="Arial"/>
          <w:szCs w:val="22"/>
        </w:rPr>
        <w:t xml:space="preserve"> </w:t>
      </w:r>
      <w:r>
        <w:rPr>
          <w:rFonts w:cs="Arial"/>
          <w:szCs w:val="22"/>
        </w:rPr>
        <w:t>par les</w:t>
      </w:r>
      <w:r w:rsidRPr="00ED129C">
        <w:rPr>
          <w:rFonts w:cs="Arial"/>
          <w:szCs w:val="22"/>
        </w:rPr>
        <w:t xml:space="preserve"> institutions, </w:t>
      </w:r>
      <w:r>
        <w:rPr>
          <w:rFonts w:cs="Arial"/>
          <w:szCs w:val="22"/>
        </w:rPr>
        <w:t xml:space="preserve">les </w:t>
      </w:r>
      <w:r w:rsidRPr="00ED129C">
        <w:rPr>
          <w:rFonts w:cs="Arial"/>
          <w:szCs w:val="22"/>
        </w:rPr>
        <w:t xml:space="preserve">pays et </w:t>
      </w:r>
      <w:r>
        <w:rPr>
          <w:rFonts w:cs="Arial"/>
          <w:szCs w:val="22"/>
        </w:rPr>
        <w:t>les partenaires</w:t>
      </w:r>
      <w:r w:rsidRPr="00ED129C">
        <w:rPr>
          <w:rFonts w:cs="Arial"/>
          <w:szCs w:val="22"/>
        </w:rPr>
        <w:t xml:space="preserve"> </w:t>
      </w:r>
      <w:r>
        <w:rPr>
          <w:rFonts w:cs="Arial"/>
          <w:szCs w:val="22"/>
        </w:rPr>
        <w:t>au sein d</w:t>
      </w:r>
      <w:r w:rsidR="00E92BB5">
        <w:rPr>
          <w:rFonts w:cs="Arial"/>
          <w:szCs w:val="22"/>
        </w:rPr>
        <w:t>’</w:t>
      </w:r>
      <w:r>
        <w:rPr>
          <w:rFonts w:cs="Arial"/>
          <w:szCs w:val="22"/>
        </w:rPr>
        <w:t>un</w:t>
      </w:r>
      <w:r w:rsidRPr="00ED129C">
        <w:rPr>
          <w:rFonts w:cs="Arial"/>
          <w:szCs w:val="22"/>
        </w:rPr>
        <w:t xml:space="preserve"> cadre coh</w:t>
      </w:r>
      <w:r>
        <w:rPr>
          <w:rFonts w:cs="Arial"/>
          <w:szCs w:val="22"/>
        </w:rPr>
        <w:t>é</w:t>
      </w:r>
      <w:r w:rsidRPr="00ED129C">
        <w:rPr>
          <w:rFonts w:cs="Arial"/>
          <w:szCs w:val="22"/>
        </w:rPr>
        <w:t xml:space="preserve">rent </w:t>
      </w:r>
      <w:r>
        <w:rPr>
          <w:rFonts w:cs="Arial"/>
          <w:szCs w:val="22"/>
        </w:rPr>
        <w:t>permettant de prendre en compte, dans la</w:t>
      </w:r>
      <w:r w:rsidRPr="00ED129C">
        <w:rPr>
          <w:rFonts w:cs="Arial"/>
          <w:szCs w:val="22"/>
        </w:rPr>
        <w:t xml:space="preserve"> planification et </w:t>
      </w:r>
      <w:r>
        <w:rPr>
          <w:rFonts w:cs="Arial"/>
          <w:szCs w:val="22"/>
        </w:rPr>
        <w:t xml:space="preserve">la </w:t>
      </w:r>
      <w:r w:rsidRPr="00ED129C">
        <w:rPr>
          <w:rFonts w:cs="Arial"/>
          <w:szCs w:val="22"/>
        </w:rPr>
        <w:t>gestion durables de l</w:t>
      </w:r>
      <w:r w:rsidR="00E92BB5">
        <w:rPr>
          <w:rFonts w:cs="Arial"/>
          <w:szCs w:val="22"/>
        </w:rPr>
        <w:t>’</w:t>
      </w:r>
      <w:r w:rsidRPr="00ED129C">
        <w:rPr>
          <w:rFonts w:cs="Arial"/>
          <w:szCs w:val="22"/>
        </w:rPr>
        <w:t>océan</w:t>
      </w:r>
      <w:r>
        <w:rPr>
          <w:rFonts w:cs="Arial"/>
          <w:szCs w:val="22"/>
        </w:rPr>
        <w:t>, la valeur économique de l</w:t>
      </w:r>
      <w:r w:rsidR="00E92BB5">
        <w:rPr>
          <w:rFonts w:cs="Arial"/>
          <w:szCs w:val="22"/>
        </w:rPr>
        <w:t>’</w:t>
      </w:r>
      <w:r>
        <w:rPr>
          <w:rFonts w:cs="Arial"/>
          <w:szCs w:val="22"/>
        </w:rPr>
        <w:t xml:space="preserve">océan, mais aussi de mesurer et de protéger la valeur des actifs naturels de cet écosystème. </w:t>
      </w:r>
      <w:r w:rsidRPr="00657219">
        <w:rPr>
          <w:rFonts w:cs="Arial"/>
          <w:szCs w:val="22"/>
        </w:rPr>
        <w:t xml:space="preserve">Une articulation avec les </w:t>
      </w:r>
      <w:r>
        <w:rPr>
          <w:rFonts w:cs="Arial"/>
          <w:szCs w:val="22"/>
        </w:rPr>
        <w:t xml:space="preserve">divers </w:t>
      </w:r>
      <w:r w:rsidRPr="00657219">
        <w:rPr>
          <w:rFonts w:cs="Arial"/>
          <w:szCs w:val="22"/>
        </w:rPr>
        <w:t xml:space="preserve">cadres existants </w:t>
      </w:r>
      <w:r>
        <w:rPr>
          <w:rFonts w:cs="Arial"/>
          <w:szCs w:val="22"/>
        </w:rPr>
        <w:t>en la matière</w:t>
      </w:r>
      <w:r w:rsidRPr="00657219">
        <w:rPr>
          <w:rFonts w:cs="Arial"/>
          <w:szCs w:val="22"/>
        </w:rPr>
        <w:t xml:space="preserve">, tels que les plans </w:t>
      </w:r>
      <w:r>
        <w:rPr>
          <w:rFonts w:cs="Arial"/>
          <w:szCs w:val="22"/>
        </w:rPr>
        <w:t>de gestion</w:t>
      </w:r>
      <w:r w:rsidRPr="00657219">
        <w:rPr>
          <w:rFonts w:cs="Arial"/>
          <w:szCs w:val="22"/>
        </w:rPr>
        <w:t xml:space="preserve"> durable </w:t>
      </w:r>
      <w:r>
        <w:rPr>
          <w:rFonts w:cs="Arial"/>
          <w:szCs w:val="22"/>
        </w:rPr>
        <w:t>de l</w:t>
      </w:r>
      <w:r w:rsidR="00E92BB5">
        <w:rPr>
          <w:rFonts w:cs="Arial"/>
          <w:szCs w:val="22"/>
        </w:rPr>
        <w:t>’</w:t>
      </w:r>
      <w:r w:rsidRPr="00657219">
        <w:rPr>
          <w:rFonts w:cs="Arial"/>
          <w:szCs w:val="22"/>
        </w:rPr>
        <w:t xml:space="preserve">océan, les feuilles de route </w:t>
      </w:r>
      <w:r>
        <w:rPr>
          <w:rFonts w:cs="Arial"/>
          <w:szCs w:val="22"/>
        </w:rPr>
        <w:t>s</w:t>
      </w:r>
      <w:r w:rsidRPr="00657219">
        <w:rPr>
          <w:rFonts w:cs="Arial"/>
          <w:szCs w:val="22"/>
        </w:rPr>
        <w:t>ur l</w:t>
      </w:r>
      <w:r w:rsidR="00E92BB5">
        <w:rPr>
          <w:rFonts w:cs="Arial"/>
          <w:szCs w:val="22"/>
        </w:rPr>
        <w:t>’</w:t>
      </w:r>
      <w:r w:rsidRPr="00657219">
        <w:rPr>
          <w:rFonts w:cs="Arial"/>
          <w:szCs w:val="22"/>
        </w:rPr>
        <w:t>économie bleue, l</w:t>
      </w:r>
      <w:r>
        <w:rPr>
          <w:rFonts w:cs="Arial"/>
          <w:szCs w:val="22"/>
        </w:rPr>
        <w:t>es c</w:t>
      </w:r>
      <w:r w:rsidRPr="00657219">
        <w:rPr>
          <w:rFonts w:cs="Arial"/>
          <w:szCs w:val="22"/>
        </w:rPr>
        <w:t>ompt</w:t>
      </w:r>
      <w:r>
        <w:rPr>
          <w:rFonts w:cs="Arial"/>
          <w:szCs w:val="22"/>
        </w:rPr>
        <w:t>es</w:t>
      </w:r>
      <w:r w:rsidRPr="00657219">
        <w:rPr>
          <w:rFonts w:cs="Arial"/>
          <w:szCs w:val="22"/>
        </w:rPr>
        <w:t xml:space="preserve"> nationa</w:t>
      </w:r>
      <w:r>
        <w:rPr>
          <w:rFonts w:cs="Arial"/>
          <w:szCs w:val="22"/>
        </w:rPr>
        <w:t xml:space="preserve">ux relatifs aux </w:t>
      </w:r>
      <w:r w:rsidRPr="00657219">
        <w:rPr>
          <w:rFonts w:cs="Arial"/>
          <w:szCs w:val="22"/>
        </w:rPr>
        <w:t xml:space="preserve">océans et les évaluations du capital naturel, </w:t>
      </w:r>
      <w:r>
        <w:rPr>
          <w:rFonts w:cs="Arial"/>
          <w:szCs w:val="22"/>
        </w:rPr>
        <w:t>accroî</w:t>
      </w:r>
      <w:r w:rsidRPr="00657219">
        <w:rPr>
          <w:rFonts w:cs="Arial"/>
          <w:szCs w:val="22"/>
        </w:rPr>
        <w:t xml:space="preserve">trait </w:t>
      </w:r>
      <w:r>
        <w:rPr>
          <w:rFonts w:cs="Arial"/>
          <w:szCs w:val="22"/>
        </w:rPr>
        <w:t>encore son</w:t>
      </w:r>
      <w:r w:rsidRPr="00657219">
        <w:rPr>
          <w:rFonts w:cs="Arial"/>
          <w:szCs w:val="22"/>
        </w:rPr>
        <w:t xml:space="preserve"> influence</w:t>
      </w:r>
      <w:r w:rsidRPr="00ED129C">
        <w:rPr>
          <w:rFonts w:cs="Arial"/>
          <w:szCs w:val="22"/>
        </w:rPr>
        <w:t xml:space="preserve">. </w:t>
      </w:r>
    </w:p>
    <w:p w14:paraId="5FE80253" w14:textId="7250B96A" w:rsidR="006F490E" w:rsidRPr="00B20EF4" w:rsidRDefault="006F490E" w:rsidP="004019AD">
      <w:pPr>
        <w:pStyle w:val="Marge"/>
        <w:keepNext/>
        <w:keepLines/>
        <w:rPr>
          <w:rFonts w:cs="Arial"/>
          <w:szCs w:val="22"/>
        </w:rPr>
      </w:pPr>
      <w:r>
        <w:rPr>
          <w:rFonts w:cs="Arial"/>
          <w:szCs w:val="22"/>
        </w:rPr>
        <w:lastRenderedPageBreak/>
        <w:t>17.</w:t>
      </w:r>
      <w:r>
        <w:rPr>
          <w:rFonts w:cs="Arial"/>
          <w:szCs w:val="22"/>
        </w:rPr>
        <w:tab/>
      </w:r>
      <w:r w:rsidRPr="00657219">
        <w:rPr>
          <w:rFonts w:cs="Arial"/>
          <w:szCs w:val="22"/>
        </w:rPr>
        <w:t>La COI a pour mission</w:t>
      </w:r>
      <w:r>
        <w:rPr>
          <w:rFonts w:cs="Arial"/>
          <w:szCs w:val="22"/>
        </w:rPr>
        <w:t xml:space="preserve"> propre</w:t>
      </w:r>
      <w:r w:rsidRPr="00657219">
        <w:rPr>
          <w:rFonts w:cs="Arial"/>
          <w:szCs w:val="22"/>
        </w:rPr>
        <w:t xml:space="preserve"> de promouvoir la coopération internationale en matière d</w:t>
      </w:r>
      <w:r w:rsidR="00E92BB5">
        <w:rPr>
          <w:rFonts w:cs="Arial"/>
          <w:szCs w:val="22"/>
        </w:rPr>
        <w:t>’</w:t>
      </w:r>
      <w:r w:rsidRPr="00657219">
        <w:rPr>
          <w:rFonts w:cs="Arial"/>
          <w:szCs w:val="22"/>
        </w:rPr>
        <w:t>océanographie, d</w:t>
      </w:r>
      <w:r w:rsidR="00E92BB5">
        <w:rPr>
          <w:rFonts w:cs="Arial"/>
          <w:szCs w:val="22"/>
        </w:rPr>
        <w:t>’</w:t>
      </w:r>
      <w:r w:rsidRPr="00657219">
        <w:rPr>
          <w:rFonts w:cs="Arial"/>
          <w:szCs w:val="22"/>
        </w:rPr>
        <w:t>observation et de développement des capacités. El</w:t>
      </w:r>
      <w:r>
        <w:rPr>
          <w:rFonts w:cs="Arial"/>
          <w:szCs w:val="22"/>
        </w:rPr>
        <w:t xml:space="preserve">le est la mieux à même de fournir une </w:t>
      </w:r>
      <w:r w:rsidRPr="00657219">
        <w:rPr>
          <w:rFonts w:cs="Arial"/>
          <w:szCs w:val="22"/>
        </w:rPr>
        <w:t xml:space="preserve">assistance technique et </w:t>
      </w:r>
      <w:r>
        <w:rPr>
          <w:rFonts w:cs="Arial"/>
          <w:szCs w:val="22"/>
        </w:rPr>
        <w:t xml:space="preserve">des avis </w:t>
      </w:r>
      <w:r w:rsidRPr="00657219">
        <w:rPr>
          <w:rFonts w:cs="Arial"/>
          <w:szCs w:val="22"/>
        </w:rPr>
        <w:t>scientifi</w:t>
      </w:r>
      <w:r>
        <w:rPr>
          <w:rFonts w:cs="Arial"/>
          <w:szCs w:val="22"/>
        </w:rPr>
        <w:t>ques aux fins de l</w:t>
      </w:r>
      <w:r w:rsidR="00E92BB5">
        <w:rPr>
          <w:rFonts w:cs="Arial"/>
          <w:szCs w:val="22"/>
        </w:rPr>
        <w:t>’</w:t>
      </w:r>
      <w:r>
        <w:rPr>
          <w:rFonts w:cs="Arial"/>
          <w:szCs w:val="22"/>
        </w:rPr>
        <w:t xml:space="preserve">élaboration de </w:t>
      </w:r>
      <w:r w:rsidRPr="00657219">
        <w:rPr>
          <w:rFonts w:cs="Arial"/>
          <w:szCs w:val="22"/>
        </w:rPr>
        <w:t>politiques marine</w:t>
      </w:r>
      <w:r>
        <w:rPr>
          <w:rFonts w:cs="Arial"/>
          <w:szCs w:val="22"/>
        </w:rPr>
        <w:t>s</w:t>
      </w:r>
      <w:r w:rsidRPr="00657219">
        <w:rPr>
          <w:rFonts w:cs="Arial"/>
          <w:szCs w:val="22"/>
        </w:rPr>
        <w:t xml:space="preserve"> </w:t>
      </w:r>
      <w:r>
        <w:rPr>
          <w:rFonts w:cs="Arial"/>
          <w:szCs w:val="22"/>
        </w:rPr>
        <w:t>touchant la</w:t>
      </w:r>
      <w:r w:rsidRPr="00657219">
        <w:rPr>
          <w:rFonts w:cs="Arial"/>
          <w:szCs w:val="22"/>
        </w:rPr>
        <w:t xml:space="preserve"> planification et </w:t>
      </w:r>
      <w:r>
        <w:rPr>
          <w:rFonts w:cs="Arial"/>
          <w:szCs w:val="22"/>
        </w:rPr>
        <w:t xml:space="preserve">la </w:t>
      </w:r>
      <w:r w:rsidRPr="00657219">
        <w:rPr>
          <w:rFonts w:cs="Arial"/>
          <w:szCs w:val="22"/>
        </w:rPr>
        <w:t>gestion durables de l</w:t>
      </w:r>
      <w:r w:rsidR="00E92BB5">
        <w:rPr>
          <w:rFonts w:cs="Arial"/>
          <w:szCs w:val="22"/>
        </w:rPr>
        <w:t>’</w:t>
      </w:r>
      <w:r w:rsidRPr="00657219">
        <w:rPr>
          <w:rFonts w:cs="Arial"/>
          <w:szCs w:val="22"/>
        </w:rPr>
        <w:t xml:space="preserve">océan. </w:t>
      </w:r>
      <w:r w:rsidRPr="00B20EF4">
        <w:rPr>
          <w:rFonts w:cs="Arial"/>
          <w:szCs w:val="22"/>
        </w:rPr>
        <w:t>Ses connaissances spécialisées lui permettent de co</w:t>
      </w:r>
      <w:r>
        <w:rPr>
          <w:rFonts w:cs="Arial"/>
          <w:szCs w:val="22"/>
        </w:rPr>
        <w:t xml:space="preserve">ntribuer à la conception de </w:t>
      </w:r>
      <w:r w:rsidRPr="00B20EF4">
        <w:rPr>
          <w:rFonts w:cs="Arial"/>
          <w:szCs w:val="22"/>
        </w:rPr>
        <w:t xml:space="preserve">stratégies et </w:t>
      </w:r>
      <w:r>
        <w:rPr>
          <w:rFonts w:cs="Arial"/>
          <w:szCs w:val="22"/>
        </w:rPr>
        <w:t xml:space="preserve">de </w:t>
      </w:r>
      <w:r w:rsidRPr="00B20EF4">
        <w:rPr>
          <w:rFonts w:cs="Arial"/>
          <w:szCs w:val="22"/>
        </w:rPr>
        <w:t>plans</w:t>
      </w:r>
      <w:r>
        <w:rPr>
          <w:rFonts w:cs="Arial"/>
          <w:szCs w:val="22"/>
        </w:rPr>
        <w:t xml:space="preserve"> fondés sur des données d</w:t>
      </w:r>
      <w:r w:rsidR="00E92BB5">
        <w:rPr>
          <w:rFonts w:cs="Arial"/>
          <w:szCs w:val="22"/>
        </w:rPr>
        <w:t>’</w:t>
      </w:r>
      <w:r>
        <w:rPr>
          <w:rFonts w:cs="Arial"/>
          <w:szCs w:val="22"/>
        </w:rPr>
        <w:t>observation</w:t>
      </w:r>
      <w:r w:rsidRPr="00B20EF4">
        <w:rPr>
          <w:rFonts w:cs="Arial"/>
          <w:szCs w:val="22"/>
        </w:rPr>
        <w:t>, e</w:t>
      </w:r>
      <w:r>
        <w:rPr>
          <w:rFonts w:cs="Arial"/>
          <w:szCs w:val="22"/>
        </w:rPr>
        <w:t>t d</w:t>
      </w:r>
      <w:r w:rsidR="00E92BB5">
        <w:rPr>
          <w:rFonts w:cs="Arial"/>
          <w:szCs w:val="22"/>
        </w:rPr>
        <w:t>’</w:t>
      </w:r>
      <w:r>
        <w:rPr>
          <w:rFonts w:cs="Arial"/>
          <w:szCs w:val="22"/>
        </w:rPr>
        <w:t>assurer ainsi la prise en compte</w:t>
      </w:r>
      <w:r w:rsidRPr="00B20EF4">
        <w:rPr>
          <w:rFonts w:cs="Arial"/>
          <w:szCs w:val="22"/>
        </w:rPr>
        <w:t xml:space="preserve"> </w:t>
      </w:r>
      <w:r>
        <w:rPr>
          <w:rFonts w:cs="Arial"/>
          <w:szCs w:val="22"/>
        </w:rPr>
        <w:t>des</w:t>
      </w:r>
      <w:r w:rsidRPr="00B20EF4">
        <w:rPr>
          <w:rFonts w:cs="Arial"/>
          <w:szCs w:val="22"/>
        </w:rPr>
        <w:t xml:space="preserve"> </w:t>
      </w:r>
      <w:r>
        <w:rPr>
          <w:rFonts w:cs="Arial"/>
          <w:szCs w:val="22"/>
        </w:rPr>
        <w:t>principe</w:t>
      </w:r>
      <w:r w:rsidRPr="00B20EF4">
        <w:rPr>
          <w:rFonts w:cs="Arial"/>
          <w:szCs w:val="22"/>
        </w:rPr>
        <w:t xml:space="preserve">s </w:t>
      </w:r>
      <w:r>
        <w:rPr>
          <w:rFonts w:cs="Arial"/>
          <w:szCs w:val="22"/>
        </w:rPr>
        <w:t>scientifique</w:t>
      </w:r>
      <w:r w:rsidR="007B408C">
        <w:rPr>
          <w:rFonts w:cs="Arial"/>
          <w:szCs w:val="22"/>
        </w:rPr>
        <w:t>s</w:t>
      </w:r>
      <w:r w:rsidRPr="00B20EF4">
        <w:rPr>
          <w:rFonts w:cs="Arial"/>
          <w:szCs w:val="22"/>
        </w:rPr>
        <w:t xml:space="preserve"> et </w:t>
      </w:r>
      <w:r>
        <w:rPr>
          <w:rFonts w:cs="Arial"/>
          <w:szCs w:val="22"/>
        </w:rPr>
        <w:t>des meilleures</w:t>
      </w:r>
      <w:r w:rsidRPr="00B20EF4">
        <w:rPr>
          <w:rFonts w:cs="Arial"/>
          <w:szCs w:val="22"/>
        </w:rPr>
        <w:t xml:space="preserve"> pratiques </w:t>
      </w:r>
      <w:r>
        <w:rPr>
          <w:rFonts w:cs="Arial"/>
          <w:szCs w:val="22"/>
        </w:rPr>
        <w:t>dans les</w:t>
      </w:r>
      <w:r w:rsidRPr="00B20EF4">
        <w:rPr>
          <w:rFonts w:cs="Arial"/>
          <w:szCs w:val="22"/>
        </w:rPr>
        <w:t xml:space="preserve"> </w:t>
      </w:r>
      <w:r>
        <w:rPr>
          <w:rFonts w:cs="Arial"/>
          <w:szCs w:val="22"/>
        </w:rPr>
        <w:t>processus décisionnels</w:t>
      </w:r>
      <w:r w:rsidRPr="00B20EF4">
        <w:rPr>
          <w:rFonts w:cs="Arial"/>
          <w:szCs w:val="22"/>
        </w:rPr>
        <w:t>.</w:t>
      </w:r>
    </w:p>
    <w:p w14:paraId="62AE0843" w14:textId="2A4D694B" w:rsidR="006F490E" w:rsidRPr="00B20EF4" w:rsidRDefault="006F490E" w:rsidP="006F490E">
      <w:pPr>
        <w:pStyle w:val="Marge"/>
        <w:rPr>
          <w:rFonts w:cs="Arial"/>
          <w:szCs w:val="22"/>
        </w:rPr>
      </w:pPr>
      <w:r>
        <w:rPr>
          <w:rFonts w:cs="Arial"/>
          <w:szCs w:val="22"/>
        </w:rPr>
        <w:t>18.</w:t>
      </w:r>
      <w:r>
        <w:rPr>
          <w:rFonts w:cs="Arial"/>
          <w:szCs w:val="22"/>
        </w:rPr>
        <w:tab/>
        <w:t xml:space="preserve">La COI met en </w:t>
      </w:r>
      <w:r w:rsidR="00E92BB5">
        <w:rPr>
          <w:rFonts w:cs="Arial"/>
          <w:szCs w:val="22"/>
        </w:rPr>
        <w:t>œuvre</w:t>
      </w:r>
      <w:r>
        <w:rPr>
          <w:rFonts w:cs="Arial"/>
          <w:szCs w:val="22"/>
        </w:rPr>
        <w:t xml:space="preserve"> </w:t>
      </w:r>
      <w:r w:rsidRPr="00B20EF4">
        <w:rPr>
          <w:rFonts w:cs="Arial"/>
          <w:szCs w:val="22"/>
        </w:rPr>
        <w:t>un certain nombre d</w:t>
      </w:r>
      <w:r w:rsidR="00E92BB5">
        <w:rPr>
          <w:rFonts w:cs="Arial"/>
          <w:szCs w:val="22"/>
        </w:rPr>
        <w:t>’</w:t>
      </w:r>
      <w:r w:rsidRPr="00B20EF4">
        <w:rPr>
          <w:rFonts w:cs="Arial"/>
          <w:szCs w:val="22"/>
        </w:rPr>
        <w:t xml:space="preserve">initiatives </w:t>
      </w:r>
      <w:r>
        <w:rPr>
          <w:rFonts w:cs="Arial"/>
          <w:szCs w:val="22"/>
        </w:rPr>
        <w:t>qui contribuent à la</w:t>
      </w:r>
      <w:r w:rsidRPr="00B20EF4">
        <w:rPr>
          <w:rFonts w:cs="Arial"/>
          <w:szCs w:val="22"/>
        </w:rPr>
        <w:t xml:space="preserve"> planification </w:t>
      </w:r>
      <w:r>
        <w:rPr>
          <w:rFonts w:cs="Arial"/>
          <w:szCs w:val="22"/>
        </w:rPr>
        <w:t>de l</w:t>
      </w:r>
      <w:r w:rsidR="00E92BB5">
        <w:rPr>
          <w:rFonts w:cs="Arial"/>
          <w:szCs w:val="22"/>
        </w:rPr>
        <w:t>’</w:t>
      </w:r>
      <w:r>
        <w:rPr>
          <w:rFonts w:cs="Arial"/>
          <w:szCs w:val="22"/>
        </w:rPr>
        <w:t xml:space="preserve">espace marin </w:t>
      </w:r>
      <w:r w:rsidRPr="00B20EF4">
        <w:rPr>
          <w:rFonts w:cs="Arial"/>
          <w:szCs w:val="22"/>
        </w:rPr>
        <w:t xml:space="preserve">et </w:t>
      </w:r>
      <w:r>
        <w:rPr>
          <w:rFonts w:cs="Arial"/>
          <w:szCs w:val="22"/>
        </w:rPr>
        <w:t xml:space="preserve">à la </w:t>
      </w:r>
      <w:r w:rsidRPr="00B20EF4">
        <w:rPr>
          <w:rFonts w:cs="Arial"/>
          <w:szCs w:val="22"/>
        </w:rPr>
        <w:t xml:space="preserve">gestion durable de </w:t>
      </w:r>
      <w:r>
        <w:rPr>
          <w:rFonts w:cs="Arial"/>
          <w:szCs w:val="22"/>
        </w:rPr>
        <w:t>l</w:t>
      </w:r>
      <w:r w:rsidR="00E92BB5">
        <w:rPr>
          <w:rFonts w:cs="Arial"/>
          <w:szCs w:val="22"/>
        </w:rPr>
        <w:t>’</w:t>
      </w:r>
      <w:r>
        <w:rPr>
          <w:rFonts w:cs="Arial"/>
          <w:szCs w:val="22"/>
        </w:rPr>
        <w:t>océan au</w:t>
      </w:r>
      <w:r w:rsidR="00885486">
        <w:rPr>
          <w:rFonts w:cs="Arial"/>
          <w:szCs w:val="22"/>
        </w:rPr>
        <w:t>x</w:t>
      </w:r>
      <w:r>
        <w:rPr>
          <w:rFonts w:cs="Arial"/>
          <w:szCs w:val="22"/>
        </w:rPr>
        <w:t xml:space="preserve"> niveau</w:t>
      </w:r>
      <w:r w:rsidR="00885486">
        <w:rPr>
          <w:rFonts w:cs="Arial"/>
          <w:szCs w:val="22"/>
        </w:rPr>
        <w:t>x</w:t>
      </w:r>
      <w:r>
        <w:rPr>
          <w:rFonts w:cs="Arial"/>
          <w:szCs w:val="22"/>
        </w:rPr>
        <w:t xml:space="preserve"> national et transnational</w:t>
      </w:r>
      <w:r w:rsidRPr="00B20EF4">
        <w:rPr>
          <w:rFonts w:cs="Arial"/>
          <w:szCs w:val="22"/>
        </w:rPr>
        <w:t>. Regrouper ces initiatives, et d</w:t>
      </w:r>
      <w:r w:rsidR="00E92BB5">
        <w:rPr>
          <w:rFonts w:cs="Arial"/>
          <w:szCs w:val="22"/>
        </w:rPr>
        <w:t>’</w:t>
      </w:r>
      <w:r w:rsidRPr="00B20EF4">
        <w:rPr>
          <w:rFonts w:cs="Arial"/>
          <w:szCs w:val="22"/>
        </w:rPr>
        <w:t>autres encore</w:t>
      </w:r>
      <w:r>
        <w:rPr>
          <w:rFonts w:cs="Arial"/>
          <w:szCs w:val="22"/>
        </w:rPr>
        <w:t xml:space="preserve">, dans une </w:t>
      </w:r>
      <w:r w:rsidRPr="00B20EF4">
        <w:rPr>
          <w:rFonts w:cs="Arial"/>
          <w:szCs w:val="22"/>
        </w:rPr>
        <w:t xml:space="preserve">stratégie </w:t>
      </w:r>
      <w:r>
        <w:rPr>
          <w:rFonts w:cs="Arial"/>
          <w:szCs w:val="22"/>
        </w:rPr>
        <w:t>à l</w:t>
      </w:r>
      <w:r w:rsidR="00E92BB5">
        <w:rPr>
          <w:rFonts w:cs="Arial"/>
          <w:szCs w:val="22"/>
        </w:rPr>
        <w:t>’</w:t>
      </w:r>
      <w:r>
        <w:rPr>
          <w:rFonts w:cs="Arial"/>
          <w:szCs w:val="22"/>
        </w:rPr>
        <w:t>échelle de l</w:t>
      </w:r>
      <w:r w:rsidR="00E92BB5">
        <w:rPr>
          <w:rFonts w:cs="Arial"/>
          <w:szCs w:val="22"/>
        </w:rPr>
        <w:t>’</w:t>
      </w:r>
      <w:r w:rsidRPr="00B20EF4">
        <w:rPr>
          <w:rFonts w:cs="Arial"/>
          <w:szCs w:val="22"/>
        </w:rPr>
        <w:t xml:space="preserve">organisation, </w:t>
      </w:r>
      <w:r>
        <w:rPr>
          <w:rFonts w:cs="Arial"/>
          <w:szCs w:val="22"/>
        </w:rPr>
        <w:t>en soulignant l</w:t>
      </w:r>
      <w:r w:rsidR="00E92BB5">
        <w:rPr>
          <w:rFonts w:cs="Arial"/>
          <w:szCs w:val="22"/>
        </w:rPr>
        <w:t>’</w:t>
      </w:r>
      <w:r>
        <w:rPr>
          <w:rFonts w:cs="Arial"/>
          <w:szCs w:val="22"/>
        </w:rPr>
        <w:t xml:space="preserve">apport possible de ses programmes à la </w:t>
      </w:r>
      <w:r w:rsidRPr="00B20EF4">
        <w:rPr>
          <w:rFonts w:cs="Arial"/>
          <w:szCs w:val="22"/>
        </w:rPr>
        <w:t xml:space="preserve">planification et </w:t>
      </w:r>
      <w:r>
        <w:rPr>
          <w:rFonts w:cs="Arial"/>
          <w:szCs w:val="22"/>
        </w:rPr>
        <w:t xml:space="preserve">à la </w:t>
      </w:r>
      <w:r w:rsidRPr="00B20EF4">
        <w:rPr>
          <w:rFonts w:cs="Arial"/>
          <w:szCs w:val="22"/>
        </w:rPr>
        <w:t>gestion durables de l</w:t>
      </w:r>
      <w:r w:rsidR="00E92BB5">
        <w:rPr>
          <w:rFonts w:cs="Arial"/>
          <w:szCs w:val="22"/>
        </w:rPr>
        <w:t>’</w:t>
      </w:r>
      <w:r w:rsidRPr="00B20EF4">
        <w:rPr>
          <w:rFonts w:cs="Arial"/>
          <w:szCs w:val="22"/>
        </w:rPr>
        <w:t xml:space="preserve">océan </w:t>
      </w:r>
      <w:r>
        <w:rPr>
          <w:rFonts w:cs="Arial"/>
          <w:szCs w:val="22"/>
        </w:rPr>
        <w:t xml:space="preserve">accroîtra la valeur de chacune de ces </w:t>
      </w:r>
      <w:r w:rsidRPr="00B20EF4">
        <w:rPr>
          <w:rFonts w:cs="Arial"/>
          <w:szCs w:val="22"/>
        </w:rPr>
        <w:t xml:space="preserve">initiatives et </w:t>
      </w:r>
      <w:r>
        <w:rPr>
          <w:rFonts w:cs="Arial"/>
          <w:szCs w:val="22"/>
        </w:rPr>
        <w:t>de l</w:t>
      </w:r>
      <w:r w:rsidR="00E92BB5">
        <w:rPr>
          <w:rFonts w:cs="Arial"/>
          <w:szCs w:val="22"/>
        </w:rPr>
        <w:t>’</w:t>
      </w:r>
      <w:r w:rsidRPr="00B20EF4">
        <w:rPr>
          <w:rFonts w:cs="Arial"/>
          <w:szCs w:val="22"/>
        </w:rPr>
        <w:t xml:space="preserve">organisation </w:t>
      </w:r>
      <w:r>
        <w:rPr>
          <w:rFonts w:cs="Arial"/>
          <w:szCs w:val="22"/>
        </w:rPr>
        <w:t>tout entière</w:t>
      </w:r>
      <w:r w:rsidRPr="00B20EF4">
        <w:rPr>
          <w:rFonts w:cs="Arial"/>
          <w:szCs w:val="22"/>
        </w:rPr>
        <w:t>. L</w:t>
      </w:r>
      <w:r w:rsidR="00E92BB5">
        <w:rPr>
          <w:rFonts w:cs="Arial"/>
          <w:szCs w:val="22"/>
        </w:rPr>
        <w:t>’</w:t>
      </w:r>
      <w:r w:rsidRPr="00B20EF4">
        <w:rPr>
          <w:rFonts w:cs="Arial"/>
          <w:szCs w:val="22"/>
        </w:rPr>
        <w:t>élaboration de la stratégie sera l</w:t>
      </w:r>
      <w:r w:rsidR="00E92BB5">
        <w:rPr>
          <w:rFonts w:cs="Arial"/>
          <w:szCs w:val="22"/>
        </w:rPr>
        <w:t>’</w:t>
      </w:r>
      <w:r w:rsidRPr="00B20EF4">
        <w:rPr>
          <w:rFonts w:cs="Arial"/>
          <w:szCs w:val="22"/>
        </w:rPr>
        <w:t xml:space="preserve">occasion de recenser </w:t>
      </w:r>
      <w:r>
        <w:rPr>
          <w:rFonts w:cs="Arial"/>
          <w:szCs w:val="22"/>
        </w:rPr>
        <w:t>et d</w:t>
      </w:r>
      <w:r w:rsidR="00E92BB5">
        <w:rPr>
          <w:rFonts w:cs="Arial"/>
          <w:szCs w:val="22"/>
        </w:rPr>
        <w:t>’</w:t>
      </w:r>
      <w:r>
        <w:rPr>
          <w:rFonts w:cs="Arial"/>
          <w:szCs w:val="22"/>
        </w:rPr>
        <w:t>examiner</w:t>
      </w:r>
      <w:r w:rsidRPr="00B20EF4">
        <w:rPr>
          <w:rFonts w:cs="Arial"/>
          <w:szCs w:val="22"/>
        </w:rPr>
        <w:t xml:space="preserve"> ce</w:t>
      </w:r>
      <w:r>
        <w:rPr>
          <w:rFonts w:cs="Arial"/>
          <w:szCs w:val="22"/>
        </w:rPr>
        <w:t>s initiatives</w:t>
      </w:r>
      <w:r w:rsidRPr="00B20EF4">
        <w:rPr>
          <w:rFonts w:cs="Arial"/>
          <w:szCs w:val="22"/>
        </w:rPr>
        <w:t>.</w:t>
      </w:r>
    </w:p>
    <w:p w14:paraId="497FD193" w14:textId="3B2D5ED5" w:rsidR="006F490E" w:rsidRPr="00B20EF4" w:rsidRDefault="006F490E" w:rsidP="006F490E">
      <w:pPr>
        <w:pStyle w:val="Heading1"/>
        <w:jc w:val="both"/>
        <w:rPr>
          <w:rFonts w:cs="Arial"/>
          <w:b w:val="0"/>
          <w:bCs w:val="0"/>
          <w:color w:val="000000" w:themeColor="text1"/>
          <w:szCs w:val="22"/>
        </w:rPr>
      </w:pPr>
      <w:bookmarkStart w:id="8" w:name="_Toc135566131"/>
      <w:bookmarkStart w:id="9" w:name="_Toc136185731"/>
      <w:r w:rsidRPr="00B20EF4">
        <w:rPr>
          <w:rFonts w:cs="Arial"/>
          <w:color w:val="000000" w:themeColor="text1"/>
          <w:szCs w:val="22"/>
        </w:rPr>
        <w:t>Une stratégie à l</w:t>
      </w:r>
      <w:r w:rsidR="00E92BB5">
        <w:rPr>
          <w:rFonts w:cs="Arial"/>
          <w:color w:val="000000" w:themeColor="text1"/>
          <w:szCs w:val="22"/>
        </w:rPr>
        <w:t>’</w:t>
      </w:r>
      <w:r w:rsidRPr="00B20EF4">
        <w:rPr>
          <w:rFonts w:cs="Arial"/>
          <w:color w:val="000000" w:themeColor="text1"/>
          <w:szCs w:val="22"/>
        </w:rPr>
        <w:t>échelle de la</w:t>
      </w:r>
      <w:r>
        <w:rPr>
          <w:rFonts w:cs="Arial"/>
          <w:color w:val="000000" w:themeColor="text1"/>
          <w:szCs w:val="22"/>
        </w:rPr>
        <w:t xml:space="preserve"> COI sur la planification et la gestion durables de l</w:t>
      </w:r>
      <w:r w:rsidR="00E92BB5">
        <w:rPr>
          <w:rFonts w:cs="Arial"/>
          <w:color w:val="000000" w:themeColor="text1"/>
          <w:szCs w:val="22"/>
        </w:rPr>
        <w:t>’</w:t>
      </w:r>
      <w:r>
        <w:rPr>
          <w:rFonts w:cs="Arial"/>
          <w:color w:val="000000" w:themeColor="text1"/>
          <w:szCs w:val="22"/>
        </w:rPr>
        <w:t>océan : réflexion initiale</w:t>
      </w:r>
      <w:bookmarkEnd w:id="8"/>
      <w:bookmarkEnd w:id="9"/>
    </w:p>
    <w:p w14:paraId="4797C912" w14:textId="1F13AAF3" w:rsidR="006F490E" w:rsidRPr="008B57D2" w:rsidRDefault="006F490E" w:rsidP="006F490E">
      <w:pPr>
        <w:pStyle w:val="Marge"/>
        <w:rPr>
          <w:rFonts w:cs="Arial"/>
          <w:szCs w:val="22"/>
        </w:rPr>
      </w:pPr>
      <w:r>
        <w:rPr>
          <w:rFonts w:cs="Arial"/>
          <w:szCs w:val="22"/>
        </w:rPr>
        <w:t>19.</w:t>
      </w:r>
      <w:r>
        <w:rPr>
          <w:rFonts w:cs="Arial"/>
          <w:szCs w:val="22"/>
        </w:rPr>
        <w:tab/>
      </w:r>
      <w:r w:rsidRPr="008C2512">
        <w:rPr>
          <w:rFonts w:cs="Arial"/>
          <w:szCs w:val="22"/>
        </w:rPr>
        <w:t>L</w:t>
      </w:r>
      <w:r w:rsidR="00E92BB5">
        <w:rPr>
          <w:rFonts w:cs="Arial"/>
          <w:szCs w:val="22"/>
        </w:rPr>
        <w:t>’</w:t>
      </w:r>
      <w:r w:rsidRPr="008C2512">
        <w:rPr>
          <w:rFonts w:cs="Arial"/>
          <w:szCs w:val="22"/>
        </w:rPr>
        <w:t>élaboration d</w:t>
      </w:r>
      <w:r w:rsidR="00E92BB5">
        <w:rPr>
          <w:rFonts w:cs="Arial"/>
          <w:szCs w:val="22"/>
        </w:rPr>
        <w:t>’</w:t>
      </w:r>
      <w:r w:rsidRPr="008C2512">
        <w:rPr>
          <w:rFonts w:cs="Arial"/>
          <w:szCs w:val="22"/>
        </w:rPr>
        <w:t xml:space="preserve">une stratégie </w:t>
      </w:r>
      <w:r>
        <w:rPr>
          <w:rFonts w:cs="Arial"/>
          <w:szCs w:val="22"/>
        </w:rPr>
        <w:t>à l</w:t>
      </w:r>
      <w:r w:rsidR="00E92BB5">
        <w:rPr>
          <w:rFonts w:cs="Arial"/>
          <w:szCs w:val="22"/>
        </w:rPr>
        <w:t>’</w:t>
      </w:r>
      <w:r>
        <w:rPr>
          <w:rFonts w:cs="Arial"/>
          <w:szCs w:val="22"/>
        </w:rPr>
        <w:t>échelle de l</w:t>
      </w:r>
      <w:r w:rsidR="00E92BB5">
        <w:rPr>
          <w:rFonts w:cs="Arial"/>
          <w:szCs w:val="22"/>
        </w:rPr>
        <w:t>’</w:t>
      </w:r>
      <w:r>
        <w:rPr>
          <w:rFonts w:cs="Arial"/>
          <w:szCs w:val="22"/>
        </w:rPr>
        <w:t>organisation donnera lieu à u</w:t>
      </w:r>
      <w:r w:rsidRPr="008C2512">
        <w:rPr>
          <w:rFonts w:cs="Arial"/>
          <w:szCs w:val="22"/>
        </w:rPr>
        <w:t xml:space="preserve">ne analyse détaillée des </w:t>
      </w:r>
      <w:r w:rsidRPr="00C57B81">
        <w:rPr>
          <w:rFonts w:cs="Arial"/>
          <w:szCs w:val="22"/>
        </w:rPr>
        <w:t>lacunes (voir l</w:t>
      </w:r>
      <w:r w:rsidR="00E92BB5" w:rsidRPr="00C57B81">
        <w:rPr>
          <w:rFonts w:cs="Arial"/>
          <w:szCs w:val="22"/>
        </w:rPr>
        <w:t>’</w:t>
      </w:r>
      <w:r w:rsidRPr="00C57B81">
        <w:rPr>
          <w:rFonts w:cs="Arial"/>
          <w:szCs w:val="22"/>
        </w:rPr>
        <w:t>annexe 1).</w:t>
      </w:r>
      <w:r w:rsidRPr="008C2512">
        <w:rPr>
          <w:rFonts w:cs="Arial"/>
          <w:szCs w:val="22"/>
        </w:rPr>
        <w:t xml:space="preserve"> La présente section </w:t>
      </w:r>
      <w:r>
        <w:rPr>
          <w:rFonts w:cs="Arial"/>
          <w:szCs w:val="22"/>
        </w:rPr>
        <w:t>expose les premiers éléments de</w:t>
      </w:r>
      <w:r w:rsidRPr="008C2512">
        <w:rPr>
          <w:rFonts w:cs="Arial"/>
          <w:szCs w:val="22"/>
        </w:rPr>
        <w:t xml:space="preserve"> </w:t>
      </w:r>
      <w:r>
        <w:rPr>
          <w:rFonts w:cs="Arial"/>
          <w:szCs w:val="22"/>
        </w:rPr>
        <w:t>réflexion</w:t>
      </w:r>
      <w:r w:rsidRPr="008C2512">
        <w:rPr>
          <w:rFonts w:cs="Arial"/>
          <w:szCs w:val="22"/>
        </w:rPr>
        <w:t xml:space="preserve"> </w:t>
      </w:r>
      <w:r>
        <w:rPr>
          <w:rFonts w:cs="Arial"/>
          <w:szCs w:val="22"/>
        </w:rPr>
        <w:t>du</w:t>
      </w:r>
      <w:r w:rsidRPr="008C2512">
        <w:rPr>
          <w:rFonts w:cs="Arial"/>
          <w:szCs w:val="22"/>
        </w:rPr>
        <w:t xml:space="preserve"> SDR Hub </w:t>
      </w:r>
      <w:r>
        <w:rPr>
          <w:rFonts w:cs="Arial"/>
          <w:szCs w:val="22"/>
        </w:rPr>
        <w:t xml:space="preserve">concernant les points sur lesquels la </w:t>
      </w:r>
      <w:r w:rsidRPr="008C2512">
        <w:rPr>
          <w:rFonts w:cs="Arial"/>
          <w:szCs w:val="22"/>
        </w:rPr>
        <w:t xml:space="preserve">COI </w:t>
      </w:r>
      <w:r>
        <w:rPr>
          <w:rFonts w:cs="Arial"/>
          <w:szCs w:val="22"/>
        </w:rPr>
        <w:t xml:space="preserve">pourrait souhaiter avancer dans la </w:t>
      </w:r>
      <w:r w:rsidRPr="008C2512">
        <w:rPr>
          <w:rFonts w:cs="Arial"/>
          <w:szCs w:val="22"/>
        </w:rPr>
        <w:t xml:space="preserve">planification et </w:t>
      </w:r>
      <w:r>
        <w:rPr>
          <w:rFonts w:cs="Arial"/>
          <w:szCs w:val="22"/>
        </w:rPr>
        <w:t xml:space="preserve">la </w:t>
      </w:r>
      <w:r w:rsidRPr="008C2512">
        <w:rPr>
          <w:rFonts w:cs="Arial"/>
          <w:szCs w:val="22"/>
        </w:rPr>
        <w:t>gestion durables de l</w:t>
      </w:r>
      <w:r w:rsidR="00E92BB5">
        <w:rPr>
          <w:rFonts w:cs="Arial"/>
          <w:szCs w:val="22"/>
        </w:rPr>
        <w:t>’</w:t>
      </w:r>
      <w:r w:rsidRPr="008C2512">
        <w:rPr>
          <w:rFonts w:cs="Arial"/>
          <w:szCs w:val="22"/>
        </w:rPr>
        <w:t xml:space="preserve">océan </w:t>
      </w:r>
      <w:r>
        <w:rPr>
          <w:rFonts w:cs="Arial"/>
          <w:szCs w:val="22"/>
        </w:rPr>
        <w:t xml:space="preserve">au cours des </w:t>
      </w:r>
      <w:r w:rsidR="00885486">
        <w:rPr>
          <w:rFonts w:cs="Arial"/>
          <w:szCs w:val="22"/>
        </w:rPr>
        <w:t>10</w:t>
      </w:r>
      <w:r>
        <w:rPr>
          <w:rFonts w:cs="Arial"/>
          <w:szCs w:val="22"/>
        </w:rPr>
        <w:t xml:space="preserve"> </w:t>
      </w:r>
      <w:r w:rsidRPr="006F490E">
        <w:rPr>
          <w:szCs w:val="22"/>
        </w:rPr>
        <w:t>prochaines</w:t>
      </w:r>
      <w:r>
        <w:rPr>
          <w:rFonts w:cs="Arial"/>
          <w:szCs w:val="22"/>
        </w:rPr>
        <w:t xml:space="preserve"> années,</w:t>
      </w:r>
      <w:r w:rsidRPr="008C2512">
        <w:rPr>
          <w:rFonts w:cs="Arial"/>
          <w:szCs w:val="22"/>
        </w:rPr>
        <w:t xml:space="preserve"> et </w:t>
      </w:r>
      <w:r>
        <w:rPr>
          <w:rFonts w:cs="Arial"/>
          <w:szCs w:val="22"/>
        </w:rPr>
        <w:t xml:space="preserve">ses propositions </w:t>
      </w:r>
      <w:r w:rsidRPr="008C2512">
        <w:rPr>
          <w:rFonts w:cs="Arial"/>
          <w:szCs w:val="22"/>
        </w:rPr>
        <w:t>initial</w:t>
      </w:r>
      <w:r>
        <w:rPr>
          <w:rFonts w:cs="Arial"/>
          <w:szCs w:val="22"/>
        </w:rPr>
        <w:t xml:space="preserve">es pour une </w:t>
      </w:r>
      <w:r w:rsidRPr="008C2512">
        <w:rPr>
          <w:rFonts w:cs="Arial"/>
          <w:szCs w:val="22"/>
        </w:rPr>
        <w:t xml:space="preserve">stratégie </w:t>
      </w:r>
      <w:r>
        <w:rPr>
          <w:rFonts w:cs="Arial"/>
          <w:szCs w:val="22"/>
        </w:rPr>
        <w:t xml:space="preserve">sur la </w:t>
      </w:r>
      <w:r w:rsidRPr="008C2512">
        <w:rPr>
          <w:rFonts w:cs="Arial"/>
          <w:szCs w:val="22"/>
        </w:rPr>
        <w:t xml:space="preserve">planification et </w:t>
      </w:r>
      <w:r>
        <w:rPr>
          <w:rFonts w:cs="Arial"/>
          <w:szCs w:val="22"/>
        </w:rPr>
        <w:t xml:space="preserve">la </w:t>
      </w:r>
      <w:r w:rsidRPr="008C2512">
        <w:rPr>
          <w:rFonts w:cs="Arial"/>
          <w:szCs w:val="22"/>
        </w:rPr>
        <w:t>gestion durables de l</w:t>
      </w:r>
      <w:r w:rsidR="00E92BB5">
        <w:rPr>
          <w:rFonts w:cs="Arial"/>
          <w:szCs w:val="22"/>
        </w:rPr>
        <w:t>’</w:t>
      </w:r>
      <w:r w:rsidRPr="008C2512">
        <w:rPr>
          <w:rFonts w:cs="Arial"/>
          <w:szCs w:val="22"/>
        </w:rPr>
        <w:t>océan (2024</w:t>
      </w:r>
      <w:r w:rsidR="00885486">
        <w:rPr>
          <w:rFonts w:cs="Arial"/>
          <w:szCs w:val="22"/>
        </w:rPr>
        <w:t>-</w:t>
      </w:r>
      <w:r w:rsidRPr="008C2512">
        <w:rPr>
          <w:rFonts w:cs="Arial"/>
          <w:szCs w:val="22"/>
        </w:rPr>
        <w:t xml:space="preserve">2030). </w:t>
      </w:r>
      <w:r w:rsidRPr="008B57D2">
        <w:rPr>
          <w:rFonts w:cs="Arial"/>
          <w:szCs w:val="22"/>
        </w:rPr>
        <w:t xml:space="preserve">Les trois principaux effets </w:t>
      </w:r>
      <w:r>
        <w:rPr>
          <w:rFonts w:cs="Arial"/>
          <w:szCs w:val="22"/>
        </w:rPr>
        <w:t xml:space="preserve">qui ont été retenus </w:t>
      </w:r>
      <w:r w:rsidRPr="008B57D2">
        <w:rPr>
          <w:rFonts w:cs="Arial"/>
          <w:szCs w:val="22"/>
        </w:rPr>
        <w:t>sont les suivants :</w:t>
      </w:r>
    </w:p>
    <w:p w14:paraId="25099B1F" w14:textId="5A443BED" w:rsidR="006F490E" w:rsidRPr="006F490E" w:rsidRDefault="006F490E" w:rsidP="006F490E">
      <w:pPr>
        <w:spacing w:after="240"/>
        <w:ind w:left="1134" w:hanging="567"/>
        <w:jc w:val="both"/>
        <w:rPr>
          <w:rFonts w:asciiTheme="minorBidi" w:hAnsiTheme="minorBidi" w:cstheme="minorBidi"/>
          <w:b/>
          <w:bCs/>
        </w:rPr>
      </w:pPr>
      <w:r w:rsidRPr="006F490E">
        <w:rPr>
          <w:rFonts w:asciiTheme="minorBidi" w:hAnsiTheme="minorBidi" w:cstheme="minorBidi"/>
        </w:rPr>
        <w:t>(i)</w:t>
      </w:r>
      <w:r w:rsidRPr="006F490E">
        <w:rPr>
          <w:rFonts w:asciiTheme="minorBidi" w:hAnsiTheme="minorBidi" w:cstheme="minorBidi"/>
        </w:rPr>
        <w:tab/>
      </w:r>
      <w:r w:rsidRPr="006F490E">
        <w:rPr>
          <w:rFonts w:asciiTheme="minorBidi" w:hAnsiTheme="minorBidi" w:cstheme="minorBidi"/>
          <w:b/>
          <w:bCs/>
        </w:rPr>
        <w:t>Intégration accrue et prise en compte systématique de la planification de l</w:t>
      </w:r>
      <w:r w:rsidR="00E92BB5">
        <w:rPr>
          <w:rFonts w:asciiTheme="minorBidi" w:hAnsiTheme="minorBidi" w:cstheme="minorBidi"/>
          <w:b/>
          <w:bCs/>
        </w:rPr>
        <w:t>’</w:t>
      </w:r>
      <w:r w:rsidRPr="006F490E">
        <w:rPr>
          <w:rFonts w:asciiTheme="minorBidi" w:hAnsiTheme="minorBidi" w:cstheme="minorBidi"/>
          <w:b/>
          <w:bCs/>
        </w:rPr>
        <w:t>océan </w:t>
      </w:r>
      <w:r w:rsidRPr="006F490E">
        <w:rPr>
          <w:rFonts w:asciiTheme="minorBidi" w:hAnsiTheme="minorBidi" w:cstheme="minorBidi"/>
        </w:rPr>
        <w:t>: l</w:t>
      </w:r>
      <w:r w:rsidR="00E92BB5">
        <w:rPr>
          <w:rFonts w:asciiTheme="minorBidi" w:hAnsiTheme="minorBidi" w:cstheme="minorBidi"/>
        </w:rPr>
        <w:t>’</w:t>
      </w:r>
      <w:r w:rsidRPr="006F490E">
        <w:rPr>
          <w:rFonts w:asciiTheme="minorBidi" w:hAnsiTheme="minorBidi" w:cstheme="minorBidi"/>
        </w:rPr>
        <w:t>un des premiers effets recherchés devrait être l</w:t>
      </w:r>
      <w:r w:rsidR="00E92BB5">
        <w:rPr>
          <w:rFonts w:asciiTheme="minorBidi" w:hAnsiTheme="minorBidi" w:cstheme="minorBidi"/>
        </w:rPr>
        <w:t>’</w:t>
      </w:r>
      <w:r w:rsidRPr="006F490E">
        <w:rPr>
          <w:rFonts w:asciiTheme="minorBidi" w:hAnsiTheme="minorBidi" w:cstheme="minorBidi"/>
        </w:rPr>
        <w:t>intégration effective et la prise en compte systématique de la planification de l</w:t>
      </w:r>
      <w:r w:rsidR="00E92BB5">
        <w:rPr>
          <w:rFonts w:asciiTheme="minorBidi" w:hAnsiTheme="minorBidi" w:cstheme="minorBidi"/>
        </w:rPr>
        <w:t>’</w:t>
      </w:r>
      <w:r w:rsidRPr="006F490E">
        <w:rPr>
          <w:rFonts w:asciiTheme="minorBidi" w:hAnsiTheme="minorBidi" w:cstheme="minorBidi"/>
        </w:rPr>
        <w:t xml:space="preserve">océan (sur la base des principes de la PEM) dans les politiques, législations et cadres nationaux. </w:t>
      </w:r>
    </w:p>
    <w:p w14:paraId="7C90B718" w14:textId="3800B2AE" w:rsidR="006F490E" w:rsidRPr="006F490E" w:rsidRDefault="006F490E" w:rsidP="006F490E">
      <w:pPr>
        <w:spacing w:after="240"/>
        <w:ind w:left="1134" w:hanging="567"/>
        <w:jc w:val="both"/>
        <w:rPr>
          <w:rFonts w:asciiTheme="minorBidi" w:hAnsiTheme="minorBidi" w:cstheme="minorBidi"/>
          <w:b/>
          <w:bCs/>
          <w:szCs w:val="22"/>
        </w:rPr>
      </w:pPr>
      <w:r w:rsidRPr="006F490E">
        <w:rPr>
          <w:rFonts w:asciiTheme="minorBidi" w:hAnsiTheme="minorBidi" w:cstheme="minorBidi"/>
          <w:szCs w:val="22"/>
        </w:rPr>
        <w:t>(ii)</w:t>
      </w:r>
      <w:r w:rsidRPr="006F490E">
        <w:rPr>
          <w:rFonts w:asciiTheme="minorBidi" w:hAnsiTheme="minorBidi" w:cstheme="minorBidi"/>
          <w:szCs w:val="22"/>
        </w:rPr>
        <w:tab/>
      </w:r>
      <w:r w:rsidRPr="006F490E">
        <w:rPr>
          <w:rFonts w:asciiTheme="minorBidi" w:hAnsiTheme="minorBidi" w:cstheme="minorBidi"/>
          <w:b/>
          <w:bCs/>
          <w:szCs w:val="22"/>
        </w:rPr>
        <w:t>Meilleure gestion des données, des cadres de données et de l</w:t>
      </w:r>
      <w:r w:rsidR="00E92BB5">
        <w:rPr>
          <w:rFonts w:asciiTheme="minorBidi" w:hAnsiTheme="minorBidi" w:cstheme="minorBidi"/>
          <w:b/>
          <w:bCs/>
          <w:szCs w:val="22"/>
        </w:rPr>
        <w:t>’</w:t>
      </w:r>
      <w:r w:rsidRPr="006F490E">
        <w:rPr>
          <w:rFonts w:asciiTheme="minorBidi" w:hAnsiTheme="minorBidi" w:cstheme="minorBidi"/>
          <w:b/>
          <w:bCs/>
          <w:szCs w:val="22"/>
        </w:rPr>
        <w:t>information aux fins de la gestion par écosystème et des applications sectorielles </w:t>
      </w:r>
      <w:r w:rsidRPr="006F490E">
        <w:rPr>
          <w:rFonts w:asciiTheme="minorBidi" w:hAnsiTheme="minorBidi" w:cstheme="minorBidi"/>
          <w:szCs w:val="22"/>
        </w:rPr>
        <w:t>: il est essentiel d</w:t>
      </w:r>
      <w:r w:rsidR="00E92BB5">
        <w:rPr>
          <w:rFonts w:asciiTheme="minorBidi" w:hAnsiTheme="minorBidi" w:cstheme="minorBidi"/>
          <w:szCs w:val="22"/>
        </w:rPr>
        <w:t>’</w:t>
      </w:r>
      <w:r w:rsidRPr="006F490E">
        <w:rPr>
          <w:rFonts w:asciiTheme="minorBidi" w:hAnsiTheme="minorBidi" w:cstheme="minorBidi"/>
          <w:szCs w:val="22"/>
        </w:rPr>
        <w:t>améliorer la collecte de données, les mécanismes d</w:t>
      </w:r>
      <w:r w:rsidR="00E92BB5">
        <w:rPr>
          <w:rFonts w:asciiTheme="minorBidi" w:hAnsiTheme="minorBidi" w:cstheme="minorBidi"/>
          <w:szCs w:val="22"/>
        </w:rPr>
        <w:t>’</w:t>
      </w:r>
      <w:r w:rsidRPr="006F490E">
        <w:rPr>
          <w:rFonts w:asciiTheme="minorBidi" w:hAnsiTheme="minorBidi" w:cstheme="minorBidi"/>
          <w:szCs w:val="22"/>
        </w:rPr>
        <w:t>échange et les mesures de normalisation touchant la planification et la gestion de l</w:t>
      </w:r>
      <w:r w:rsidR="00E92BB5">
        <w:rPr>
          <w:rFonts w:asciiTheme="minorBidi" w:hAnsiTheme="minorBidi" w:cstheme="minorBidi"/>
          <w:szCs w:val="22"/>
        </w:rPr>
        <w:t>’</w:t>
      </w:r>
      <w:r w:rsidRPr="006F490E">
        <w:rPr>
          <w:rFonts w:asciiTheme="minorBidi" w:hAnsiTheme="minorBidi" w:cstheme="minorBidi"/>
          <w:szCs w:val="22"/>
        </w:rPr>
        <w:t>océan pour assurer la réussite de la stratégie et en contrôler l</w:t>
      </w:r>
      <w:r w:rsidR="00E92BB5">
        <w:rPr>
          <w:rFonts w:asciiTheme="minorBidi" w:hAnsiTheme="minorBidi" w:cstheme="minorBidi"/>
          <w:szCs w:val="22"/>
        </w:rPr>
        <w:t>’</w:t>
      </w:r>
      <w:r w:rsidRPr="006F490E">
        <w:rPr>
          <w:rFonts w:asciiTheme="minorBidi" w:hAnsiTheme="minorBidi" w:cstheme="minorBidi"/>
          <w:szCs w:val="22"/>
        </w:rPr>
        <w:t xml:space="preserve">impact. En compilant et organisant les données, la COI peut contribuer à en </w:t>
      </w:r>
      <w:r w:rsidRPr="006F490E">
        <w:rPr>
          <w:rFonts w:asciiTheme="minorBidi" w:hAnsiTheme="minorBidi" w:cstheme="minorBidi"/>
        </w:rPr>
        <w:t>accroître</w:t>
      </w:r>
      <w:r w:rsidRPr="006F490E">
        <w:rPr>
          <w:rFonts w:asciiTheme="minorBidi" w:hAnsiTheme="minorBidi" w:cstheme="minorBidi"/>
          <w:szCs w:val="22"/>
        </w:rPr>
        <w:t xml:space="preserve"> la disponibilité, l</w:t>
      </w:r>
      <w:r w:rsidR="00E92BB5">
        <w:rPr>
          <w:rFonts w:asciiTheme="minorBidi" w:hAnsiTheme="minorBidi" w:cstheme="minorBidi"/>
          <w:szCs w:val="22"/>
        </w:rPr>
        <w:t>’</w:t>
      </w:r>
      <w:r w:rsidRPr="006F490E">
        <w:rPr>
          <w:rFonts w:asciiTheme="minorBidi" w:hAnsiTheme="minorBidi" w:cstheme="minorBidi"/>
          <w:szCs w:val="22"/>
        </w:rPr>
        <w:t xml:space="preserve">accessibilité et la qualité, de telle sorte que les décideurs et les parties prenantes puissent fonder leurs décisions, leurs analyses spatiales et leur suivi des activités humaines dans les aires océaniques </w:t>
      </w:r>
      <w:r w:rsidRPr="006F490E">
        <w:rPr>
          <w:rFonts w:asciiTheme="minorBidi" w:hAnsiTheme="minorBidi" w:cstheme="minorBidi"/>
        </w:rPr>
        <w:t xml:space="preserve">sur des éléments factuels et des informations complètes et fiables. </w:t>
      </w:r>
    </w:p>
    <w:p w14:paraId="56CD14D2" w14:textId="4349F61C" w:rsidR="006F490E" w:rsidRPr="00F752C9" w:rsidRDefault="006F490E" w:rsidP="006F490E">
      <w:pPr>
        <w:spacing w:after="240"/>
        <w:ind w:left="1134" w:hanging="567"/>
        <w:jc w:val="both"/>
        <w:rPr>
          <w:rFonts w:cs="Arial"/>
          <w:szCs w:val="22"/>
        </w:rPr>
      </w:pPr>
      <w:r w:rsidRPr="006F490E">
        <w:rPr>
          <w:rFonts w:asciiTheme="minorBidi" w:hAnsiTheme="minorBidi" w:cstheme="minorBidi"/>
          <w:szCs w:val="22"/>
        </w:rPr>
        <w:t>(iii)</w:t>
      </w:r>
      <w:r w:rsidRPr="006F490E">
        <w:rPr>
          <w:rFonts w:asciiTheme="minorBidi" w:hAnsiTheme="minorBidi" w:cstheme="minorBidi"/>
          <w:szCs w:val="22"/>
        </w:rPr>
        <w:tab/>
      </w:r>
      <w:r w:rsidRPr="006F490E">
        <w:rPr>
          <w:rFonts w:asciiTheme="minorBidi" w:hAnsiTheme="minorBidi" w:cstheme="minorBidi"/>
          <w:b/>
          <w:bCs/>
          <w:szCs w:val="22"/>
        </w:rPr>
        <w:t xml:space="preserve">Meilleure intégration </w:t>
      </w:r>
      <w:proofErr w:type="spellStart"/>
      <w:r w:rsidRPr="006F490E">
        <w:rPr>
          <w:rFonts w:asciiTheme="minorBidi" w:hAnsiTheme="minorBidi" w:cstheme="minorBidi"/>
          <w:b/>
          <w:bCs/>
          <w:szCs w:val="22"/>
        </w:rPr>
        <w:t>transsectorielle</w:t>
      </w:r>
      <w:proofErr w:type="spellEnd"/>
      <w:r w:rsidRPr="006F490E">
        <w:rPr>
          <w:rFonts w:asciiTheme="minorBidi" w:hAnsiTheme="minorBidi" w:cstheme="minorBidi"/>
          <w:b/>
          <w:bCs/>
          <w:szCs w:val="22"/>
        </w:rPr>
        <w:t> </w:t>
      </w:r>
      <w:r w:rsidRPr="006F490E">
        <w:rPr>
          <w:rFonts w:asciiTheme="minorBidi" w:hAnsiTheme="minorBidi" w:cstheme="minorBidi"/>
          <w:szCs w:val="22"/>
        </w:rPr>
        <w:t xml:space="preserve">: la stratégie pourrait faciliter une intégration </w:t>
      </w:r>
      <w:proofErr w:type="spellStart"/>
      <w:r w:rsidRPr="006F490E">
        <w:rPr>
          <w:rFonts w:asciiTheme="minorBidi" w:hAnsiTheme="minorBidi" w:cstheme="minorBidi"/>
          <w:szCs w:val="22"/>
        </w:rPr>
        <w:t>transsectorielle</w:t>
      </w:r>
      <w:proofErr w:type="spellEnd"/>
      <w:r w:rsidRPr="006F490E">
        <w:rPr>
          <w:rFonts w:asciiTheme="minorBidi" w:hAnsiTheme="minorBidi" w:cstheme="minorBidi"/>
          <w:szCs w:val="22"/>
        </w:rPr>
        <w:t xml:space="preserve"> plus solide de la planification de l</w:t>
      </w:r>
      <w:r w:rsidR="00E92BB5">
        <w:rPr>
          <w:rFonts w:asciiTheme="minorBidi" w:hAnsiTheme="minorBidi" w:cstheme="minorBidi"/>
          <w:szCs w:val="22"/>
        </w:rPr>
        <w:t>’</w:t>
      </w:r>
      <w:r w:rsidRPr="006F490E">
        <w:rPr>
          <w:rFonts w:asciiTheme="minorBidi" w:hAnsiTheme="minorBidi" w:cstheme="minorBidi"/>
          <w:szCs w:val="22"/>
        </w:rPr>
        <w:t>océan, en favorisant la collaboration et le dialogue entre les divers secteurs intervenant dans la gouvernance de l</w:t>
      </w:r>
      <w:r w:rsidR="00E92BB5">
        <w:rPr>
          <w:rFonts w:asciiTheme="minorBidi" w:hAnsiTheme="minorBidi" w:cstheme="minorBidi"/>
          <w:szCs w:val="22"/>
        </w:rPr>
        <w:t>’</w:t>
      </w:r>
      <w:r w:rsidRPr="006F490E">
        <w:rPr>
          <w:rFonts w:asciiTheme="minorBidi" w:hAnsiTheme="minorBidi" w:cstheme="minorBidi"/>
          <w:szCs w:val="22"/>
        </w:rPr>
        <w:t>océan. À cet effet seraient élaborés des directives et des cadres tendant à intégrer les différents intérêts et priorités de chacun d</w:t>
      </w:r>
      <w:r w:rsidR="00E92BB5">
        <w:rPr>
          <w:rFonts w:asciiTheme="minorBidi" w:hAnsiTheme="minorBidi" w:cstheme="minorBidi"/>
          <w:szCs w:val="22"/>
        </w:rPr>
        <w:t>’</w:t>
      </w:r>
      <w:r w:rsidRPr="006F490E">
        <w:rPr>
          <w:rFonts w:asciiTheme="minorBidi" w:hAnsiTheme="minorBidi" w:cstheme="minorBidi"/>
          <w:szCs w:val="22"/>
        </w:rPr>
        <w:t>eux, et d</w:t>
      </w:r>
      <w:r w:rsidR="00E92BB5">
        <w:rPr>
          <w:rFonts w:asciiTheme="minorBidi" w:hAnsiTheme="minorBidi" w:cstheme="minorBidi"/>
          <w:szCs w:val="22"/>
        </w:rPr>
        <w:t>’</w:t>
      </w:r>
      <w:r w:rsidRPr="006F490E">
        <w:rPr>
          <w:rFonts w:asciiTheme="minorBidi" w:hAnsiTheme="minorBidi" w:cstheme="minorBidi"/>
          <w:szCs w:val="22"/>
        </w:rPr>
        <w:t>assurer ainsi une approche équilibrée de la planification durable de l</w:t>
      </w:r>
      <w:r w:rsidR="00E92BB5">
        <w:rPr>
          <w:rFonts w:asciiTheme="minorBidi" w:hAnsiTheme="minorBidi" w:cstheme="minorBidi"/>
          <w:szCs w:val="22"/>
        </w:rPr>
        <w:t>’</w:t>
      </w:r>
      <w:r w:rsidRPr="006F490E">
        <w:rPr>
          <w:rFonts w:asciiTheme="minorBidi" w:hAnsiTheme="minorBidi" w:cstheme="minorBidi"/>
          <w:szCs w:val="22"/>
        </w:rPr>
        <w:t>océan.</w:t>
      </w:r>
    </w:p>
    <w:p w14:paraId="14A494EF" w14:textId="6EA8E9F0" w:rsidR="006F490E" w:rsidRPr="005B1158" w:rsidRDefault="006F490E" w:rsidP="006F490E">
      <w:pPr>
        <w:pStyle w:val="Marge"/>
        <w:rPr>
          <w:rFonts w:cs="Arial"/>
          <w:szCs w:val="22"/>
        </w:rPr>
      </w:pPr>
      <w:r>
        <w:rPr>
          <w:rFonts w:cs="Arial"/>
          <w:szCs w:val="22"/>
        </w:rPr>
        <w:t>20.</w:t>
      </w:r>
      <w:r>
        <w:rPr>
          <w:rFonts w:cs="Arial"/>
          <w:szCs w:val="22"/>
        </w:rPr>
        <w:tab/>
      </w:r>
      <w:r w:rsidRPr="005B1158">
        <w:rPr>
          <w:rFonts w:cs="Arial"/>
          <w:szCs w:val="22"/>
        </w:rPr>
        <w:t>Ces résultat</w:t>
      </w:r>
      <w:r>
        <w:rPr>
          <w:rFonts w:cs="Arial"/>
          <w:szCs w:val="22"/>
        </w:rPr>
        <w:t xml:space="preserve">s représenteraient une </w:t>
      </w:r>
      <w:r w:rsidRPr="005B1158">
        <w:rPr>
          <w:rFonts w:cs="Arial"/>
          <w:szCs w:val="22"/>
        </w:rPr>
        <w:t>contribu</w:t>
      </w:r>
      <w:r>
        <w:rPr>
          <w:rFonts w:cs="Arial"/>
          <w:szCs w:val="22"/>
        </w:rPr>
        <w:t xml:space="preserve">tion significative de la </w:t>
      </w:r>
      <w:r w:rsidRPr="005B1158">
        <w:rPr>
          <w:rFonts w:cs="Arial"/>
          <w:szCs w:val="22"/>
        </w:rPr>
        <w:t xml:space="preserve">COI </w:t>
      </w:r>
      <w:r>
        <w:rPr>
          <w:rFonts w:cs="Arial"/>
          <w:szCs w:val="22"/>
        </w:rPr>
        <w:t>qui ferait progresser la</w:t>
      </w:r>
      <w:r w:rsidRPr="005B1158">
        <w:rPr>
          <w:rFonts w:cs="Arial"/>
          <w:szCs w:val="22"/>
        </w:rPr>
        <w:t xml:space="preserve"> planification durable de </w:t>
      </w:r>
      <w:r w:rsidRPr="006F490E">
        <w:rPr>
          <w:szCs w:val="22"/>
        </w:rPr>
        <w:t>l</w:t>
      </w:r>
      <w:r w:rsidR="00E92BB5">
        <w:rPr>
          <w:szCs w:val="22"/>
        </w:rPr>
        <w:t>’</w:t>
      </w:r>
      <w:r w:rsidRPr="006F490E">
        <w:rPr>
          <w:szCs w:val="22"/>
        </w:rPr>
        <w:t>océan</w:t>
      </w:r>
      <w:r w:rsidRPr="005B1158">
        <w:rPr>
          <w:rFonts w:cs="Arial"/>
          <w:szCs w:val="22"/>
        </w:rPr>
        <w:t xml:space="preserve">, </w:t>
      </w:r>
      <w:r>
        <w:rPr>
          <w:rFonts w:cs="Arial"/>
          <w:szCs w:val="22"/>
        </w:rPr>
        <w:t xml:space="preserve">encouragerait les </w:t>
      </w:r>
      <w:r w:rsidRPr="005B1158">
        <w:rPr>
          <w:rFonts w:cs="Arial"/>
          <w:szCs w:val="22"/>
        </w:rPr>
        <w:t>approches</w:t>
      </w:r>
      <w:r>
        <w:rPr>
          <w:rFonts w:cs="Arial"/>
          <w:szCs w:val="22"/>
        </w:rPr>
        <w:t xml:space="preserve"> axées sur les écosystèmes</w:t>
      </w:r>
      <w:r w:rsidRPr="005B1158">
        <w:rPr>
          <w:rFonts w:cs="Arial"/>
          <w:szCs w:val="22"/>
        </w:rPr>
        <w:t xml:space="preserve">, </w:t>
      </w:r>
      <w:r>
        <w:rPr>
          <w:rFonts w:cs="Arial"/>
          <w:szCs w:val="22"/>
        </w:rPr>
        <w:t>améliorerait la ré</w:t>
      </w:r>
      <w:r w:rsidRPr="005B1158">
        <w:rPr>
          <w:rFonts w:cs="Arial"/>
          <w:szCs w:val="22"/>
        </w:rPr>
        <w:t xml:space="preserve">silience </w:t>
      </w:r>
      <w:r>
        <w:rPr>
          <w:rFonts w:cs="Arial"/>
          <w:szCs w:val="22"/>
        </w:rPr>
        <w:t>face au</w:t>
      </w:r>
      <w:r w:rsidRPr="005B1158">
        <w:rPr>
          <w:rFonts w:cs="Arial"/>
          <w:szCs w:val="22"/>
        </w:rPr>
        <w:t xml:space="preserve"> changement climatique et </w:t>
      </w:r>
      <w:r>
        <w:rPr>
          <w:rFonts w:cs="Arial"/>
          <w:szCs w:val="22"/>
        </w:rPr>
        <w:t>assurerait la</w:t>
      </w:r>
      <w:r w:rsidRPr="005B1158">
        <w:rPr>
          <w:rFonts w:cs="Arial"/>
          <w:szCs w:val="22"/>
        </w:rPr>
        <w:t xml:space="preserve"> conservation et </w:t>
      </w:r>
      <w:r>
        <w:rPr>
          <w:rFonts w:cs="Arial"/>
          <w:szCs w:val="22"/>
        </w:rPr>
        <w:t xml:space="preserve">la </w:t>
      </w:r>
      <w:r w:rsidRPr="005B1158">
        <w:rPr>
          <w:rFonts w:cs="Arial"/>
          <w:szCs w:val="22"/>
        </w:rPr>
        <w:t xml:space="preserve">gestion </w:t>
      </w:r>
      <w:r>
        <w:rPr>
          <w:rFonts w:cs="Arial"/>
          <w:szCs w:val="22"/>
        </w:rPr>
        <w:t xml:space="preserve">à </w:t>
      </w:r>
      <w:r w:rsidRPr="005B1158">
        <w:rPr>
          <w:rFonts w:cs="Arial"/>
          <w:szCs w:val="22"/>
        </w:rPr>
        <w:t>long</w:t>
      </w:r>
      <w:r>
        <w:rPr>
          <w:rFonts w:cs="Arial"/>
          <w:szCs w:val="22"/>
        </w:rPr>
        <w:t xml:space="preserve"> </w:t>
      </w:r>
      <w:r w:rsidRPr="005B1158">
        <w:rPr>
          <w:rFonts w:cs="Arial"/>
          <w:szCs w:val="22"/>
        </w:rPr>
        <w:t>term</w:t>
      </w:r>
      <w:r>
        <w:rPr>
          <w:rFonts w:cs="Arial"/>
          <w:szCs w:val="22"/>
        </w:rPr>
        <w:t>e</w:t>
      </w:r>
      <w:r w:rsidRPr="005B1158">
        <w:rPr>
          <w:rFonts w:cs="Arial"/>
          <w:szCs w:val="22"/>
        </w:rPr>
        <w:t xml:space="preserve"> </w:t>
      </w:r>
      <w:r>
        <w:rPr>
          <w:rFonts w:cs="Arial"/>
          <w:szCs w:val="22"/>
        </w:rPr>
        <w:t>des espaces</w:t>
      </w:r>
      <w:r w:rsidRPr="005B1158">
        <w:rPr>
          <w:rFonts w:cs="Arial"/>
          <w:szCs w:val="22"/>
        </w:rPr>
        <w:t xml:space="preserve"> marins.</w:t>
      </w:r>
    </w:p>
    <w:p w14:paraId="08F243BC" w14:textId="75575EFB" w:rsidR="006F490E" w:rsidRPr="00B5644C" w:rsidRDefault="006F490E" w:rsidP="009534EB">
      <w:pPr>
        <w:pStyle w:val="Marge"/>
        <w:keepNext/>
        <w:keepLines/>
        <w:rPr>
          <w:rFonts w:cs="Arial"/>
          <w:szCs w:val="22"/>
        </w:rPr>
      </w:pPr>
      <w:r>
        <w:rPr>
          <w:rFonts w:cs="Arial"/>
          <w:szCs w:val="22"/>
        </w:rPr>
        <w:lastRenderedPageBreak/>
        <w:t>21.</w:t>
      </w:r>
      <w:r>
        <w:rPr>
          <w:rFonts w:cs="Arial"/>
          <w:szCs w:val="22"/>
        </w:rPr>
        <w:tab/>
      </w:r>
      <w:r w:rsidRPr="00B5644C">
        <w:rPr>
          <w:rFonts w:cs="Arial"/>
          <w:szCs w:val="22"/>
        </w:rPr>
        <w:t>Pour faciliter l</w:t>
      </w:r>
      <w:r w:rsidR="00E92BB5">
        <w:rPr>
          <w:rFonts w:cs="Arial"/>
          <w:szCs w:val="22"/>
        </w:rPr>
        <w:t>’</w:t>
      </w:r>
      <w:r w:rsidRPr="00B5644C">
        <w:rPr>
          <w:rFonts w:cs="Arial"/>
          <w:szCs w:val="22"/>
        </w:rPr>
        <w:t>obtention de ces résultats, la stratégie po</w:t>
      </w:r>
      <w:r>
        <w:rPr>
          <w:rFonts w:cs="Arial"/>
          <w:szCs w:val="22"/>
        </w:rPr>
        <w:t>urrait, à titre préliminaire, faire fond sur le travail déjà accompli dans huit domaines particuliers</w:t>
      </w:r>
      <w:r w:rsidRPr="00B5644C">
        <w:rPr>
          <w:rFonts w:cs="Arial"/>
          <w:szCs w:val="22"/>
        </w:rPr>
        <w:t>. À ce stade</w:t>
      </w:r>
      <w:r>
        <w:rPr>
          <w:rFonts w:cs="Arial"/>
          <w:szCs w:val="22"/>
        </w:rPr>
        <w:t>, ils ne font l</w:t>
      </w:r>
      <w:r w:rsidR="00E92BB5">
        <w:rPr>
          <w:rFonts w:cs="Arial"/>
          <w:szCs w:val="22"/>
        </w:rPr>
        <w:t>’</w:t>
      </w:r>
      <w:r>
        <w:rPr>
          <w:rFonts w:cs="Arial"/>
          <w:szCs w:val="22"/>
        </w:rPr>
        <w:t>objet d</w:t>
      </w:r>
      <w:r w:rsidR="00E92BB5">
        <w:rPr>
          <w:rFonts w:cs="Arial"/>
          <w:szCs w:val="22"/>
        </w:rPr>
        <w:t>’</w:t>
      </w:r>
      <w:r>
        <w:rPr>
          <w:rFonts w:cs="Arial"/>
          <w:szCs w:val="22"/>
        </w:rPr>
        <w:t>a</w:t>
      </w:r>
      <w:r w:rsidRPr="00B5644C">
        <w:rPr>
          <w:rFonts w:cs="Arial"/>
          <w:szCs w:val="22"/>
        </w:rPr>
        <w:t>ucun</w:t>
      </w:r>
      <w:r>
        <w:rPr>
          <w:rFonts w:cs="Arial"/>
          <w:szCs w:val="22"/>
        </w:rPr>
        <w:t>e priorisation ni d</w:t>
      </w:r>
      <w:r w:rsidR="00E92BB5">
        <w:rPr>
          <w:rFonts w:cs="Arial"/>
          <w:szCs w:val="22"/>
        </w:rPr>
        <w:t>’</w:t>
      </w:r>
      <w:r>
        <w:rPr>
          <w:rFonts w:cs="Arial"/>
          <w:szCs w:val="22"/>
        </w:rPr>
        <w:t>aucune mesure ou recommandation spécifique. Ces domaines sont les suivants </w:t>
      </w:r>
      <w:r w:rsidRPr="00B5644C">
        <w:rPr>
          <w:rFonts w:cs="Arial"/>
          <w:szCs w:val="22"/>
        </w:rPr>
        <w:t>:</w:t>
      </w:r>
    </w:p>
    <w:p w14:paraId="511D2B88" w14:textId="0047893E" w:rsidR="006F490E" w:rsidRPr="009753FE" w:rsidRDefault="006F490E" w:rsidP="006F490E">
      <w:pPr>
        <w:spacing w:after="240"/>
        <w:ind w:left="1134" w:hanging="567"/>
        <w:jc w:val="both"/>
      </w:pPr>
      <w:r w:rsidRPr="006F490E">
        <w:rPr>
          <w:rFonts w:cs="Arial"/>
          <w:szCs w:val="22"/>
        </w:rPr>
        <w:t>(i)</w:t>
      </w:r>
      <w:r w:rsidRPr="006F490E">
        <w:rPr>
          <w:rFonts w:cs="Arial"/>
          <w:szCs w:val="22"/>
        </w:rPr>
        <w:tab/>
      </w:r>
      <w:r w:rsidRPr="005B1158">
        <w:rPr>
          <w:rFonts w:cs="Arial"/>
          <w:b/>
          <w:bCs/>
          <w:szCs w:val="22"/>
        </w:rPr>
        <w:t>Renforcement des cadres d</w:t>
      </w:r>
      <w:r w:rsidR="00E92BB5">
        <w:rPr>
          <w:rFonts w:cs="Arial"/>
          <w:b/>
          <w:bCs/>
          <w:szCs w:val="22"/>
        </w:rPr>
        <w:t>’</w:t>
      </w:r>
      <w:r w:rsidRPr="005B1158">
        <w:rPr>
          <w:rFonts w:cs="Arial"/>
          <w:b/>
          <w:bCs/>
          <w:szCs w:val="22"/>
        </w:rPr>
        <w:t>orientation </w:t>
      </w:r>
      <w:r w:rsidRPr="005B1158">
        <w:rPr>
          <w:rFonts w:cs="Arial"/>
          <w:szCs w:val="22"/>
        </w:rPr>
        <w:t>: la COI</w:t>
      </w:r>
      <w:r w:rsidRPr="005B1158" w:rsidDel="00297DA7">
        <w:rPr>
          <w:rFonts w:cs="Arial"/>
          <w:szCs w:val="22"/>
        </w:rPr>
        <w:t xml:space="preserve"> </w:t>
      </w:r>
      <w:r>
        <w:rPr>
          <w:rFonts w:cs="Arial"/>
          <w:szCs w:val="22"/>
        </w:rPr>
        <w:t xml:space="preserve">pourrait </w:t>
      </w:r>
      <w:r w:rsidRPr="006F490E">
        <w:rPr>
          <w:rFonts w:asciiTheme="minorBidi" w:hAnsiTheme="minorBidi" w:cstheme="minorBidi"/>
          <w:szCs w:val="22"/>
        </w:rPr>
        <w:t>s</w:t>
      </w:r>
      <w:r w:rsidR="00E92BB5">
        <w:rPr>
          <w:rFonts w:asciiTheme="minorBidi" w:hAnsiTheme="minorBidi" w:cstheme="minorBidi"/>
          <w:szCs w:val="22"/>
        </w:rPr>
        <w:t>’</w:t>
      </w:r>
      <w:r w:rsidRPr="006F490E">
        <w:rPr>
          <w:rFonts w:asciiTheme="minorBidi" w:hAnsiTheme="minorBidi" w:cstheme="minorBidi"/>
          <w:szCs w:val="22"/>
        </w:rPr>
        <w:t>employer</w:t>
      </w:r>
      <w:r>
        <w:rPr>
          <w:rFonts w:cs="Arial"/>
          <w:szCs w:val="22"/>
        </w:rPr>
        <w:t xml:space="preserve"> à élaborer et promouvoir des lignes directrices et des normes mondiales en matière de mise en œuvre de la </w:t>
      </w:r>
      <w:r w:rsidRPr="005B1158">
        <w:rPr>
          <w:rFonts w:cs="Arial"/>
          <w:szCs w:val="22"/>
        </w:rPr>
        <w:t xml:space="preserve">planification et </w:t>
      </w:r>
      <w:r>
        <w:rPr>
          <w:rFonts w:cs="Arial"/>
          <w:szCs w:val="22"/>
        </w:rPr>
        <w:t xml:space="preserve">de la </w:t>
      </w:r>
      <w:r w:rsidRPr="005B1158">
        <w:rPr>
          <w:rFonts w:cs="Arial"/>
          <w:szCs w:val="22"/>
        </w:rPr>
        <w:t>gestion de l</w:t>
      </w:r>
      <w:r w:rsidR="00E92BB5">
        <w:rPr>
          <w:rFonts w:cs="Arial"/>
          <w:szCs w:val="22"/>
        </w:rPr>
        <w:t>’</w:t>
      </w:r>
      <w:r w:rsidRPr="005B1158">
        <w:rPr>
          <w:rFonts w:cs="Arial"/>
          <w:szCs w:val="22"/>
        </w:rPr>
        <w:t xml:space="preserve">océan. </w:t>
      </w:r>
      <w:r w:rsidRPr="009753FE">
        <w:rPr>
          <w:rFonts w:cs="Arial"/>
          <w:szCs w:val="22"/>
        </w:rPr>
        <w:t>Elle pourrait notamment soutenir l</w:t>
      </w:r>
      <w:r w:rsidR="00E92BB5">
        <w:rPr>
          <w:rFonts w:cs="Arial"/>
          <w:szCs w:val="22"/>
        </w:rPr>
        <w:t>’</w:t>
      </w:r>
      <w:r w:rsidRPr="009753FE">
        <w:rPr>
          <w:rFonts w:cs="Arial"/>
          <w:szCs w:val="22"/>
        </w:rPr>
        <w:t>élaboration d</w:t>
      </w:r>
      <w:r w:rsidR="00E92BB5">
        <w:rPr>
          <w:rFonts w:cs="Arial"/>
          <w:szCs w:val="22"/>
        </w:rPr>
        <w:t>’</w:t>
      </w:r>
      <w:r w:rsidRPr="009753FE">
        <w:rPr>
          <w:rFonts w:cs="Arial"/>
          <w:szCs w:val="22"/>
        </w:rPr>
        <w:t xml:space="preserve">instruments ou </w:t>
      </w:r>
      <w:r w:rsidR="00F305F1">
        <w:rPr>
          <w:rFonts w:cs="Arial"/>
          <w:szCs w:val="22"/>
        </w:rPr>
        <w:t xml:space="preserve">de </w:t>
      </w:r>
      <w:r w:rsidRPr="009753FE">
        <w:rPr>
          <w:rFonts w:cs="Arial"/>
          <w:szCs w:val="22"/>
        </w:rPr>
        <w:t>cadr</w:t>
      </w:r>
      <w:r>
        <w:rPr>
          <w:rFonts w:cs="Arial"/>
          <w:szCs w:val="22"/>
        </w:rPr>
        <w:t>es juridiquement contraignants de nature à faciliter l</w:t>
      </w:r>
      <w:r w:rsidR="00E92BB5">
        <w:rPr>
          <w:rFonts w:cs="Arial"/>
          <w:szCs w:val="22"/>
        </w:rPr>
        <w:t>’</w:t>
      </w:r>
      <w:r>
        <w:rPr>
          <w:rFonts w:cs="Arial"/>
          <w:szCs w:val="22"/>
        </w:rPr>
        <w:t>inté</w:t>
      </w:r>
      <w:r w:rsidRPr="009753FE">
        <w:rPr>
          <w:rFonts w:cs="Arial"/>
          <w:szCs w:val="22"/>
        </w:rPr>
        <w:t xml:space="preserve">gration </w:t>
      </w:r>
      <w:r>
        <w:rPr>
          <w:rFonts w:cs="Arial"/>
          <w:szCs w:val="22"/>
        </w:rPr>
        <w:t>de la</w:t>
      </w:r>
      <w:r w:rsidRPr="009753FE">
        <w:rPr>
          <w:rFonts w:cs="Arial"/>
          <w:szCs w:val="22"/>
        </w:rPr>
        <w:t xml:space="preserve"> planification </w:t>
      </w:r>
      <w:r>
        <w:rPr>
          <w:rFonts w:cs="Arial"/>
          <w:szCs w:val="22"/>
        </w:rPr>
        <w:t>dans les</w:t>
      </w:r>
      <w:r w:rsidRPr="009753FE">
        <w:rPr>
          <w:rFonts w:cs="Arial"/>
          <w:szCs w:val="22"/>
        </w:rPr>
        <w:t xml:space="preserve"> l</w:t>
      </w:r>
      <w:r>
        <w:rPr>
          <w:rFonts w:cs="Arial"/>
          <w:szCs w:val="22"/>
        </w:rPr>
        <w:t>é</w:t>
      </w:r>
      <w:r w:rsidRPr="009753FE">
        <w:rPr>
          <w:rFonts w:cs="Arial"/>
          <w:szCs w:val="22"/>
        </w:rPr>
        <w:t>gislation</w:t>
      </w:r>
      <w:r>
        <w:rPr>
          <w:rFonts w:cs="Arial"/>
          <w:szCs w:val="22"/>
        </w:rPr>
        <w:t>s</w:t>
      </w:r>
      <w:r w:rsidRPr="009753FE">
        <w:rPr>
          <w:rFonts w:cs="Arial"/>
          <w:szCs w:val="22"/>
        </w:rPr>
        <w:t xml:space="preserve"> et politiques national</w:t>
      </w:r>
      <w:r>
        <w:rPr>
          <w:rFonts w:cs="Arial"/>
          <w:szCs w:val="22"/>
        </w:rPr>
        <w:t>es</w:t>
      </w:r>
      <w:r w:rsidRPr="009753FE">
        <w:rPr>
          <w:rFonts w:cs="Arial"/>
          <w:szCs w:val="22"/>
        </w:rPr>
        <w:t>.</w:t>
      </w:r>
    </w:p>
    <w:p w14:paraId="671BEF00" w14:textId="31FFC176" w:rsidR="006F490E" w:rsidRPr="00770C36" w:rsidRDefault="006F490E" w:rsidP="006F490E">
      <w:pPr>
        <w:spacing w:after="240"/>
        <w:ind w:left="1134" w:hanging="567"/>
        <w:jc w:val="both"/>
        <w:rPr>
          <w:rFonts w:cs="Arial"/>
          <w:szCs w:val="22"/>
        </w:rPr>
      </w:pPr>
      <w:r w:rsidRPr="006F490E">
        <w:rPr>
          <w:rFonts w:cs="Arial"/>
          <w:szCs w:val="22"/>
        </w:rPr>
        <w:t>(ii)</w:t>
      </w:r>
      <w:r w:rsidRPr="006F490E">
        <w:rPr>
          <w:rFonts w:cs="Arial"/>
          <w:szCs w:val="22"/>
        </w:rPr>
        <w:tab/>
      </w:r>
      <w:r w:rsidRPr="009753FE">
        <w:rPr>
          <w:rFonts w:cs="Arial"/>
          <w:b/>
          <w:bCs/>
          <w:szCs w:val="22"/>
        </w:rPr>
        <w:t>Amélioration de la</w:t>
      </w:r>
      <w:r>
        <w:rPr>
          <w:rFonts w:cs="Arial"/>
          <w:b/>
          <w:bCs/>
          <w:szCs w:val="22"/>
        </w:rPr>
        <w:t xml:space="preserve"> collecte et du partage de</w:t>
      </w:r>
      <w:r w:rsidRPr="009753FE">
        <w:rPr>
          <w:rFonts w:cs="Arial"/>
          <w:b/>
          <w:bCs/>
          <w:szCs w:val="22"/>
        </w:rPr>
        <w:t xml:space="preserve"> données</w:t>
      </w:r>
      <w:r>
        <w:rPr>
          <w:rFonts w:cs="Arial"/>
          <w:b/>
          <w:bCs/>
          <w:szCs w:val="22"/>
        </w:rPr>
        <w:t> </w:t>
      </w:r>
      <w:r w:rsidRPr="009753FE">
        <w:rPr>
          <w:rFonts w:cs="Arial"/>
          <w:szCs w:val="22"/>
        </w:rPr>
        <w:t xml:space="preserve">: </w:t>
      </w:r>
      <w:r>
        <w:rPr>
          <w:rFonts w:cs="Arial"/>
          <w:szCs w:val="22"/>
        </w:rPr>
        <w:t xml:space="preserve">la </w:t>
      </w:r>
      <w:r w:rsidRPr="009753FE">
        <w:rPr>
          <w:rFonts w:cs="Arial"/>
          <w:szCs w:val="22"/>
        </w:rPr>
        <w:t xml:space="preserve">COI </w:t>
      </w:r>
      <w:r>
        <w:rPr>
          <w:rFonts w:cs="Arial"/>
          <w:szCs w:val="22"/>
        </w:rPr>
        <w:t>pourrait s</w:t>
      </w:r>
      <w:r w:rsidR="00E92BB5">
        <w:rPr>
          <w:rFonts w:cs="Arial"/>
          <w:szCs w:val="22"/>
        </w:rPr>
        <w:t>’</w:t>
      </w:r>
      <w:r>
        <w:rPr>
          <w:rFonts w:cs="Arial"/>
          <w:szCs w:val="22"/>
        </w:rPr>
        <w:t>attacher à développer la</w:t>
      </w:r>
      <w:r w:rsidRPr="009753FE">
        <w:rPr>
          <w:rFonts w:cs="Arial"/>
          <w:szCs w:val="22"/>
        </w:rPr>
        <w:t xml:space="preserve"> collect</w:t>
      </w:r>
      <w:r>
        <w:rPr>
          <w:rFonts w:cs="Arial"/>
          <w:szCs w:val="22"/>
        </w:rPr>
        <w:t xml:space="preserve">e, le traitement et le partage de </w:t>
      </w:r>
      <w:r w:rsidRPr="009753FE">
        <w:rPr>
          <w:rFonts w:cs="Arial"/>
          <w:szCs w:val="22"/>
        </w:rPr>
        <w:t xml:space="preserve">données </w:t>
      </w:r>
      <w:r>
        <w:rPr>
          <w:rFonts w:cs="Arial"/>
          <w:szCs w:val="22"/>
        </w:rPr>
        <w:t>de grande qualité concernant l</w:t>
      </w:r>
      <w:r w:rsidR="00E92BB5">
        <w:rPr>
          <w:rFonts w:cs="Arial"/>
          <w:szCs w:val="22"/>
        </w:rPr>
        <w:t>’</w:t>
      </w:r>
      <w:r w:rsidRPr="009753FE">
        <w:rPr>
          <w:rFonts w:cs="Arial"/>
          <w:szCs w:val="22"/>
        </w:rPr>
        <w:t xml:space="preserve">océan et </w:t>
      </w:r>
      <w:r>
        <w:rPr>
          <w:rFonts w:cs="Arial"/>
          <w:szCs w:val="22"/>
        </w:rPr>
        <w:t>son utilisation planifiée</w:t>
      </w:r>
      <w:r w:rsidRPr="009753FE">
        <w:rPr>
          <w:rFonts w:cs="Arial"/>
          <w:szCs w:val="22"/>
        </w:rPr>
        <w:t xml:space="preserve">. </w:t>
      </w:r>
      <w:r>
        <w:rPr>
          <w:rFonts w:cs="Arial"/>
          <w:szCs w:val="22"/>
        </w:rPr>
        <w:t>Elle pourrait à cet effet</w:t>
      </w:r>
      <w:r w:rsidRPr="00770C36">
        <w:rPr>
          <w:rFonts w:cs="Arial"/>
          <w:szCs w:val="22"/>
        </w:rPr>
        <w:t xml:space="preserve"> </w:t>
      </w:r>
      <w:r>
        <w:rPr>
          <w:rFonts w:cs="Arial"/>
          <w:szCs w:val="22"/>
        </w:rPr>
        <w:t xml:space="preserve">encourager les investissements dans des </w:t>
      </w:r>
      <w:r w:rsidRPr="00770C36">
        <w:rPr>
          <w:rFonts w:cs="Arial"/>
          <w:szCs w:val="22"/>
        </w:rPr>
        <w:t>technologies de survei</w:t>
      </w:r>
      <w:r>
        <w:rPr>
          <w:rFonts w:cs="Arial"/>
          <w:szCs w:val="22"/>
        </w:rPr>
        <w:t>llance</w:t>
      </w:r>
      <w:r w:rsidRPr="00770C36">
        <w:rPr>
          <w:rFonts w:cs="Arial"/>
          <w:szCs w:val="22"/>
        </w:rPr>
        <w:t xml:space="preserve"> avancées, </w:t>
      </w:r>
      <w:r>
        <w:rPr>
          <w:rFonts w:cs="Arial"/>
          <w:szCs w:val="22"/>
        </w:rPr>
        <w:t xml:space="preserve">telles que </w:t>
      </w:r>
      <w:r w:rsidR="006E2196">
        <w:rPr>
          <w:rFonts w:cs="Arial"/>
          <w:szCs w:val="22"/>
        </w:rPr>
        <w:t xml:space="preserve">des </w:t>
      </w:r>
      <w:r>
        <w:rPr>
          <w:rFonts w:cs="Arial"/>
          <w:szCs w:val="22"/>
        </w:rPr>
        <w:t xml:space="preserve">dispositifs de télédétection </w:t>
      </w:r>
      <w:r w:rsidRPr="00770C36">
        <w:rPr>
          <w:rFonts w:cs="Arial"/>
          <w:szCs w:val="22"/>
        </w:rPr>
        <w:t xml:space="preserve">et engins sous-marins autonomes, </w:t>
      </w:r>
      <w:r>
        <w:rPr>
          <w:rFonts w:cs="Arial"/>
          <w:szCs w:val="22"/>
        </w:rPr>
        <w:t xml:space="preserve">afin de recueillir en temps réel des informations plus complètes sur les aspects </w:t>
      </w:r>
      <w:r w:rsidRPr="00770C36">
        <w:rPr>
          <w:rFonts w:cs="Arial"/>
          <w:szCs w:val="22"/>
        </w:rPr>
        <w:t>océanographi</w:t>
      </w:r>
      <w:r>
        <w:rPr>
          <w:rFonts w:cs="Arial"/>
          <w:szCs w:val="22"/>
        </w:rPr>
        <w:t>ques</w:t>
      </w:r>
      <w:r w:rsidRPr="00770C36">
        <w:rPr>
          <w:rFonts w:cs="Arial"/>
          <w:szCs w:val="22"/>
        </w:rPr>
        <w:t>, écologique</w:t>
      </w:r>
      <w:r>
        <w:rPr>
          <w:rFonts w:cs="Arial"/>
          <w:szCs w:val="22"/>
        </w:rPr>
        <w:t>s</w:t>
      </w:r>
      <w:r w:rsidRPr="00770C36">
        <w:rPr>
          <w:rFonts w:cs="Arial"/>
          <w:szCs w:val="22"/>
        </w:rPr>
        <w:t xml:space="preserve"> et socio</w:t>
      </w:r>
      <w:r>
        <w:rPr>
          <w:rFonts w:cs="Arial"/>
          <w:szCs w:val="22"/>
        </w:rPr>
        <w:t>é</w:t>
      </w:r>
      <w:r w:rsidRPr="00770C36">
        <w:rPr>
          <w:rFonts w:cs="Arial"/>
          <w:szCs w:val="22"/>
        </w:rPr>
        <w:t>conomi</w:t>
      </w:r>
      <w:r>
        <w:rPr>
          <w:rFonts w:cs="Arial"/>
          <w:szCs w:val="22"/>
        </w:rPr>
        <w:t>que</w:t>
      </w:r>
      <w:r w:rsidRPr="00770C36">
        <w:rPr>
          <w:rFonts w:cs="Arial"/>
          <w:szCs w:val="22"/>
        </w:rPr>
        <w:t xml:space="preserve">s </w:t>
      </w:r>
      <w:r>
        <w:rPr>
          <w:rFonts w:cs="Arial"/>
          <w:szCs w:val="22"/>
        </w:rPr>
        <w:t>de l</w:t>
      </w:r>
      <w:r w:rsidR="00E92BB5">
        <w:rPr>
          <w:rFonts w:cs="Arial"/>
          <w:szCs w:val="22"/>
        </w:rPr>
        <w:t>’</w:t>
      </w:r>
      <w:r>
        <w:rPr>
          <w:rFonts w:cs="Arial"/>
          <w:szCs w:val="22"/>
        </w:rPr>
        <w:t>utilisation de l</w:t>
      </w:r>
      <w:r w:rsidR="00E92BB5">
        <w:rPr>
          <w:rFonts w:cs="Arial"/>
          <w:szCs w:val="22"/>
        </w:rPr>
        <w:t>’</w:t>
      </w:r>
      <w:r w:rsidRPr="00770C36">
        <w:rPr>
          <w:rFonts w:cs="Arial"/>
          <w:szCs w:val="22"/>
        </w:rPr>
        <w:t>océan</w:t>
      </w:r>
      <w:r>
        <w:rPr>
          <w:rFonts w:cs="Arial"/>
          <w:szCs w:val="22"/>
        </w:rPr>
        <w:t xml:space="preserve">. </w:t>
      </w:r>
      <w:r w:rsidRPr="00770C36">
        <w:rPr>
          <w:rFonts w:cs="Arial"/>
          <w:szCs w:val="22"/>
        </w:rPr>
        <w:t>Définir des variables normalisées en matière d</w:t>
      </w:r>
      <w:r w:rsidR="00E92BB5">
        <w:rPr>
          <w:rFonts w:cs="Arial"/>
          <w:szCs w:val="22"/>
        </w:rPr>
        <w:t>’</w:t>
      </w:r>
      <w:r w:rsidRPr="00770C36">
        <w:rPr>
          <w:rFonts w:cs="Arial"/>
          <w:szCs w:val="22"/>
        </w:rPr>
        <w:t xml:space="preserve">observation </w:t>
      </w:r>
      <w:r>
        <w:rPr>
          <w:rFonts w:cs="Arial"/>
          <w:szCs w:val="22"/>
        </w:rPr>
        <w:t>de l</w:t>
      </w:r>
      <w:r w:rsidR="00E92BB5">
        <w:rPr>
          <w:rFonts w:cs="Arial"/>
          <w:szCs w:val="22"/>
        </w:rPr>
        <w:t>’</w:t>
      </w:r>
      <w:r>
        <w:rPr>
          <w:rFonts w:cs="Arial"/>
          <w:szCs w:val="22"/>
        </w:rPr>
        <w:t xml:space="preserve">océan aux fins de sa </w:t>
      </w:r>
      <w:r w:rsidRPr="00770C36">
        <w:rPr>
          <w:rFonts w:cs="Arial"/>
          <w:szCs w:val="22"/>
        </w:rPr>
        <w:t>planification</w:t>
      </w:r>
      <w:r>
        <w:rPr>
          <w:rFonts w:cs="Arial"/>
          <w:szCs w:val="22"/>
        </w:rPr>
        <w:t>, tout en mettant en place des</w:t>
      </w:r>
      <w:r w:rsidRPr="00770C36">
        <w:rPr>
          <w:rFonts w:cs="Arial"/>
          <w:szCs w:val="22"/>
        </w:rPr>
        <w:t xml:space="preserve"> mécanismes </w:t>
      </w:r>
      <w:r>
        <w:rPr>
          <w:rFonts w:cs="Arial"/>
          <w:szCs w:val="22"/>
        </w:rPr>
        <w:t xml:space="preserve">de partage des </w:t>
      </w:r>
      <w:r w:rsidRPr="00770C36">
        <w:rPr>
          <w:rFonts w:cs="Arial"/>
          <w:szCs w:val="22"/>
        </w:rPr>
        <w:t xml:space="preserve">données </w:t>
      </w:r>
      <w:r>
        <w:rPr>
          <w:rFonts w:cs="Arial"/>
          <w:szCs w:val="22"/>
        </w:rPr>
        <w:t>améliorés</w:t>
      </w:r>
      <w:r w:rsidRPr="00770C36">
        <w:rPr>
          <w:rFonts w:cs="Arial"/>
          <w:szCs w:val="22"/>
        </w:rPr>
        <w:t xml:space="preserve">, </w:t>
      </w:r>
      <w:r>
        <w:rPr>
          <w:rFonts w:cs="Arial"/>
          <w:szCs w:val="22"/>
        </w:rPr>
        <w:t xml:space="preserve">y compris des </w:t>
      </w:r>
      <w:r w:rsidRPr="00770C36">
        <w:rPr>
          <w:rFonts w:cs="Arial"/>
          <w:szCs w:val="22"/>
        </w:rPr>
        <w:t xml:space="preserve">initiatives </w:t>
      </w:r>
      <w:r>
        <w:rPr>
          <w:rFonts w:cs="Arial"/>
          <w:szCs w:val="22"/>
        </w:rPr>
        <w:t>en faveur de données ouvertes</w:t>
      </w:r>
      <w:r w:rsidRPr="00770C36">
        <w:rPr>
          <w:rFonts w:cs="Arial"/>
          <w:szCs w:val="22"/>
        </w:rPr>
        <w:t xml:space="preserve">, </w:t>
      </w:r>
      <w:r>
        <w:rPr>
          <w:rFonts w:cs="Arial"/>
          <w:szCs w:val="22"/>
        </w:rPr>
        <w:t>permettrait d</w:t>
      </w:r>
      <w:r w:rsidR="00E92BB5">
        <w:rPr>
          <w:rFonts w:cs="Arial"/>
          <w:szCs w:val="22"/>
        </w:rPr>
        <w:t>’</w:t>
      </w:r>
      <w:r>
        <w:rPr>
          <w:rFonts w:cs="Arial"/>
          <w:szCs w:val="22"/>
        </w:rPr>
        <w:t>élargir l</w:t>
      </w:r>
      <w:r w:rsidR="00E92BB5">
        <w:rPr>
          <w:rFonts w:cs="Arial"/>
          <w:szCs w:val="22"/>
        </w:rPr>
        <w:t>’</w:t>
      </w:r>
      <w:r>
        <w:rPr>
          <w:rFonts w:cs="Arial"/>
          <w:szCs w:val="22"/>
        </w:rPr>
        <w:t>accès à cette</w:t>
      </w:r>
      <w:r w:rsidRPr="00770C36">
        <w:rPr>
          <w:rFonts w:cs="Arial"/>
          <w:szCs w:val="22"/>
        </w:rPr>
        <w:t xml:space="preserve"> information e</w:t>
      </w:r>
      <w:r>
        <w:rPr>
          <w:rFonts w:cs="Arial"/>
          <w:szCs w:val="22"/>
        </w:rPr>
        <w:t>t l</w:t>
      </w:r>
      <w:r w:rsidR="00E92BB5">
        <w:rPr>
          <w:rFonts w:cs="Arial"/>
          <w:szCs w:val="22"/>
        </w:rPr>
        <w:t>’</w:t>
      </w:r>
      <w:r>
        <w:rPr>
          <w:rFonts w:cs="Arial"/>
          <w:szCs w:val="22"/>
        </w:rPr>
        <w:t>exploitation de celle</w:t>
      </w:r>
      <w:r>
        <w:rPr>
          <w:rFonts w:cs="Arial"/>
          <w:szCs w:val="22"/>
        </w:rPr>
        <w:noBreakHyphen/>
        <w:t>ci par les acteurs prenant part aux processus de planification et de formulation des politiques, étant entendu que</w:t>
      </w:r>
      <w:r w:rsidRPr="00770C36">
        <w:rPr>
          <w:rFonts w:cs="Arial"/>
          <w:szCs w:val="22"/>
        </w:rPr>
        <w:t xml:space="preserve"> </w:t>
      </w:r>
      <w:r>
        <w:rPr>
          <w:rFonts w:cs="Arial"/>
          <w:szCs w:val="22"/>
        </w:rPr>
        <w:t>leur capacité d</w:t>
      </w:r>
      <w:r w:rsidR="00E92BB5">
        <w:rPr>
          <w:rFonts w:cs="Arial"/>
          <w:szCs w:val="22"/>
        </w:rPr>
        <w:t>’</w:t>
      </w:r>
      <w:r>
        <w:rPr>
          <w:rFonts w:cs="Arial"/>
          <w:szCs w:val="22"/>
        </w:rPr>
        <w:t>exploiter ces données aurait été renforcée</w:t>
      </w:r>
      <w:r w:rsidRPr="00770C36">
        <w:rPr>
          <w:rFonts w:cs="Arial"/>
          <w:szCs w:val="22"/>
        </w:rPr>
        <w:t>.</w:t>
      </w:r>
    </w:p>
    <w:p w14:paraId="35ACB0BC" w14:textId="0E42535F" w:rsidR="006F490E" w:rsidRPr="00170347" w:rsidRDefault="006F490E" w:rsidP="006F490E">
      <w:pPr>
        <w:spacing w:after="240"/>
        <w:ind w:left="1134" w:hanging="567"/>
        <w:jc w:val="both"/>
        <w:rPr>
          <w:rFonts w:cs="Arial"/>
          <w:b/>
          <w:bCs/>
          <w:szCs w:val="22"/>
        </w:rPr>
      </w:pPr>
      <w:r w:rsidRPr="002E38BE">
        <w:rPr>
          <w:rFonts w:cs="Arial"/>
          <w:szCs w:val="22"/>
        </w:rPr>
        <w:t>(iii)</w:t>
      </w:r>
      <w:r w:rsidRPr="002E38BE">
        <w:rPr>
          <w:rFonts w:cs="Arial"/>
          <w:szCs w:val="22"/>
        </w:rPr>
        <w:tab/>
      </w:r>
      <w:r w:rsidRPr="00170347">
        <w:rPr>
          <w:rFonts w:cs="Arial"/>
          <w:b/>
          <w:bCs/>
          <w:szCs w:val="22"/>
        </w:rPr>
        <w:t>Développement des capacités et formation </w:t>
      </w:r>
      <w:r w:rsidRPr="00170347">
        <w:rPr>
          <w:rFonts w:cs="Arial"/>
          <w:szCs w:val="22"/>
        </w:rPr>
        <w:t xml:space="preserve">: il </w:t>
      </w:r>
      <w:r>
        <w:rPr>
          <w:rFonts w:cs="Arial"/>
          <w:szCs w:val="22"/>
        </w:rPr>
        <w:t>faut impérativement poursuivre les efforts dans ce domaine pour assurer avec succès le</w:t>
      </w:r>
      <w:r w:rsidRPr="00170347">
        <w:rPr>
          <w:rFonts w:cs="Arial"/>
          <w:szCs w:val="22"/>
        </w:rPr>
        <w:t xml:space="preserve"> </w:t>
      </w:r>
      <w:r>
        <w:rPr>
          <w:rFonts w:cs="Arial"/>
          <w:szCs w:val="22"/>
        </w:rPr>
        <w:t>passage de la</w:t>
      </w:r>
      <w:r w:rsidRPr="00170347">
        <w:rPr>
          <w:rFonts w:cs="Arial"/>
          <w:szCs w:val="22"/>
        </w:rPr>
        <w:t xml:space="preserve"> PEM </w:t>
      </w:r>
      <w:r>
        <w:rPr>
          <w:rFonts w:cs="Arial"/>
          <w:szCs w:val="22"/>
        </w:rPr>
        <w:t>à la</w:t>
      </w:r>
      <w:r w:rsidRPr="00170347">
        <w:rPr>
          <w:rFonts w:cs="Arial"/>
          <w:szCs w:val="22"/>
        </w:rPr>
        <w:t xml:space="preserve"> planification </w:t>
      </w:r>
      <w:r>
        <w:rPr>
          <w:rFonts w:cs="Arial"/>
          <w:szCs w:val="22"/>
        </w:rPr>
        <w:t>de l</w:t>
      </w:r>
      <w:r w:rsidR="00E92BB5">
        <w:rPr>
          <w:rFonts w:cs="Arial"/>
          <w:szCs w:val="22"/>
        </w:rPr>
        <w:t>’</w:t>
      </w:r>
      <w:r w:rsidRPr="00170347">
        <w:rPr>
          <w:rFonts w:cs="Arial"/>
          <w:szCs w:val="22"/>
        </w:rPr>
        <w:t>océan. Au titre des produits et</w:t>
      </w:r>
      <w:r>
        <w:rPr>
          <w:rFonts w:cs="Arial"/>
          <w:szCs w:val="22"/>
        </w:rPr>
        <w:t xml:space="preserve"> </w:t>
      </w:r>
      <w:r w:rsidRPr="00170347">
        <w:rPr>
          <w:rFonts w:cs="Arial"/>
          <w:szCs w:val="22"/>
        </w:rPr>
        <w:t xml:space="preserve">objectifs </w:t>
      </w:r>
      <w:r>
        <w:rPr>
          <w:rFonts w:cs="Arial"/>
          <w:szCs w:val="22"/>
        </w:rPr>
        <w:t>énoncés dans sa Stratégie pour le développement des capacités (2</w:t>
      </w:r>
      <w:r w:rsidRPr="00170347">
        <w:rPr>
          <w:rFonts w:cs="Arial"/>
          <w:szCs w:val="22"/>
        </w:rPr>
        <w:t>023</w:t>
      </w:r>
      <w:r w:rsidR="006E2196">
        <w:rPr>
          <w:rFonts w:cs="Arial"/>
          <w:szCs w:val="22"/>
        </w:rPr>
        <w:t>-</w:t>
      </w:r>
      <w:r w:rsidRPr="00170347">
        <w:rPr>
          <w:rFonts w:cs="Arial"/>
          <w:szCs w:val="22"/>
        </w:rPr>
        <w:t>2030</w:t>
      </w:r>
      <w:r>
        <w:rPr>
          <w:rFonts w:cs="Arial"/>
          <w:szCs w:val="22"/>
        </w:rPr>
        <w:t>)</w:t>
      </w:r>
      <w:r w:rsidRPr="00170347">
        <w:rPr>
          <w:rFonts w:cs="Arial"/>
          <w:szCs w:val="22"/>
        </w:rPr>
        <w:t xml:space="preserve">, </w:t>
      </w:r>
      <w:r>
        <w:rPr>
          <w:rFonts w:cs="Arial"/>
          <w:szCs w:val="22"/>
        </w:rPr>
        <w:t xml:space="preserve">la </w:t>
      </w:r>
      <w:r w:rsidRPr="00170347">
        <w:rPr>
          <w:rFonts w:cs="Arial"/>
          <w:szCs w:val="22"/>
        </w:rPr>
        <w:t xml:space="preserve">COI </w:t>
      </w:r>
      <w:r>
        <w:rPr>
          <w:rFonts w:cs="Arial"/>
          <w:szCs w:val="22"/>
        </w:rPr>
        <w:t xml:space="preserve">pourrait </w:t>
      </w:r>
      <w:r w:rsidRPr="006F490E">
        <w:rPr>
          <w:rFonts w:asciiTheme="minorBidi" w:hAnsiTheme="minorBidi" w:cstheme="minorBidi"/>
          <w:szCs w:val="22"/>
        </w:rPr>
        <w:t>amplifier</w:t>
      </w:r>
      <w:r>
        <w:rPr>
          <w:rFonts w:cs="Arial"/>
          <w:szCs w:val="22"/>
        </w:rPr>
        <w:t xml:space="preserve"> ses </w:t>
      </w:r>
      <w:r w:rsidRPr="00170347">
        <w:rPr>
          <w:rFonts w:cs="Arial"/>
          <w:szCs w:val="22"/>
        </w:rPr>
        <w:t>programmes</w:t>
      </w:r>
      <w:r>
        <w:rPr>
          <w:rFonts w:cs="Arial"/>
          <w:szCs w:val="22"/>
        </w:rPr>
        <w:t xml:space="preserve"> de formation</w:t>
      </w:r>
      <w:r w:rsidRPr="00170347">
        <w:rPr>
          <w:rFonts w:cs="Arial"/>
          <w:szCs w:val="22"/>
        </w:rPr>
        <w:t>, ateliers et activit</w:t>
      </w:r>
      <w:r>
        <w:rPr>
          <w:rFonts w:cs="Arial"/>
          <w:szCs w:val="22"/>
        </w:rPr>
        <w:t>é</w:t>
      </w:r>
      <w:r w:rsidRPr="00170347">
        <w:rPr>
          <w:rFonts w:cs="Arial"/>
          <w:szCs w:val="22"/>
        </w:rPr>
        <w:t xml:space="preserve">s </w:t>
      </w:r>
      <w:r>
        <w:rPr>
          <w:rFonts w:cs="Arial"/>
          <w:szCs w:val="22"/>
        </w:rPr>
        <w:t>d</w:t>
      </w:r>
      <w:r w:rsidR="00E92BB5">
        <w:rPr>
          <w:rFonts w:cs="Arial"/>
          <w:szCs w:val="22"/>
        </w:rPr>
        <w:t>’</w:t>
      </w:r>
      <w:r w:rsidRPr="00170347">
        <w:rPr>
          <w:rFonts w:cs="Arial"/>
          <w:szCs w:val="22"/>
        </w:rPr>
        <w:t xml:space="preserve">échange de connaissances, </w:t>
      </w:r>
      <w:r>
        <w:rPr>
          <w:rFonts w:cs="Arial"/>
          <w:szCs w:val="22"/>
        </w:rPr>
        <w:t>en s</w:t>
      </w:r>
      <w:r w:rsidR="00E92BB5">
        <w:rPr>
          <w:rFonts w:cs="Arial"/>
          <w:szCs w:val="22"/>
        </w:rPr>
        <w:t>’</w:t>
      </w:r>
      <w:r>
        <w:rPr>
          <w:rFonts w:cs="Arial"/>
          <w:szCs w:val="22"/>
        </w:rPr>
        <w:t xml:space="preserve">attachant à renforcer les compétences et connaissances </w:t>
      </w:r>
      <w:r w:rsidRPr="00170347">
        <w:rPr>
          <w:rFonts w:cs="Arial"/>
          <w:szCs w:val="22"/>
        </w:rPr>
        <w:t>technique</w:t>
      </w:r>
      <w:r>
        <w:rPr>
          <w:rFonts w:cs="Arial"/>
          <w:szCs w:val="22"/>
        </w:rPr>
        <w:t>s des praticiens et des décideurs</w:t>
      </w:r>
      <w:r w:rsidRPr="00170347">
        <w:rPr>
          <w:rFonts w:cs="Arial"/>
          <w:szCs w:val="22"/>
        </w:rPr>
        <w:t xml:space="preserve">. </w:t>
      </w:r>
      <w:r>
        <w:rPr>
          <w:rFonts w:cs="Arial"/>
          <w:szCs w:val="22"/>
        </w:rPr>
        <w:t xml:space="preserve">Cela impliquerait sans doute aussi des </w:t>
      </w:r>
      <w:r w:rsidRPr="00170347">
        <w:rPr>
          <w:rFonts w:cs="Arial"/>
          <w:szCs w:val="22"/>
        </w:rPr>
        <w:t xml:space="preserve">initiatives </w:t>
      </w:r>
      <w:r>
        <w:rPr>
          <w:rFonts w:cs="Arial"/>
          <w:szCs w:val="22"/>
        </w:rPr>
        <w:t xml:space="preserve">de </w:t>
      </w:r>
      <w:r w:rsidRPr="00170347">
        <w:rPr>
          <w:rFonts w:cs="Arial"/>
          <w:szCs w:val="22"/>
        </w:rPr>
        <w:t>renforcement des capacités ciblan</w:t>
      </w:r>
      <w:r>
        <w:rPr>
          <w:rFonts w:cs="Arial"/>
          <w:szCs w:val="22"/>
        </w:rPr>
        <w:t xml:space="preserve">t des </w:t>
      </w:r>
      <w:r w:rsidRPr="00170347">
        <w:rPr>
          <w:rFonts w:cs="Arial"/>
          <w:szCs w:val="22"/>
        </w:rPr>
        <w:t xml:space="preserve">régions et </w:t>
      </w:r>
      <w:r>
        <w:rPr>
          <w:rFonts w:cs="Arial"/>
          <w:szCs w:val="22"/>
        </w:rPr>
        <w:t xml:space="preserve">des groupes de </w:t>
      </w:r>
      <w:r w:rsidRPr="00170347">
        <w:rPr>
          <w:rFonts w:cs="Arial"/>
          <w:szCs w:val="22"/>
        </w:rPr>
        <w:t xml:space="preserve">pays </w:t>
      </w:r>
      <w:r>
        <w:rPr>
          <w:rFonts w:cs="Arial"/>
          <w:szCs w:val="22"/>
        </w:rPr>
        <w:t>particuliers et répondant aux défis et aux besoins qui leur sont propres</w:t>
      </w:r>
      <w:r w:rsidRPr="00170347">
        <w:rPr>
          <w:rFonts w:cs="Arial"/>
          <w:szCs w:val="22"/>
        </w:rPr>
        <w:t>.</w:t>
      </w:r>
    </w:p>
    <w:p w14:paraId="3D04FF0E" w14:textId="5DEAAC34" w:rsidR="006F490E" w:rsidRPr="00084DAA" w:rsidRDefault="006F490E" w:rsidP="006F490E">
      <w:pPr>
        <w:spacing w:after="240"/>
        <w:ind w:left="1134" w:hanging="567"/>
        <w:jc w:val="both"/>
        <w:rPr>
          <w:rFonts w:cs="Arial"/>
          <w:b/>
          <w:bCs/>
          <w:szCs w:val="22"/>
        </w:rPr>
      </w:pPr>
      <w:r w:rsidRPr="002E38BE">
        <w:rPr>
          <w:rFonts w:cs="Arial"/>
          <w:szCs w:val="22"/>
        </w:rPr>
        <w:t>(iv)</w:t>
      </w:r>
      <w:r w:rsidRPr="002E38BE">
        <w:rPr>
          <w:rFonts w:cs="Arial"/>
          <w:szCs w:val="22"/>
        </w:rPr>
        <w:tab/>
      </w:r>
      <w:r w:rsidRPr="00084DAA">
        <w:rPr>
          <w:rFonts w:cs="Arial"/>
          <w:b/>
          <w:bCs/>
          <w:szCs w:val="22"/>
        </w:rPr>
        <w:t xml:space="preserve">Intégration </w:t>
      </w:r>
      <w:r>
        <w:rPr>
          <w:rFonts w:cs="Arial"/>
          <w:b/>
          <w:bCs/>
          <w:szCs w:val="22"/>
        </w:rPr>
        <w:t>de l</w:t>
      </w:r>
      <w:r w:rsidR="00E92BB5">
        <w:rPr>
          <w:rFonts w:cs="Arial"/>
          <w:b/>
          <w:bCs/>
          <w:szCs w:val="22"/>
        </w:rPr>
        <w:t>’</w:t>
      </w:r>
      <w:r w:rsidRPr="00084DAA">
        <w:rPr>
          <w:rFonts w:cs="Arial"/>
          <w:b/>
          <w:bCs/>
          <w:szCs w:val="22"/>
        </w:rPr>
        <w:t xml:space="preserve">adaptation au changement climatique, </w:t>
      </w:r>
      <w:r>
        <w:rPr>
          <w:rFonts w:cs="Arial"/>
          <w:b/>
          <w:bCs/>
          <w:szCs w:val="22"/>
        </w:rPr>
        <w:t>de l</w:t>
      </w:r>
      <w:r w:rsidR="00E92BB5">
        <w:rPr>
          <w:rFonts w:cs="Arial"/>
          <w:b/>
          <w:bCs/>
          <w:szCs w:val="22"/>
        </w:rPr>
        <w:t>’</w:t>
      </w:r>
      <w:r>
        <w:rPr>
          <w:rFonts w:cs="Arial"/>
          <w:b/>
          <w:bCs/>
          <w:szCs w:val="22"/>
        </w:rPr>
        <w:t>atténuation de ses effets et du renforcement de la ré</w:t>
      </w:r>
      <w:r w:rsidRPr="00084DAA">
        <w:rPr>
          <w:rFonts w:cs="Arial"/>
          <w:b/>
          <w:bCs/>
          <w:szCs w:val="22"/>
        </w:rPr>
        <w:t xml:space="preserve">silience </w:t>
      </w:r>
      <w:r>
        <w:rPr>
          <w:rFonts w:cs="Arial"/>
          <w:b/>
          <w:bCs/>
          <w:szCs w:val="22"/>
        </w:rPr>
        <w:t>des zones côtières </w:t>
      </w:r>
      <w:r w:rsidRPr="00084DAA">
        <w:rPr>
          <w:rFonts w:cs="Arial"/>
          <w:szCs w:val="22"/>
        </w:rPr>
        <w:t xml:space="preserve">: </w:t>
      </w:r>
      <w:r>
        <w:rPr>
          <w:rFonts w:cs="Arial"/>
          <w:szCs w:val="22"/>
        </w:rPr>
        <w:t>sachant qu</w:t>
      </w:r>
      <w:r w:rsidR="00E92BB5">
        <w:rPr>
          <w:rFonts w:cs="Arial"/>
          <w:szCs w:val="22"/>
        </w:rPr>
        <w:t>’</w:t>
      </w:r>
      <w:r>
        <w:rPr>
          <w:rFonts w:cs="Arial"/>
          <w:szCs w:val="22"/>
        </w:rPr>
        <w:t xml:space="preserve">il est urgent de faire face aux impacts du </w:t>
      </w:r>
      <w:r w:rsidRPr="00084DAA">
        <w:rPr>
          <w:rFonts w:cs="Arial"/>
          <w:szCs w:val="22"/>
        </w:rPr>
        <w:t xml:space="preserve">changement climatique, </w:t>
      </w:r>
      <w:r>
        <w:rPr>
          <w:rFonts w:cs="Arial"/>
          <w:szCs w:val="22"/>
        </w:rPr>
        <w:t xml:space="preserve">la </w:t>
      </w:r>
      <w:r w:rsidRPr="00084DAA">
        <w:rPr>
          <w:rFonts w:cs="Arial"/>
          <w:szCs w:val="22"/>
        </w:rPr>
        <w:t xml:space="preserve">COI </w:t>
      </w:r>
      <w:r>
        <w:rPr>
          <w:rFonts w:cs="Arial"/>
          <w:szCs w:val="22"/>
        </w:rPr>
        <w:t>pourrait piloter la prise en compte,</w:t>
      </w:r>
      <w:r w:rsidRPr="00084DAA">
        <w:rPr>
          <w:rFonts w:cs="Arial"/>
          <w:szCs w:val="22"/>
        </w:rPr>
        <w:t xml:space="preserve"> </w:t>
      </w:r>
      <w:r>
        <w:rPr>
          <w:rFonts w:cs="Arial"/>
          <w:szCs w:val="22"/>
        </w:rPr>
        <w:t>dans la</w:t>
      </w:r>
      <w:r w:rsidRPr="00084DAA">
        <w:rPr>
          <w:rFonts w:cs="Arial"/>
          <w:szCs w:val="22"/>
        </w:rPr>
        <w:t xml:space="preserve"> planification </w:t>
      </w:r>
      <w:r>
        <w:rPr>
          <w:rFonts w:cs="Arial"/>
          <w:szCs w:val="22"/>
        </w:rPr>
        <w:t>de l</w:t>
      </w:r>
      <w:r w:rsidR="00E92BB5">
        <w:rPr>
          <w:rFonts w:cs="Arial"/>
          <w:szCs w:val="22"/>
        </w:rPr>
        <w:t>’</w:t>
      </w:r>
      <w:r w:rsidRPr="00084DAA">
        <w:rPr>
          <w:rFonts w:cs="Arial"/>
          <w:szCs w:val="22"/>
        </w:rPr>
        <w:t>océan</w:t>
      </w:r>
      <w:r>
        <w:rPr>
          <w:rFonts w:cs="Arial"/>
          <w:szCs w:val="22"/>
        </w:rPr>
        <w:t>,</w:t>
      </w:r>
      <w:r w:rsidRPr="00084DAA">
        <w:rPr>
          <w:rFonts w:cs="Arial"/>
          <w:szCs w:val="22"/>
        </w:rPr>
        <w:t xml:space="preserve"> </w:t>
      </w:r>
      <w:r>
        <w:rPr>
          <w:rFonts w:cs="Arial"/>
          <w:szCs w:val="22"/>
        </w:rPr>
        <w:t>des questions relatives à l</w:t>
      </w:r>
      <w:r w:rsidR="00E92BB5">
        <w:rPr>
          <w:rFonts w:cs="Arial"/>
          <w:szCs w:val="22"/>
        </w:rPr>
        <w:t>’</w:t>
      </w:r>
      <w:r w:rsidRPr="00084DAA">
        <w:rPr>
          <w:rFonts w:cs="Arial"/>
          <w:szCs w:val="22"/>
        </w:rPr>
        <w:t xml:space="preserve">adaptation au changement climatique et </w:t>
      </w:r>
      <w:r>
        <w:rPr>
          <w:rFonts w:cs="Arial"/>
          <w:szCs w:val="22"/>
        </w:rPr>
        <w:t>à l</w:t>
      </w:r>
      <w:r w:rsidR="00E92BB5">
        <w:rPr>
          <w:rFonts w:cs="Arial"/>
          <w:szCs w:val="22"/>
        </w:rPr>
        <w:t>’</w:t>
      </w:r>
      <w:r>
        <w:rPr>
          <w:rFonts w:cs="Arial"/>
          <w:szCs w:val="22"/>
        </w:rPr>
        <w:t xml:space="preserve">atténuation de ses effets. Elle pourrait </w:t>
      </w:r>
      <w:r w:rsidRPr="006F490E">
        <w:rPr>
          <w:rFonts w:asciiTheme="minorBidi" w:hAnsiTheme="minorBidi" w:cstheme="minorBidi"/>
          <w:szCs w:val="22"/>
        </w:rPr>
        <w:t>notamment</w:t>
      </w:r>
      <w:r>
        <w:rPr>
          <w:rFonts w:cs="Arial"/>
          <w:szCs w:val="22"/>
        </w:rPr>
        <w:t xml:space="preserve"> élaborer des </w:t>
      </w:r>
      <w:r w:rsidRPr="00084DAA">
        <w:rPr>
          <w:rFonts w:cs="Arial"/>
          <w:szCs w:val="22"/>
        </w:rPr>
        <w:t xml:space="preserve">outils et </w:t>
      </w:r>
      <w:r>
        <w:rPr>
          <w:rFonts w:cs="Arial"/>
          <w:szCs w:val="22"/>
        </w:rPr>
        <w:t xml:space="preserve">directives aidant les </w:t>
      </w:r>
      <w:r w:rsidRPr="00084DAA">
        <w:rPr>
          <w:rFonts w:cs="Arial"/>
          <w:szCs w:val="22"/>
        </w:rPr>
        <w:t xml:space="preserve">décideurs </w:t>
      </w:r>
      <w:r>
        <w:rPr>
          <w:rFonts w:cs="Arial"/>
          <w:szCs w:val="22"/>
        </w:rPr>
        <w:t xml:space="preserve">à identifier et appliquer les mesures favorisant la </w:t>
      </w:r>
      <w:r w:rsidRPr="00084DAA">
        <w:rPr>
          <w:rFonts w:cs="Arial"/>
          <w:szCs w:val="22"/>
        </w:rPr>
        <w:t>r</w:t>
      </w:r>
      <w:r>
        <w:rPr>
          <w:rFonts w:cs="Arial"/>
          <w:szCs w:val="22"/>
        </w:rPr>
        <w:t>é</w:t>
      </w:r>
      <w:r w:rsidRPr="00084DAA">
        <w:rPr>
          <w:rFonts w:cs="Arial"/>
          <w:szCs w:val="22"/>
        </w:rPr>
        <w:t>silience climat</w:t>
      </w:r>
      <w:r>
        <w:rPr>
          <w:rFonts w:cs="Arial"/>
          <w:szCs w:val="22"/>
        </w:rPr>
        <w:t>iqu</w:t>
      </w:r>
      <w:r w:rsidRPr="00084DAA">
        <w:rPr>
          <w:rFonts w:cs="Arial"/>
          <w:szCs w:val="22"/>
        </w:rPr>
        <w:t xml:space="preserve">e et </w:t>
      </w:r>
      <w:r>
        <w:rPr>
          <w:rFonts w:cs="Arial"/>
          <w:szCs w:val="22"/>
        </w:rPr>
        <w:t>mettre l</w:t>
      </w:r>
      <w:r w:rsidR="00E92BB5">
        <w:rPr>
          <w:rFonts w:cs="Arial"/>
          <w:szCs w:val="22"/>
        </w:rPr>
        <w:t>’</w:t>
      </w:r>
      <w:r>
        <w:rPr>
          <w:rFonts w:cs="Arial"/>
          <w:szCs w:val="22"/>
        </w:rPr>
        <w:t>accent sur</w:t>
      </w:r>
      <w:r w:rsidRPr="00084DAA">
        <w:rPr>
          <w:rFonts w:cs="Arial"/>
          <w:szCs w:val="22"/>
        </w:rPr>
        <w:t xml:space="preserve"> </w:t>
      </w:r>
      <w:r>
        <w:rPr>
          <w:rFonts w:cs="Arial"/>
          <w:szCs w:val="22"/>
        </w:rPr>
        <w:t xml:space="preserve">la </w:t>
      </w:r>
      <w:r w:rsidRPr="00084DAA">
        <w:rPr>
          <w:rFonts w:cs="Arial"/>
          <w:szCs w:val="22"/>
        </w:rPr>
        <w:t xml:space="preserve">protection </w:t>
      </w:r>
      <w:r>
        <w:rPr>
          <w:rFonts w:cs="Arial"/>
          <w:szCs w:val="22"/>
        </w:rPr>
        <w:t>des</w:t>
      </w:r>
      <w:r w:rsidRPr="00084DAA">
        <w:rPr>
          <w:rFonts w:cs="Arial"/>
          <w:szCs w:val="22"/>
        </w:rPr>
        <w:t xml:space="preserve"> habitats</w:t>
      </w:r>
      <w:r>
        <w:rPr>
          <w:rFonts w:cs="Arial"/>
          <w:szCs w:val="22"/>
        </w:rPr>
        <w:t xml:space="preserve"> de carbone bleu</w:t>
      </w:r>
      <w:r w:rsidRPr="00084DAA">
        <w:rPr>
          <w:rFonts w:cs="Arial"/>
          <w:szCs w:val="22"/>
        </w:rPr>
        <w:t>. En veillant tout particuliè</w:t>
      </w:r>
      <w:r>
        <w:rPr>
          <w:rFonts w:cs="Arial"/>
          <w:szCs w:val="22"/>
        </w:rPr>
        <w:t>rement à l</w:t>
      </w:r>
      <w:r w:rsidR="00E92BB5">
        <w:rPr>
          <w:rFonts w:cs="Arial"/>
          <w:szCs w:val="22"/>
        </w:rPr>
        <w:t>’</w:t>
      </w:r>
      <w:r w:rsidRPr="00084DAA">
        <w:rPr>
          <w:rFonts w:cs="Arial"/>
          <w:szCs w:val="22"/>
        </w:rPr>
        <w:t>int</w:t>
      </w:r>
      <w:r>
        <w:rPr>
          <w:rFonts w:cs="Arial"/>
          <w:szCs w:val="22"/>
        </w:rPr>
        <w:t>é</w:t>
      </w:r>
      <w:r w:rsidRPr="00084DAA">
        <w:rPr>
          <w:rFonts w:cs="Arial"/>
          <w:szCs w:val="22"/>
        </w:rPr>
        <w:t xml:space="preserve">gration </w:t>
      </w:r>
      <w:r>
        <w:rPr>
          <w:rFonts w:cs="Arial"/>
          <w:szCs w:val="22"/>
        </w:rPr>
        <w:t>des travaux et</w:t>
      </w:r>
      <w:r w:rsidRPr="00084DAA">
        <w:rPr>
          <w:rFonts w:cs="Arial"/>
          <w:szCs w:val="22"/>
        </w:rPr>
        <w:t xml:space="preserve"> projections scien</w:t>
      </w:r>
      <w:r>
        <w:rPr>
          <w:rFonts w:cs="Arial"/>
          <w:szCs w:val="22"/>
        </w:rPr>
        <w:t>tifiques</w:t>
      </w:r>
      <w:r w:rsidRPr="00262345">
        <w:rPr>
          <w:rFonts w:cs="Arial"/>
          <w:szCs w:val="22"/>
        </w:rPr>
        <w:t xml:space="preserve"> </w:t>
      </w:r>
      <w:r>
        <w:rPr>
          <w:rFonts w:cs="Arial"/>
          <w:szCs w:val="22"/>
        </w:rPr>
        <w:t>dans les</w:t>
      </w:r>
      <w:r w:rsidRPr="00084DAA">
        <w:rPr>
          <w:rFonts w:cs="Arial"/>
          <w:szCs w:val="22"/>
        </w:rPr>
        <w:t xml:space="preserve"> process</w:t>
      </w:r>
      <w:r>
        <w:rPr>
          <w:rFonts w:cs="Arial"/>
          <w:szCs w:val="22"/>
        </w:rPr>
        <w:t>u</w:t>
      </w:r>
      <w:r w:rsidRPr="00084DAA">
        <w:rPr>
          <w:rFonts w:cs="Arial"/>
          <w:szCs w:val="22"/>
        </w:rPr>
        <w:t>s</w:t>
      </w:r>
      <w:r>
        <w:rPr>
          <w:rFonts w:cs="Arial"/>
          <w:szCs w:val="22"/>
        </w:rPr>
        <w:t xml:space="preserve"> de</w:t>
      </w:r>
      <w:r w:rsidRPr="00084DAA">
        <w:rPr>
          <w:rFonts w:cs="Arial"/>
          <w:szCs w:val="22"/>
        </w:rPr>
        <w:t xml:space="preserve"> planification, </w:t>
      </w:r>
      <w:r>
        <w:rPr>
          <w:rFonts w:cs="Arial"/>
          <w:szCs w:val="22"/>
        </w:rPr>
        <w:t xml:space="preserve">la </w:t>
      </w:r>
      <w:r w:rsidRPr="00084DAA">
        <w:rPr>
          <w:rFonts w:cs="Arial"/>
          <w:szCs w:val="22"/>
        </w:rPr>
        <w:t xml:space="preserve">COI </w:t>
      </w:r>
      <w:r>
        <w:rPr>
          <w:rFonts w:cs="Arial"/>
          <w:szCs w:val="22"/>
        </w:rPr>
        <w:t>peut aider les</w:t>
      </w:r>
      <w:r w:rsidRPr="00084DAA">
        <w:rPr>
          <w:rFonts w:cs="Arial"/>
          <w:szCs w:val="22"/>
        </w:rPr>
        <w:t xml:space="preserve"> pays </w:t>
      </w:r>
      <w:r>
        <w:rPr>
          <w:rFonts w:cs="Arial"/>
          <w:szCs w:val="22"/>
        </w:rPr>
        <w:t>à gérer efficacement les risques et vulnérabilités liés au</w:t>
      </w:r>
      <w:r w:rsidRPr="00084DAA">
        <w:rPr>
          <w:rFonts w:cs="Arial"/>
          <w:szCs w:val="22"/>
        </w:rPr>
        <w:t xml:space="preserve"> changement climatique </w:t>
      </w:r>
      <w:r>
        <w:rPr>
          <w:rFonts w:cs="Arial"/>
          <w:szCs w:val="22"/>
        </w:rPr>
        <w:t xml:space="preserve">dans leur action en matière de </w:t>
      </w:r>
      <w:r w:rsidRPr="00084DAA">
        <w:rPr>
          <w:rFonts w:cs="Arial"/>
          <w:szCs w:val="22"/>
        </w:rPr>
        <w:t>planification marine</w:t>
      </w:r>
      <w:r>
        <w:rPr>
          <w:rFonts w:cs="Arial"/>
          <w:szCs w:val="22"/>
        </w:rPr>
        <w:t>, et contribuer de manière économiquement rationnelle aux efforts d</w:t>
      </w:r>
      <w:r w:rsidR="00E92BB5">
        <w:rPr>
          <w:rFonts w:cs="Arial"/>
          <w:szCs w:val="22"/>
        </w:rPr>
        <w:t>’</w:t>
      </w:r>
      <w:r>
        <w:rPr>
          <w:rFonts w:cs="Arial"/>
          <w:szCs w:val="22"/>
        </w:rPr>
        <w:t>atténuation</w:t>
      </w:r>
      <w:r w:rsidRPr="00084DAA">
        <w:rPr>
          <w:rFonts w:cs="Arial"/>
          <w:szCs w:val="22"/>
        </w:rPr>
        <w:t>.</w:t>
      </w:r>
      <w:r>
        <w:rPr>
          <w:rFonts w:cs="Arial"/>
          <w:szCs w:val="22"/>
        </w:rPr>
        <w:t xml:space="preserve"> </w:t>
      </w:r>
    </w:p>
    <w:p w14:paraId="03B97F00" w14:textId="4420467D" w:rsidR="006F490E" w:rsidRPr="00161BAD" w:rsidRDefault="006F490E" w:rsidP="006F490E">
      <w:pPr>
        <w:spacing w:after="240"/>
        <w:ind w:left="1134" w:hanging="567"/>
        <w:jc w:val="both"/>
        <w:rPr>
          <w:rFonts w:cs="Arial"/>
          <w:b/>
          <w:bCs/>
          <w:szCs w:val="22"/>
        </w:rPr>
      </w:pPr>
      <w:r w:rsidRPr="002E38BE">
        <w:rPr>
          <w:rFonts w:cs="Arial"/>
          <w:szCs w:val="22"/>
        </w:rPr>
        <w:t>(v)</w:t>
      </w:r>
      <w:r w:rsidRPr="002E38BE">
        <w:rPr>
          <w:rFonts w:cs="Arial"/>
          <w:szCs w:val="22"/>
        </w:rPr>
        <w:tab/>
      </w:r>
      <w:r w:rsidRPr="001E53EC">
        <w:rPr>
          <w:rFonts w:cs="Arial"/>
          <w:b/>
          <w:bCs/>
          <w:szCs w:val="22"/>
        </w:rPr>
        <w:t>Collaboration avec les peuples autochtones et le</w:t>
      </w:r>
      <w:r>
        <w:rPr>
          <w:rFonts w:cs="Arial"/>
          <w:b/>
          <w:bCs/>
          <w:szCs w:val="22"/>
        </w:rPr>
        <w:t xml:space="preserve">s </w:t>
      </w:r>
      <w:r w:rsidRPr="001E53EC">
        <w:rPr>
          <w:rFonts w:cs="Arial"/>
          <w:b/>
          <w:bCs/>
          <w:szCs w:val="22"/>
        </w:rPr>
        <w:t>communautés local</w:t>
      </w:r>
      <w:r>
        <w:rPr>
          <w:rFonts w:cs="Arial"/>
          <w:b/>
          <w:bCs/>
          <w:szCs w:val="22"/>
        </w:rPr>
        <w:t>es </w:t>
      </w:r>
      <w:r w:rsidRPr="001E53EC">
        <w:rPr>
          <w:rFonts w:cs="Arial"/>
          <w:szCs w:val="22"/>
        </w:rPr>
        <w:t xml:space="preserve">: </w:t>
      </w:r>
      <w:r>
        <w:rPr>
          <w:rFonts w:cs="Arial"/>
          <w:szCs w:val="22"/>
        </w:rPr>
        <w:t>afin d</w:t>
      </w:r>
      <w:r w:rsidR="00E92BB5">
        <w:rPr>
          <w:rFonts w:cs="Arial"/>
          <w:szCs w:val="22"/>
        </w:rPr>
        <w:t>’</w:t>
      </w:r>
      <w:r>
        <w:rPr>
          <w:rFonts w:cs="Arial"/>
          <w:szCs w:val="22"/>
        </w:rPr>
        <w:t>assurer la prise en compte de d</w:t>
      </w:r>
      <w:r w:rsidRPr="001E53EC">
        <w:rPr>
          <w:rFonts w:cs="Arial"/>
          <w:szCs w:val="22"/>
        </w:rPr>
        <w:t>ivers</w:t>
      </w:r>
      <w:r>
        <w:rPr>
          <w:rFonts w:cs="Arial"/>
          <w:szCs w:val="22"/>
        </w:rPr>
        <w:t xml:space="preserve"> points de vue et l</w:t>
      </w:r>
      <w:r w:rsidR="00E92BB5">
        <w:rPr>
          <w:rFonts w:cs="Arial"/>
          <w:szCs w:val="22"/>
        </w:rPr>
        <w:t>’</w:t>
      </w:r>
      <w:r w:rsidRPr="001E53EC">
        <w:rPr>
          <w:rFonts w:cs="Arial"/>
          <w:szCs w:val="22"/>
        </w:rPr>
        <w:t>int</w:t>
      </w:r>
      <w:r>
        <w:rPr>
          <w:rFonts w:cs="Arial"/>
          <w:szCs w:val="22"/>
        </w:rPr>
        <w:t>é</w:t>
      </w:r>
      <w:r w:rsidRPr="001E53EC">
        <w:rPr>
          <w:rFonts w:cs="Arial"/>
          <w:szCs w:val="22"/>
        </w:rPr>
        <w:t xml:space="preserve">gration </w:t>
      </w:r>
      <w:r>
        <w:rPr>
          <w:rFonts w:cs="Arial"/>
          <w:szCs w:val="22"/>
        </w:rPr>
        <w:t>des savoirs</w:t>
      </w:r>
      <w:r w:rsidRPr="001E53EC">
        <w:rPr>
          <w:rFonts w:cs="Arial"/>
          <w:szCs w:val="22"/>
        </w:rPr>
        <w:t xml:space="preserve"> autochtone</w:t>
      </w:r>
      <w:r>
        <w:rPr>
          <w:rFonts w:cs="Arial"/>
          <w:szCs w:val="22"/>
        </w:rPr>
        <w:t>s</w:t>
      </w:r>
      <w:r w:rsidRPr="001E53EC">
        <w:rPr>
          <w:rFonts w:cs="Arial"/>
          <w:szCs w:val="22"/>
        </w:rPr>
        <w:t xml:space="preserve"> et loca</w:t>
      </w:r>
      <w:r>
        <w:rPr>
          <w:rFonts w:cs="Arial"/>
          <w:szCs w:val="22"/>
        </w:rPr>
        <w:t>ux</w:t>
      </w:r>
      <w:r w:rsidRPr="001E53EC">
        <w:rPr>
          <w:rFonts w:cs="Arial"/>
          <w:szCs w:val="22"/>
        </w:rPr>
        <w:t xml:space="preserve">, </w:t>
      </w:r>
      <w:r>
        <w:rPr>
          <w:rFonts w:cs="Arial"/>
          <w:szCs w:val="22"/>
        </w:rPr>
        <w:t xml:space="preserve">la </w:t>
      </w:r>
      <w:r w:rsidRPr="001E53EC">
        <w:rPr>
          <w:rFonts w:cs="Arial"/>
          <w:szCs w:val="22"/>
        </w:rPr>
        <w:t xml:space="preserve">COI </w:t>
      </w:r>
      <w:r>
        <w:rPr>
          <w:rFonts w:cs="Arial"/>
          <w:szCs w:val="22"/>
        </w:rPr>
        <w:t>pourrait renforcer sa</w:t>
      </w:r>
      <w:r w:rsidRPr="001E53EC">
        <w:rPr>
          <w:rFonts w:cs="Arial"/>
          <w:szCs w:val="22"/>
        </w:rPr>
        <w:t xml:space="preserve"> collaboration </w:t>
      </w:r>
      <w:r>
        <w:rPr>
          <w:rFonts w:cs="Arial"/>
          <w:szCs w:val="22"/>
        </w:rPr>
        <w:t>avec les</w:t>
      </w:r>
      <w:r w:rsidRPr="001E53EC">
        <w:rPr>
          <w:rFonts w:cs="Arial"/>
          <w:szCs w:val="22"/>
        </w:rPr>
        <w:t xml:space="preserve"> communautés autochtone</w:t>
      </w:r>
      <w:r>
        <w:rPr>
          <w:rFonts w:cs="Arial"/>
          <w:szCs w:val="22"/>
        </w:rPr>
        <w:t>s</w:t>
      </w:r>
      <w:r w:rsidRPr="001E53EC">
        <w:rPr>
          <w:rFonts w:cs="Arial"/>
          <w:szCs w:val="22"/>
        </w:rPr>
        <w:t xml:space="preserve"> et local</w:t>
      </w:r>
      <w:r>
        <w:rPr>
          <w:rFonts w:cs="Arial"/>
          <w:szCs w:val="22"/>
        </w:rPr>
        <w:t>es</w:t>
      </w:r>
      <w:r w:rsidRPr="001E53EC">
        <w:rPr>
          <w:rFonts w:cs="Arial"/>
          <w:szCs w:val="22"/>
        </w:rPr>
        <w:t xml:space="preserve"> </w:t>
      </w:r>
      <w:r>
        <w:rPr>
          <w:rFonts w:cs="Arial"/>
          <w:szCs w:val="22"/>
        </w:rPr>
        <w:t>en mettant à profit l</w:t>
      </w:r>
      <w:r w:rsidR="00E92BB5">
        <w:rPr>
          <w:rFonts w:cs="Arial"/>
          <w:szCs w:val="22"/>
        </w:rPr>
        <w:t>’</w:t>
      </w:r>
      <w:r w:rsidRPr="001E53EC">
        <w:rPr>
          <w:rFonts w:cs="Arial"/>
          <w:szCs w:val="22"/>
        </w:rPr>
        <w:t xml:space="preserve">expertise </w:t>
      </w:r>
      <w:r>
        <w:rPr>
          <w:rFonts w:cs="Arial"/>
          <w:szCs w:val="22"/>
        </w:rPr>
        <w:t>déjà acquise par l</w:t>
      </w:r>
      <w:r w:rsidR="00E92BB5">
        <w:rPr>
          <w:rFonts w:cs="Arial"/>
          <w:szCs w:val="22"/>
        </w:rPr>
        <w:t>’</w:t>
      </w:r>
      <w:r w:rsidRPr="001E53EC">
        <w:rPr>
          <w:rFonts w:cs="Arial"/>
          <w:szCs w:val="22"/>
        </w:rPr>
        <w:t>UNESCO (</w:t>
      </w:r>
      <w:r>
        <w:rPr>
          <w:rFonts w:cs="Arial"/>
          <w:szCs w:val="22"/>
        </w:rPr>
        <w:t>dans le cadre, par exemple, du Programme</w:t>
      </w:r>
      <w:r w:rsidRPr="001E53EC">
        <w:rPr>
          <w:rFonts w:cs="Arial"/>
          <w:szCs w:val="22"/>
        </w:rPr>
        <w:t xml:space="preserve"> </w:t>
      </w:r>
      <w:hyperlink r:id="rId15" w:history="1">
        <w:r w:rsidRPr="005B1A81">
          <w:rPr>
            <w:rStyle w:val="Hyperlink"/>
            <w:rFonts w:cs="Arial"/>
            <w:szCs w:val="22"/>
          </w:rPr>
          <w:t>LINKS</w:t>
        </w:r>
      </w:hyperlink>
      <w:r w:rsidRPr="005B1A81">
        <w:rPr>
          <w:rFonts w:cs="Arial"/>
          <w:szCs w:val="22"/>
        </w:rPr>
        <w:t>). Elle pourrait notamment promouvoir l</w:t>
      </w:r>
      <w:r w:rsidR="00E92BB5">
        <w:rPr>
          <w:rFonts w:cs="Arial"/>
          <w:szCs w:val="22"/>
        </w:rPr>
        <w:t>’</w:t>
      </w:r>
      <w:r w:rsidRPr="005B1A81">
        <w:rPr>
          <w:rFonts w:cs="Arial"/>
          <w:szCs w:val="22"/>
        </w:rPr>
        <w:t>établissement de mécanismes de collaboration, d</w:t>
      </w:r>
      <w:r>
        <w:rPr>
          <w:rFonts w:cs="Arial"/>
          <w:szCs w:val="22"/>
        </w:rPr>
        <w:t xml:space="preserve">e </w:t>
      </w:r>
      <w:r w:rsidRPr="005B1A81">
        <w:rPr>
          <w:rFonts w:cs="Arial"/>
          <w:szCs w:val="22"/>
        </w:rPr>
        <w:t xml:space="preserve">consultation, et </w:t>
      </w:r>
      <w:r>
        <w:rPr>
          <w:rFonts w:cs="Arial"/>
          <w:szCs w:val="22"/>
        </w:rPr>
        <w:t xml:space="preserve">de </w:t>
      </w:r>
      <w:r w:rsidRPr="006F490E">
        <w:rPr>
          <w:rFonts w:asciiTheme="minorBidi" w:hAnsiTheme="minorBidi" w:cstheme="minorBidi"/>
          <w:szCs w:val="22"/>
        </w:rPr>
        <w:t>cogestion</w:t>
      </w:r>
      <w:r w:rsidRPr="005B1A81">
        <w:rPr>
          <w:rFonts w:cs="Arial"/>
          <w:szCs w:val="22"/>
        </w:rPr>
        <w:t xml:space="preserve"> </w:t>
      </w:r>
      <w:r>
        <w:rPr>
          <w:rFonts w:cs="Arial"/>
          <w:szCs w:val="22"/>
        </w:rPr>
        <w:t>avec</w:t>
      </w:r>
      <w:r w:rsidRPr="005B1A81">
        <w:rPr>
          <w:rFonts w:cs="Arial"/>
          <w:szCs w:val="22"/>
        </w:rPr>
        <w:t xml:space="preserve"> ces communautés, </w:t>
      </w:r>
      <w:r>
        <w:rPr>
          <w:rFonts w:cs="Arial"/>
          <w:szCs w:val="22"/>
        </w:rPr>
        <w:t>à condition qu</w:t>
      </w:r>
      <w:r w:rsidR="00E92BB5">
        <w:rPr>
          <w:rFonts w:cs="Arial"/>
          <w:szCs w:val="22"/>
        </w:rPr>
        <w:t>’</w:t>
      </w:r>
      <w:r>
        <w:rPr>
          <w:rFonts w:cs="Arial"/>
          <w:szCs w:val="22"/>
        </w:rPr>
        <w:t>ils s</w:t>
      </w:r>
      <w:r w:rsidR="00E92BB5">
        <w:rPr>
          <w:rFonts w:cs="Arial"/>
          <w:szCs w:val="22"/>
        </w:rPr>
        <w:t>’</w:t>
      </w:r>
      <w:r>
        <w:rPr>
          <w:rFonts w:cs="Arial"/>
          <w:szCs w:val="22"/>
        </w:rPr>
        <w:t>accompagnent d</w:t>
      </w:r>
      <w:r w:rsidR="00E92BB5">
        <w:rPr>
          <w:rFonts w:cs="Arial"/>
          <w:szCs w:val="22"/>
        </w:rPr>
        <w:t>’</w:t>
      </w:r>
      <w:r>
        <w:rPr>
          <w:rFonts w:cs="Arial"/>
          <w:szCs w:val="22"/>
        </w:rPr>
        <w:t>une véritable reconnaissance de leurs droits, de leurs savoirs</w:t>
      </w:r>
      <w:r w:rsidRPr="005B1A81">
        <w:rPr>
          <w:rFonts w:cs="Arial"/>
          <w:szCs w:val="22"/>
        </w:rPr>
        <w:t xml:space="preserve"> écologique</w:t>
      </w:r>
      <w:r>
        <w:rPr>
          <w:rFonts w:cs="Arial"/>
          <w:szCs w:val="22"/>
        </w:rPr>
        <w:t>s</w:t>
      </w:r>
      <w:r w:rsidRPr="005B1A81">
        <w:rPr>
          <w:rFonts w:cs="Arial"/>
          <w:szCs w:val="22"/>
        </w:rPr>
        <w:t xml:space="preserve"> tradition</w:t>
      </w:r>
      <w:r>
        <w:rPr>
          <w:rFonts w:cs="Arial"/>
          <w:szCs w:val="22"/>
        </w:rPr>
        <w:t>ne</w:t>
      </w:r>
      <w:r w:rsidRPr="005B1A81">
        <w:rPr>
          <w:rFonts w:cs="Arial"/>
          <w:szCs w:val="22"/>
        </w:rPr>
        <w:t>l</w:t>
      </w:r>
      <w:r>
        <w:rPr>
          <w:rFonts w:cs="Arial"/>
          <w:szCs w:val="22"/>
        </w:rPr>
        <w:t>s</w:t>
      </w:r>
      <w:r w:rsidRPr="005B1A81">
        <w:rPr>
          <w:rFonts w:cs="Arial"/>
          <w:szCs w:val="22"/>
        </w:rPr>
        <w:t xml:space="preserve"> et </w:t>
      </w:r>
      <w:r>
        <w:rPr>
          <w:rFonts w:cs="Arial"/>
          <w:szCs w:val="22"/>
        </w:rPr>
        <w:t>de leurs pratiques de bonne gouvernance</w:t>
      </w:r>
      <w:r w:rsidRPr="005B1A81">
        <w:rPr>
          <w:rFonts w:cs="Arial"/>
          <w:szCs w:val="22"/>
        </w:rPr>
        <w:t>. En</w:t>
      </w:r>
      <w:r>
        <w:rPr>
          <w:rFonts w:cs="Arial"/>
          <w:szCs w:val="22"/>
        </w:rPr>
        <w:t xml:space="preserve"> intégrant dans la </w:t>
      </w:r>
      <w:r w:rsidRPr="005B1A81">
        <w:rPr>
          <w:rFonts w:cs="Arial"/>
          <w:szCs w:val="22"/>
        </w:rPr>
        <w:t>planification</w:t>
      </w:r>
      <w:r>
        <w:rPr>
          <w:rFonts w:cs="Arial"/>
          <w:szCs w:val="22"/>
        </w:rPr>
        <w:t xml:space="preserve"> de l</w:t>
      </w:r>
      <w:r w:rsidR="00E92BB5">
        <w:rPr>
          <w:rFonts w:cs="Arial"/>
          <w:szCs w:val="22"/>
        </w:rPr>
        <w:t>’</w:t>
      </w:r>
      <w:r>
        <w:rPr>
          <w:rFonts w:cs="Arial"/>
          <w:szCs w:val="22"/>
        </w:rPr>
        <w:t>o</w:t>
      </w:r>
      <w:r w:rsidRPr="005B1A81">
        <w:rPr>
          <w:rFonts w:cs="Arial"/>
          <w:szCs w:val="22"/>
        </w:rPr>
        <w:t>céan</w:t>
      </w:r>
      <w:r>
        <w:rPr>
          <w:rFonts w:cs="Arial"/>
          <w:szCs w:val="22"/>
        </w:rPr>
        <w:t xml:space="preserve"> les connaissances traditionnelles et les </w:t>
      </w:r>
      <w:r w:rsidRPr="005B1A81">
        <w:rPr>
          <w:rFonts w:cs="Arial"/>
          <w:szCs w:val="22"/>
        </w:rPr>
        <w:t>priorités local</w:t>
      </w:r>
      <w:r>
        <w:rPr>
          <w:rFonts w:cs="Arial"/>
          <w:szCs w:val="22"/>
        </w:rPr>
        <w:t>es</w:t>
      </w:r>
      <w:r w:rsidRPr="005B1A81">
        <w:rPr>
          <w:rFonts w:cs="Arial"/>
          <w:szCs w:val="22"/>
        </w:rPr>
        <w:t xml:space="preserve">, la COI </w:t>
      </w:r>
      <w:r>
        <w:rPr>
          <w:rFonts w:cs="Arial"/>
          <w:szCs w:val="22"/>
        </w:rPr>
        <w:t xml:space="preserve">peut favoriser des approches plus inclusives </w:t>
      </w:r>
      <w:r w:rsidRPr="005B1A81">
        <w:rPr>
          <w:rFonts w:cs="Arial"/>
          <w:szCs w:val="22"/>
        </w:rPr>
        <w:lastRenderedPageBreak/>
        <w:t xml:space="preserve">et </w:t>
      </w:r>
      <w:r>
        <w:rPr>
          <w:rFonts w:cs="Arial"/>
          <w:szCs w:val="22"/>
        </w:rPr>
        <w:t xml:space="preserve">sensibles aux spécificités </w:t>
      </w:r>
      <w:r w:rsidRPr="005B1A81">
        <w:rPr>
          <w:rFonts w:cs="Arial"/>
          <w:szCs w:val="22"/>
        </w:rPr>
        <w:t>cultur</w:t>
      </w:r>
      <w:r>
        <w:rPr>
          <w:rFonts w:cs="Arial"/>
          <w:szCs w:val="22"/>
        </w:rPr>
        <w:t>elles</w:t>
      </w:r>
      <w:r w:rsidRPr="005B1A81">
        <w:rPr>
          <w:rFonts w:cs="Arial"/>
          <w:szCs w:val="22"/>
        </w:rPr>
        <w:t xml:space="preserve">. </w:t>
      </w:r>
      <w:r w:rsidRPr="00161BAD">
        <w:rPr>
          <w:rFonts w:cs="Arial"/>
          <w:szCs w:val="22"/>
        </w:rPr>
        <w:t>Il importe toutefois que les communautés perçoivent le</w:t>
      </w:r>
      <w:r>
        <w:rPr>
          <w:rFonts w:cs="Arial"/>
          <w:szCs w:val="22"/>
        </w:rPr>
        <w:t>s résultats et constatent que leurs savoirs sont utilisés de manière respectueuse et appropriée, ce qui nécessite une</w:t>
      </w:r>
      <w:r w:rsidRPr="00161BAD">
        <w:rPr>
          <w:rFonts w:cs="Arial"/>
          <w:szCs w:val="22"/>
        </w:rPr>
        <w:t xml:space="preserve"> planification</w:t>
      </w:r>
      <w:r>
        <w:rPr>
          <w:rFonts w:cs="Arial"/>
          <w:szCs w:val="22"/>
        </w:rPr>
        <w:t xml:space="preserve"> attentive</w:t>
      </w:r>
      <w:r w:rsidRPr="00161BAD">
        <w:rPr>
          <w:rFonts w:cs="Arial"/>
          <w:szCs w:val="22"/>
        </w:rPr>
        <w:t>.</w:t>
      </w:r>
    </w:p>
    <w:p w14:paraId="7E49DE57" w14:textId="39A7CA6C" w:rsidR="006F490E" w:rsidRPr="00161BAD" w:rsidRDefault="006F490E" w:rsidP="006F490E">
      <w:pPr>
        <w:spacing w:after="240"/>
        <w:ind w:left="1134" w:hanging="567"/>
        <w:jc w:val="both"/>
        <w:rPr>
          <w:rFonts w:cs="Arial"/>
          <w:szCs w:val="22"/>
        </w:rPr>
      </w:pPr>
      <w:r w:rsidRPr="00F27FF3">
        <w:rPr>
          <w:rFonts w:cs="Arial"/>
          <w:szCs w:val="22"/>
        </w:rPr>
        <w:t>(vi)</w:t>
      </w:r>
      <w:r w:rsidRPr="00F27FF3">
        <w:rPr>
          <w:rFonts w:cs="Arial"/>
          <w:szCs w:val="22"/>
        </w:rPr>
        <w:tab/>
      </w:r>
      <w:r>
        <w:rPr>
          <w:rFonts w:cs="Arial"/>
          <w:b/>
          <w:bCs/>
          <w:szCs w:val="22"/>
        </w:rPr>
        <w:t>I</w:t>
      </w:r>
      <w:r w:rsidRPr="00161BAD">
        <w:rPr>
          <w:rFonts w:cs="Arial"/>
          <w:b/>
          <w:bCs/>
          <w:szCs w:val="22"/>
        </w:rPr>
        <w:t xml:space="preserve">nnovation </w:t>
      </w:r>
      <w:r>
        <w:rPr>
          <w:rFonts w:cs="Arial"/>
          <w:b/>
          <w:bCs/>
          <w:szCs w:val="22"/>
        </w:rPr>
        <w:t>t</w:t>
      </w:r>
      <w:r w:rsidRPr="00161BAD">
        <w:rPr>
          <w:rFonts w:cs="Arial"/>
          <w:b/>
          <w:bCs/>
          <w:szCs w:val="22"/>
        </w:rPr>
        <w:t>echnolog</w:t>
      </w:r>
      <w:r>
        <w:rPr>
          <w:rFonts w:cs="Arial"/>
          <w:b/>
          <w:bCs/>
          <w:szCs w:val="22"/>
        </w:rPr>
        <w:t>ique et ou</w:t>
      </w:r>
      <w:r w:rsidRPr="00161BAD">
        <w:rPr>
          <w:rFonts w:cs="Arial"/>
          <w:b/>
          <w:bCs/>
          <w:szCs w:val="22"/>
        </w:rPr>
        <w:t>tils</w:t>
      </w:r>
      <w:r>
        <w:rPr>
          <w:rFonts w:cs="Arial"/>
          <w:b/>
          <w:bCs/>
          <w:szCs w:val="22"/>
        </w:rPr>
        <w:t xml:space="preserve"> numériques </w:t>
      </w:r>
      <w:r w:rsidRPr="00161BAD">
        <w:rPr>
          <w:rFonts w:cs="Arial"/>
          <w:szCs w:val="22"/>
        </w:rPr>
        <w:t xml:space="preserve">: </w:t>
      </w:r>
      <w:r>
        <w:rPr>
          <w:rFonts w:cs="Arial"/>
          <w:szCs w:val="22"/>
        </w:rPr>
        <w:t xml:space="preserve">la </w:t>
      </w:r>
      <w:r w:rsidRPr="00161BAD">
        <w:rPr>
          <w:rFonts w:cs="Arial"/>
          <w:szCs w:val="22"/>
        </w:rPr>
        <w:t xml:space="preserve">COI </w:t>
      </w:r>
      <w:r w:rsidRPr="006F490E">
        <w:rPr>
          <w:rFonts w:asciiTheme="minorBidi" w:hAnsiTheme="minorBidi" w:cstheme="minorBidi"/>
          <w:szCs w:val="22"/>
        </w:rPr>
        <w:t>pourrait</w:t>
      </w:r>
      <w:r w:rsidRPr="00161BAD">
        <w:rPr>
          <w:rFonts w:cs="Arial"/>
          <w:szCs w:val="22"/>
        </w:rPr>
        <w:t xml:space="preserve"> invest</w:t>
      </w:r>
      <w:r>
        <w:rPr>
          <w:rFonts w:cs="Arial"/>
          <w:szCs w:val="22"/>
        </w:rPr>
        <w:t>ir dans l</w:t>
      </w:r>
      <w:r w:rsidR="00E92BB5">
        <w:rPr>
          <w:rFonts w:cs="Arial"/>
          <w:szCs w:val="22"/>
        </w:rPr>
        <w:t>’</w:t>
      </w:r>
      <w:r>
        <w:rPr>
          <w:rFonts w:cs="Arial"/>
          <w:szCs w:val="22"/>
        </w:rPr>
        <w:t>élaboration et la diffusi</w:t>
      </w:r>
      <w:r w:rsidRPr="00161BAD">
        <w:rPr>
          <w:rFonts w:cs="Arial"/>
          <w:szCs w:val="22"/>
        </w:rPr>
        <w:t xml:space="preserve">on </w:t>
      </w:r>
      <w:r>
        <w:rPr>
          <w:rFonts w:cs="Arial"/>
          <w:szCs w:val="22"/>
        </w:rPr>
        <w:t>de</w:t>
      </w:r>
      <w:r w:rsidRPr="00161BAD">
        <w:rPr>
          <w:rFonts w:cs="Arial"/>
          <w:szCs w:val="22"/>
        </w:rPr>
        <w:t xml:space="preserve"> données, </w:t>
      </w:r>
      <w:r w:rsidR="00430CA1">
        <w:rPr>
          <w:rFonts w:cs="Arial"/>
          <w:szCs w:val="22"/>
        </w:rPr>
        <w:t>d’</w:t>
      </w:r>
      <w:r w:rsidRPr="00161BAD">
        <w:rPr>
          <w:rFonts w:cs="Arial"/>
          <w:szCs w:val="22"/>
        </w:rPr>
        <w:t xml:space="preserve">outils </w:t>
      </w:r>
      <w:r>
        <w:rPr>
          <w:rFonts w:cs="Arial"/>
          <w:szCs w:val="22"/>
        </w:rPr>
        <w:t xml:space="preserve">numériques </w:t>
      </w:r>
      <w:r w:rsidRPr="00161BAD">
        <w:rPr>
          <w:rFonts w:cs="Arial"/>
          <w:szCs w:val="22"/>
        </w:rPr>
        <w:t xml:space="preserve">et </w:t>
      </w:r>
      <w:r w:rsidR="00430CA1">
        <w:rPr>
          <w:rFonts w:cs="Arial"/>
          <w:szCs w:val="22"/>
        </w:rPr>
        <w:t xml:space="preserve">de </w:t>
      </w:r>
      <w:r w:rsidRPr="00161BAD">
        <w:rPr>
          <w:rFonts w:cs="Arial"/>
          <w:szCs w:val="22"/>
        </w:rPr>
        <w:t>technologies innova</w:t>
      </w:r>
      <w:r>
        <w:rPr>
          <w:rFonts w:cs="Arial"/>
          <w:szCs w:val="22"/>
        </w:rPr>
        <w:t xml:space="preserve">nts qui facilitent la </w:t>
      </w:r>
      <w:r w:rsidRPr="00161BAD">
        <w:rPr>
          <w:rFonts w:cs="Arial"/>
          <w:szCs w:val="22"/>
        </w:rPr>
        <w:t xml:space="preserve">planification et </w:t>
      </w:r>
      <w:r>
        <w:rPr>
          <w:rFonts w:cs="Arial"/>
          <w:szCs w:val="22"/>
        </w:rPr>
        <w:t>un suivi permanent</w:t>
      </w:r>
      <w:r w:rsidRPr="00161BAD">
        <w:rPr>
          <w:rFonts w:cs="Arial"/>
          <w:szCs w:val="22"/>
        </w:rPr>
        <w:t xml:space="preserve">. </w:t>
      </w:r>
      <w:r>
        <w:rPr>
          <w:rFonts w:cs="Arial"/>
          <w:szCs w:val="22"/>
        </w:rPr>
        <w:t>Elle</w:t>
      </w:r>
      <w:r w:rsidRPr="00161BAD">
        <w:rPr>
          <w:rFonts w:cs="Arial"/>
          <w:szCs w:val="22"/>
        </w:rPr>
        <w:t xml:space="preserve"> pourrait </w:t>
      </w:r>
      <w:r>
        <w:rPr>
          <w:rFonts w:cs="Arial"/>
          <w:szCs w:val="22"/>
        </w:rPr>
        <w:t xml:space="preserve">à cette fin promouvoir la </w:t>
      </w:r>
      <w:r w:rsidRPr="00161BAD">
        <w:rPr>
          <w:rFonts w:cs="Arial"/>
          <w:szCs w:val="22"/>
        </w:rPr>
        <w:t>cr</w:t>
      </w:r>
      <w:r>
        <w:rPr>
          <w:rFonts w:cs="Arial"/>
          <w:szCs w:val="22"/>
        </w:rPr>
        <w:t>é</w:t>
      </w:r>
      <w:r w:rsidRPr="00161BAD">
        <w:rPr>
          <w:rFonts w:cs="Arial"/>
          <w:szCs w:val="22"/>
        </w:rPr>
        <w:t xml:space="preserve">ation </w:t>
      </w:r>
      <w:r>
        <w:rPr>
          <w:rFonts w:cs="Arial"/>
          <w:szCs w:val="22"/>
        </w:rPr>
        <w:t>de logiciels d</w:t>
      </w:r>
      <w:r w:rsidR="00E92BB5">
        <w:rPr>
          <w:rFonts w:cs="Arial"/>
          <w:szCs w:val="22"/>
        </w:rPr>
        <w:t>’</w:t>
      </w:r>
      <w:r>
        <w:rPr>
          <w:rFonts w:cs="Arial"/>
          <w:szCs w:val="22"/>
        </w:rPr>
        <w:t>utilisation aisée</w:t>
      </w:r>
      <w:r w:rsidRPr="00161BAD">
        <w:rPr>
          <w:rFonts w:cs="Arial"/>
          <w:szCs w:val="22"/>
        </w:rPr>
        <w:t xml:space="preserve">, </w:t>
      </w:r>
      <w:r>
        <w:rPr>
          <w:rFonts w:cs="Arial"/>
          <w:szCs w:val="22"/>
        </w:rPr>
        <w:t>de systèmes d</w:t>
      </w:r>
      <w:r w:rsidR="00E92BB5">
        <w:rPr>
          <w:rFonts w:cs="Arial"/>
          <w:szCs w:val="22"/>
        </w:rPr>
        <w:t>’</w:t>
      </w:r>
      <w:r>
        <w:rPr>
          <w:rFonts w:cs="Arial"/>
          <w:szCs w:val="22"/>
        </w:rPr>
        <w:t>aide à la dé</w:t>
      </w:r>
      <w:r w:rsidRPr="00161BAD">
        <w:rPr>
          <w:rFonts w:cs="Arial"/>
          <w:szCs w:val="22"/>
        </w:rPr>
        <w:t xml:space="preserve">cision </w:t>
      </w:r>
      <w:r>
        <w:rPr>
          <w:rFonts w:cs="Arial"/>
          <w:szCs w:val="22"/>
        </w:rPr>
        <w:t xml:space="preserve">et de </w:t>
      </w:r>
      <w:r w:rsidRPr="00161BAD">
        <w:rPr>
          <w:rFonts w:cs="Arial"/>
          <w:szCs w:val="22"/>
        </w:rPr>
        <w:t>plat</w:t>
      </w:r>
      <w:r>
        <w:rPr>
          <w:rFonts w:cs="Arial"/>
          <w:szCs w:val="22"/>
        </w:rPr>
        <w:t>es</w:t>
      </w:r>
      <w:r w:rsidR="00961FBE">
        <w:rPr>
          <w:rFonts w:cs="Arial"/>
          <w:szCs w:val="22"/>
        </w:rPr>
        <w:noBreakHyphen/>
      </w:r>
      <w:r w:rsidRPr="00161BAD">
        <w:rPr>
          <w:rFonts w:cs="Arial"/>
          <w:szCs w:val="22"/>
        </w:rPr>
        <w:t>form</w:t>
      </w:r>
      <w:r>
        <w:rPr>
          <w:rFonts w:cs="Arial"/>
          <w:szCs w:val="22"/>
        </w:rPr>
        <w:t>e</w:t>
      </w:r>
      <w:r w:rsidRPr="00161BAD">
        <w:rPr>
          <w:rFonts w:cs="Arial"/>
          <w:szCs w:val="22"/>
        </w:rPr>
        <w:t xml:space="preserve">s </w:t>
      </w:r>
      <w:r>
        <w:rPr>
          <w:rFonts w:cs="Arial"/>
          <w:szCs w:val="22"/>
        </w:rPr>
        <w:t xml:space="preserve">en ligne favorisant la participation des parties prenantes, les analyses spatiales et la construction de </w:t>
      </w:r>
      <w:r w:rsidRPr="00161BAD">
        <w:rPr>
          <w:rFonts w:cs="Arial"/>
          <w:szCs w:val="22"/>
        </w:rPr>
        <w:t>sc</w:t>
      </w:r>
      <w:r>
        <w:rPr>
          <w:rFonts w:cs="Arial"/>
          <w:szCs w:val="22"/>
        </w:rPr>
        <w:t>é</w:t>
      </w:r>
      <w:r w:rsidRPr="00161BAD">
        <w:rPr>
          <w:rFonts w:cs="Arial"/>
          <w:szCs w:val="22"/>
        </w:rPr>
        <w:t>nario</w:t>
      </w:r>
      <w:r>
        <w:rPr>
          <w:rFonts w:cs="Arial"/>
          <w:szCs w:val="22"/>
        </w:rPr>
        <w:t>s</w:t>
      </w:r>
      <w:r w:rsidRPr="00161BAD">
        <w:rPr>
          <w:rFonts w:cs="Arial"/>
          <w:szCs w:val="22"/>
        </w:rPr>
        <w:t>. Cela pourrait avoir pour effe</w:t>
      </w:r>
      <w:r>
        <w:rPr>
          <w:rFonts w:cs="Arial"/>
          <w:szCs w:val="22"/>
        </w:rPr>
        <w:t>t d</w:t>
      </w:r>
      <w:r w:rsidR="00E92BB5">
        <w:rPr>
          <w:rFonts w:cs="Arial"/>
          <w:szCs w:val="22"/>
        </w:rPr>
        <w:t>’</w:t>
      </w:r>
      <w:r>
        <w:rPr>
          <w:rFonts w:cs="Arial"/>
          <w:szCs w:val="22"/>
        </w:rPr>
        <w:t>accroître l</w:t>
      </w:r>
      <w:r w:rsidR="00E92BB5">
        <w:rPr>
          <w:rFonts w:cs="Arial"/>
          <w:szCs w:val="22"/>
        </w:rPr>
        <w:t>’</w:t>
      </w:r>
      <w:r w:rsidRPr="00161BAD">
        <w:rPr>
          <w:rFonts w:cs="Arial"/>
          <w:szCs w:val="22"/>
        </w:rPr>
        <w:t>efficienc</w:t>
      </w:r>
      <w:r>
        <w:rPr>
          <w:rFonts w:cs="Arial"/>
          <w:szCs w:val="22"/>
        </w:rPr>
        <w:t>e</w:t>
      </w:r>
      <w:r w:rsidRPr="00161BAD">
        <w:rPr>
          <w:rFonts w:cs="Arial"/>
          <w:szCs w:val="22"/>
        </w:rPr>
        <w:t xml:space="preserve">, </w:t>
      </w:r>
      <w:r>
        <w:rPr>
          <w:rFonts w:cs="Arial"/>
          <w:szCs w:val="22"/>
        </w:rPr>
        <w:t xml:space="preserve">la </w:t>
      </w:r>
      <w:r w:rsidRPr="00161BAD">
        <w:rPr>
          <w:rFonts w:cs="Arial"/>
          <w:szCs w:val="22"/>
        </w:rPr>
        <w:t>transparenc</w:t>
      </w:r>
      <w:r>
        <w:rPr>
          <w:rFonts w:cs="Arial"/>
          <w:szCs w:val="22"/>
        </w:rPr>
        <w:t>e</w:t>
      </w:r>
      <w:r w:rsidRPr="00161BAD">
        <w:rPr>
          <w:rFonts w:cs="Arial"/>
          <w:szCs w:val="22"/>
        </w:rPr>
        <w:t xml:space="preserve"> et </w:t>
      </w:r>
      <w:r>
        <w:rPr>
          <w:rFonts w:cs="Arial"/>
          <w:szCs w:val="22"/>
        </w:rPr>
        <w:t>l</w:t>
      </w:r>
      <w:r w:rsidR="00E92BB5">
        <w:rPr>
          <w:rFonts w:cs="Arial"/>
          <w:szCs w:val="22"/>
        </w:rPr>
        <w:t>’</w:t>
      </w:r>
      <w:r w:rsidRPr="00161BAD">
        <w:rPr>
          <w:rFonts w:cs="Arial"/>
          <w:szCs w:val="22"/>
        </w:rPr>
        <w:t>accessibilit</w:t>
      </w:r>
      <w:r>
        <w:rPr>
          <w:rFonts w:cs="Arial"/>
          <w:szCs w:val="22"/>
        </w:rPr>
        <w:t>é des</w:t>
      </w:r>
      <w:r w:rsidRPr="00161BAD">
        <w:rPr>
          <w:rFonts w:cs="Arial"/>
          <w:szCs w:val="22"/>
        </w:rPr>
        <w:t xml:space="preserve"> process</w:t>
      </w:r>
      <w:r>
        <w:rPr>
          <w:rFonts w:cs="Arial"/>
          <w:szCs w:val="22"/>
        </w:rPr>
        <w:t>u</w:t>
      </w:r>
      <w:r w:rsidRPr="00161BAD">
        <w:rPr>
          <w:rFonts w:cs="Arial"/>
          <w:szCs w:val="22"/>
        </w:rPr>
        <w:t xml:space="preserve">s </w:t>
      </w:r>
      <w:r>
        <w:rPr>
          <w:rFonts w:cs="Arial"/>
          <w:szCs w:val="22"/>
        </w:rPr>
        <w:t xml:space="preserve">de </w:t>
      </w:r>
      <w:r w:rsidRPr="00161BAD">
        <w:rPr>
          <w:rFonts w:cs="Arial"/>
          <w:szCs w:val="22"/>
        </w:rPr>
        <w:t xml:space="preserve">planification, </w:t>
      </w:r>
      <w:r>
        <w:rPr>
          <w:rFonts w:cs="Arial"/>
          <w:szCs w:val="22"/>
        </w:rPr>
        <w:t xml:space="preserve">en les rendant plus </w:t>
      </w:r>
      <w:r w:rsidRPr="00161BAD">
        <w:rPr>
          <w:rFonts w:cs="Arial"/>
          <w:szCs w:val="22"/>
        </w:rPr>
        <w:t>inclusi</w:t>
      </w:r>
      <w:r>
        <w:rPr>
          <w:rFonts w:cs="Arial"/>
          <w:szCs w:val="22"/>
        </w:rPr>
        <w:t xml:space="preserve">fs </w:t>
      </w:r>
      <w:r w:rsidRPr="00161BAD">
        <w:rPr>
          <w:rFonts w:cs="Arial"/>
          <w:szCs w:val="22"/>
        </w:rPr>
        <w:t>et participat</w:t>
      </w:r>
      <w:r>
        <w:rPr>
          <w:rFonts w:cs="Arial"/>
          <w:szCs w:val="22"/>
        </w:rPr>
        <w:t>ifs</w:t>
      </w:r>
      <w:r w:rsidRPr="00161BAD">
        <w:rPr>
          <w:rFonts w:cs="Arial"/>
          <w:szCs w:val="22"/>
        </w:rPr>
        <w:t>.</w:t>
      </w:r>
    </w:p>
    <w:p w14:paraId="72E3AA69" w14:textId="04956DB9" w:rsidR="006F490E" w:rsidRPr="002878B1" w:rsidRDefault="006F490E" w:rsidP="006F490E">
      <w:pPr>
        <w:spacing w:after="240"/>
        <w:ind w:left="1134" w:hanging="567"/>
        <w:jc w:val="both"/>
        <w:rPr>
          <w:rFonts w:cs="Arial"/>
          <w:szCs w:val="22"/>
        </w:rPr>
      </w:pPr>
      <w:r w:rsidRPr="00F27FF3">
        <w:rPr>
          <w:rFonts w:cs="Arial"/>
          <w:szCs w:val="22"/>
        </w:rPr>
        <w:t>(vii)</w:t>
      </w:r>
      <w:r w:rsidRPr="00F27FF3">
        <w:rPr>
          <w:rFonts w:cs="Arial"/>
          <w:szCs w:val="22"/>
        </w:rPr>
        <w:tab/>
      </w:r>
      <w:r w:rsidRPr="002878B1">
        <w:rPr>
          <w:rFonts w:cs="Arial"/>
          <w:b/>
          <w:bCs/>
          <w:szCs w:val="22"/>
        </w:rPr>
        <w:t xml:space="preserve">Collaboration </w:t>
      </w:r>
      <w:proofErr w:type="spellStart"/>
      <w:r w:rsidRPr="002878B1">
        <w:rPr>
          <w:rFonts w:cs="Arial"/>
          <w:b/>
          <w:bCs/>
          <w:szCs w:val="22"/>
        </w:rPr>
        <w:t>transsectorielle</w:t>
      </w:r>
      <w:proofErr w:type="spellEnd"/>
      <w:r w:rsidRPr="002878B1">
        <w:rPr>
          <w:rFonts w:cs="Arial"/>
          <w:b/>
          <w:bCs/>
          <w:szCs w:val="22"/>
        </w:rPr>
        <w:t> </w:t>
      </w:r>
      <w:r w:rsidRPr="002878B1">
        <w:rPr>
          <w:rFonts w:cs="Arial"/>
          <w:szCs w:val="22"/>
        </w:rPr>
        <w:t>:</w:t>
      </w:r>
      <w:r w:rsidRPr="002878B1">
        <w:rPr>
          <w:rFonts w:cs="Arial"/>
          <w:b/>
          <w:bCs/>
          <w:szCs w:val="22"/>
        </w:rPr>
        <w:t xml:space="preserve"> </w:t>
      </w:r>
      <w:r w:rsidRPr="002878B1">
        <w:rPr>
          <w:rFonts w:cs="Arial"/>
          <w:szCs w:val="22"/>
        </w:rPr>
        <w:t xml:space="preserve">pour </w:t>
      </w:r>
      <w:r>
        <w:rPr>
          <w:rFonts w:cs="Arial"/>
          <w:szCs w:val="22"/>
        </w:rPr>
        <w:t>répondre aux problèmes interdépendants auxquels est confronté l</w:t>
      </w:r>
      <w:r w:rsidR="00E92BB5">
        <w:rPr>
          <w:rFonts w:cs="Arial"/>
          <w:szCs w:val="22"/>
        </w:rPr>
        <w:t>’</w:t>
      </w:r>
      <w:r>
        <w:rPr>
          <w:rFonts w:cs="Arial"/>
          <w:szCs w:val="22"/>
        </w:rPr>
        <w:t>océan</w:t>
      </w:r>
      <w:r w:rsidRPr="002878B1">
        <w:rPr>
          <w:rFonts w:cs="Arial"/>
          <w:szCs w:val="22"/>
        </w:rPr>
        <w:t xml:space="preserve">, </w:t>
      </w:r>
      <w:r>
        <w:rPr>
          <w:rFonts w:cs="Arial"/>
          <w:szCs w:val="22"/>
        </w:rPr>
        <w:t xml:space="preserve">la </w:t>
      </w:r>
      <w:r w:rsidRPr="002878B1">
        <w:rPr>
          <w:rFonts w:cs="Arial"/>
          <w:szCs w:val="22"/>
        </w:rPr>
        <w:t xml:space="preserve">COI </w:t>
      </w:r>
      <w:r>
        <w:rPr>
          <w:rFonts w:cs="Arial"/>
          <w:szCs w:val="22"/>
        </w:rPr>
        <w:t xml:space="preserve">pourrait renforcer la </w:t>
      </w:r>
      <w:r w:rsidRPr="002878B1">
        <w:rPr>
          <w:rFonts w:cs="Arial"/>
          <w:szCs w:val="22"/>
        </w:rPr>
        <w:t xml:space="preserve">collaboration et </w:t>
      </w:r>
      <w:r>
        <w:rPr>
          <w:rFonts w:cs="Arial"/>
          <w:szCs w:val="22"/>
        </w:rPr>
        <w:t xml:space="preserve">la </w:t>
      </w:r>
      <w:r w:rsidRPr="002878B1">
        <w:rPr>
          <w:rFonts w:cs="Arial"/>
          <w:szCs w:val="22"/>
        </w:rPr>
        <w:t xml:space="preserve">coordination </w:t>
      </w:r>
      <w:r>
        <w:rPr>
          <w:rFonts w:cs="Arial"/>
          <w:szCs w:val="22"/>
        </w:rPr>
        <w:t>entre</w:t>
      </w:r>
      <w:r w:rsidRPr="002878B1">
        <w:rPr>
          <w:rFonts w:cs="Arial"/>
          <w:szCs w:val="22"/>
        </w:rPr>
        <w:t xml:space="preserve"> différent</w:t>
      </w:r>
      <w:r>
        <w:rPr>
          <w:rFonts w:cs="Arial"/>
          <w:szCs w:val="22"/>
        </w:rPr>
        <w:t>s</w:t>
      </w:r>
      <w:r w:rsidRPr="002878B1">
        <w:rPr>
          <w:rFonts w:cs="Arial"/>
          <w:szCs w:val="22"/>
        </w:rPr>
        <w:t xml:space="preserve"> sect</w:t>
      </w:r>
      <w:r>
        <w:rPr>
          <w:rFonts w:cs="Arial"/>
          <w:szCs w:val="22"/>
        </w:rPr>
        <w:t>eu</w:t>
      </w:r>
      <w:r w:rsidRPr="002878B1">
        <w:rPr>
          <w:rFonts w:cs="Arial"/>
          <w:szCs w:val="22"/>
        </w:rPr>
        <w:t>rs (</w:t>
      </w:r>
      <w:r>
        <w:rPr>
          <w:rFonts w:cs="Arial"/>
          <w:szCs w:val="22"/>
        </w:rPr>
        <w:t>et</w:t>
      </w:r>
      <w:r w:rsidRPr="002878B1">
        <w:rPr>
          <w:rFonts w:cs="Arial"/>
          <w:szCs w:val="22"/>
        </w:rPr>
        <w:t xml:space="preserve"> pays). Il </w:t>
      </w:r>
      <w:r>
        <w:rPr>
          <w:rFonts w:cs="Arial"/>
          <w:szCs w:val="22"/>
        </w:rPr>
        <w:t>pour</w:t>
      </w:r>
      <w:r w:rsidRPr="002878B1">
        <w:rPr>
          <w:rFonts w:cs="Arial"/>
          <w:szCs w:val="22"/>
        </w:rPr>
        <w:t>rait être notamment nécessaire de</w:t>
      </w:r>
      <w:r>
        <w:rPr>
          <w:rFonts w:cs="Arial"/>
          <w:szCs w:val="22"/>
        </w:rPr>
        <w:t xml:space="preserve"> favoriser les partenariats avec des secteurs tels que l</w:t>
      </w:r>
      <w:r w:rsidR="00E92BB5">
        <w:rPr>
          <w:rFonts w:cs="Arial"/>
          <w:szCs w:val="22"/>
        </w:rPr>
        <w:t>’</w:t>
      </w:r>
      <w:r>
        <w:rPr>
          <w:rFonts w:cs="Arial"/>
          <w:szCs w:val="22"/>
        </w:rPr>
        <w:t xml:space="preserve">énergie, le </w:t>
      </w:r>
      <w:r w:rsidRPr="002878B1">
        <w:rPr>
          <w:rFonts w:cs="Arial"/>
          <w:szCs w:val="22"/>
        </w:rPr>
        <w:t>tourism</w:t>
      </w:r>
      <w:r>
        <w:rPr>
          <w:rFonts w:cs="Arial"/>
          <w:szCs w:val="22"/>
        </w:rPr>
        <w:t>e</w:t>
      </w:r>
      <w:r w:rsidRPr="002878B1">
        <w:rPr>
          <w:rFonts w:cs="Arial"/>
          <w:szCs w:val="22"/>
        </w:rPr>
        <w:t xml:space="preserve">, </w:t>
      </w:r>
      <w:r>
        <w:rPr>
          <w:rFonts w:cs="Arial"/>
          <w:szCs w:val="22"/>
        </w:rPr>
        <w:t>les transports maritimes et la pêche</w:t>
      </w:r>
      <w:r w:rsidRPr="002878B1">
        <w:rPr>
          <w:rFonts w:cs="Arial"/>
          <w:szCs w:val="22"/>
        </w:rPr>
        <w:t xml:space="preserve">, </w:t>
      </w:r>
      <w:r>
        <w:rPr>
          <w:rFonts w:cs="Arial"/>
          <w:szCs w:val="22"/>
        </w:rPr>
        <w:t>en veillant à les associer</w:t>
      </w:r>
      <w:r w:rsidRPr="002878B1">
        <w:rPr>
          <w:rFonts w:cs="Arial"/>
          <w:szCs w:val="22"/>
        </w:rPr>
        <w:t xml:space="preserve"> active</w:t>
      </w:r>
      <w:r>
        <w:rPr>
          <w:rFonts w:cs="Arial"/>
          <w:szCs w:val="22"/>
        </w:rPr>
        <w:t xml:space="preserve">ment aux processus de </w:t>
      </w:r>
      <w:r w:rsidRPr="006F490E">
        <w:rPr>
          <w:rFonts w:asciiTheme="minorBidi" w:hAnsiTheme="minorBidi" w:cstheme="minorBidi"/>
          <w:szCs w:val="22"/>
        </w:rPr>
        <w:t>planification</w:t>
      </w:r>
      <w:r w:rsidRPr="002878B1">
        <w:rPr>
          <w:rFonts w:cs="Arial"/>
          <w:szCs w:val="22"/>
        </w:rPr>
        <w:t>. En</w:t>
      </w:r>
      <w:r>
        <w:rPr>
          <w:rFonts w:cs="Arial"/>
          <w:szCs w:val="22"/>
        </w:rPr>
        <w:t xml:space="preserve"> promouvant le </w:t>
      </w:r>
      <w:r w:rsidRPr="002878B1">
        <w:rPr>
          <w:rFonts w:cs="Arial"/>
          <w:szCs w:val="22"/>
        </w:rPr>
        <w:t xml:space="preserve">dialogue et </w:t>
      </w:r>
      <w:r>
        <w:rPr>
          <w:rFonts w:cs="Arial"/>
          <w:szCs w:val="22"/>
        </w:rPr>
        <w:t xml:space="preserve">une </w:t>
      </w:r>
      <w:r w:rsidRPr="002878B1">
        <w:rPr>
          <w:rFonts w:cs="Arial"/>
          <w:szCs w:val="22"/>
        </w:rPr>
        <w:t>planification intégré</w:t>
      </w:r>
      <w:r>
        <w:rPr>
          <w:rFonts w:cs="Arial"/>
          <w:szCs w:val="22"/>
        </w:rPr>
        <w:t>e</w:t>
      </w:r>
      <w:r w:rsidRPr="002878B1">
        <w:rPr>
          <w:rFonts w:cs="Arial"/>
          <w:szCs w:val="22"/>
        </w:rPr>
        <w:t xml:space="preserve">, </w:t>
      </w:r>
      <w:r>
        <w:rPr>
          <w:rFonts w:cs="Arial"/>
          <w:szCs w:val="22"/>
        </w:rPr>
        <w:t xml:space="preserve">la </w:t>
      </w:r>
      <w:r w:rsidRPr="002878B1">
        <w:rPr>
          <w:rFonts w:cs="Arial"/>
          <w:szCs w:val="22"/>
        </w:rPr>
        <w:t xml:space="preserve">COI </w:t>
      </w:r>
      <w:r>
        <w:rPr>
          <w:rFonts w:cs="Arial"/>
          <w:szCs w:val="22"/>
        </w:rPr>
        <w:t xml:space="preserve">pourrait aider à repérer les </w:t>
      </w:r>
      <w:r w:rsidRPr="002878B1">
        <w:rPr>
          <w:rFonts w:cs="Arial"/>
          <w:szCs w:val="22"/>
        </w:rPr>
        <w:t xml:space="preserve">synergies, </w:t>
      </w:r>
      <w:r>
        <w:rPr>
          <w:rFonts w:cs="Arial"/>
          <w:szCs w:val="22"/>
        </w:rPr>
        <w:t xml:space="preserve">les compromis et les </w:t>
      </w:r>
      <w:r w:rsidRPr="002878B1">
        <w:rPr>
          <w:rFonts w:cs="Arial"/>
          <w:szCs w:val="22"/>
        </w:rPr>
        <w:t xml:space="preserve">solutions </w:t>
      </w:r>
      <w:r>
        <w:rPr>
          <w:rFonts w:cs="Arial"/>
          <w:szCs w:val="22"/>
        </w:rPr>
        <w:t xml:space="preserve">avantageuses pour tous de nature à faciliter une </w:t>
      </w:r>
      <w:r w:rsidRPr="002878B1">
        <w:rPr>
          <w:rFonts w:cs="Arial"/>
          <w:szCs w:val="22"/>
        </w:rPr>
        <w:t>gestion durable de l</w:t>
      </w:r>
      <w:r w:rsidR="00E92BB5">
        <w:rPr>
          <w:rFonts w:cs="Arial"/>
          <w:szCs w:val="22"/>
        </w:rPr>
        <w:t>’</w:t>
      </w:r>
      <w:r>
        <w:rPr>
          <w:rFonts w:cs="Arial"/>
          <w:szCs w:val="22"/>
        </w:rPr>
        <w:t>océan</w:t>
      </w:r>
      <w:r w:rsidRPr="002878B1">
        <w:rPr>
          <w:rFonts w:cs="Arial"/>
          <w:szCs w:val="22"/>
        </w:rPr>
        <w:t>.</w:t>
      </w:r>
    </w:p>
    <w:p w14:paraId="230D7342" w14:textId="0CE1C4B8" w:rsidR="006F490E" w:rsidRPr="008E58A3" w:rsidRDefault="006F490E" w:rsidP="006F490E">
      <w:pPr>
        <w:spacing w:after="240"/>
        <w:ind w:left="1134" w:hanging="567"/>
        <w:jc w:val="both"/>
        <w:rPr>
          <w:rFonts w:cs="Arial"/>
          <w:szCs w:val="22"/>
        </w:rPr>
      </w:pPr>
      <w:r w:rsidRPr="00F27FF3">
        <w:rPr>
          <w:rFonts w:cs="Arial"/>
          <w:szCs w:val="22"/>
        </w:rPr>
        <w:t>(viii)</w:t>
      </w:r>
      <w:r w:rsidRPr="00F27FF3">
        <w:rPr>
          <w:rFonts w:cs="Arial"/>
          <w:szCs w:val="22"/>
        </w:rPr>
        <w:tab/>
      </w:r>
      <w:r w:rsidRPr="008E58A3">
        <w:rPr>
          <w:rFonts w:cs="Arial"/>
          <w:b/>
          <w:bCs/>
          <w:szCs w:val="22"/>
        </w:rPr>
        <w:t>Soutien financier accru </w:t>
      </w:r>
      <w:r w:rsidRPr="008E58A3">
        <w:rPr>
          <w:rFonts w:cs="Arial"/>
          <w:szCs w:val="22"/>
        </w:rPr>
        <w:t xml:space="preserve">: </w:t>
      </w:r>
      <w:r>
        <w:rPr>
          <w:rFonts w:cs="Arial"/>
          <w:szCs w:val="22"/>
        </w:rPr>
        <w:t>afin d</w:t>
      </w:r>
      <w:r w:rsidR="00E92BB5">
        <w:rPr>
          <w:rFonts w:cs="Arial"/>
          <w:szCs w:val="22"/>
        </w:rPr>
        <w:t>’</w:t>
      </w:r>
      <w:r>
        <w:rPr>
          <w:rFonts w:cs="Arial"/>
          <w:szCs w:val="22"/>
        </w:rPr>
        <w:t xml:space="preserve">assurer une mise en œuvre efficace de la </w:t>
      </w:r>
      <w:r w:rsidRPr="008E58A3">
        <w:rPr>
          <w:rFonts w:cs="Arial"/>
          <w:szCs w:val="22"/>
        </w:rPr>
        <w:t xml:space="preserve">PEM, </w:t>
      </w:r>
      <w:r>
        <w:rPr>
          <w:rFonts w:cs="Arial"/>
          <w:szCs w:val="22"/>
        </w:rPr>
        <w:t xml:space="preserve">la </w:t>
      </w:r>
      <w:r w:rsidRPr="008E58A3">
        <w:rPr>
          <w:rFonts w:cs="Arial"/>
          <w:szCs w:val="22"/>
        </w:rPr>
        <w:t xml:space="preserve">COI </w:t>
      </w:r>
      <w:r>
        <w:rPr>
          <w:rFonts w:cs="Arial"/>
          <w:szCs w:val="22"/>
        </w:rPr>
        <w:t xml:space="preserve">pourrait plaider pour un soutien financier accru aux pays, en particulier ceux dont les </w:t>
      </w:r>
      <w:r w:rsidRPr="008E58A3">
        <w:rPr>
          <w:rFonts w:cs="Arial"/>
          <w:szCs w:val="22"/>
        </w:rPr>
        <w:t xml:space="preserve">ressources </w:t>
      </w:r>
      <w:r>
        <w:rPr>
          <w:rFonts w:cs="Arial"/>
          <w:szCs w:val="22"/>
        </w:rPr>
        <w:t xml:space="preserve">sont </w:t>
      </w:r>
      <w:r w:rsidRPr="008E58A3">
        <w:rPr>
          <w:rFonts w:cs="Arial"/>
          <w:szCs w:val="22"/>
        </w:rPr>
        <w:t>limit</w:t>
      </w:r>
      <w:r>
        <w:rPr>
          <w:rFonts w:cs="Arial"/>
          <w:szCs w:val="22"/>
        </w:rPr>
        <w:t>ées</w:t>
      </w:r>
      <w:r w:rsidRPr="008E58A3">
        <w:rPr>
          <w:rFonts w:cs="Arial"/>
          <w:szCs w:val="22"/>
        </w:rPr>
        <w:t xml:space="preserve">, </w:t>
      </w:r>
      <w:r>
        <w:rPr>
          <w:rFonts w:cs="Arial"/>
          <w:szCs w:val="22"/>
        </w:rPr>
        <w:t>en vue de l</w:t>
      </w:r>
      <w:r w:rsidR="00E92BB5">
        <w:rPr>
          <w:rFonts w:cs="Arial"/>
          <w:szCs w:val="22"/>
        </w:rPr>
        <w:t>’</w:t>
      </w:r>
      <w:r>
        <w:rPr>
          <w:rFonts w:cs="Arial"/>
          <w:szCs w:val="22"/>
        </w:rPr>
        <w:t xml:space="preserve">élaboration et de la mise en œuvre des </w:t>
      </w:r>
      <w:r w:rsidRPr="008E58A3">
        <w:rPr>
          <w:rFonts w:cs="Arial"/>
          <w:szCs w:val="22"/>
        </w:rPr>
        <w:t>process</w:t>
      </w:r>
      <w:r>
        <w:rPr>
          <w:rFonts w:cs="Arial"/>
          <w:szCs w:val="22"/>
        </w:rPr>
        <w:t>u</w:t>
      </w:r>
      <w:r w:rsidRPr="008E58A3">
        <w:rPr>
          <w:rFonts w:cs="Arial"/>
          <w:szCs w:val="22"/>
        </w:rPr>
        <w:t xml:space="preserve">s et cadres </w:t>
      </w:r>
      <w:r>
        <w:rPr>
          <w:rFonts w:cs="Arial"/>
          <w:szCs w:val="22"/>
        </w:rPr>
        <w:t xml:space="preserve">de </w:t>
      </w:r>
      <w:r w:rsidRPr="008E58A3">
        <w:rPr>
          <w:rFonts w:cs="Arial"/>
          <w:szCs w:val="22"/>
        </w:rPr>
        <w:t xml:space="preserve">planification </w:t>
      </w:r>
      <w:r>
        <w:rPr>
          <w:rFonts w:cs="Arial"/>
          <w:szCs w:val="22"/>
        </w:rPr>
        <w:t>de l</w:t>
      </w:r>
      <w:r w:rsidR="00E92BB5">
        <w:rPr>
          <w:rFonts w:cs="Arial"/>
          <w:szCs w:val="22"/>
        </w:rPr>
        <w:t>’</w:t>
      </w:r>
      <w:r w:rsidRPr="008E58A3">
        <w:rPr>
          <w:rFonts w:cs="Arial"/>
          <w:szCs w:val="22"/>
        </w:rPr>
        <w:t xml:space="preserve">océan. </w:t>
      </w:r>
      <w:r>
        <w:rPr>
          <w:rFonts w:cs="Arial"/>
          <w:szCs w:val="22"/>
        </w:rPr>
        <w:t>Il conviendr</w:t>
      </w:r>
      <w:r w:rsidRPr="008E58A3">
        <w:rPr>
          <w:rFonts w:cs="Arial"/>
          <w:szCs w:val="22"/>
        </w:rPr>
        <w:t>ait peut</w:t>
      </w:r>
      <w:r>
        <w:rPr>
          <w:rFonts w:cs="Arial"/>
          <w:szCs w:val="22"/>
        </w:rPr>
        <w:noBreakHyphen/>
      </w:r>
      <w:r w:rsidRPr="008E58A3">
        <w:rPr>
          <w:rFonts w:cs="Arial"/>
          <w:szCs w:val="22"/>
        </w:rPr>
        <w:t xml:space="preserve">être </w:t>
      </w:r>
      <w:r>
        <w:rPr>
          <w:rFonts w:cs="Arial"/>
          <w:szCs w:val="22"/>
        </w:rPr>
        <w:t xml:space="preserve">de solliciter à cet effet les donateurs, les banques de développement et le secteur </w:t>
      </w:r>
      <w:r w:rsidRPr="006F490E">
        <w:rPr>
          <w:rFonts w:asciiTheme="minorBidi" w:hAnsiTheme="minorBidi" w:cstheme="minorBidi"/>
          <w:szCs w:val="22"/>
        </w:rPr>
        <w:t>privé</w:t>
      </w:r>
      <w:r w:rsidRPr="008E58A3">
        <w:rPr>
          <w:rFonts w:cs="Arial"/>
          <w:szCs w:val="22"/>
        </w:rPr>
        <w:t xml:space="preserve">. En outre, la COI </w:t>
      </w:r>
      <w:r>
        <w:rPr>
          <w:rFonts w:cs="Arial"/>
          <w:szCs w:val="22"/>
        </w:rPr>
        <w:t xml:space="preserve">pourrait aider les </w:t>
      </w:r>
      <w:r w:rsidRPr="008E58A3">
        <w:rPr>
          <w:rFonts w:cs="Arial"/>
          <w:szCs w:val="22"/>
        </w:rPr>
        <w:t xml:space="preserve">pays </w:t>
      </w:r>
      <w:r>
        <w:rPr>
          <w:rFonts w:cs="Arial"/>
          <w:szCs w:val="22"/>
        </w:rPr>
        <w:t>à bénéficier des</w:t>
      </w:r>
      <w:r w:rsidRPr="008E58A3">
        <w:rPr>
          <w:rFonts w:cs="Arial"/>
          <w:szCs w:val="22"/>
        </w:rPr>
        <w:t xml:space="preserve"> mécanismes </w:t>
      </w:r>
      <w:r>
        <w:rPr>
          <w:rFonts w:cs="Arial"/>
          <w:szCs w:val="22"/>
        </w:rPr>
        <w:t>de financement</w:t>
      </w:r>
      <w:r w:rsidRPr="008E58A3">
        <w:rPr>
          <w:rFonts w:cs="Arial"/>
          <w:szCs w:val="22"/>
        </w:rPr>
        <w:t xml:space="preserve"> exist</w:t>
      </w:r>
      <w:r>
        <w:rPr>
          <w:rFonts w:cs="Arial"/>
          <w:szCs w:val="22"/>
        </w:rPr>
        <w:t>ants et promouvoir l</w:t>
      </w:r>
      <w:r w:rsidR="00E92BB5">
        <w:rPr>
          <w:rFonts w:cs="Arial"/>
          <w:szCs w:val="22"/>
        </w:rPr>
        <w:t>’</w:t>
      </w:r>
      <w:r w:rsidRPr="008E58A3">
        <w:rPr>
          <w:rFonts w:cs="Arial"/>
          <w:szCs w:val="22"/>
        </w:rPr>
        <w:t>in</w:t>
      </w:r>
      <w:r>
        <w:rPr>
          <w:rFonts w:cs="Arial"/>
          <w:szCs w:val="22"/>
        </w:rPr>
        <w:t>té</w:t>
      </w:r>
      <w:r w:rsidRPr="008E58A3">
        <w:rPr>
          <w:rFonts w:cs="Arial"/>
          <w:szCs w:val="22"/>
        </w:rPr>
        <w:t xml:space="preserve">gration </w:t>
      </w:r>
      <w:r>
        <w:rPr>
          <w:rFonts w:cs="Arial"/>
          <w:szCs w:val="22"/>
        </w:rPr>
        <w:t>de la</w:t>
      </w:r>
      <w:r w:rsidRPr="008E58A3">
        <w:rPr>
          <w:rFonts w:cs="Arial"/>
          <w:szCs w:val="22"/>
        </w:rPr>
        <w:t xml:space="preserve"> planification </w:t>
      </w:r>
      <w:r>
        <w:rPr>
          <w:rFonts w:cs="Arial"/>
          <w:szCs w:val="22"/>
        </w:rPr>
        <w:t>de l</w:t>
      </w:r>
      <w:r w:rsidR="00E92BB5">
        <w:rPr>
          <w:rFonts w:cs="Arial"/>
          <w:szCs w:val="22"/>
        </w:rPr>
        <w:t>’</w:t>
      </w:r>
      <w:r w:rsidRPr="008E58A3">
        <w:rPr>
          <w:rFonts w:cs="Arial"/>
          <w:szCs w:val="22"/>
        </w:rPr>
        <w:t xml:space="preserve">océan </w:t>
      </w:r>
      <w:r>
        <w:rPr>
          <w:rFonts w:cs="Arial"/>
          <w:szCs w:val="22"/>
        </w:rPr>
        <w:t>dans les plans</w:t>
      </w:r>
      <w:r w:rsidRPr="008E58A3">
        <w:rPr>
          <w:rFonts w:cs="Arial"/>
          <w:szCs w:val="22"/>
        </w:rPr>
        <w:t xml:space="preserve"> nationa</w:t>
      </w:r>
      <w:r>
        <w:rPr>
          <w:rFonts w:cs="Arial"/>
          <w:szCs w:val="22"/>
        </w:rPr>
        <w:t>ux</w:t>
      </w:r>
      <w:r w:rsidRPr="008E58A3">
        <w:rPr>
          <w:rFonts w:cs="Arial"/>
          <w:szCs w:val="22"/>
        </w:rPr>
        <w:t xml:space="preserve"> et régiona</w:t>
      </w:r>
      <w:r>
        <w:rPr>
          <w:rFonts w:cs="Arial"/>
          <w:szCs w:val="22"/>
        </w:rPr>
        <w:t>ux de développement de l</w:t>
      </w:r>
      <w:r w:rsidR="00E92BB5">
        <w:rPr>
          <w:rFonts w:cs="Arial"/>
          <w:szCs w:val="22"/>
        </w:rPr>
        <w:t>’</w:t>
      </w:r>
      <w:r w:rsidRPr="008E58A3">
        <w:rPr>
          <w:rFonts w:cs="Arial"/>
          <w:szCs w:val="22"/>
        </w:rPr>
        <w:t xml:space="preserve">économie </w:t>
      </w:r>
      <w:r>
        <w:rPr>
          <w:rFonts w:cs="Arial"/>
          <w:szCs w:val="22"/>
        </w:rPr>
        <w:t>bleue</w:t>
      </w:r>
      <w:r w:rsidRPr="008E58A3">
        <w:rPr>
          <w:rFonts w:cs="Arial"/>
          <w:szCs w:val="22"/>
        </w:rPr>
        <w:t xml:space="preserve">, </w:t>
      </w:r>
      <w:r>
        <w:rPr>
          <w:rFonts w:cs="Arial"/>
          <w:szCs w:val="22"/>
        </w:rPr>
        <w:t>de façon à en assurer la viabilité</w:t>
      </w:r>
      <w:r w:rsidRPr="008E58A3">
        <w:rPr>
          <w:rFonts w:cs="Arial"/>
          <w:szCs w:val="22"/>
        </w:rPr>
        <w:t xml:space="preserve"> financi</w:t>
      </w:r>
      <w:r>
        <w:rPr>
          <w:rFonts w:cs="Arial"/>
          <w:szCs w:val="22"/>
        </w:rPr>
        <w:t>ère globale</w:t>
      </w:r>
      <w:r w:rsidRPr="008E58A3">
        <w:rPr>
          <w:rFonts w:cs="Arial"/>
          <w:szCs w:val="22"/>
        </w:rPr>
        <w:t>.</w:t>
      </w:r>
      <w:bookmarkStart w:id="10" w:name="_Toc135566139"/>
      <w:bookmarkStart w:id="11" w:name="_Toc136185732"/>
    </w:p>
    <w:p w14:paraId="560B8138" w14:textId="78AE1DA0" w:rsidR="006F490E" w:rsidRPr="00161BAD" w:rsidRDefault="006F490E" w:rsidP="006F490E">
      <w:pPr>
        <w:keepNext/>
        <w:spacing w:after="240"/>
        <w:jc w:val="both"/>
        <w:rPr>
          <w:rFonts w:cs="Arial"/>
        </w:rPr>
      </w:pPr>
      <w:r w:rsidRPr="00161BAD">
        <w:rPr>
          <w:rFonts w:cs="Arial"/>
          <w:b/>
          <w:bCs/>
        </w:rPr>
        <w:t>Le processus d</w:t>
      </w:r>
      <w:r w:rsidR="00E92BB5">
        <w:rPr>
          <w:rFonts w:cs="Arial"/>
          <w:b/>
          <w:bCs/>
        </w:rPr>
        <w:t>’</w:t>
      </w:r>
      <w:r w:rsidRPr="00161BAD">
        <w:rPr>
          <w:rFonts w:cs="Arial"/>
          <w:b/>
          <w:bCs/>
        </w:rPr>
        <w:t xml:space="preserve">élaboration de la stratégie </w:t>
      </w:r>
      <w:bookmarkEnd w:id="10"/>
      <w:bookmarkEnd w:id="11"/>
    </w:p>
    <w:p w14:paraId="12691DCF" w14:textId="1AAEAE0B" w:rsidR="006F490E" w:rsidRPr="00AF3932" w:rsidRDefault="006F490E" w:rsidP="006F490E">
      <w:pPr>
        <w:pStyle w:val="Marge"/>
        <w:rPr>
          <w:rFonts w:cs="Arial"/>
          <w:szCs w:val="22"/>
        </w:rPr>
      </w:pPr>
      <w:r>
        <w:rPr>
          <w:rFonts w:cs="Arial"/>
          <w:szCs w:val="22"/>
        </w:rPr>
        <w:t>22.</w:t>
      </w:r>
      <w:r>
        <w:rPr>
          <w:rFonts w:cs="Arial"/>
          <w:szCs w:val="22"/>
        </w:rPr>
        <w:tab/>
        <w:t>L</w:t>
      </w:r>
      <w:r w:rsidR="00E92BB5">
        <w:rPr>
          <w:rFonts w:cs="Arial"/>
          <w:szCs w:val="22"/>
        </w:rPr>
        <w:t>’</w:t>
      </w:r>
      <w:r>
        <w:rPr>
          <w:rFonts w:cs="Arial"/>
          <w:szCs w:val="22"/>
        </w:rPr>
        <w:t>approche retenue pour l</w:t>
      </w:r>
      <w:r w:rsidR="00E92BB5">
        <w:rPr>
          <w:rFonts w:cs="Arial"/>
          <w:szCs w:val="22"/>
        </w:rPr>
        <w:t>’</w:t>
      </w:r>
      <w:r>
        <w:rPr>
          <w:rFonts w:cs="Arial"/>
          <w:szCs w:val="22"/>
        </w:rPr>
        <w:t xml:space="preserve">élaboration de la </w:t>
      </w:r>
      <w:r w:rsidRPr="00AF3932">
        <w:rPr>
          <w:rFonts w:cs="Arial"/>
          <w:szCs w:val="22"/>
        </w:rPr>
        <w:t xml:space="preserve">stratégie </w:t>
      </w:r>
      <w:r>
        <w:rPr>
          <w:rFonts w:cs="Arial"/>
          <w:szCs w:val="22"/>
        </w:rPr>
        <w:t xml:space="preserve">consiste à associer toutes les parties prenantes à la mise </w:t>
      </w:r>
      <w:r w:rsidRPr="00AF3932">
        <w:rPr>
          <w:rFonts w:cs="Arial"/>
          <w:szCs w:val="22"/>
        </w:rPr>
        <w:t xml:space="preserve">au point </w:t>
      </w:r>
      <w:r>
        <w:rPr>
          <w:rFonts w:cs="Arial"/>
          <w:szCs w:val="22"/>
        </w:rPr>
        <w:t>d</w:t>
      </w:r>
      <w:r w:rsidR="00E92BB5">
        <w:rPr>
          <w:rFonts w:cs="Arial"/>
          <w:szCs w:val="22"/>
        </w:rPr>
        <w:t>’</w:t>
      </w:r>
      <w:r w:rsidRPr="00AF3932">
        <w:rPr>
          <w:rFonts w:cs="Arial"/>
          <w:szCs w:val="22"/>
        </w:rPr>
        <w:t xml:space="preserve">un </w:t>
      </w:r>
      <w:r w:rsidRPr="006F490E">
        <w:rPr>
          <w:szCs w:val="22"/>
        </w:rPr>
        <w:t>document</w:t>
      </w:r>
      <w:r w:rsidRPr="00AF3932">
        <w:rPr>
          <w:rFonts w:cs="Arial"/>
          <w:szCs w:val="22"/>
        </w:rPr>
        <w:t xml:space="preserve"> commu</w:t>
      </w:r>
      <w:r>
        <w:rPr>
          <w:rFonts w:cs="Arial"/>
          <w:szCs w:val="22"/>
        </w:rPr>
        <w:t>n</w:t>
      </w:r>
      <w:r w:rsidRPr="00AF3932">
        <w:rPr>
          <w:rFonts w:cs="Arial"/>
          <w:szCs w:val="22"/>
        </w:rPr>
        <w:t xml:space="preserve"> dans lequel tou</w:t>
      </w:r>
      <w:r>
        <w:rPr>
          <w:rFonts w:cs="Arial"/>
          <w:szCs w:val="22"/>
        </w:rPr>
        <w:t>te</w:t>
      </w:r>
      <w:r w:rsidRPr="00AF3932">
        <w:rPr>
          <w:rFonts w:cs="Arial"/>
          <w:szCs w:val="22"/>
        </w:rPr>
        <w:t>s puissent reconnaî</w:t>
      </w:r>
      <w:r>
        <w:rPr>
          <w:rFonts w:cs="Arial"/>
          <w:szCs w:val="22"/>
        </w:rPr>
        <w:t xml:space="preserve">tre leurs </w:t>
      </w:r>
      <w:r w:rsidRPr="00AF3932">
        <w:rPr>
          <w:rFonts w:cs="Arial"/>
          <w:szCs w:val="22"/>
        </w:rPr>
        <w:t xml:space="preserve">objectifs et </w:t>
      </w:r>
      <w:r>
        <w:rPr>
          <w:rFonts w:cs="Arial"/>
          <w:szCs w:val="22"/>
        </w:rPr>
        <w:t xml:space="preserve">leurs </w:t>
      </w:r>
      <w:r w:rsidRPr="00C57B81">
        <w:rPr>
          <w:rFonts w:cs="Arial"/>
          <w:szCs w:val="22"/>
        </w:rPr>
        <w:t>ambitions. Elle repose sur trois piliers : la participation, la conception</w:t>
      </w:r>
      <w:r w:rsidR="00C57B81" w:rsidRPr="00C57B81">
        <w:rPr>
          <w:rFonts w:cs="Arial"/>
          <w:szCs w:val="22"/>
        </w:rPr>
        <w:t xml:space="preserve"> concertée</w:t>
      </w:r>
      <w:r w:rsidRPr="00C57B81">
        <w:rPr>
          <w:rFonts w:cs="Arial"/>
          <w:szCs w:val="22"/>
        </w:rPr>
        <w:t xml:space="preserve"> et des consultations successives.</w:t>
      </w:r>
      <w:r w:rsidRPr="00AF3932">
        <w:rPr>
          <w:rFonts w:cs="Arial"/>
          <w:szCs w:val="22"/>
        </w:rPr>
        <w:t xml:space="preserve"> </w:t>
      </w:r>
    </w:p>
    <w:p w14:paraId="65A94738" w14:textId="313072DE" w:rsidR="006F490E" w:rsidRPr="00AF3932" w:rsidRDefault="006F490E" w:rsidP="006F490E">
      <w:pPr>
        <w:pStyle w:val="Marge"/>
        <w:rPr>
          <w:rFonts w:cs="Arial"/>
          <w:szCs w:val="22"/>
        </w:rPr>
      </w:pPr>
      <w:r>
        <w:rPr>
          <w:rFonts w:cs="Arial"/>
          <w:szCs w:val="22"/>
        </w:rPr>
        <w:t>23.</w:t>
      </w:r>
      <w:r>
        <w:rPr>
          <w:rFonts w:cs="Arial"/>
          <w:szCs w:val="22"/>
        </w:rPr>
        <w:tab/>
      </w:r>
      <w:r w:rsidRPr="00AF3932">
        <w:rPr>
          <w:rFonts w:cs="Arial"/>
          <w:szCs w:val="22"/>
        </w:rPr>
        <w:t xml:space="preserve">À cette fin, on </w:t>
      </w:r>
      <w:r w:rsidRPr="006F490E">
        <w:rPr>
          <w:szCs w:val="22"/>
        </w:rPr>
        <w:t>entend</w:t>
      </w:r>
      <w:r w:rsidRPr="00AF3932">
        <w:rPr>
          <w:rFonts w:cs="Arial"/>
          <w:szCs w:val="22"/>
        </w:rPr>
        <w:t xml:space="preserve"> par parties prenantes :</w:t>
      </w:r>
    </w:p>
    <w:p w14:paraId="2A1E11F3" w14:textId="159BF6C3" w:rsidR="006F490E" w:rsidRPr="006F490E" w:rsidRDefault="006F490E" w:rsidP="006F490E">
      <w:pPr>
        <w:pStyle w:val="ListParagraph"/>
        <w:numPr>
          <w:ilvl w:val="0"/>
          <w:numId w:val="24"/>
        </w:numPr>
        <w:spacing w:after="0" w:line="240" w:lineRule="auto"/>
        <w:ind w:left="851" w:hanging="284"/>
        <w:jc w:val="both"/>
        <w:rPr>
          <w:rFonts w:asciiTheme="minorBidi" w:hAnsiTheme="minorBidi" w:cstheme="minorBidi"/>
          <w:lang w:val="fr-FR"/>
        </w:rPr>
      </w:pPr>
      <w:proofErr w:type="gramStart"/>
      <w:r w:rsidRPr="006F490E">
        <w:rPr>
          <w:rFonts w:asciiTheme="minorBidi" w:hAnsiTheme="minorBidi" w:cstheme="minorBidi"/>
          <w:lang w:val="fr-FR"/>
        </w:rPr>
        <w:t>les</w:t>
      </w:r>
      <w:proofErr w:type="gramEnd"/>
      <w:r w:rsidRPr="006F490E">
        <w:rPr>
          <w:rFonts w:asciiTheme="minorBidi" w:hAnsiTheme="minorBidi" w:cstheme="minorBidi"/>
          <w:lang w:val="fr-FR"/>
        </w:rPr>
        <w:t xml:space="preserve"> États membres de la COI et de l</w:t>
      </w:r>
      <w:r w:rsidR="00E92BB5">
        <w:rPr>
          <w:rFonts w:asciiTheme="minorBidi" w:hAnsiTheme="minorBidi" w:cstheme="minorBidi"/>
          <w:lang w:val="fr-FR"/>
        </w:rPr>
        <w:t>’</w:t>
      </w:r>
      <w:r w:rsidRPr="006F490E">
        <w:rPr>
          <w:rFonts w:asciiTheme="minorBidi" w:hAnsiTheme="minorBidi" w:cstheme="minorBidi"/>
          <w:lang w:val="fr-FR"/>
        </w:rPr>
        <w:t>UNESCO</w:t>
      </w:r>
      <w:r w:rsidR="003A6C17">
        <w:rPr>
          <w:rFonts w:asciiTheme="minorBidi" w:hAnsiTheme="minorBidi" w:cstheme="minorBidi"/>
          <w:lang w:val="fr-FR"/>
        </w:rPr>
        <w:t> ;</w:t>
      </w:r>
    </w:p>
    <w:p w14:paraId="5EA3729D" w14:textId="6CACC02F" w:rsidR="006F490E" w:rsidRPr="006F490E" w:rsidRDefault="006F490E" w:rsidP="006F490E">
      <w:pPr>
        <w:pStyle w:val="ListParagraph"/>
        <w:numPr>
          <w:ilvl w:val="0"/>
          <w:numId w:val="24"/>
        </w:numPr>
        <w:spacing w:after="0" w:line="240" w:lineRule="auto"/>
        <w:ind w:left="851" w:hanging="284"/>
        <w:jc w:val="both"/>
        <w:rPr>
          <w:rFonts w:asciiTheme="minorBidi" w:hAnsiTheme="minorBidi" w:cstheme="minorBidi"/>
          <w:lang w:val="fr-FR"/>
        </w:rPr>
      </w:pPr>
      <w:proofErr w:type="gramStart"/>
      <w:r w:rsidRPr="006F490E">
        <w:rPr>
          <w:rFonts w:asciiTheme="minorBidi" w:hAnsiTheme="minorBidi" w:cstheme="minorBidi"/>
          <w:lang w:val="fr-FR"/>
        </w:rPr>
        <w:t>les</w:t>
      </w:r>
      <w:proofErr w:type="gramEnd"/>
      <w:r w:rsidRPr="006F490E">
        <w:rPr>
          <w:rFonts w:asciiTheme="minorBidi" w:hAnsiTheme="minorBidi" w:cstheme="minorBidi"/>
          <w:lang w:val="fr-FR"/>
        </w:rPr>
        <w:t xml:space="preserve"> programmes, les organes et le Secrétariat de la COI</w:t>
      </w:r>
      <w:r w:rsidR="003A6C17">
        <w:rPr>
          <w:rFonts w:asciiTheme="minorBidi" w:hAnsiTheme="minorBidi" w:cstheme="minorBidi"/>
          <w:lang w:val="fr-FR"/>
        </w:rPr>
        <w:t> ;</w:t>
      </w:r>
      <w:r w:rsidRPr="006F490E">
        <w:rPr>
          <w:rFonts w:asciiTheme="minorBidi" w:hAnsiTheme="minorBidi" w:cstheme="minorBidi"/>
          <w:lang w:val="fr-FR"/>
        </w:rPr>
        <w:t xml:space="preserve"> </w:t>
      </w:r>
    </w:p>
    <w:p w14:paraId="3F70DAFC" w14:textId="0F1A3CF7" w:rsidR="006F490E" w:rsidRPr="006F490E" w:rsidRDefault="006F490E" w:rsidP="006F490E">
      <w:pPr>
        <w:pStyle w:val="ListParagraph"/>
        <w:numPr>
          <w:ilvl w:val="0"/>
          <w:numId w:val="24"/>
        </w:numPr>
        <w:spacing w:after="0" w:line="240" w:lineRule="auto"/>
        <w:ind w:left="851" w:hanging="284"/>
        <w:jc w:val="both"/>
        <w:rPr>
          <w:rFonts w:asciiTheme="minorBidi" w:hAnsiTheme="minorBidi" w:cstheme="minorBidi"/>
          <w:lang w:val="fr-FR"/>
        </w:rPr>
      </w:pPr>
      <w:proofErr w:type="gramStart"/>
      <w:r w:rsidRPr="006F490E">
        <w:rPr>
          <w:rFonts w:asciiTheme="minorBidi" w:hAnsiTheme="minorBidi" w:cstheme="minorBidi"/>
          <w:lang w:val="fr-FR"/>
        </w:rPr>
        <w:t>les</w:t>
      </w:r>
      <w:proofErr w:type="gramEnd"/>
      <w:r w:rsidRPr="006F490E">
        <w:rPr>
          <w:rFonts w:asciiTheme="minorBidi" w:hAnsiTheme="minorBidi" w:cstheme="minorBidi"/>
          <w:lang w:val="fr-FR"/>
        </w:rPr>
        <w:t xml:space="preserve"> institutions nationales et régionales mandatées dans le domaine de la gestion de l</w:t>
      </w:r>
      <w:r w:rsidR="00E92BB5">
        <w:rPr>
          <w:rFonts w:asciiTheme="minorBidi" w:hAnsiTheme="minorBidi" w:cstheme="minorBidi"/>
          <w:lang w:val="fr-FR"/>
        </w:rPr>
        <w:t>’</w:t>
      </w:r>
      <w:r w:rsidRPr="006F490E">
        <w:rPr>
          <w:rFonts w:asciiTheme="minorBidi" w:hAnsiTheme="minorBidi" w:cstheme="minorBidi"/>
          <w:lang w:val="fr-FR"/>
        </w:rPr>
        <w:t>océan</w:t>
      </w:r>
      <w:r w:rsidR="003A6C17">
        <w:rPr>
          <w:rFonts w:asciiTheme="minorBidi" w:hAnsiTheme="minorBidi" w:cstheme="minorBidi"/>
          <w:lang w:val="fr-FR"/>
        </w:rPr>
        <w:t> ;</w:t>
      </w:r>
      <w:r w:rsidRPr="006F490E">
        <w:rPr>
          <w:rFonts w:asciiTheme="minorBidi" w:hAnsiTheme="minorBidi" w:cstheme="minorBidi"/>
          <w:lang w:val="fr-FR"/>
        </w:rPr>
        <w:t xml:space="preserve"> </w:t>
      </w:r>
    </w:p>
    <w:p w14:paraId="678DC93D" w14:textId="0D8BC9F3" w:rsidR="006F490E" w:rsidRPr="006F490E" w:rsidRDefault="006F490E" w:rsidP="006F490E">
      <w:pPr>
        <w:pStyle w:val="ListParagraph"/>
        <w:numPr>
          <w:ilvl w:val="0"/>
          <w:numId w:val="24"/>
        </w:numPr>
        <w:spacing w:after="0" w:line="240" w:lineRule="auto"/>
        <w:ind w:left="851" w:hanging="284"/>
        <w:jc w:val="both"/>
        <w:rPr>
          <w:rFonts w:asciiTheme="minorBidi" w:hAnsiTheme="minorBidi" w:cstheme="minorBidi"/>
          <w:lang w:val="fr-FR"/>
        </w:rPr>
      </w:pPr>
      <w:proofErr w:type="gramStart"/>
      <w:r w:rsidRPr="006F490E">
        <w:rPr>
          <w:rFonts w:asciiTheme="minorBidi" w:hAnsiTheme="minorBidi" w:cstheme="minorBidi"/>
          <w:lang w:val="fr-FR"/>
        </w:rPr>
        <w:t>les</w:t>
      </w:r>
      <w:proofErr w:type="gramEnd"/>
      <w:r w:rsidRPr="006F490E">
        <w:rPr>
          <w:rFonts w:asciiTheme="minorBidi" w:hAnsiTheme="minorBidi" w:cstheme="minorBidi"/>
          <w:lang w:val="fr-FR"/>
        </w:rPr>
        <w:t xml:space="preserve"> entités des Nations Unies et les organisations internationales compétentes</w:t>
      </w:r>
      <w:r w:rsidR="003A6C17">
        <w:rPr>
          <w:rFonts w:asciiTheme="minorBidi" w:hAnsiTheme="minorBidi" w:cstheme="minorBidi"/>
          <w:lang w:val="fr-FR"/>
        </w:rPr>
        <w:t> ;</w:t>
      </w:r>
      <w:r w:rsidRPr="006F490E">
        <w:rPr>
          <w:rFonts w:asciiTheme="minorBidi" w:hAnsiTheme="minorBidi" w:cstheme="minorBidi"/>
          <w:lang w:val="fr-FR"/>
        </w:rPr>
        <w:t xml:space="preserve"> </w:t>
      </w:r>
    </w:p>
    <w:p w14:paraId="456E253E" w14:textId="6CEF6293" w:rsidR="006F490E" w:rsidRPr="006F490E" w:rsidRDefault="006F490E" w:rsidP="006F490E">
      <w:pPr>
        <w:pStyle w:val="ListParagraph"/>
        <w:numPr>
          <w:ilvl w:val="0"/>
          <w:numId w:val="24"/>
        </w:numPr>
        <w:spacing w:after="0" w:line="240" w:lineRule="auto"/>
        <w:ind w:left="851" w:hanging="284"/>
        <w:jc w:val="both"/>
        <w:rPr>
          <w:rFonts w:asciiTheme="minorBidi" w:hAnsiTheme="minorBidi" w:cstheme="minorBidi"/>
          <w:lang w:val="fr-FR"/>
        </w:rPr>
      </w:pPr>
      <w:proofErr w:type="gramStart"/>
      <w:r w:rsidRPr="006F490E">
        <w:rPr>
          <w:rFonts w:asciiTheme="minorBidi" w:hAnsiTheme="minorBidi" w:cstheme="minorBidi"/>
          <w:lang w:val="fr-FR"/>
        </w:rPr>
        <w:t>les</w:t>
      </w:r>
      <w:proofErr w:type="gramEnd"/>
      <w:r w:rsidRPr="006F490E">
        <w:rPr>
          <w:rFonts w:asciiTheme="minorBidi" w:hAnsiTheme="minorBidi" w:cstheme="minorBidi"/>
          <w:lang w:val="fr-FR"/>
        </w:rPr>
        <w:t xml:space="preserve"> représentants des secteurs économiques (publics et privés) ayant un intérêt dans la bonne gouvernance de l</w:t>
      </w:r>
      <w:r w:rsidR="00E92BB5">
        <w:rPr>
          <w:rFonts w:asciiTheme="minorBidi" w:hAnsiTheme="minorBidi" w:cstheme="minorBidi"/>
          <w:lang w:val="fr-FR"/>
        </w:rPr>
        <w:t>’</w:t>
      </w:r>
      <w:r w:rsidRPr="006F490E">
        <w:rPr>
          <w:rFonts w:asciiTheme="minorBidi" w:hAnsiTheme="minorBidi" w:cstheme="minorBidi"/>
          <w:lang w:val="fr-FR"/>
        </w:rPr>
        <w:t>océan</w:t>
      </w:r>
      <w:r w:rsidR="003A6C17">
        <w:rPr>
          <w:rFonts w:asciiTheme="minorBidi" w:hAnsiTheme="minorBidi" w:cstheme="minorBidi"/>
          <w:lang w:val="fr-FR"/>
        </w:rPr>
        <w:t> ;</w:t>
      </w:r>
    </w:p>
    <w:p w14:paraId="2D978D92" w14:textId="36A58189" w:rsidR="006F490E" w:rsidRPr="00AF3932" w:rsidRDefault="006F490E" w:rsidP="006F490E">
      <w:pPr>
        <w:pStyle w:val="ListParagraph"/>
        <w:numPr>
          <w:ilvl w:val="0"/>
          <w:numId w:val="24"/>
        </w:numPr>
        <w:spacing w:after="240" w:line="240" w:lineRule="auto"/>
        <w:ind w:left="851" w:hanging="284"/>
        <w:contextualSpacing w:val="0"/>
        <w:jc w:val="both"/>
        <w:rPr>
          <w:rFonts w:cs="Arial"/>
          <w:lang w:val="fr-FR"/>
        </w:rPr>
      </w:pPr>
      <w:proofErr w:type="gramStart"/>
      <w:r w:rsidRPr="006F490E">
        <w:rPr>
          <w:rFonts w:asciiTheme="minorBidi" w:hAnsiTheme="minorBidi" w:cstheme="minorBidi"/>
          <w:lang w:val="fr-FR"/>
        </w:rPr>
        <w:t>les</w:t>
      </w:r>
      <w:proofErr w:type="gramEnd"/>
      <w:r w:rsidRPr="006F490E">
        <w:rPr>
          <w:rFonts w:asciiTheme="minorBidi" w:hAnsiTheme="minorBidi" w:cstheme="minorBidi"/>
          <w:lang w:val="fr-FR"/>
        </w:rPr>
        <w:t xml:space="preserve"> établissements universitaires et les organismes de recherche compétents.</w:t>
      </w:r>
    </w:p>
    <w:p w14:paraId="2A1EEFE9" w14:textId="1A27B528" w:rsidR="006F490E" w:rsidRPr="00023D2A" w:rsidRDefault="006F490E" w:rsidP="006F490E">
      <w:pPr>
        <w:pStyle w:val="Marge"/>
        <w:rPr>
          <w:rFonts w:cs="Arial"/>
          <w:szCs w:val="22"/>
        </w:rPr>
      </w:pPr>
      <w:r>
        <w:rPr>
          <w:rFonts w:cs="Arial"/>
          <w:szCs w:val="22"/>
        </w:rPr>
        <w:t>24.</w:t>
      </w:r>
      <w:r>
        <w:rPr>
          <w:rFonts w:cs="Arial"/>
          <w:szCs w:val="22"/>
        </w:rPr>
        <w:tab/>
      </w:r>
      <w:r w:rsidRPr="00023D2A">
        <w:rPr>
          <w:rFonts w:cs="Arial"/>
          <w:szCs w:val="22"/>
        </w:rPr>
        <w:t xml:space="preserve">Ces parties prenantes </w:t>
      </w:r>
      <w:r>
        <w:rPr>
          <w:rFonts w:cs="Arial"/>
          <w:szCs w:val="22"/>
        </w:rPr>
        <w:t>ver</w:t>
      </w:r>
      <w:r w:rsidRPr="00023D2A">
        <w:rPr>
          <w:rFonts w:cs="Arial"/>
          <w:szCs w:val="22"/>
        </w:rPr>
        <w:t xml:space="preserve">ront dans un premier temps </w:t>
      </w:r>
      <w:r>
        <w:rPr>
          <w:rFonts w:cs="Arial"/>
          <w:szCs w:val="22"/>
        </w:rPr>
        <w:t>leur avis sollicité dans le cadre d</w:t>
      </w:r>
      <w:r w:rsidR="00E92BB5">
        <w:rPr>
          <w:rFonts w:cs="Arial"/>
          <w:szCs w:val="22"/>
        </w:rPr>
        <w:t>’</w:t>
      </w:r>
      <w:r>
        <w:rPr>
          <w:rFonts w:cs="Arial"/>
          <w:szCs w:val="22"/>
        </w:rPr>
        <w:t xml:space="preserve">une enquête et de </w:t>
      </w:r>
      <w:r w:rsidRPr="00023D2A">
        <w:rPr>
          <w:rFonts w:cs="Arial"/>
          <w:szCs w:val="22"/>
        </w:rPr>
        <w:t>consultations</w:t>
      </w:r>
      <w:r>
        <w:rPr>
          <w:rFonts w:cs="Arial"/>
          <w:szCs w:val="22"/>
        </w:rPr>
        <w:t xml:space="preserve"> personnalisées</w:t>
      </w:r>
      <w:r w:rsidRPr="00023D2A">
        <w:rPr>
          <w:rFonts w:cs="Arial"/>
          <w:szCs w:val="22"/>
        </w:rPr>
        <w:t xml:space="preserve">, </w:t>
      </w:r>
      <w:r>
        <w:rPr>
          <w:rFonts w:cs="Arial"/>
          <w:szCs w:val="22"/>
        </w:rPr>
        <w:t>et auront l</w:t>
      </w:r>
      <w:r w:rsidR="00E92BB5">
        <w:rPr>
          <w:rFonts w:cs="Arial"/>
          <w:szCs w:val="22"/>
        </w:rPr>
        <w:t>’</w:t>
      </w:r>
      <w:r>
        <w:rPr>
          <w:rFonts w:cs="Arial"/>
          <w:szCs w:val="22"/>
        </w:rPr>
        <w:t xml:space="preserve">occasion de faire part de leurs commentaires sur le présent </w:t>
      </w:r>
      <w:r w:rsidRPr="00023D2A">
        <w:rPr>
          <w:rFonts w:cs="Arial"/>
          <w:szCs w:val="22"/>
        </w:rPr>
        <w:t xml:space="preserve">document et </w:t>
      </w:r>
      <w:r>
        <w:rPr>
          <w:rFonts w:cs="Arial"/>
          <w:szCs w:val="22"/>
        </w:rPr>
        <w:t xml:space="preserve">ses conclusions </w:t>
      </w:r>
      <w:r w:rsidRPr="006F490E">
        <w:rPr>
          <w:szCs w:val="22"/>
        </w:rPr>
        <w:t>initiales</w:t>
      </w:r>
      <w:r w:rsidRPr="00023D2A">
        <w:rPr>
          <w:rFonts w:cs="Arial"/>
          <w:szCs w:val="22"/>
        </w:rPr>
        <w:t>, avant la production d</w:t>
      </w:r>
      <w:r w:rsidR="00E92BB5">
        <w:rPr>
          <w:rFonts w:cs="Arial"/>
          <w:szCs w:val="22"/>
        </w:rPr>
        <w:t>’</w:t>
      </w:r>
      <w:r w:rsidRPr="00023D2A">
        <w:rPr>
          <w:rFonts w:cs="Arial"/>
          <w:szCs w:val="22"/>
        </w:rPr>
        <w:t>un document final en février 2024. Chaque appel à commentaires s</w:t>
      </w:r>
      <w:r w:rsidR="00E92BB5">
        <w:rPr>
          <w:rFonts w:cs="Arial"/>
          <w:szCs w:val="22"/>
        </w:rPr>
        <w:t>’</w:t>
      </w:r>
      <w:r w:rsidRPr="00023D2A">
        <w:rPr>
          <w:rFonts w:cs="Arial"/>
          <w:szCs w:val="22"/>
        </w:rPr>
        <w:t xml:space="preserve">accompagnera </w:t>
      </w:r>
      <w:r w:rsidRPr="00C57B81">
        <w:rPr>
          <w:rFonts w:cs="Arial"/>
          <w:szCs w:val="22"/>
        </w:rPr>
        <w:t>d</w:t>
      </w:r>
      <w:r w:rsidR="00E92BB5" w:rsidRPr="00C57B81">
        <w:rPr>
          <w:rFonts w:cs="Arial"/>
          <w:szCs w:val="22"/>
        </w:rPr>
        <w:t>’</w:t>
      </w:r>
      <w:r w:rsidRPr="00C57B81">
        <w:rPr>
          <w:rFonts w:cs="Arial"/>
          <w:szCs w:val="22"/>
        </w:rPr>
        <w:t xml:space="preserve">un </w:t>
      </w:r>
      <w:r w:rsidR="00C57B81" w:rsidRPr="00C57B81">
        <w:rPr>
          <w:rFonts w:cs="Arial"/>
          <w:szCs w:val="22"/>
        </w:rPr>
        <w:t>webinaire</w:t>
      </w:r>
      <w:r w:rsidRPr="00023D2A">
        <w:rPr>
          <w:rFonts w:cs="Arial"/>
          <w:szCs w:val="22"/>
        </w:rPr>
        <w:t xml:space="preserve"> auquel toutes les parties concernées seront invitées à participer et lors duquel notr</w:t>
      </w:r>
      <w:r>
        <w:rPr>
          <w:rFonts w:cs="Arial"/>
          <w:szCs w:val="22"/>
        </w:rPr>
        <w:t xml:space="preserve">e équipe présentera le </w:t>
      </w:r>
      <w:r w:rsidRPr="00023D2A">
        <w:rPr>
          <w:rFonts w:cs="Arial"/>
          <w:szCs w:val="22"/>
        </w:rPr>
        <w:t xml:space="preserve">document, </w:t>
      </w:r>
      <w:r>
        <w:rPr>
          <w:rFonts w:cs="Arial"/>
          <w:szCs w:val="22"/>
        </w:rPr>
        <w:t>l</w:t>
      </w:r>
      <w:r w:rsidR="00E92BB5">
        <w:rPr>
          <w:rFonts w:cs="Arial"/>
          <w:szCs w:val="22"/>
        </w:rPr>
        <w:t>’</w:t>
      </w:r>
      <w:r w:rsidRPr="00023D2A">
        <w:rPr>
          <w:rFonts w:cs="Arial"/>
          <w:szCs w:val="22"/>
        </w:rPr>
        <w:t>approch</w:t>
      </w:r>
      <w:r>
        <w:rPr>
          <w:rFonts w:cs="Arial"/>
          <w:szCs w:val="22"/>
        </w:rPr>
        <w:t>e retenue et les principales</w:t>
      </w:r>
      <w:r w:rsidRPr="00023D2A">
        <w:rPr>
          <w:rFonts w:cs="Arial"/>
          <w:szCs w:val="22"/>
        </w:rPr>
        <w:t xml:space="preserve"> consid</w:t>
      </w:r>
      <w:r>
        <w:rPr>
          <w:rFonts w:cs="Arial"/>
          <w:szCs w:val="22"/>
        </w:rPr>
        <w:t>é</w:t>
      </w:r>
      <w:r w:rsidRPr="00023D2A">
        <w:rPr>
          <w:rFonts w:cs="Arial"/>
          <w:szCs w:val="22"/>
        </w:rPr>
        <w:t xml:space="preserve">rations, </w:t>
      </w:r>
      <w:r>
        <w:rPr>
          <w:rFonts w:cs="Arial"/>
          <w:szCs w:val="22"/>
        </w:rPr>
        <w:t>les parties prenantes ayant la possibilité de réagir aussitôt verbalement, ainsi que de présenter des propositions plus formelles</w:t>
      </w:r>
      <w:r w:rsidRPr="00A303E3">
        <w:rPr>
          <w:rFonts w:cs="Arial"/>
          <w:szCs w:val="22"/>
        </w:rPr>
        <w:t xml:space="preserve"> </w:t>
      </w:r>
      <w:r>
        <w:rPr>
          <w:rFonts w:cs="Arial"/>
          <w:szCs w:val="22"/>
        </w:rPr>
        <w:t>par écrit</w:t>
      </w:r>
      <w:r w:rsidRPr="00023D2A">
        <w:rPr>
          <w:rFonts w:cs="Arial"/>
          <w:szCs w:val="22"/>
        </w:rPr>
        <w:t xml:space="preserve">. La </w:t>
      </w:r>
      <w:r w:rsidRPr="00023D2A">
        <w:rPr>
          <w:rFonts w:cs="Arial"/>
          <w:szCs w:val="22"/>
        </w:rPr>
        <w:lastRenderedPageBreak/>
        <w:t xml:space="preserve">version finale du cadre et de la stratégie </w:t>
      </w:r>
      <w:r>
        <w:rPr>
          <w:rFonts w:cs="Arial"/>
          <w:szCs w:val="22"/>
        </w:rPr>
        <w:t>sera présentée pour examen au</w:t>
      </w:r>
      <w:r w:rsidRPr="00023D2A">
        <w:rPr>
          <w:rFonts w:cs="Arial"/>
          <w:szCs w:val="22"/>
        </w:rPr>
        <w:t xml:space="preserve"> Conseil exécutif de la COI </w:t>
      </w:r>
      <w:r>
        <w:rPr>
          <w:rFonts w:cs="Arial"/>
          <w:szCs w:val="22"/>
        </w:rPr>
        <w:t>à sa</w:t>
      </w:r>
      <w:r w:rsidRPr="00023D2A">
        <w:rPr>
          <w:rFonts w:cs="Arial"/>
          <w:szCs w:val="22"/>
        </w:rPr>
        <w:t xml:space="preserve"> 57</w:t>
      </w:r>
      <w:r>
        <w:rPr>
          <w:rFonts w:cs="Arial"/>
          <w:szCs w:val="22"/>
          <w:vertAlign w:val="superscript"/>
        </w:rPr>
        <w:t>e</w:t>
      </w:r>
      <w:r w:rsidRPr="00023D2A">
        <w:rPr>
          <w:rFonts w:cs="Arial"/>
          <w:szCs w:val="22"/>
        </w:rPr>
        <w:t xml:space="preserve"> session. </w:t>
      </w:r>
    </w:p>
    <w:p w14:paraId="7FE67743" w14:textId="77777777" w:rsidR="006F490E" w:rsidRDefault="006F490E" w:rsidP="006F490E">
      <w:pPr>
        <w:pStyle w:val="ListParagraph"/>
        <w:ind w:left="0"/>
        <w:rPr>
          <w:rFonts w:cs="Arial"/>
        </w:rPr>
      </w:pPr>
      <w:r>
        <w:rPr>
          <w:rFonts w:cs="Arial"/>
          <w:noProof/>
        </w:rPr>
        <w:drawing>
          <wp:inline distT="0" distB="0" distL="0" distR="0" wp14:anchorId="1F51EBB6" wp14:editId="24CC7A63">
            <wp:extent cx="5566410" cy="3274060"/>
            <wp:effectExtent l="0" t="0" r="0" b="2540"/>
            <wp:docPr id="568219695" name="Image 2" descr="Une image contenant texte, capture d’écran, Polic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19695" name="Image 2" descr="Une image contenant texte, capture d’écran, Police, Rectangle&#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6410" cy="3274060"/>
                    </a:xfrm>
                    <a:prstGeom prst="rect">
                      <a:avLst/>
                    </a:prstGeom>
                    <a:noFill/>
                  </pic:spPr>
                </pic:pic>
              </a:graphicData>
            </a:graphic>
          </wp:inline>
        </w:drawing>
      </w:r>
    </w:p>
    <w:p w14:paraId="477A3954" w14:textId="77777777" w:rsidR="006F490E" w:rsidRDefault="006F490E" w:rsidP="006F490E">
      <w:pPr>
        <w:pStyle w:val="ListParagraph"/>
        <w:ind w:left="0"/>
        <w:rPr>
          <w:rFonts w:cs="Arial"/>
        </w:rPr>
      </w:pPr>
    </w:p>
    <w:tbl>
      <w:tblPr>
        <w:tblStyle w:val="TableGrid"/>
        <w:tblW w:w="0" w:type="auto"/>
        <w:jc w:val="center"/>
        <w:tblLook w:val="04A0" w:firstRow="1" w:lastRow="0" w:firstColumn="1" w:lastColumn="0" w:noHBand="0" w:noVBand="1"/>
      </w:tblPr>
      <w:tblGrid>
        <w:gridCol w:w="2696"/>
        <w:gridCol w:w="2265"/>
        <w:gridCol w:w="1980"/>
      </w:tblGrid>
      <w:tr w:rsidR="006F490E" w14:paraId="7398E107" w14:textId="77777777" w:rsidTr="008A6EBF">
        <w:trPr>
          <w:trHeight w:val="626"/>
          <w:jc w:val="center"/>
        </w:trPr>
        <w:tc>
          <w:tcPr>
            <w:tcW w:w="2696" w:type="dxa"/>
            <w:vAlign w:val="center"/>
          </w:tcPr>
          <w:p w14:paraId="36F62C40" w14:textId="77777777" w:rsidR="006F490E" w:rsidRPr="004268B4" w:rsidRDefault="006F490E" w:rsidP="00787875">
            <w:pPr>
              <w:pStyle w:val="ListParagraph"/>
              <w:spacing w:before="60" w:after="60" w:line="240" w:lineRule="auto"/>
              <w:ind w:left="0"/>
              <w:jc w:val="center"/>
              <w:rPr>
                <w:rFonts w:cs="Arial"/>
                <w:sz w:val="16"/>
                <w:szCs w:val="16"/>
                <w:lang w:val="fr-FR"/>
              </w:rPr>
            </w:pPr>
            <w:r w:rsidRPr="004268B4">
              <w:rPr>
                <w:rFonts w:cs="Arial"/>
                <w:sz w:val="16"/>
                <w:szCs w:val="16"/>
                <w:lang w:val="fr-FR"/>
              </w:rPr>
              <w:t>Adoption du plan de t</w:t>
            </w:r>
            <w:r>
              <w:rPr>
                <w:rFonts w:cs="Arial"/>
                <w:sz w:val="16"/>
                <w:szCs w:val="16"/>
                <w:lang w:val="fr-FR"/>
              </w:rPr>
              <w:t>ravail de la COI pour 2023</w:t>
            </w:r>
          </w:p>
        </w:tc>
        <w:tc>
          <w:tcPr>
            <w:tcW w:w="2265" w:type="dxa"/>
            <w:vAlign w:val="center"/>
          </w:tcPr>
          <w:p w14:paraId="1D0C59D6" w14:textId="77777777"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Consultation des principales parties prenantes</w:t>
            </w:r>
          </w:p>
        </w:tc>
        <w:tc>
          <w:tcPr>
            <w:tcW w:w="1980" w:type="dxa"/>
            <w:vAlign w:val="center"/>
          </w:tcPr>
          <w:p w14:paraId="7DDF1E43" w14:textId="77777777"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Élaboration du document issu de cette consultation</w:t>
            </w:r>
          </w:p>
        </w:tc>
      </w:tr>
      <w:tr w:rsidR="006F490E" w14:paraId="7A10E1AF" w14:textId="77777777" w:rsidTr="008A6EBF">
        <w:trPr>
          <w:jc w:val="center"/>
        </w:trPr>
        <w:tc>
          <w:tcPr>
            <w:tcW w:w="2696" w:type="dxa"/>
            <w:vAlign w:val="center"/>
          </w:tcPr>
          <w:p w14:paraId="4AFDD0F0" w14:textId="77777777"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Enquête et consultations auprès de toutes les parties prenantes</w:t>
            </w:r>
          </w:p>
        </w:tc>
        <w:tc>
          <w:tcPr>
            <w:tcW w:w="2265" w:type="dxa"/>
            <w:vAlign w:val="center"/>
          </w:tcPr>
          <w:p w14:paraId="064569B9" w14:textId="77777777"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Élaboration du projet de stratégie et de cadre</w:t>
            </w:r>
          </w:p>
        </w:tc>
        <w:tc>
          <w:tcPr>
            <w:tcW w:w="1980" w:type="dxa"/>
            <w:vAlign w:val="center"/>
          </w:tcPr>
          <w:p w14:paraId="2FF58C37" w14:textId="77777777"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Premier appel à commentaires auprès des parties prenantes</w:t>
            </w:r>
          </w:p>
        </w:tc>
      </w:tr>
      <w:tr w:rsidR="006F490E" w14:paraId="697C23CA" w14:textId="77777777" w:rsidTr="008A6EBF">
        <w:trPr>
          <w:trHeight w:val="730"/>
          <w:jc w:val="center"/>
        </w:trPr>
        <w:tc>
          <w:tcPr>
            <w:tcW w:w="2696" w:type="dxa"/>
            <w:vAlign w:val="center"/>
          </w:tcPr>
          <w:p w14:paraId="74AEF041" w14:textId="3609DEE9"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Deuxième projet de stratégie et de cadre</w:t>
            </w:r>
          </w:p>
        </w:tc>
        <w:tc>
          <w:tcPr>
            <w:tcW w:w="2265" w:type="dxa"/>
            <w:vAlign w:val="center"/>
          </w:tcPr>
          <w:p w14:paraId="7643ED37" w14:textId="77777777"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Deuxième appel à commentaires auprès des parties prenantes</w:t>
            </w:r>
          </w:p>
        </w:tc>
        <w:tc>
          <w:tcPr>
            <w:tcW w:w="1980" w:type="dxa"/>
            <w:vAlign w:val="center"/>
          </w:tcPr>
          <w:p w14:paraId="26F03DB6" w14:textId="77777777" w:rsidR="006F490E" w:rsidRPr="004268B4" w:rsidRDefault="006F490E" w:rsidP="00787875">
            <w:pPr>
              <w:pStyle w:val="ListParagraph"/>
              <w:spacing w:before="60" w:after="60"/>
              <w:ind w:left="0"/>
              <w:jc w:val="center"/>
              <w:rPr>
                <w:rFonts w:cs="Arial"/>
                <w:sz w:val="16"/>
                <w:szCs w:val="16"/>
                <w:lang w:val="fr-FR"/>
              </w:rPr>
            </w:pPr>
            <w:r>
              <w:rPr>
                <w:rFonts w:cs="Arial"/>
                <w:sz w:val="16"/>
                <w:szCs w:val="16"/>
                <w:lang w:val="fr-FR"/>
              </w:rPr>
              <w:t>Document final</w:t>
            </w:r>
          </w:p>
        </w:tc>
      </w:tr>
      <w:tr w:rsidR="006F490E" w14:paraId="79A48C77" w14:textId="77777777" w:rsidTr="008A6EBF">
        <w:trPr>
          <w:jc w:val="center"/>
        </w:trPr>
        <w:tc>
          <w:tcPr>
            <w:tcW w:w="6941" w:type="dxa"/>
            <w:gridSpan w:val="3"/>
            <w:vAlign w:val="center"/>
          </w:tcPr>
          <w:p w14:paraId="5A75F0D2" w14:textId="33B971AE" w:rsidR="006F490E" w:rsidRPr="004268B4" w:rsidRDefault="006F490E" w:rsidP="00787875">
            <w:pPr>
              <w:pStyle w:val="ListParagraph"/>
              <w:spacing w:before="60" w:after="60" w:line="240" w:lineRule="auto"/>
              <w:ind w:left="0"/>
              <w:jc w:val="center"/>
              <w:rPr>
                <w:rFonts w:cs="Arial"/>
                <w:sz w:val="16"/>
                <w:szCs w:val="16"/>
                <w:lang w:val="fr-FR"/>
              </w:rPr>
            </w:pPr>
            <w:r>
              <w:rPr>
                <w:rFonts w:cs="Arial"/>
                <w:sz w:val="16"/>
                <w:szCs w:val="16"/>
                <w:lang w:val="fr-FR"/>
              </w:rPr>
              <w:t>Adoption en 2024, par le Conseil exécutif de la COI, du cadre de programmation et de la stratégie à l</w:t>
            </w:r>
            <w:r w:rsidR="00E92BB5">
              <w:rPr>
                <w:rFonts w:cs="Arial"/>
                <w:sz w:val="16"/>
                <w:szCs w:val="16"/>
                <w:lang w:val="fr-FR"/>
              </w:rPr>
              <w:t>’</w:t>
            </w:r>
            <w:r>
              <w:rPr>
                <w:rFonts w:cs="Arial"/>
                <w:sz w:val="16"/>
                <w:szCs w:val="16"/>
                <w:lang w:val="fr-FR"/>
              </w:rPr>
              <w:t>échelle de la COI sur la planification durable de l</w:t>
            </w:r>
            <w:r w:rsidR="00E92BB5">
              <w:rPr>
                <w:rFonts w:cs="Arial"/>
                <w:sz w:val="16"/>
                <w:szCs w:val="16"/>
                <w:lang w:val="fr-FR"/>
              </w:rPr>
              <w:t>’</w:t>
            </w:r>
            <w:r>
              <w:rPr>
                <w:rFonts w:cs="Arial"/>
                <w:sz w:val="16"/>
                <w:szCs w:val="16"/>
                <w:lang w:val="fr-FR"/>
              </w:rPr>
              <w:t>océan</w:t>
            </w:r>
          </w:p>
        </w:tc>
      </w:tr>
    </w:tbl>
    <w:p w14:paraId="79A52AB1" w14:textId="37753401" w:rsidR="006F490E" w:rsidRPr="00A303E3" w:rsidRDefault="006F490E" w:rsidP="00787875">
      <w:pPr>
        <w:pStyle w:val="Caption"/>
        <w:spacing w:before="120"/>
        <w:jc w:val="both"/>
        <w:rPr>
          <w:rFonts w:ascii="Arial" w:hAnsi="Arial" w:cs="Arial"/>
          <w:sz w:val="22"/>
          <w:szCs w:val="22"/>
          <w:lang w:val="fr-FR"/>
        </w:rPr>
      </w:pPr>
      <w:r w:rsidRPr="00A303E3">
        <w:rPr>
          <w:rFonts w:ascii="Arial" w:hAnsi="Arial" w:cs="Arial"/>
          <w:sz w:val="22"/>
          <w:szCs w:val="22"/>
          <w:lang w:val="fr-FR"/>
        </w:rPr>
        <w:t>Figure</w:t>
      </w:r>
      <w:r>
        <w:rPr>
          <w:rFonts w:ascii="Arial" w:hAnsi="Arial" w:cs="Arial"/>
          <w:sz w:val="22"/>
          <w:szCs w:val="22"/>
          <w:lang w:val="fr-FR"/>
        </w:rPr>
        <w:t> </w:t>
      </w:r>
      <w:r w:rsidRPr="007953C7">
        <w:rPr>
          <w:rFonts w:ascii="Arial" w:hAnsi="Arial" w:cs="Arial"/>
          <w:sz w:val="22"/>
          <w:szCs w:val="22"/>
        </w:rPr>
        <w:fldChar w:fldCharType="begin"/>
      </w:r>
      <w:r w:rsidRPr="00A303E3">
        <w:rPr>
          <w:rFonts w:ascii="Arial" w:hAnsi="Arial" w:cs="Arial"/>
          <w:sz w:val="22"/>
          <w:szCs w:val="22"/>
          <w:lang w:val="fr-FR"/>
        </w:rPr>
        <w:instrText xml:space="preserve"> SEQ Figure \* ARABIC </w:instrText>
      </w:r>
      <w:r w:rsidRPr="007953C7">
        <w:rPr>
          <w:rFonts w:ascii="Arial" w:hAnsi="Arial" w:cs="Arial"/>
          <w:sz w:val="22"/>
          <w:szCs w:val="22"/>
        </w:rPr>
        <w:fldChar w:fldCharType="separate"/>
      </w:r>
      <w:r w:rsidR="007A29E0">
        <w:rPr>
          <w:rFonts w:ascii="Arial" w:hAnsi="Arial" w:cs="Arial"/>
          <w:noProof/>
          <w:sz w:val="22"/>
          <w:szCs w:val="22"/>
          <w:lang w:val="fr-FR"/>
        </w:rPr>
        <w:t>1</w:t>
      </w:r>
      <w:r w:rsidRPr="007953C7">
        <w:rPr>
          <w:rFonts w:ascii="Arial" w:hAnsi="Arial" w:cs="Arial"/>
          <w:noProof/>
          <w:sz w:val="22"/>
          <w:szCs w:val="22"/>
        </w:rPr>
        <w:fldChar w:fldCharType="end"/>
      </w:r>
      <w:r w:rsidRPr="00A303E3">
        <w:rPr>
          <w:rFonts w:ascii="Arial" w:hAnsi="Arial" w:cs="Arial"/>
          <w:noProof/>
          <w:sz w:val="22"/>
          <w:szCs w:val="22"/>
          <w:lang w:val="fr-FR"/>
        </w:rPr>
        <w:t> </w:t>
      </w:r>
      <w:r w:rsidRPr="00A303E3">
        <w:rPr>
          <w:rFonts w:ascii="Arial" w:hAnsi="Arial" w:cs="Arial"/>
          <w:sz w:val="22"/>
          <w:szCs w:val="22"/>
          <w:lang w:val="fr-FR"/>
        </w:rPr>
        <w:t xml:space="preserve">: </w:t>
      </w:r>
      <w:r>
        <w:rPr>
          <w:rFonts w:ascii="Arial" w:hAnsi="Arial" w:cs="Arial"/>
          <w:sz w:val="22"/>
          <w:szCs w:val="22"/>
          <w:lang w:val="fr-FR"/>
        </w:rPr>
        <w:t>Présentation schématique du processus d</w:t>
      </w:r>
      <w:r w:rsidR="00E92BB5">
        <w:rPr>
          <w:rFonts w:ascii="Arial" w:hAnsi="Arial" w:cs="Arial"/>
          <w:sz w:val="22"/>
          <w:szCs w:val="22"/>
          <w:lang w:val="fr-FR"/>
        </w:rPr>
        <w:t>’</w:t>
      </w:r>
      <w:r>
        <w:rPr>
          <w:rFonts w:ascii="Arial" w:hAnsi="Arial" w:cs="Arial"/>
          <w:sz w:val="22"/>
          <w:szCs w:val="22"/>
          <w:lang w:val="fr-FR"/>
        </w:rPr>
        <w:t>établissement d</w:t>
      </w:r>
      <w:r w:rsidR="00E92BB5">
        <w:rPr>
          <w:rFonts w:ascii="Arial" w:hAnsi="Arial" w:cs="Arial"/>
          <w:sz w:val="22"/>
          <w:szCs w:val="22"/>
          <w:lang w:val="fr-FR"/>
        </w:rPr>
        <w:t>’</w:t>
      </w:r>
      <w:r>
        <w:rPr>
          <w:rFonts w:ascii="Arial" w:hAnsi="Arial" w:cs="Arial"/>
          <w:sz w:val="22"/>
          <w:szCs w:val="22"/>
          <w:lang w:val="fr-FR"/>
        </w:rPr>
        <w:t xml:space="preserve">un </w:t>
      </w:r>
      <w:r w:rsidRPr="00A303E3">
        <w:rPr>
          <w:rFonts w:ascii="Arial" w:hAnsi="Arial" w:cs="Arial"/>
          <w:sz w:val="22"/>
          <w:szCs w:val="22"/>
          <w:lang w:val="fr-FR"/>
        </w:rPr>
        <w:t xml:space="preserve">cadre </w:t>
      </w:r>
      <w:r>
        <w:rPr>
          <w:rFonts w:ascii="Arial" w:hAnsi="Arial" w:cs="Arial"/>
          <w:sz w:val="22"/>
          <w:szCs w:val="22"/>
          <w:lang w:val="fr-FR"/>
        </w:rPr>
        <w:t xml:space="preserve">de </w:t>
      </w:r>
      <w:r w:rsidRPr="00A303E3">
        <w:rPr>
          <w:rFonts w:ascii="Arial" w:hAnsi="Arial" w:cs="Arial"/>
          <w:sz w:val="22"/>
          <w:szCs w:val="22"/>
          <w:lang w:val="fr-FR"/>
        </w:rPr>
        <w:t>programmati</w:t>
      </w:r>
      <w:r>
        <w:rPr>
          <w:rFonts w:ascii="Arial" w:hAnsi="Arial" w:cs="Arial"/>
          <w:sz w:val="22"/>
          <w:szCs w:val="22"/>
          <w:lang w:val="fr-FR"/>
        </w:rPr>
        <w:t>on</w:t>
      </w:r>
      <w:r w:rsidRPr="00A303E3">
        <w:rPr>
          <w:rFonts w:ascii="Arial" w:hAnsi="Arial" w:cs="Arial"/>
          <w:sz w:val="22"/>
          <w:szCs w:val="22"/>
          <w:lang w:val="fr-FR"/>
        </w:rPr>
        <w:t xml:space="preserve"> et d</w:t>
      </w:r>
      <w:r w:rsidR="00E92BB5">
        <w:rPr>
          <w:rFonts w:ascii="Arial" w:hAnsi="Arial" w:cs="Arial"/>
          <w:sz w:val="22"/>
          <w:szCs w:val="22"/>
          <w:lang w:val="fr-FR"/>
        </w:rPr>
        <w:t>’</w:t>
      </w:r>
      <w:r>
        <w:rPr>
          <w:rFonts w:ascii="Arial" w:hAnsi="Arial" w:cs="Arial"/>
          <w:sz w:val="22"/>
          <w:szCs w:val="22"/>
          <w:lang w:val="fr-FR"/>
        </w:rPr>
        <w:t xml:space="preserve">une </w:t>
      </w:r>
      <w:r w:rsidRPr="00A303E3">
        <w:rPr>
          <w:rFonts w:ascii="Arial" w:hAnsi="Arial" w:cs="Arial"/>
          <w:sz w:val="22"/>
          <w:szCs w:val="22"/>
          <w:lang w:val="fr-FR"/>
        </w:rPr>
        <w:t xml:space="preserve">stratégie </w:t>
      </w:r>
      <w:r>
        <w:rPr>
          <w:rFonts w:ascii="Arial" w:hAnsi="Arial" w:cs="Arial"/>
          <w:sz w:val="22"/>
          <w:szCs w:val="22"/>
          <w:lang w:val="fr-FR"/>
        </w:rPr>
        <w:t>po</w:t>
      </w:r>
      <w:r w:rsidRPr="00A303E3">
        <w:rPr>
          <w:rFonts w:ascii="Arial" w:hAnsi="Arial" w:cs="Arial"/>
          <w:sz w:val="22"/>
          <w:szCs w:val="22"/>
          <w:lang w:val="fr-FR"/>
        </w:rPr>
        <w:t>ur la planification durable de l</w:t>
      </w:r>
      <w:r w:rsidR="00E92BB5">
        <w:rPr>
          <w:rFonts w:ascii="Arial" w:hAnsi="Arial" w:cs="Arial"/>
          <w:sz w:val="22"/>
          <w:szCs w:val="22"/>
          <w:lang w:val="fr-FR"/>
        </w:rPr>
        <w:t>’</w:t>
      </w:r>
      <w:r w:rsidRPr="00A303E3">
        <w:rPr>
          <w:rFonts w:ascii="Arial" w:hAnsi="Arial" w:cs="Arial"/>
          <w:sz w:val="22"/>
          <w:szCs w:val="22"/>
          <w:lang w:val="fr-FR"/>
        </w:rPr>
        <w:t>océan</w:t>
      </w:r>
    </w:p>
    <w:p w14:paraId="0EE74030" w14:textId="2C22E1F2" w:rsidR="006F490E" w:rsidRPr="0097481F" w:rsidRDefault="006F490E" w:rsidP="0097481F">
      <w:pPr>
        <w:pStyle w:val="Marge"/>
        <w:rPr>
          <w:rFonts w:cs="Arial"/>
          <w:szCs w:val="22"/>
        </w:rPr>
      </w:pPr>
      <w:r>
        <w:rPr>
          <w:rFonts w:cs="Arial"/>
          <w:szCs w:val="22"/>
        </w:rPr>
        <w:t>25.</w:t>
      </w:r>
      <w:r>
        <w:rPr>
          <w:rFonts w:cs="Arial"/>
          <w:szCs w:val="22"/>
        </w:rPr>
        <w:tab/>
      </w:r>
      <w:r w:rsidRPr="00A303E3">
        <w:rPr>
          <w:rFonts w:cs="Arial"/>
          <w:szCs w:val="22"/>
        </w:rPr>
        <w:t>L</w:t>
      </w:r>
      <w:r w:rsidR="00E92BB5">
        <w:rPr>
          <w:rFonts w:cs="Arial"/>
          <w:szCs w:val="22"/>
        </w:rPr>
        <w:t>’</w:t>
      </w:r>
      <w:r w:rsidRPr="00A303E3">
        <w:rPr>
          <w:rFonts w:cs="Arial"/>
          <w:szCs w:val="22"/>
        </w:rPr>
        <w:t>élaboration des documents s</w:t>
      </w:r>
      <w:r w:rsidR="00E92BB5">
        <w:rPr>
          <w:rFonts w:cs="Arial"/>
          <w:szCs w:val="22"/>
        </w:rPr>
        <w:t>’</w:t>
      </w:r>
      <w:r w:rsidRPr="00A303E3">
        <w:rPr>
          <w:rFonts w:cs="Arial"/>
          <w:szCs w:val="22"/>
        </w:rPr>
        <w:t>appuiera su</w:t>
      </w:r>
      <w:r>
        <w:rPr>
          <w:rFonts w:cs="Arial"/>
          <w:szCs w:val="22"/>
        </w:rPr>
        <w:t>r un examen étendu de la littérature relative aux connaissances</w:t>
      </w:r>
      <w:r w:rsidRPr="00A303E3">
        <w:rPr>
          <w:rFonts w:cs="Arial"/>
          <w:szCs w:val="22"/>
        </w:rPr>
        <w:t xml:space="preserve">, données, </w:t>
      </w:r>
      <w:r>
        <w:rPr>
          <w:rFonts w:cs="Arial"/>
          <w:szCs w:val="22"/>
        </w:rPr>
        <w:t>lacunes</w:t>
      </w:r>
      <w:r w:rsidRPr="00A303E3">
        <w:rPr>
          <w:rFonts w:cs="Arial"/>
          <w:szCs w:val="22"/>
        </w:rPr>
        <w:t xml:space="preserve"> et </w:t>
      </w:r>
      <w:r>
        <w:rPr>
          <w:rFonts w:cs="Arial"/>
          <w:szCs w:val="22"/>
        </w:rPr>
        <w:t>possibilités existantes</w:t>
      </w:r>
      <w:r w:rsidRPr="00A303E3">
        <w:rPr>
          <w:rFonts w:cs="Arial"/>
          <w:szCs w:val="22"/>
        </w:rPr>
        <w:t xml:space="preserve">. </w:t>
      </w:r>
      <w:r w:rsidRPr="006B78C0">
        <w:rPr>
          <w:rFonts w:cs="Arial"/>
          <w:szCs w:val="22"/>
        </w:rPr>
        <w:t xml:space="preserve">Cet examen </w:t>
      </w:r>
      <w:r>
        <w:rPr>
          <w:rFonts w:cs="Arial"/>
          <w:szCs w:val="22"/>
        </w:rPr>
        <w:t xml:space="preserve">déterminera les conditions requises pour mettre en </w:t>
      </w:r>
      <w:r w:rsidRPr="006F490E">
        <w:rPr>
          <w:szCs w:val="22"/>
        </w:rPr>
        <w:t>œuvre</w:t>
      </w:r>
      <w:r>
        <w:rPr>
          <w:rFonts w:cs="Arial"/>
          <w:szCs w:val="22"/>
        </w:rPr>
        <w:t xml:space="preserve"> une </w:t>
      </w:r>
      <w:r w:rsidRPr="006B78C0">
        <w:rPr>
          <w:rFonts w:cs="Arial"/>
          <w:szCs w:val="22"/>
        </w:rPr>
        <w:t xml:space="preserve">planification et </w:t>
      </w:r>
      <w:r>
        <w:rPr>
          <w:rFonts w:cs="Arial"/>
          <w:szCs w:val="22"/>
        </w:rPr>
        <w:t xml:space="preserve">une </w:t>
      </w:r>
      <w:r w:rsidRPr="006B78C0">
        <w:rPr>
          <w:rFonts w:cs="Arial"/>
          <w:szCs w:val="22"/>
        </w:rPr>
        <w:t>gestion intégré</w:t>
      </w:r>
      <w:r>
        <w:rPr>
          <w:rFonts w:cs="Arial"/>
          <w:szCs w:val="22"/>
        </w:rPr>
        <w:t>es de l</w:t>
      </w:r>
      <w:r w:rsidR="00E92BB5">
        <w:rPr>
          <w:rFonts w:cs="Arial"/>
          <w:szCs w:val="22"/>
        </w:rPr>
        <w:t>’</w:t>
      </w:r>
      <w:r w:rsidRPr="006B78C0">
        <w:rPr>
          <w:rFonts w:cs="Arial"/>
          <w:szCs w:val="22"/>
        </w:rPr>
        <w:t xml:space="preserve">océan, </w:t>
      </w:r>
      <w:r>
        <w:rPr>
          <w:rFonts w:cs="Arial"/>
          <w:szCs w:val="22"/>
        </w:rPr>
        <w:t>ainsi que</w:t>
      </w:r>
      <w:r w:rsidRPr="006B78C0">
        <w:rPr>
          <w:rFonts w:cs="Arial"/>
          <w:szCs w:val="22"/>
        </w:rPr>
        <w:t xml:space="preserve"> les parties pr</w:t>
      </w:r>
      <w:r>
        <w:rPr>
          <w:rFonts w:cs="Arial"/>
          <w:szCs w:val="22"/>
        </w:rPr>
        <w:t xml:space="preserve">enantes concernées, </w:t>
      </w:r>
      <w:r w:rsidRPr="006B78C0">
        <w:rPr>
          <w:rFonts w:cs="Arial"/>
          <w:szCs w:val="22"/>
        </w:rPr>
        <w:t>en se concentrant sur les domaines dans lesquels le programme de la</w:t>
      </w:r>
      <w:r>
        <w:rPr>
          <w:rFonts w:cs="Arial"/>
          <w:szCs w:val="22"/>
        </w:rPr>
        <w:t xml:space="preserve"> Décennie peut apporter la plus forte valeur ajoutée</w:t>
      </w:r>
      <w:r w:rsidRPr="006B78C0">
        <w:rPr>
          <w:rFonts w:cs="Arial"/>
          <w:szCs w:val="22"/>
        </w:rPr>
        <w:t>.</w:t>
      </w:r>
    </w:p>
    <w:sectPr w:rsidR="006F490E" w:rsidRPr="0097481F" w:rsidSect="00367A77">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88E5" w14:textId="77777777" w:rsidR="00CD0E13" w:rsidRDefault="00CD0E13">
      <w:r>
        <w:separator/>
      </w:r>
    </w:p>
  </w:endnote>
  <w:endnote w:type="continuationSeparator" w:id="0">
    <w:p w14:paraId="3F293696" w14:textId="77777777" w:rsidR="00CD0E13" w:rsidRDefault="00C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8B5C" w14:textId="77777777" w:rsidR="002F3A57" w:rsidRDefault="002F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5BA7" w14:textId="77777777" w:rsidR="002F3A57" w:rsidRDefault="002F3A57">
    <w:pPr>
      <w:pStyle w:val="Footer"/>
    </w:pPr>
    <w:r>
      <w:rPr>
        <w:noProof/>
      </w:rPr>
      <mc:AlternateContent>
        <mc:Choice Requires="wps">
          <w:drawing>
            <wp:anchor distT="45720" distB="45720" distL="114300" distR="114300" simplePos="0" relativeHeight="251669504" behindDoc="0" locked="0" layoutInCell="1" allowOverlap="1" wp14:anchorId="2CC109A9" wp14:editId="049C52C5">
              <wp:simplePos x="0" y="0"/>
              <wp:positionH relativeFrom="column">
                <wp:posOffset>8352817</wp:posOffset>
              </wp:positionH>
              <wp:positionV relativeFrom="paragraph">
                <wp:posOffset>-1364004</wp:posOffset>
              </wp:positionV>
              <wp:extent cx="2156460" cy="272415"/>
              <wp:effectExtent l="8572" t="0" r="4763" b="4762"/>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1420B0D7" w14:textId="3B40E2D6" w:rsidR="002F3A57" w:rsidRDefault="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109A9" id="_x0000_t202" coordsize="21600,21600" o:spt="202" path="m,l,21600r21600,l21600,xe">
              <v:stroke joinstyle="miter"/>
              <v:path gradientshapeok="t" o:connecttype="rect"/>
            </v:shapetype>
            <v:shape id="Zone de texte 5" o:spid="_x0000_s1028" type="#_x0000_t202" style="position:absolute;margin-left:657.7pt;margin-top:-107.4pt;width:169.8pt;height:21.45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0JFw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" stroked="f">
              <v:textbox>
                <w:txbxContent>
                  <w:p w14:paraId="1420B0D7" w14:textId="3B40E2D6" w:rsidR="002F3A57" w:rsidRDefault="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071" w14:textId="77777777" w:rsidR="001C628E" w:rsidRDefault="001C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E66F" w14:textId="77777777" w:rsidR="00CD0E13" w:rsidRDefault="00CD0E13">
      <w:r>
        <w:separator/>
      </w:r>
    </w:p>
  </w:footnote>
  <w:footnote w:type="continuationSeparator" w:id="0">
    <w:p w14:paraId="5AF1E112" w14:textId="77777777" w:rsidR="00CD0E13" w:rsidRDefault="00CD0E13">
      <w:r>
        <w:continuationSeparator/>
      </w:r>
    </w:p>
  </w:footnote>
  <w:footnote w:id="1">
    <w:p w14:paraId="537FF690" w14:textId="5D27F788" w:rsidR="006F490E" w:rsidRPr="00854CEA" w:rsidRDefault="006F490E" w:rsidP="006F490E">
      <w:pPr>
        <w:pStyle w:val="FootnoteText"/>
      </w:pPr>
      <w:r>
        <w:rPr>
          <w:rStyle w:val="FootnoteReference"/>
        </w:rPr>
        <w:footnoteRef/>
      </w:r>
      <w:r w:rsidRPr="00854CEA">
        <w:t xml:space="preserve"> </w:t>
      </w:r>
      <w:r w:rsidR="007C6057">
        <w:tab/>
      </w:r>
      <w:hyperlink r:id="rId1" w:history="1">
        <w:r w:rsidR="007C6057" w:rsidRPr="00F22091">
          <w:rPr>
            <w:rStyle w:val="Hyperlink"/>
          </w:rPr>
          <w:t>https://www.sustainabledevelopmentreform.org/</w:t>
        </w:r>
      </w:hyperlink>
      <w:r w:rsidR="007C6057">
        <w:t>.</w:t>
      </w:r>
    </w:p>
  </w:footnote>
  <w:footnote w:id="2">
    <w:p w14:paraId="6F22E0E7" w14:textId="26CB4BCE" w:rsidR="006F490E" w:rsidRPr="006F490E" w:rsidRDefault="006F490E" w:rsidP="006F490E">
      <w:pPr>
        <w:pStyle w:val="FootnoteText"/>
      </w:pPr>
      <w:r>
        <w:rPr>
          <w:rStyle w:val="FootnoteReference"/>
        </w:rPr>
        <w:footnoteRef/>
      </w:r>
      <w:r>
        <w:t xml:space="preserve"> </w:t>
      </w:r>
      <w:r>
        <w:tab/>
      </w:r>
      <w:hyperlink r:id="rId2" w:history="1">
        <w:r w:rsidRPr="00F22091">
          <w:rPr>
            <w:rStyle w:val="Hyperlink"/>
          </w:rPr>
          <w:t>https://www.mspglobal2030.org/wp-content/uploads/2022/11/PEMroadmap2022-2027.pdf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1" w:name="_Hlk130197366"/>
    <w:r w:rsidRPr="00352423">
      <w:rPr>
        <w:rFonts w:cs="Arial"/>
        <w:bCs/>
        <w:szCs w:val="22"/>
      </w:rPr>
      <w:t>IOC/</w:t>
    </w:r>
    <w:r w:rsidR="000723F0">
      <w:rPr>
        <w:rFonts w:cs="Arial"/>
        <w:bCs/>
        <w:szCs w:val="22"/>
      </w:rPr>
      <w:t>A-32/2.</w:t>
    </w:r>
    <w:proofErr w:type="gramStart"/>
    <w:r w:rsidR="000723F0">
      <w:rPr>
        <w:rFonts w:cs="Arial"/>
        <w:bCs/>
        <w:szCs w:val="22"/>
      </w:rPr>
      <w:t>1.Doc</w:t>
    </w:r>
    <w:proofErr w:type="gramEnd"/>
    <w:r w:rsidR="000723F0">
      <w:rPr>
        <w:rFonts w:cs="Arial"/>
        <w:bCs/>
        <w:szCs w:val="22"/>
      </w:rPr>
      <w:t xml:space="preserve"> Prov.</w:t>
    </w:r>
    <w:bookmarkEnd w:id="1"/>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3893BEF" w:rsidR="00755CED" w:rsidRDefault="000723F0" w:rsidP="000723F0">
    <w:pPr>
      <w:pStyle w:val="Header"/>
      <w:jc w:val="right"/>
    </w:pPr>
    <w:r w:rsidRPr="00352423">
      <w:rPr>
        <w:rFonts w:cs="Arial"/>
        <w:bCs/>
        <w:szCs w:val="22"/>
      </w:rPr>
      <w:t>IOC/</w:t>
    </w:r>
    <w:r>
      <w:rPr>
        <w:rFonts w:cs="Arial"/>
        <w:bCs/>
        <w:szCs w:val="22"/>
      </w:rPr>
      <w:t>A-32/2.</w:t>
    </w:r>
    <w:proofErr w:type="gramStart"/>
    <w:r>
      <w:rPr>
        <w:rFonts w:cs="Arial"/>
        <w:bCs/>
        <w:szCs w:val="22"/>
      </w:rPr>
      <w:t>1.Doc</w:t>
    </w:r>
    <w:proofErr w:type="gramEnd"/>
    <w:r>
      <w:rPr>
        <w:rFonts w:cs="Arial"/>
        <w:bCs/>
        <w:szCs w:val="22"/>
      </w:rPr>
      <w:t xml:space="preserve"> Prov. – page</w:t>
    </w:r>
    <w:r w:rsidR="00421E71">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1E689951"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C3317D">
                            <w:rPr>
                              <w:rFonts w:cs="Arial"/>
                              <w:b/>
                              <w:sz w:val="36"/>
                              <w:szCs w:val="36"/>
                            </w:rPr>
                            <w:t>4</w:t>
                          </w:r>
                          <w:r w:rsidR="00F97E19">
                            <w:rPr>
                              <w:rFonts w:cs="Arial"/>
                              <w:b/>
                              <w:sz w:val="36"/>
                              <w:szCs w:val="36"/>
                            </w:rPr>
                            <w:t>.</w:t>
                          </w:r>
                          <w:proofErr w:type="gramStart"/>
                          <w:r w:rsidR="0082438D">
                            <w:rPr>
                              <w:rFonts w:cs="Arial"/>
                              <w:b/>
                              <w:sz w:val="36"/>
                              <w:szCs w:val="36"/>
                            </w:rPr>
                            <w:t>7</w:t>
                          </w:r>
                          <w:r w:rsidR="00F97E19">
                            <w:rPr>
                              <w:rFonts w:cs="Arial"/>
                              <w:b/>
                              <w:sz w:val="36"/>
                              <w:szCs w:val="36"/>
                            </w:rPr>
                            <w:t>.Doc</w:t>
                          </w:r>
                          <w:proofErr w:type="gramEnd"/>
                          <w:r w:rsidR="00F97E19">
                            <w:rPr>
                              <w:rFonts w:cs="Arial"/>
                              <w:b/>
                              <w:sz w:val="36"/>
                              <w:szCs w:val="36"/>
                            </w:rPr>
                            <w:t>(1)</w:t>
                          </w:r>
                        </w:p>
                        <w:p w14:paraId="10A5E3DC" w14:textId="3402B75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C3317D">
                            <w:rPr>
                              <w:rFonts w:cs="Arial"/>
                              <w:szCs w:val="22"/>
                            </w:rPr>
                            <w:t>29</w:t>
                          </w:r>
                          <w:r w:rsidR="000723F0">
                            <w:rPr>
                              <w:rFonts w:cs="Arial"/>
                              <w:szCs w:val="22"/>
                            </w:rPr>
                            <w:t xml:space="preserve"> </w:t>
                          </w:r>
                          <w:r w:rsidR="00803653">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1E689951" w:rsidR="00EB3895" w:rsidRPr="002A5D14" w:rsidRDefault="00EB3895" w:rsidP="00EB3895">
                    <w:pPr>
                      <w:pStyle w:val="Marge"/>
                      <w:tabs>
                        <w:tab w:val="left" w:pos="6237"/>
                        <w:tab w:val="left" w:pos="7088"/>
                      </w:tabs>
                      <w:spacing w:after="0"/>
                      <w:rPr>
                        <w:rFonts w:cs="Arial"/>
                        <w:b/>
                        <w:sz w:val="36"/>
                        <w:szCs w:val="36"/>
                      </w:rPr>
                    </w:pPr>
                    <w:bookmarkStart w:id="3"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3"/>
                    <w:r w:rsidR="00C3317D">
                      <w:rPr>
                        <w:rFonts w:cs="Arial"/>
                        <w:b/>
                        <w:sz w:val="36"/>
                        <w:szCs w:val="36"/>
                      </w:rPr>
                      <w:t>4</w:t>
                    </w:r>
                    <w:r w:rsidR="00F97E19">
                      <w:rPr>
                        <w:rFonts w:cs="Arial"/>
                        <w:b/>
                        <w:sz w:val="36"/>
                        <w:szCs w:val="36"/>
                      </w:rPr>
                      <w:t>.</w:t>
                    </w:r>
                    <w:proofErr w:type="gramStart"/>
                    <w:r w:rsidR="0082438D">
                      <w:rPr>
                        <w:rFonts w:cs="Arial"/>
                        <w:b/>
                        <w:sz w:val="36"/>
                        <w:szCs w:val="36"/>
                      </w:rPr>
                      <w:t>7</w:t>
                    </w:r>
                    <w:r w:rsidR="00F97E19">
                      <w:rPr>
                        <w:rFonts w:cs="Arial"/>
                        <w:b/>
                        <w:sz w:val="36"/>
                        <w:szCs w:val="36"/>
                      </w:rPr>
                      <w:t>.Doc</w:t>
                    </w:r>
                    <w:proofErr w:type="gramEnd"/>
                    <w:r w:rsidR="00F97E19">
                      <w:rPr>
                        <w:rFonts w:cs="Arial"/>
                        <w:b/>
                        <w:sz w:val="36"/>
                        <w:szCs w:val="36"/>
                      </w:rPr>
                      <w:t>(1)</w:t>
                    </w:r>
                  </w:p>
                  <w:p w14:paraId="10A5E3DC" w14:textId="3402B75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C3317D">
                      <w:rPr>
                        <w:rFonts w:cs="Arial"/>
                        <w:szCs w:val="22"/>
                      </w:rPr>
                      <w:t>29</w:t>
                    </w:r>
                    <w:r w:rsidR="000723F0">
                      <w:rPr>
                        <w:rFonts w:cs="Arial"/>
                        <w:szCs w:val="22"/>
                      </w:rPr>
                      <w:t xml:space="preserve"> </w:t>
                    </w:r>
                    <w:r w:rsidR="00803653">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387A" w14:textId="05EB334B" w:rsidR="00367A77" w:rsidRPr="001E653E" w:rsidRDefault="00367A77" w:rsidP="00367A77">
    <w:pPr>
      <w:pStyle w:val="Header"/>
      <w:rPr>
        <w:rFonts w:cs="Arial"/>
        <w:bCs/>
        <w:szCs w:val="22"/>
      </w:rPr>
    </w:pPr>
    <w:r w:rsidRPr="00F3102D">
      <w:rPr>
        <w:rFonts w:cs="Arial"/>
        <w:bCs/>
        <w:szCs w:val="22"/>
      </w:rPr>
      <w:t>IOC</w:t>
    </w:r>
    <w:r w:rsidR="00104265">
      <w:rPr>
        <w:rFonts w:cs="Arial"/>
        <w:bCs/>
        <w:szCs w:val="22"/>
      </w:rPr>
      <w:t>/A</w:t>
    </w:r>
    <w:r w:rsidRPr="00F3102D">
      <w:rPr>
        <w:rFonts w:cs="Arial"/>
        <w:bCs/>
        <w:szCs w:val="22"/>
      </w:rPr>
      <w:t>-32/</w:t>
    </w:r>
    <w:r w:rsidR="00C3317D">
      <w:rPr>
        <w:rFonts w:cs="Arial"/>
        <w:bCs/>
        <w:szCs w:val="22"/>
      </w:rPr>
      <w:t>4</w:t>
    </w:r>
    <w:r w:rsidRPr="00F3102D">
      <w:rPr>
        <w:rFonts w:cs="Arial"/>
        <w:bCs/>
        <w:szCs w:val="22"/>
      </w:rPr>
      <w:t>.</w:t>
    </w:r>
    <w:proofErr w:type="gramStart"/>
    <w:r w:rsidR="0097481F">
      <w:rPr>
        <w:rFonts w:cs="Arial"/>
        <w:bCs/>
        <w:szCs w:val="22"/>
      </w:rPr>
      <w:t>7</w:t>
    </w:r>
    <w:r w:rsidRPr="00F3102D">
      <w:rPr>
        <w:rFonts w:cs="Arial"/>
        <w:bCs/>
        <w:szCs w:val="22"/>
      </w:rPr>
      <w:t>.Doc</w:t>
    </w:r>
    <w:proofErr w:type="gramEnd"/>
    <w:r w:rsidRPr="00F3102D">
      <w:rPr>
        <w:rFonts w:cs="Arial"/>
        <w:bCs/>
        <w:szCs w:val="22"/>
      </w:rPr>
      <w:t>(1)</w:t>
    </w:r>
  </w:p>
  <w:p w14:paraId="6EC37FF1" w14:textId="1907E94D" w:rsidR="002F3A57" w:rsidRPr="001C628E" w:rsidRDefault="00367A77" w:rsidP="001C628E">
    <w:pPr>
      <w:pStyle w:val="Header"/>
      <w:spacing w:after="120"/>
      <w:rPr>
        <w:rFonts w:asciiTheme="minorBidi" w:hAnsiTheme="minorBidi" w:cstheme="minorBidi"/>
        <w:noProof/>
        <w:szCs w:val="22"/>
      </w:rPr>
    </w:pPr>
    <w:proofErr w:type="gramStart"/>
    <w:r>
      <w:rPr>
        <w:rFonts w:asciiTheme="minorBidi" w:hAnsiTheme="minorBidi" w:cstheme="minorBidi"/>
        <w:szCs w:val="22"/>
      </w:rPr>
      <w:t>page</w:t>
    </w:r>
    <w:proofErr w:type="gramEnd"/>
    <w:r>
      <w:rPr>
        <w:rFonts w:asciiTheme="minorBidi" w:hAnsiTheme="minorBidi" w:cstheme="minorBidi"/>
        <w:szCs w:val="22"/>
      </w:rPr>
      <w:t xml:space="preserve"> </w:t>
    </w:r>
    <w:r w:rsidRPr="001E653E">
      <w:rPr>
        <w:rFonts w:asciiTheme="minorBidi" w:hAnsiTheme="minorBidi" w:cstheme="minorBidi"/>
        <w:szCs w:val="22"/>
      </w:rPr>
      <w:fldChar w:fldCharType="begin"/>
    </w:r>
    <w:r w:rsidRPr="001E653E">
      <w:rPr>
        <w:rFonts w:asciiTheme="minorBidi" w:hAnsiTheme="minorBidi" w:cstheme="minorBidi"/>
        <w:szCs w:val="22"/>
      </w:rPr>
      <w:instrText xml:space="preserve"> PAGE   \* MERGEFORMAT </w:instrText>
    </w:r>
    <w:r w:rsidRPr="001E653E">
      <w:rPr>
        <w:rFonts w:asciiTheme="minorBidi" w:hAnsiTheme="minorBidi" w:cstheme="minorBidi"/>
        <w:szCs w:val="22"/>
      </w:rPr>
      <w:fldChar w:fldCharType="separate"/>
    </w:r>
    <w:r>
      <w:rPr>
        <w:rFonts w:asciiTheme="minorBidi" w:hAnsiTheme="minorBidi" w:cstheme="minorBidi"/>
        <w:szCs w:val="22"/>
      </w:rPr>
      <w:t>4</w:t>
    </w:r>
    <w:r w:rsidRPr="001E653E">
      <w:rPr>
        <w:rFonts w:asciiTheme="minorBidi" w:hAnsiTheme="minorBidi" w:cstheme="minorBidi"/>
        <w:noProof/>
        <w:szCs w:val="22"/>
      </w:rPr>
      <w:fldChar w:fldCharType="end"/>
    </w:r>
    <w:r w:rsidR="002F3A57">
      <w:rPr>
        <w:noProof/>
      </w:rPr>
      <mc:AlternateContent>
        <mc:Choice Requires="wps">
          <w:drawing>
            <wp:anchor distT="45720" distB="45720" distL="114300" distR="114300" simplePos="0" relativeHeight="251671552" behindDoc="0" locked="0" layoutInCell="1" allowOverlap="1" wp14:anchorId="5D10337D" wp14:editId="519434D3">
              <wp:simplePos x="0" y="0"/>
              <wp:positionH relativeFrom="column">
                <wp:posOffset>8323069</wp:posOffset>
              </wp:positionH>
              <wp:positionV relativeFrom="paragraph">
                <wp:posOffset>1312129</wp:posOffset>
              </wp:positionV>
              <wp:extent cx="2156460" cy="272415"/>
              <wp:effectExtent l="8572" t="0" r="4763" b="4762"/>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264B5359" w14:textId="7E280B2D" w:rsidR="002F3A57" w:rsidRDefault="002F3A57" w:rsidP="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337D" id="_x0000_t202" coordsize="21600,21600" o:spt="202" path="m,l,21600r21600,l21600,xe">
              <v:stroke joinstyle="miter"/>
              <v:path gradientshapeok="t" o:connecttype="rect"/>
            </v:shapetype>
            <v:shape id="Zone de texte 6" o:spid="_x0000_s1027" type="#_x0000_t202" style="position:absolute;margin-left:655.35pt;margin-top:103.3pt;width:169.8pt;height:21.4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IFg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" stroked="f">
              <v:textbox>
                <w:txbxContent>
                  <w:p w14:paraId="264B5359" w14:textId="7E280B2D" w:rsidR="002F3A57" w:rsidRDefault="002F3A57" w:rsidP="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CAAF" w14:textId="32E79B2F" w:rsidR="00367A77" w:rsidRPr="001E653E" w:rsidRDefault="00367A77" w:rsidP="00C3317D">
    <w:pPr>
      <w:pStyle w:val="Header"/>
      <w:ind w:left="7513" w:hanging="283"/>
      <w:rPr>
        <w:rFonts w:cs="Arial"/>
        <w:bCs/>
        <w:szCs w:val="22"/>
      </w:rPr>
    </w:pPr>
    <w:r w:rsidRPr="00F3102D">
      <w:rPr>
        <w:rFonts w:cs="Arial"/>
        <w:bCs/>
        <w:szCs w:val="22"/>
      </w:rPr>
      <w:t>IOC</w:t>
    </w:r>
    <w:r w:rsidR="00104265">
      <w:rPr>
        <w:rFonts w:cs="Arial"/>
        <w:bCs/>
        <w:szCs w:val="22"/>
      </w:rPr>
      <w:t>/A</w:t>
    </w:r>
    <w:r w:rsidRPr="00F3102D">
      <w:rPr>
        <w:rFonts w:cs="Arial"/>
        <w:bCs/>
        <w:szCs w:val="22"/>
      </w:rPr>
      <w:t>-32/</w:t>
    </w:r>
    <w:r w:rsidR="00C3317D">
      <w:rPr>
        <w:rFonts w:cs="Arial"/>
        <w:bCs/>
        <w:szCs w:val="22"/>
      </w:rPr>
      <w:t>4</w:t>
    </w:r>
    <w:r w:rsidRPr="00F3102D">
      <w:rPr>
        <w:rFonts w:cs="Arial"/>
        <w:bCs/>
        <w:szCs w:val="22"/>
      </w:rPr>
      <w:t>.</w:t>
    </w:r>
    <w:proofErr w:type="gramStart"/>
    <w:r w:rsidR="0097481F">
      <w:rPr>
        <w:rFonts w:cs="Arial"/>
        <w:bCs/>
        <w:szCs w:val="22"/>
      </w:rPr>
      <w:t>7</w:t>
    </w:r>
    <w:r w:rsidRPr="00F3102D">
      <w:rPr>
        <w:rFonts w:cs="Arial"/>
        <w:bCs/>
        <w:szCs w:val="22"/>
      </w:rPr>
      <w:t>.Doc</w:t>
    </w:r>
    <w:proofErr w:type="gramEnd"/>
    <w:r w:rsidRPr="00F3102D">
      <w:rPr>
        <w:rFonts w:cs="Arial"/>
        <w:bCs/>
        <w:szCs w:val="22"/>
      </w:rPr>
      <w:t>(1)</w:t>
    </w:r>
  </w:p>
  <w:p w14:paraId="0A19FD91" w14:textId="148A6080" w:rsidR="00367A77" w:rsidRPr="0011078E" w:rsidRDefault="00367A77" w:rsidP="001C628E">
    <w:pPr>
      <w:pStyle w:val="Header"/>
      <w:spacing w:after="120"/>
      <w:ind w:left="7230"/>
      <w:rPr>
        <w:rFonts w:asciiTheme="minorBidi" w:hAnsiTheme="minorBidi" w:cstheme="minorBidi"/>
        <w:noProof/>
        <w:szCs w:val="22"/>
      </w:rPr>
    </w:pPr>
    <w:proofErr w:type="gramStart"/>
    <w:r>
      <w:rPr>
        <w:rFonts w:asciiTheme="minorBidi" w:hAnsiTheme="minorBidi" w:cstheme="minorBidi"/>
        <w:szCs w:val="22"/>
      </w:rPr>
      <w:t>page</w:t>
    </w:r>
    <w:proofErr w:type="gramEnd"/>
    <w:r>
      <w:rPr>
        <w:rFonts w:asciiTheme="minorBidi" w:hAnsiTheme="minorBidi" w:cstheme="minorBidi"/>
        <w:szCs w:val="22"/>
      </w:rPr>
      <w:t xml:space="preserve"> </w:t>
    </w:r>
    <w:r w:rsidRPr="001E653E">
      <w:rPr>
        <w:rFonts w:asciiTheme="minorBidi" w:hAnsiTheme="minorBidi" w:cstheme="minorBidi"/>
        <w:szCs w:val="22"/>
      </w:rPr>
      <w:fldChar w:fldCharType="begin"/>
    </w:r>
    <w:r w:rsidRPr="001E653E">
      <w:rPr>
        <w:rFonts w:asciiTheme="minorBidi" w:hAnsiTheme="minorBidi" w:cstheme="minorBidi"/>
        <w:szCs w:val="22"/>
      </w:rPr>
      <w:instrText xml:space="preserve"> PAGE   \* MERGEFORMAT </w:instrText>
    </w:r>
    <w:r w:rsidRPr="001E653E">
      <w:rPr>
        <w:rFonts w:asciiTheme="minorBidi" w:hAnsiTheme="minorBidi" w:cstheme="minorBidi"/>
        <w:szCs w:val="22"/>
      </w:rPr>
      <w:fldChar w:fldCharType="separate"/>
    </w:r>
    <w:r>
      <w:rPr>
        <w:rFonts w:asciiTheme="minorBidi" w:hAnsiTheme="minorBidi" w:cstheme="minorBidi"/>
        <w:szCs w:val="22"/>
      </w:rPr>
      <w:t>4</w:t>
    </w:r>
    <w:r w:rsidRPr="001E653E">
      <w:rPr>
        <w:rFonts w:asciiTheme="minorBidi" w:hAnsiTheme="minorBidi" w:cstheme="minorBidi"/>
        <w:noProof/>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5ABB" w14:textId="507ED2A3" w:rsidR="00367A77" w:rsidRPr="001C628E" w:rsidRDefault="00367A77" w:rsidP="001C628E">
    <w:pPr>
      <w:pStyle w:val="Header"/>
      <w:ind w:left="7371"/>
      <w:rPr>
        <w:rFonts w:cs="Arial"/>
        <w:bCs/>
        <w:szCs w:val="22"/>
      </w:rPr>
    </w:pPr>
    <w:r w:rsidRPr="00F3102D">
      <w:rPr>
        <w:rFonts w:cs="Arial"/>
        <w:bCs/>
        <w:szCs w:val="22"/>
      </w:rPr>
      <w:t>IOC</w:t>
    </w:r>
    <w:r w:rsidR="00104265">
      <w:rPr>
        <w:rFonts w:cs="Arial"/>
        <w:bCs/>
        <w:szCs w:val="22"/>
      </w:rPr>
      <w:t>/A</w:t>
    </w:r>
    <w:r w:rsidRPr="00F3102D">
      <w:rPr>
        <w:rFonts w:cs="Arial"/>
        <w:bCs/>
        <w:szCs w:val="22"/>
      </w:rPr>
      <w:t>-32/</w:t>
    </w:r>
    <w:r w:rsidR="00C3317D">
      <w:rPr>
        <w:rFonts w:cs="Arial"/>
        <w:bCs/>
        <w:szCs w:val="22"/>
      </w:rPr>
      <w:t>4</w:t>
    </w:r>
    <w:r w:rsidRPr="00F3102D">
      <w:rPr>
        <w:rFonts w:cs="Arial"/>
        <w:bCs/>
        <w:szCs w:val="22"/>
      </w:rPr>
      <w:t>.</w:t>
    </w:r>
    <w:proofErr w:type="gramStart"/>
    <w:r w:rsidR="0097481F">
      <w:rPr>
        <w:rFonts w:cs="Arial"/>
        <w:bCs/>
        <w:szCs w:val="22"/>
      </w:rPr>
      <w:t>7</w:t>
    </w:r>
    <w:r w:rsidRPr="00F3102D">
      <w:rPr>
        <w:rFonts w:cs="Arial"/>
        <w:bCs/>
        <w:szCs w:val="22"/>
      </w:rPr>
      <w:t>.Doc</w:t>
    </w:r>
    <w:proofErr w:type="gramEnd"/>
    <w:r w:rsidRPr="00F3102D">
      <w:rPr>
        <w:rFonts w:cs="Arial"/>
        <w:bCs/>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45B0B34"/>
    <w:multiLevelType w:val="hybridMultilevel"/>
    <w:tmpl w:val="F7EA75B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87908"/>
    <w:multiLevelType w:val="hybridMultilevel"/>
    <w:tmpl w:val="5EB0ED52"/>
    <w:lvl w:ilvl="0" w:tplc="DDC685E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41848"/>
    <w:multiLevelType w:val="hybridMultilevel"/>
    <w:tmpl w:val="2B6C5CB6"/>
    <w:lvl w:ilvl="0" w:tplc="0D3C224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2"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0A0A"/>
    <w:multiLevelType w:val="hybridMultilevel"/>
    <w:tmpl w:val="69045A3A"/>
    <w:lvl w:ilvl="0" w:tplc="94142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50201"/>
    <w:multiLevelType w:val="hybridMultilevel"/>
    <w:tmpl w:val="9BDE430C"/>
    <w:lvl w:ilvl="0" w:tplc="74EE73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5"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6" w15:restartNumberingAfterBreak="0">
    <w:nsid w:val="4E5C69F1"/>
    <w:multiLevelType w:val="hybridMultilevel"/>
    <w:tmpl w:val="25B6447C"/>
    <w:lvl w:ilvl="0" w:tplc="6AC47BA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19"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CF2CE5"/>
    <w:multiLevelType w:val="hybridMultilevel"/>
    <w:tmpl w:val="77DA5A4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846369">
    <w:abstractNumId w:val="0"/>
  </w:num>
  <w:num w:numId="2" w16cid:durableId="1115710408">
    <w:abstractNumId w:val="10"/>
  </w:num>
  <w:num w:numId="3" w16cid:durableId="1955213118">
    <w:abstractNumId w:val="11"/>
  </w:num>
  <w:num w:numId="4" w16cid:durableId="701898349">
    <w:abstractNumId w:val="7"/>
  </w:num>
  <w:num w:numId="5" w16cid:durableId="1730569580">
    <w:abstractNumId w:val="17"/>
  </w:num>
  <w:num w:numId="6" w16cid:durableId="1350908652">
    <w:abstractNumId w:val="23"/>
  </w:num>
  <w:num w:numId="7" w16cid:durableId="749692511">
    <w:abstractNumId w:val="14"/>
  </w:num>
  <w:num w:numId="8" w16cid:durableId="1809012436">
    <w:abstractNumId w:val="9"/>
  </w:num>
  <w:num w:numId="9" w16cid:durableId="1660382262">
    <w:abstractNumId w:val="22"/>
  </w:num>
  <w:num w:numId="10" w16cid:durableId="1352996092">
    <w:abstractNumId w:val="15"/>
  </w:num>
  <w:num w:numId="11" w16cid:durableId="751583942">
    <w:abstractNumId w:val="6"/>
  </w:num>
  <w:num w:numId="12" w16cid:durableId="480122754">
    <w:abstractNumId w:val="4"/>
  </w:num>
  <w:num w:numId="13" w16cid:durableId="719862489">
    <w:abstractNumId w:val="3"/>
  </w:num>
  <w:num w:numId="14" w16cid:durableId="626669283">
    <w:abstractNumId w:val="5"/>
  </w:num>
  <w:num w:numId="15" w16cid:durableId="476651226">
    <w:abstractNumId w:val="18"/>
  </w:num>
  <w:num w:numId="16" w16cid:durableId="1357609976">
    <w:abstractNumId w:val="21"/>
  </w:num>
  <w:num w:numId="17" w16cid:durableId="569734920">
    <w:abstractNumId w:val="13"/>
  </w:num>
  <w:num w:numId="18" w16cid:durableId="1094133200">
    <w:abstractNumId w:val="16"/>
  </w:num>
  <w:num w:numId="19" w16cid:durableId="1128744034">
    <w:abstractNumId w:val="20"/>
  </w:num>
  <w:num w:numId="20" w16cid:durableId="506333612">
    <w:abstractNumId w:val="8"/>
  </w:num>
  <w:num w:numId="21" w16cid:durableId="880749077">
    <w:abstractNumId w:val="19"/>
  </w:num>
  <w:num w:numId="22" w16cid:durableId="663162882">
    <w:abstractNumId w:val="12"/>
  </w:num>
  <w:num w:numId="23" w16cid:durableId="1581214898">
    <w:abstractNumId w:val="2"/>
  </w:num>
  <w:num w:numId="24" w16cid:durableId="11174840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27876"/>
    <w:rsid w:val="00040484"/>
    <w:rsid w:val="000723F0"/>
    <w:rsid w:val="000763CE"/>
    <w:rsid w:val="00087E40"/>
    <w:rsid w:val="00093B4C"/>
    <w:rsid w:val="000B0E4E"/>
    <w:rsid w:val="000C0EDD"/>
    <w:rsid w:val="000C38AB"/>
    <w:rsid w:val="000D2E63"/>
    <w:rsid w:val="000D39FC"/>
    <w:rsid w:val="000D4E4C"/>
    <w:rsid w:val="000E0597"/>
    <w:rsid w:val="000E544B"/>
    <w:rsid w:val="000E7AEA"/>
    <w:rsid w:val="000F189F"/>
    <w:rsid w:val="000F1DBA"/>
    <w:rsid w:val="000F258B"/>
    <w:rsid w:val="00100A35"/>
    <w:rsid w:val="00104265"/>
    <w:rsid w:val="0011078E"/>
    <w:rsid w:val="0011081B"/>
    <w:rsid w:val="0011114C"/>
    <w:rsid w:val="00151B65"/>
    <w:rsid w:val="00161FD3"/>
    <w:rsid w:val="00166018"/>
    <w:rsid w:val="00177B08"/>
    <w:rsid w:val="001912E2"/>
    <w:rsid w:val="00191E6D"/>
    <w:rsid w:val="001A6E27"/>
    <w:rsid w:val="001B1BB0"/>
    <w:rsid w:val="001B4417"/>
    <w:rsid w:val="001B623F"/>
    <w:rsid w:val="001B6892"/>
    <w:rsid w:val="001C6211"/>
    <w:rsid w:val="001C628E"/>
    <w:rsid w:val="001D6AB2"/>
    <w:rsid w:val="001E0436"/>
    <w:rsid w:val="001E413E"/>
    <w:rsid w:val="001F1F04"/>
    <w:rsid w:val="001F5D62"/>
    <w:rsid w:val="00201171"/>
    <w:rsid w:val="00213953"/>
    <w:rsid w:val="00214642"/>
    <w:rsid w:val="0023225E"/>
    <w:rsid w:val="00234C33"/>
    <w:rsid w:val="0024382E"/>
    <w:rsid w:val="00243DFC"/>
    <w:rsid w:val="00251A54"/>
    <w:rsid w:val="00261E65"/>
    <w:rsid w:val="002750C1"/>
    <w:rsid w:val="0028206F"/>
    <w:rsid w:val="0029117F"/>
    <w:rsid w:val="0029119E"/>
    <w:rsid w:val="002924C9"/>
    <w:rsid w:val="0029264C"/>
    <w:rsid w:val="00292A0F"/>
    <w:rsid w:val="00297D4A"/>
    <w:rsid w:val="002B4B18"/>
    <w:rsid w:val="002B5DD7"/>
    <w:rsid w:val="002C2048"/>
    <w:rsid w:val="002D2C1D"/>
    <w:rsid w:val="002E38BE"/>
    <w:rsid w:val="002E70A1"/>
    <w:rsid w:val="002F3A57"/>
    <w:rsid w:val="00302497"/>
    <w:rsid w:val="00310E5D"/>
    <w:rsid w:val="00311ECE"/>
    <w:rsid w:val="003210F7"/>
    <w:rsid w:val="0032163E"/>
    <w:rsid w:val="00325A64"/>
    <w:rsid w:val="00331445"/>
    <w:rsid w:val="003341B0"/>
    <w:rsid w:val="00340F34"/>
    <w:rsid w:val="0034355C"/>
    <w:rsid w:val="003445DF"/>
    <w:rsid w:val="00346C46"/>
    <w:rsid w:val="003514D2"/>
    <w:rsid w:val="0035177B"/>
    <w:rsid w:val="003557A8"/>
    <w:rsid w:val="00360992"/>
    <w:rsid w:val="00363D04"/>
    <w:rsid w:val="00367A77"/>
    <w:rsid w:val="00367DB0"/>
    <w:rsid w:val="003829C6"/>
    <w:rsid w:val="003927A3"/>
    <w:rsid w:val="003966BA"/>
    <w:rsid w:val="00397DEC"/>
    <w:rsid w:val="003A6C17"/>
    <w:rsid w:val="003B2A8F"/>
    <w:rsid w:val="003B53FF"/>
    <w:rsid w:val="003B58D6"/>
    <w:rsid w:val="003B69D0"/>
    <w:rsid w:val="003B71EB"/>
    <w:rsid w:val="003C5CD1"/>
    <w:rsid w:val="003D1604"/>
    <w:rsid w:val="003D3C1F"/>
    <w:rsid w:val="003D46DA"/>
    <w:rsid w:val="003D4875"/>
    <w:rsid w:val="003E2147"/>
    <w:rsid w:val="003E27AC"/>
    <w:rsid w:val="003E714B"/>
    <w:rsid w:val="003F3C42"/>
    <w:rsid w:val="003F589A"/>
    <w:rsid w:val="003F7C04"/>
    <w:rsid w:val="004019AD"/>
    <w:rsid w:val="00401C01"/>
    <w:rsid w:val="004021BC"/>
    <w:rsid w:val="0041299F"/>
    <w:rsid w:val="00414F1A"/>
    <w:rsid w:val="00421E71"/>
    <w:rsid w:val="00424C85"/>
    <w:rsid w:val="0042640D"/>
    <w:rsid w:val="00430CA1"/>
    <w:rsid w:val="004573F3"/>
    <w:rsid w:val="004618DE"/>
    <w:rsid w:val="00463EA2"/>
    <w:rsid w:val="004655C4"/>
    <w:rsid w:val="00465EE6"/>
    <w:rsid w:val="00472E41"/>
    <w:rsid w:val="00482B2E"/>
    <w:rsid w:val="00484032"/>
    <w:rsid w:val="0048549A"/>
    <w:rsid w:val="00491E44"/>
    <w:rsid w:val="00494C58"/>
    <w:rsid w:val="004A327F"/>
    <w:rsid w:val="004A3DAD"/>
    <w:rsid w:val="004A43DC"/>
    <w:rsid w:val="004B08C6"/>
    <w:rsid w:val="004C1526"/>
    <w:rsid w:val="004C1D3F"/>
    <w:rsid w:val="004C3E47"/>
    <w:rsid w:val="004D05D2"/>
    <w:rsid w:val="004D0F08"/>
    <w:rsid w:val="004E2480"/>
    <w:rsid w:val="004E41CA"/>
    <w:rsid w:val="004E4665"/>
    <w:rsid w:val="004E56D5"/>
    <w:rsid w:val="004E6746"/>
    <w:rsid w:val="004F3D3D"/>
    <w:rsid w:val="004F6F06"/>
    <w:rsid w:val="00513180"/>
    <w:rsid w:val="00513CFC"/>
    <w:rsid w:val="005169D0"/>
    <w:rsid w:val="00516B7B"/>
    <w:rsid w:val="00533732"/>
    <w:rsid w:val="005561D9"/>
    <w:rsid w:val="0058747B"/>
    <w:rsid w:val="00587870"/>
    <w:rsid w:val="00593E88"/>
    <w:rsid w:val="00596B7E"/>
    <w:rsid w:val="005B5EF5"/>
    <w:rsid w:val="005B6800"/>
    <w:rsid w:val="005B69EF"/>
    <w:rsid w:val="005C112C"/>
    <w:rsid w:val="005C118A"/>
    <w:rsid w:val="005C7D01"/>
    <w:rsid w:val="005D54DD"/>
    <w:rsid w:val="005D6192"/>
    <w:rsid w:val="005E57C9"/>
    <w:rsid w:val="006046D3"/>
    <w:rsid w:val="00615F9D"/>
    <w:rsid w:val="00623957"/>
    <w:rsid w:val="00632A9F"/>
    <w:rsid w:val="00642BBE"/>
    <w:rsid w:val="00642C0C"/>
    <w:rsid w:val="00654E67"/>
    <w:rsid w:val="00655725"/>
    <w:rsid w:val="006565BE"/>
    <w:rsid w:val="00673F0C"/>
    <w:rsid w:val="006835E4"/>
    <w:rsid w:val="0068583F"/>
    <w:rsid w:val="00695BA3"/>
    <w:rsid w:val="0069684F"/>
    <w:rsid w:val="006A3031"/>
    <w:rsid w:val="006A7102"/>
    <w:rsid w:val="006B0247"/>
    <w:rsid w:val="006B216F"/>
    <w:rsid w:val="006B5532"/>
    <w:rsid w:val="006C2C65"/>
    <w:rsid w:val="006C5D80"/>
    <w:rsid w:val="006D052A"/>
    <w:rsid w:val="006D3496"/>
    <w:rsid w:val="006D36DB"/>
    <w:rsid w:val="006D6768"/>
    <w:rsid w:val="006E0F3D"/>
    <w:rsid w:val="006E2196"/>
    <w:rsid w:val="006E2A83"/>
    <w:rsid w:val="006F490E"/>
    <w:rsid w:val="0072647C"/>
    <w:rsid w:val="007308FC"/>
    <w:rsid w:val="00732CF3"/>
    <w:rsid w:val="007449EA"/>
    <w:rsid w:val="00753AFA"/>
    <w:rsid w:val="00755A0C"/>
    <w:rsid w:val="00755CED"/>
    <w:rsid w:val="0076217F"/>
    <w:rsid w:val="00764251"/>
    <w:rsid w:val="00767B01"/>
    <w:rsid w:val="007701CE"/>
    <w:rsid w:val="007718F4"/>
    <w:rsid w:val="00773D5C"/>
    <w:rsid w:val="0077582B"/>
    <w:rsid w:val="00783CE9"/>
    <w:rsid w:val="0078472E"/>
    <w:rsid w:val="00787875"/>
    <w:rsid w:val="007967A2"/>
    <w:rsid w:val="007A29E0"/>
    <w:rsid w:val="007A3E25"/>
    <w:rsid w:val="007A42DA"/>
    <w:rsid w:val="007A45CC"/>
    <w:rsid w:val="007A49EB"/>
    <w:rsid w:val="007A7EC6"/>
    <w:rsid w:val="007B3B0A"/>
    <w:rsid w:val="007B408C"/>
    <w:rsid w:val="007C403E"/>
    <w:rsid w:val="007C6057"/>
    <w:rsid w:val="007D593C"/>
    <w:rsid w:val="007E49BC"/>
    <w:rsid w:val="007E49D1"/>
    <w:rsid w:val="007E6082"/>
    <w:rsid w:val="007F2BA5"/>
    <w:rsid w:val="00803653"/>
    <w:rsid w:val="00814042"/>
    <w:rsid w:val="00814BE9"/>
    <w:rsid w:val="00823597"/>
    <w:rsid w:val="0082438D"/>
    <w:rsid w:val="00835BC3"/>
    <w:rsid w:val="008507E1"/>
    <w:rsid w:val="0085153D"/>
    <w:rsid w:val="00853A2A"/>
    <w:rsid w:val="008561DD"/>
    <w:rsid w:val="008608E4"/>
    <w:rsid w:val="00864B92"/>
    <w:rsid w:val="00871764"/>
    <w:rsid w:val="008735A8"/>
    <w:rsid w:val="00873BED"/>
    <w:rsid w:val="00881EB4"/>
    <w:rsid w:val="008852E4"/>
    <w:rsid w:val="00885486"/>
    <w:rsid w:val="008A6802"/>
    <w:rsid w:val="008A6EBF"/>
    <w:rsid w:val="008B1290"/>
    <w:rsid w:val="008C24D0"/>
    <w:rsid w:val="008C2B13"/>
    <w:rsid w:val="008C59A5"/>
    <w:rsid w:val="008D21CE"/>
    <w:rsid w:val="00900028"/>
    <w:rsid w:val="00902342"/>
    <w:rsid w:val="009045C4"/>
    <w:rsid w:val="00904C98"/>
    <w:rsid w:val="009053BE"/>
    <w:rsid w:val="009063B7"/>
    <w:rsid w:val="00907D3B"/>
    <w:rsid w:val="009173FE"/>
    <w:rsid w:val="00920B40"/>
    <w:rsid w:val="0092634C"/>
    <w:rsid w:val="00932970"/>
    <w:rsid w:val="00936EC5"/>
    <w:rsid w:val="00945651"/>
    <w:rsid w:val="009534EB"/>
    <w:rsid w:val="00953CC8"/>
    <w:rsid w:val="00954002"/>
    <w:rsid w:val="00961FBE"/>
    <w:rsid w:val="00972BBF"/>
    <w:rsid w:val="0097481F"/>
    <w:rsid w:val="00976F6B"/>
    <w:rsid w:val="0098415A"/>
    <w:rsid w:val="0099559C"/>
    <w:rsid w:val="009B69C2"/>
    <w:rsid w:val="009C605F"/>
    <w:rsid w:val="009D667F"/>
    <w:rsid w:val="009E53F6"/>
    <w:rsid w:val="009E6CEB"/>
    <w:rsid w:val="009F6758"/>
    <w:rsid w:val="00A00B63"/>
    <w:rsid w:val="00A01F17"/>
    <w:rsid w:val="00A029EA"/>
    <w:rsid w:val="00A0637E"/>
    <w:rsid w:val="00A22A0A"/>
    <w:rsid w:val="00A22A86"/>
    <w:rsid w:val="00A23875"/>
    <w:rsid w:val="00A33021"/>
    <w:rsid w:val="00A36041"/>
    <w:rsid w:val="00A44962"/>
    <w:rsid w:val="00A56AFA"/>
    <w:rsid w:val="00A645B3"/>
    <w:rsid w:val="00A70F48"/>
    <w:rsid w:val="00A718D1"/>
    <w:rsid w:val="00A83610"/>
    <w:rsid w:val="00AE406B"/>
    <w:rsid w:val="00AF401F"/>
    <w:rsid w:val="00AF5FB6"/>
    <w:rsid w:val="00AF719F"/>
    <w:rsid w:val="00B10702"/>
    <w:rsid w:val="00B143FE"/>
    <w:rsid w:val="00B204A1"/>
    <w:rsid w:val="00B243F2"/>
    <w:rsid w:val="00B2519D"/>
    <w:rsid w:val="00B32BC4"/>
    <w:rsid w:val="00B33A92"/>
    <w:rsid w:val="00B35712"/>
    <w:rsid w:val="00B43F8C"/>
    <w:rsid w:val="00B54018"/>
    <w:rsid w:val="00B54421"/>
    <w:rsid w:val="00B557FF"/>
    <w:rsid w:val="00B60FF6"/>
    <w:rsid w:val="00B63A05"/>
    <w:rsid w:val="00B7042B"/>
    <w:rsid w:val="00B80382"/>
    <w:rsid w:val="00B872CA"/>
    <w:rsid w:val="00BB352A"/>
    <w:rsid w:val="00BC0383"/>
    <w:rsid w:val="00BC1245"/>
    <w:rsid w:val="00BD4DD2"/>
    <w:rsid w:val="00BD5A86"/>
    <w:rsid w:val="00BD661E"/>
    <w:rsid w:val="00BD7DC8"/>
    <w:rsid w:val="00BE1269"/>
    <w:rsid w:val="00BE3F20"/>
    <w:rsid w:val="00BE7D3B"/>
    <w:rsid w:val="00BF0D41"/>
    <w:rsid w:val="00C01DBD"/>
    <w:rsid w:val="00C04D19"/>
    <w:rsid w:val="00C0567E"/>
    <w:rsid w:val="00C05FC8"/>
    <w:rsid w:val="00C108A8"/>
    <w:rsid w:val="00C138E0"/>
    <w:rsid w:val="00C23847"/>
    <w:rsid w:val="00C2691F"/>
    <w:rsid w:val="00C3317D"/>
    <w:rsid w:val="00C3501E"/>
    <w:rsid w:val="00C37D17"/>
    <w:rsid w:val="00C41845"/>
    <w:rsid w:val="00C42C78"/>
    <w:rsid w:val="00C461E5"/>
    <w:rsid w:val="00C47877"/>
    <w:rsid w:val="00C5482F"/>
    <w:rsid w:val="00C57B81"/>
    <w:rsid w:val="00C70815"/>
    <w:rsid w:val="00C741FC"/>
    <w:rsid w:val="00C84B6A"/>
    <w:rsid w:val="00C85548"/>
    <w:rsid w:val="00C90FAD"/>
    <w:rsid w:val="00C91036"/>
    <w:rsid w:val="00C97B94"/>
    <w:rsid w:val="00CA1880"/>
    <w:rsid w:val="00CA38AC"/>
    <w:rsid w:val="00CA48CF"/>
    <w:rsid w:val="00CC085D"/>
    <w:rsid w:val="00CC3A67"/>
    <w:rsid w:val="00CC4DBC"/>
    <w:rsid w:val="00CC501A"/>
    <w:rsid w:val="00CD0E13"/>
    <w:rsid w:val="00CD2F4F"/>
    <w:rsid w:val="00CD43CE"/>
    <w:rsid w:val="00CD630D"/>
    <w:rsid w:val="00CE1DBC"/>
    <w:rsid w:val="00CE5093"/>
    <w:rsid w:val="00CE7C2F"/>
    <w:rsid w:val="00CF4E7C"/>
    <w:rsid w:val="00CF5D97"/>
    <w:rsid w:val="00D00424"/>
    <w:rsid w:val="00D06516"/>
    <w:rsid w:val="00D23B0B"/>
    <w:rsid w:val="00D23EDD"/>
    <w:rsid w:val="00D302AD"/>
    <w:rsid w:val="00D43F7D"/>
    <w:rsid w:val="00D4515E"/>
    <w:rsid w:val="00D67001"/>
    <w:rsid w:val="00D70881"/>
    <w:rsid w:val="00D85497"/>
    <w:rsid w:val="00D86646"/>
    <w:rsid w:val="00D87003"/>
    <w:rsid w:val="00D90760"/>
    <w:rsid w:val="00D93FC1"/>
    <w:rsid w:val="00DA71B9"/>
    <w:rsid w:val="00DB1210"/>
    <w:rsid w:val="00DC0D15"/>
    <w:rsid w:val="00DC1F0C"/>
    <w:rsid w:val="00DC7F96"/>
    <w:rsid w:val="00DD53BA"/>
    <w:rsid w:val="00DD6E32"/>
    <w:rsid w:val="00DE4018"/>
    <w:rsid w:val="00DF1829"/>
    <w:rsid w:val="00E01757"/>
    <w:rsid w:val="00E06DA9"/>
    <w:rsid w:val="00E171A1"/>
    <w:rsid w:val="00E174A3"/>
    <w:rsid w:val="00E230C3"/>
    <w:rsid w:val="00E2462D"/>
    <w:rsid w:val="00E3352D"/>
    <w:rsid w:val="00E4106F"/>
    <w:rsid w:val="00E44C72"/>
    <w:rsid w:val="00E45728"/>
    <w:rsid w:val="00E55EEC"/>
    <w:rsid w:val="00E5717B"/>
    <w:rsid w:val="00E621C7"/>
    <w:rsid w:val="00E62C51"/>
    <w:rsid w:val="00E65D5E"/>
    <w:rsid w:val="00E7085A"/>
    <w:rsid w:val="00E71F05"/>
    <w:rsid w:val="00E80CF6"/>
    <w:rsid w:val="00E912CA"/>
    <w:rsid w:val="00E92BB5"/>
    <w:rsid w:val="00EA3153"/>
    <w:rsid w:val="00EB3895"/>
    <w:rsid w:val="00EC4D1B"/>
    <w:rsid w:val="00ED39E0"/>
    <w:rsid w:val="00EF374E"/>
    <w:rsid w:val="00EF5EE0"/>
    <w:rsid w:val="00F017CE"/>
    <w:rsid w:val="00F02EA8"/>
    <w:rsid w:val="00F04FBD"/>
    <w:rsid w:val="00F077E7"/>
    <w:rsid w:val="00F12358"/>
    <w:rsid w:val="00F27FF3"/>
    <w:rsid w:val="00F305F1"/>
    <w:rsid w:val="00F31EDD"/>
    <w:rsid w:val="00F639A6"/>
    <w:rsid w:val="00F74AA3"/>
    <w:rsid w:val="00F8500B"/>
    <w:rsid w:val="00F85B2D"/>
    <w:rsid w:val="00F90CD8"/>
    <w:rsid w:val="00F92310"/>
    <w:rsid w:val="00F94805"/>
    <w:rsid w:val="00F97E19"/>
    <w:rsid w:val="00FB3EC4"/>
    <w:rsid w:val="00FC7B23"/>
    <w:rsid w:val="00FD010D"/>
    <w:rsid w:val="00FD098D"/>
    <w:rsid w:val="00FD630B"/>
    <w:rsid w:val="00FE28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qFormat/>
    <w:pPr>
      <w:ind w:firstLine="0"/>
    </w:pPr>
  </w:style>
  <w:style w:type="paragraph" w:styleId="FootnoteText">
    <w:name w:val="footnote text"/>
    <w:basedOn w:val="Normal"/>
    <w:link w:val="FootnoteTextChar"/>
    <w:uiPriority w:val="99"/>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uiPriority w:val="1"/>
    <w:qFormat/>
    <w:rsid w:val="005169D0"/>
    <w:pPr>
      <w:spacing w:after="120"/>
    </w:pPr>
  </w:style>
  <w:style w:type="character" w:customStyle="1" w:styleId="BodyTextChar">
    <w:name w:val="Body Text Char"/>
    <w:link w:val="BodyText"/>
    <w:uiPriority w:val="1"/>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uiPriority w:val="22"/>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uiPriority w:val="1"/>
    <w:rsid w:val="007A7EC6"/>
    <w:rPr>
      <w:rFonts w:eastAsia="Times New Roman"/>
      <w:sz w:val="24"/>
      <w:szCs w:val="24"/>
      <w:lang w:eastAsia="fr-FR"/>
    </w:rPr>
  </w:style>
  <w:style w:type="character" w:styleId="FollowedHyperlink">
    <w:name w:val="FollowedHyperlink"/>
    <w:uiPriority w:val="99"/>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qFormat/>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qFormat/>
    <w:rsid w:val="007A7EC6"/>
    <w:rPr>
      <w:rFonts w:eastAsia="Times New Roman"/>
      <w:lang w:val="en-US" w:eastAsia="en-US"/>
    </w:rPr>
  </w:style>
  <w:style w:type="paragraph" w:styleId="CommentSubject">
    <w:name w:val="annotation subject"/>
    <w:basedOn w:val="CommentText"/>
    <w:next w:val="CommentText"/>
    <w:link w:val="CommentSubjectChar"/>
    <w:uiPriority w:val="99"/>
    <w:rsid w:val="007A7EC6"/>
    <w:rPr>
      <w:b/>
      <w:bCs/>
      <w:lang w:val="x-none" w:eastAsia="x-none"/>
    </w:rPr>
  </w:style>
  <w:style w:type="character" w:customStyle="1" w:styleId="CommentSubjectChar">
    <w:name w:val="Comment Subject Char"/>
    <w:basedOn w:val="CommentTextChar"/>
    <w:link w:val="CommentSubject"/>
    <w:uiPriority w:val="99"/>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uiPriority w:val="99"/>
    <w:rsid w:val="007A7EC6"/>
    <w:rPr>
      <w:rFonts w:eastAsia="Times New Roman"/>
      <w:lang w:val="en-US" w:eastAsia="en-US"/>
    </w:rPr>
  </w:style>
  <w:style w:type="character" w:styleId="EndnoteReference">
    <w:name w:val="endnote reference"/>
    <w:uiPriority w:val="99"/>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Heading1Char">
    <w:name w:val="Heading 1 Char"/>
    <w:basedOn w:val="DefaultParagraphFont"/>
    <w:link w:val="Heading1"/>
    <w:uiPriority w:val="9"/>
    <w:rsid w:val="00191E6D"/>
    <w:rPr>
      <w:rFonts w:ascii="Arial" w:eastAsia="Times New Roman" w:hAnsi="Arial"/>
      <w:b/>
      <w:bCs/>
      <w:snapToGrid w:val="0"/>
      <w:kern w:val="28"/>
      <w:sz w:val="22"/>
      <w:szCs w:val="24"/>
      <w:lang w:eastAsia="en-US"/>
    </w:rPr>
  </w:style>
  <w:style w:type="character" w:customStyle="1" w:styleId="MargeChar">
    <w:name w:val="Marge Char"/>
    <w:link w:val="Marge"/>
    <w:uiPriority w:val="99"/>
    <w:rsid w:val="00191E6D"/>
    <w:rPr>
      <w:rFonts w:ascii="Arial" w:eastAsia="Times New Roman" w:hAnsi="Arial"/>
      <w:snapToGrid w:val="0"/>
      <w:sz w:val="22"/>
      <w:szCs w:val="24"/>
      <w:lang w:eastAsia="en-US"/>
    </w:rPr>
  </w:style>
  <w:style w:type="character" w:customStyle="1" w:styleId="Stylepersonneldecomposition">
    <w:name w:val="Style personnel de composition"/>
    <w:rsid w:val="00B43F8C"/>
    <w:rPr>
      <w:rFonts w:ascii="Arial" w:hAnsi="Arial" w:cs="Arial"/>
      <w:color w:val="auto"/>
      <w:sz w:val="20"/>
    </w:rPr>
  </w:style>
  <w:style w:type="character" w:customStyle="1" w:styleId="Stylepersonnelderponse">
    <w:name w:val="Style personnel de réponse"/>
    <w:rsid w:val="00B43F8C"/>
    <w:rPr>
      <w:rFonts w:ascii="Arial" w:hAnsi="Arial" w:cs="Arial"/>
      <w:color w:val="auto"/>
      <w:sz w:val="20"/>
    </w:rPr>
  </w:style>
  <w:style w:type="character" w:styleId="UnresolvedMention">
    <w:name w:val="Unresolved Mention"/>
    <w:basedOn w:val="DefaultParagraphFont"/>
    <w:uiPriority w:val="99"/>
    <w:semiHidden/>
    <w:unhideWhenUsed/>
    <w:rsid w:val="00B43F8C"/>
    <w:rPr>
      <w:color w:val="605E5C"/>
      <w:shd w:val="clear" w:color="auto" w:fill="E1DFDD"/>
    </w:rPr>
  </w:style>
  <w:style w:type="character" w:customStyle="1" w:styleId="Heading2Char">
    <w:name w:val="Heading 2 Char"/>
    <w:basedOn w:val="DefaultParagraphFont"/>
    <w:link w:val="Heading2"/>
    <w:uiPriority w:val="9"/>
    <w:rsid w:val="00B43F8C"/>
    <w:rPr>
      <w:rFonts w:ascii="Arial" w:eastAsia="Times New Roman" w:hAnsi="Arial"/>
      <w:b/>
      <w:bCs/>
      <w:caps/>
      <w:snapToGrid w:val="0"/>
      <w:sz w:val="22"/>
      <w:szCs w:val="24"/>
      <w:lang w:eastAsia="en-US"/>
    </w:rPr>
  </w:style>
  <w:style w:type="character" w:customStyle="1" w:styleId="Heading3Char">
    <w:name w:val="Heading 3 Char"/>
    <w:basedOn w:val="DefaultParagraphFont"/>
    <w:link w:val="Heading3"/>
    <w:uiPriority w:val="9"/>
    <w:rsid w:val="00B43F8C"/>
    <w:rPr>
      <w:rFonts w:ascii="Arial" w:eastAsia="Times New Roman" w:hAnsi="Arial"/>
      <w:b/>
      <w:bCs/>
      <w:snapToGrid w:val="0"/>
      <w:sz w:val="22"/>
      <w:szCs w:val="24"/>
      <w:lang w:eastAsia="en-US"/>
    </w:rPr>
  </w:style>
  <w:style w:type="table" w:customStyle="1" w:styleId="Grilledutableau1">
    <w:name w:val="Grille du tableau1"/>
    <w:basedOn w:val="TableNormal"/>
    <w:next w:val="TableGrid"/>
    <w:uiPriority w:val="39"/>
    <w:rsid w:val="00B43F8C"/>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uiPriority w:val="99"/>
    <w:semiHidden/>
    <w:unhideWhenUsed/>
    <w:rsid w:val="00B43F8C"/>
    <w:pPr>
      <w:widowControl w:val="0"/>
      <w:tabs>
        <w:tab w:val="clear" w:pos="567"/>
      </w:tabs>
      <w:snapToGrid/>
    </w:pPr>
    <w:rPr>
      <w:rFonts w:ascii="Segoe UI" w:eastAsia="Times New Roman" w:hAnsi="Segoe UI" w:cs="Segoe UI"/>
      <w:snapToGrid/>
      <w:sz w:val="18"/>
      <w:szCs w:val="18"/>
      <w:lang w:eastAsia="fr-FR"/>
    </w:rPr>
  </w:style>
  <w:style w:type="paragraph" w:customStyle="1" w:styleId="Sansinterligne1">
    <w:name w:val="Sans interligne1"/>
    <w:next w:val="NoSpacing"/>
    <w:uiPriority w:val="1"/>
    <w:qFormat/>
    <w:rsid w:val="00B43F8C"/>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B43F8C"/>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B43F8C"/>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B43F8C"/>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B43F8C"/>
    <w:rPr>
      <w:color w:val="0000FF"/>
      <w:u w:val="single"/>
    </w:rPr>
  </w:style>
  <w:style w:type="paragraph" w:customStyle="1" w:styleId="TM31">
    <w:name w:val="TM 31"/>
    <w:basedOn w:val="Heading3"/>
    <w:next w:val="Normal"/>
    <w:autoRedefine/>
    <w:uiPriority w:val="39"/>
    <w:unhideWhenUsed/>
    <w:rsid w:val="00B43F8C"/>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FooterChar">
    <w:name w:val="Footer Char"/>
    <w:basedOn w:val="DefaultParagraphFont"/>
    <w:link w:val="Footer"/>
    <w:uiPriority w:val="99"/>
    <w:rsid w:val="00B43F8C"/>
    <w:rPr>
      <w:rFonts w:ascii="Arial" w:eastAsia="Times New Roman"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B43F8C"/>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eastAsia="en-US"/>
    </w:rPr>
  </w:style>
  <w:style w:type="character" w:customStyle="1" w:styleId="ParagraphedelisteCar">
    <w:name w:val="Paragraphe de liste Car"/>
    <w:link w:val="Paragraphedeliste1"/>
    <w:uiPriority w:val="34"/>
    <w:rsid w:val="00B43F8C"/>
    <w:rPr>
      <w:rFonts w:ascii="Fira Sans Light" w:eastAsia="Calibri" w:hAnsi="Fira Sans Light" w:cs="Arial"/>
      <w:szCs w:val="22"/>
      <w:lang w:val="en-US" w:eastAsia="en-US"/>
    </w:rPr>
  </w:style>
  <w:style w:type="paragraph" w:customStyle="1" w:styleId="paragraph">
    <w:name w:val="paragraph"/>
    <w:basedOn w:val="Normal"/>
    <w:rsid w:val="00B43F8C"/>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DefaultParagraphFont"/>
    <w:rsid w:val="00B43F8C"/>
  </w:style>
  <w:style w:type="character" w:customStyle="1" w:styleId="ffa">
    <w:name w:val="ffa"/>
    <w:basedOn w:val="DefaultParagraphFont"/>
    <w:rsid w:val="00B43F8C"/>
  </w:style>
  <w:style w:type="character" w:customStyle="1" w:styleId="ws2a">
    <w:name w:val="ws2a"/>
    <w:basedOn w:val="DefaultParagraphFont"/>
    <w:rsid w:val="00B43F8C"/>
  </w:style>
  <w:style w:type="paragraph" w:customStyle="1" w:styleId="Lgende1">
    <w:name w:val="Légende1"/>
    <w:basedOn w:val="Normal"/>
    <w:next w:val="Normal"/>
    <w:uiPriority w:val="35"/>
    <w:unhideWhenUsed/>
    <w:qFormat/>
    <w:rsid w:val="00B43F8C"/>
    <w:pPr>
      <w:tabs>
        <w:tab w:val="clear" w:pos="567"/>
      </w:tabs>
      <w:snapToGrid/>
      <w:spacing w:after="200"/>
    </w:pPr>
    <w:rPr>
      <w:rFonts w:eastAsia="Arial" w:cs="Arial"/>
      <w:i/>
      <w:iCs/>
      <w:snapToGrid/>
      <w:color w:val="4FA68C"/>
      <w:sz w:val="18"/>
      <w:szCs w:val="18"/>
      <w:lang w:val="en-US" w:eastAsia="en-GB"/>
    </w:rPr>
  </w:style>
  <w:style w:type="character" w:customStyle="1" w:styleId="normaltextrun">
    <w:name w:val="normaltextrun"/>
    <w:basedOn w:val="DefaultParagraphFont"/>
    <w:rsid w:val="00B43F8C"/>
  </w:style>
  <w:style w:type="paragraph" w:customStyle="1" w:styleId="Tabledesillustrations1">
    <w:name w:val="Table des illustrations1"/>
    <w:basedOn w:val="Normal"/>
    <w:next w:val="Normal"/>
    <w:uiPriority w:val="99"/>
    <w:unhideWhenUsed/>
    <w:rsid w:val="00B43F8C"/>
    <w:pPr>
      <w:widowControl w:val="0"/>
      <w:tabs>
        <w:tab w:val="clear" w:pos="567"/>
      </w:tabs>
      <w:snapToGrid/>
      <w:spacing w:line="276" w:lineRule="auto"/>
    </w:pPr>
    <w:rPr>
      <w:rFonts w:ascii="Fira Sans Light" w:eastAsia="Calibri" w:hAnsi="Fira Sans Light" w:cs="Arial"/>
      <w:snapToGrid/>
      <w:sz w:val="20"/>
      <w:szCs w:val="22"/>
      <w:lang w:val="en-US" w:eastAsia="en-US"/>
    </w:rPr>
  </w:style>
  <w:style w:type="paragraph" w:customStyle="1" w:styleId="Objetducommentaire1">
    <w:name w:val="Objet du commentaire1"/>
    <w:basedOn w:val="CommentText"/>
    <w:next w:val="CommentText"/>
    <w:uiPriority w:val="99"/>
    <w:semiHidden/>
    <w:unhideWhenUsed/>
    <w:rsid w:val="00B43F8C"/>
    <w:pPr>
      <w:widowControl w:val="0"/>
      <w:spacing w:after="200"/>
    </w:pPr>
    <w:rPr>
      <w:rFonts w:ascii="Fira Sans Light" w:eastAsia="Calibri" w:hAnsi="Fira Sans Light" w:cs="Arial"/>
      <w:b/>
      <w:bCs/>
    </w:rPr>
  </w:style>
  <w:style w:type="character" w:customStyle="1" w:styleId="Lienhypertextesuivivisit1">
    <w:name w:val="Lien hypertexte suivi visité1"/>
    <w:basedOn w:val="DefaultParagraphFont"/>
    <w:uiPriority w:val="99"/>
    <w:semiHidden/>
    <w:unhideWhenUsed/>
    <w:rsid w:val="00B43F8C"/>
    <w:rPr>
      <w:color w:val="800080"/>
      <w:u w:val="single"/>
    </w:rPr>
  </w:style>
  <w:style w:type="character" w:customStyle="1" w:styleId="UnresolvedMention1">
    <w:name w:val="Unresolved Mention1"/>
    <w:basedOn w:val="DefaultParagraphFont"/>
    <w:uiPriority w:val="99"/>
    <w:semiHidden/>
    <w:unhideWhenUsed/>
    <w:rsid w:val="00B43F8C"/>
    <w:rPr>
      <w:color w:val="605E5C"/>
      <w:shd w:val="clear" w:color="auto" w:fill="E1DFDD"/>
    </w:rPr>
  </w:style>
  <w:style w:type="character" w:customStyle="1" w:styleId="TextedebullesCar1">
    <w:name w:val="Texte de bulles Car1"/>
    <w:basedOn w:val="DefaultParagraphFont"/>
    <w:semiHidden/>
    <w:rsid w:val="00B43F8C"/>
    <w:rPr>
      <w:rFonts w:ascii="Segoe UI" w:hAnsi="Segoe UI" w:cs="Segoe UI"/>
      <w:snapToGrid w:val="0"/>
      <w:sz w:val="18"/>
      <w:szCs w:val="18"/>
      <w:lang w:eastAsia="en-US"/>
    </w:rPr>
  </w:style>
  <w:style w:type="character" w:customStyle="1" w:styleId="ObjetducommentaireCar1">
    <w:name w:val="Objet du commentaire Car1"/>
    <w:basedOn w:val="CommentTextChar"/>
    <w:semiHidden/>
    <w:rsid w:val="00B43F8C"/>
    <w:rPr>
      <w:rFonts w:ascii="Arial" w:eastAsia="Arial" w:hAnsi="Arial" w:cs="Arial"/>
      <w:b/>
      <w:bCs/>
      <w:lang w:val="en-US" w:eastAsia="en-GB"/>
    </w:rPr>
  </w:style>
  <w:style w:type="character" w:customStyle="1" w:styleId="Mentionnonrsolue1">
    <w:name w:val="Mention non résolue1"/>
    <w:basedOn w:val="DefaultParagraphFont"/>
    <w:uiPriority w:val="99"/>
    <w:semiHidden/>
    <w:unhideWhenUsed/>
    <w:rsid w:val="00B43F8C"/>
    <w:rPr>
      <w:color w:val="605E5C"/>
      <w:shd w:val="clear" w:color="auto" w:fill="E1DFDD"/>
    </w:rPr>
  </w:style>
  <w:style w:type="character" w:customStyle="1" w:styleId="Style2Car">
    <w:name w:val="Style2 Car"/>
    <w:basedOn w:val="DefaultParagraphFont"/>
    <w:rsid w:val="00B43F8C"/>
    <w:rPr>
      <w:rFonts w:ascii="Arial" w:hAnsi="Arial"/>
      <w:iCs/>
      <w:snapToGrid w:val="0"/>
      <w:sz w:val="22"/>
      <w:szCs w:val="22"/>
      <w:shd w:val="clear" w:color="auto" w:fill="FFFFFF"/>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B43F8C"/>
    <w:pPr>
      <w:tabs>
        <w:tab w:val="clear" w:pos="567"/>
      </w:tabs>
      <w:snapToGrid/>
      <w:spacing w:before="120" w:after="160" w:line="240" w:lineRule="exact"/>
    </w:pPr>
    <w:rPr>
      <w:rFonts w:ascii="Times New Roman" w:hAnsi="Times New Roman"/>
      <w:snapToGrid/>
      <w:sz w:val="20"/>
      <w:szCs w:val="20"/>
      <w:vertAlign w:val="superscript"/>
    </w:rPr>
  </w:style>
  <w:style w:type="character" w:customStyle="1" w:styleId="Heading7Char">
    <w:name w:val="Heading 7 Char"/>
    <w:basedOn w:val="DefaultParagraphFont"/>
    <w:link w:val="Heading7"/>
    <w:rsid w:val="00B43F8C"/>
    <w:rPr>
      <w:color w:val="000000"/>
      <w:sz w:val="24"/>
      <w:szCs w:val="24"/>
      <w:u w:val="single"/>
    </w:rPr>
  </w:style>
  <w:style w:type="paragraph" w:customStyle="1" w:styleId="JOBSTYLE">
    <w:name w:val="JOBSTYLE"/>
    <w:basedOn w:val="Normal"/>
    <w:rsid w:val="00B43F8C"/>
    <w:pPr>
      <w:tabs>
        <w:tab w:val="left" w:pos="1134"/>
        <w:tab w:val="left" w:pos="6237"/>
      </w:tabs>
      <w:overflowPunct w:val="0"/>
      <w:autoSpaceDE w:val="0"/>
      <w:autoSpaceDN w:val="0"/>
      <w:adjustRightInd w:val="0"/>
      <w:snapToGrid/>
      <w:spacing w:line="960" w:lineRule="auto"/>
      <w:jc w:val="both"/>
      <w:textAlignment w:val="baseline"/>
    </w:pPr>
    <w:rPr>
      <w:rFonts w:ascii="Times New Roman" w:eastAsia="Times New Roman" w:hAnsi="Times New Roman"/>
      <w:snapToGrid/>
      <w:sz w:val="24"/>
      <w:lang w:val="en-GB" w:eastAsia="en-US"/>
    </w:rPr>
  </w:style>
  <w:style w:type="character" w:customStyle="1" w:styleId="UnresolvedMention2">
    <w:name w:val="Unresolved Mention2"/>
    <w:basedOn w:val="DefaultParagraphFont"/>
    <w:uiPriority w:val="99"/>
    <w:semiHidden/>
    <w:unhideWhenUsed/>
    <w:rsid w:val="00B43F8C"/>
    <w:rPr>
      <w:color w:val="605E5C"/>
      <w:shd w:val="clear" w:color="auto" w:fill="E1DFDD"/>
    </w:rPr>
  </w:style>
  <w:style w:type="character" w:customStyle="1" w:styleId="UnresolvedMention3">
    <w:name w:val="Unresolved Mention3"/>
    <w:basedOn w:val="DefaultParagraphFont"/>
    <w:uiPriority w:val="99"/>
    <w:semiHidden/>
    <w:unhideWhenUsed/>
    <w:rsid w:val="00B43F8C"/>
    <w:rPr>
      <w:color w:val="605E5C"/>
      <w:shd w:val="clear" w:color="auto" w:fill="E1DFDD"/>
    </w:rPr>
  </w:style>
  <w:style w:type="character" w:customStyle="1" w:styleId="Heading4Char">
    <w:name w:val="Heading 4 Char"/>
    <w:basedOn w:val="DefaultParagraphFont"/>
    <w:link w:val="Heading4"/>
    <w:uiPriority w:val="9"/>
    <w:rsid w:val="00B43F8C"/>
    <w:rPr>
      <w:rFonts w:ascii="Arial" w:eastAsia="Times New Roman" w:hAnsi="Arial"/>
      <w:b/>
      <w:bCs/>
      <w:snapToGrid w:val="0"/>
      <w:sz w:val="22"/>
      <w:szCs w:val="24"/>
      <w:lang w:eastAsia="en-US"/>
    </w:rPr>
  </w:style>
  <w:style w:type="character" w:customStyle="1" w:styleId="UnresolvedMention4">
    <w:name w:val="Unresolved Mention4"/>
    <w:basedOn w:val="DefaultParagraphFont"/>
    <w:uiPriority w:val="99"/>
    <w:semiHidden/>
    <w:unhideWhenUsed/>
    <w:rsid w:val="00B43F8C"/>
    <w:rPr>
      <w:color w:val="605E5C"/>
      <w:shd w:val="clear" w:color="auto" w:fill="E1DFDD"/>
    </w:rPr>
  </w:style>
  <w:style w:type="paragraph" w:customStyle="1" w:styleId="Docheading">
    <w:name w:val="Doc. heading"/>
    <w:basedOn w:val="Header"/>
    <w:rsid w:val="006F490E"/>
    <w:pPr>
      <w:spacing w:after="480"/>
      <w:jc w:val="center"/>
    </w:pPr>
    <w:rPr>
      <w:rFonts w:cs="Arial"/>
      <w:b/>
      <w:bCs/>
      <w:caps/>
      <w:sz w:val="24"/>
      <w:lang w:val="en-GB"/>
    </w:rPr>
  </w:style>
  <w:style w:type="paragraph" w:styleId="Caption">
    <w:name w:val="caption"/>
    <w:basedOn w:val="Normal"/>
    <w:next w:val="Normal"/>
    <w:uiPriority w:val="35"/>
    <w:unhideWhenUsed/>
    <w:qFormat/>
    <w:rsid w:val="006F490E"/>
    <w:pPr>
      <w:tabs>
        <w:tab w:val="clear" w:pos="567"/>
      </w:tabs>
      <w:snapToGrid/>
      <w:spacing w:after="200"/>
    </w:pPr>
    <w:rPr>
      <w:rFonts w:asciiTheme="minorHAnsi" w:eastAsiaTheme="minorHAnsi" w:hAnsiTheme="minorHAnsi" w:cstheme="minorBidi"/>
      <w:i/>
      <w:iCs/>
      <w:snapToGrid/>
      <w:color w:val="1F497D" w:themeColor="text2"/>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81383">
      <w:bodyDiv w:val="1"/>
      <w:marLeft w:val="0"/>
      <w:marRight w:val="0"/>
      <w:marTop w:val="0"/>
      <w:marBottom w:val="0"/>
      <w:divBdr>
        <w:top w:val="none" w:sz="0" w:space="0" w:color="auto"/>
        <w:left w:val="none" w:sz="0" w:space="0" w:color="auto"/>
        <w:bottom w:val="none" w:sz="0" w:space="0" w:color="auto"/>
        <w:right w:val="none" w:sz="0" w:space="0" w:color="auto"/>
      </w:divBdr>
    </w:div>
    <w:div w:id="19452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esdoc.unesco.org/ark:/48223/pf0000381388.locale=e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unesdoc.unesco.org/ark:/48223/pf0000378557_fr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9054.local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unesco.org/links"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1957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mspglobal2030.org/wp-content/uploads/2022/11/PEMroadmap2022-2027.pdf" TargetMode="External"/><Relationship Id="rId1" Type="http://schemas.openxmlformats.org/officeDocument/2006/relationships/hyperlink" Target="https://www.sustainabledevelopmentreform.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Pages>
  <Words>4150</Words>
  <Characters>23538</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Élaboration d’une nouvelle stratégie à l’échelle de la COI_x000d_
sur la planification et la gestion durables de l’océan _x000d_
</vt:lpstr>
    </vt:vector>
  </TitlesOfParts>
  <Company>Unesco</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Élaboration d’une nouvelle stratégie à l’échelle de la COI sur la planification et la gestion durables de l’océan _x000d_
</dc:title>
  <dc:subject>IOC/A-32/4.7.Doc(1)</dc:subject>
  <dc:creator>as.machu@unesco.org</dc:creator>
  <cp:keywords>18.12F</cp:keywords>
  <dc:description/>
  <cp:lastModifiedBy>Boned, Patrice</cp:lastModifiedBy>
  <cp:revision>25</cp:revision>
  <cp:lastPrinted>2023-06-13T07:43:00Z</cp:lastPrinted>
  <dcterms:created xsi:type="dcterms:W3CDTF">2023-06-08T08:10:00Z</dcterms:created>
  <dcterms:modified xsi:type="dcterms:W3CDTF">2023-06-13T07:44:00Z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202301864</vt:lpwstr>
  </property>
</Properties>
</file>