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4B6422EB" w14:textId="77777777">
        <w:trPr>
          <w:jc w:val="center"/>
        </w:trPr>
        <w:tc>
          <w:tcPr>
            <w:tcW w:w="7654" w:type="dxa"/>
            <w:tcMar>
              <w:top w:w="170" w:type="dxa"/>
              <w:left w:w="170" w:type="dxa"/>
              <w:bottom w:w="170" w:type="dxa"/>
              <w:right w:w="170" w:type="dxa"/>
            </w:tcMar>
          </w:tcPr>
          <w:p w14:paraId="44FC6A06" w14:textId="4778FB22" w:rsidR="009048A0" w:rsidRDefault="00B83068" w:rsidP="00A479A9">
            <w:pPr>
              <w:pStyle w:val="Marge"/>
              <w:spacing w:after="120"/>
              <w:jc w:val="center"/>
              <w:rPr>
                <w:rFonts w:cs="Arial"/>
                <w:szCs w:val="22"/>
              </w:rPr>
            </w:pPr>
            <w:r w:rsidRPr="006842FA">
              <w:rPr>
                <w:rFonts w:cs="Arial"/>
                <w:szCs w:val="22"/>
                <w:u w:val="single"/>
              </w:rPr>
              <w:t>Summary</w:t>
            </w:r>
          </w:p>
          <w:p w14:paraId="52A97E6E" w14:textId="07473247" w:rsidR="00B83068" w:rsidRPr="006842FA" w:rsidRDefault="00417999" w:rsidP="00A11697">
            <w:pPr>
              <w:pStyle w:val="Marge"/>
              <w:spacing w:after="120"/>
              <w:rPr>
                <w:rFonts w:cs="Arial"/>
                <w:color w:val="000000"/>
                <w:szCs w:val="22"/>
              </w:rPr>
            </w:pPr>
            <w:r w:rsidRPr="00417999">
              <w:rPr>
                <w:rFonts w:cs="Arial"/>
                <w:szCs w:val="22"/>
              </w:rPr>
              <w:t>This document complements the information and analyses in IOC/INF-1416 presented to the 31</w:t>
            </w:r>
            <w:r w:rsidRPr="00A479A9">
              <w:rPr>
                <w:rFonts w:cs="Arial"/>
                <w:szCs w:val="22"/>
                <w:vertAlign w:val="superscript"/>
              </w:rPr>
              <w:t>st</w:t>
            </w:r>
            <w:r w:rsidRPr="00417999">
              <w:rPr>
                <w:rFonts w:cs="Arial"/>
                <w:szCs w:val="22"/>
              </w:rPr>
              <w:t xml:space="preserve"> Session of the IOC Assembly in June 2021, and IOC/INF-1418 presented to the 55</w:t>
            </w:r>
            <w:r w:rsidRPr="00A479A9">
              <w:rPr>
                <w:rFonts w:cs="Arial"/>
                <w:szCs w:val="22"/>
                <w:vertAlign w:val="superscript"/>
              </w:rPr>
              <w:t>th</w:t>
            </w:r>
            <w:r w:rsidRPr="00417999">
              <w:rPr>
                <w:rFonts w:cs="Arial"/>
                <w:szCs w:val="22"/>
              </w:rPr>
              <w:t xml:space="preserve"> Session of the IOC Executive Council in June 2022. It updates the status of IOC-led initiatives that have been registered as Decade Actions and identifies other endorsed Decade Actions where IOC is playing a key role. It discusses central and decentralised coordination structures where IOC is playing a lead role and identifies opportunities, challenges including issues related to resource mobilisation, and perspectives for future IOC contributions to the Decade.</w:t>
            </w:r>
          </w:p>
        </w:tc>
      </w:tr>
    </w:tbl>
    <w:p w14:paraId="5B9C6CDB" w14:textId="77777777" w:rsidR="00746B89" w:rsidRPr="006842FA" w:rsidRDefault="00746B89" w:rsidP="004F7D6C">
      <w:pPr>
        <w:pStyle w:val="Heading3"/>
        <w:rPr>
          <w:rFonts w:hint="eastAsia"/>
        </w:rPr>
        <w:sectPr w:rsidR="00746B89" w:rsidRPr="006842FA" w:rsidSect="00C80692">
          <w:headerReference w:type="even" r:id="rId7"/>
          <w:headerReference w:type="default" r:id="rId8"/>
          <w:headerReference w:type="first" r:id="rId9"/>
          <w:type w:val="continuous"/>
          <w:pgSz w:w="11906" w:h="16838" w:code="9"/>
          <w:pgMar w:top="1418" w:right="1134" w:bottom="1134" w:left="1134" w:header="851" w:footer="680" w:gutter="0"/>
          <w:pgNumType w:start="1"/>
          <w:cols w:space="708"/>
          <w:titlePg/>
          <w:docGrid w:linePitch="360"/>
        </w:sectPr>
      </w:pPr>
    </w:p>
    <w:p w14:paraId="12782757" w14:textId="77777777" w:rsidR="00417999" w:rsidRDefault="00417999" w:rsidP="00417999">
      <w:pPr>
        <w:tabs>
          <w:tab w:val="left" w:pos="2766"/>
        </w:tabs>
        <w:rPr>
          <w:rFonts w:asciiTheme="minorBidi" w:hAnsiTheme="minorBidi" w:cstheme="minorBidi"/>
          <w:b/>
          <w:bCs/>
          <w:color w:val="000000"/>
          <w:lang w:val="en-US"/>
        </w:rPr>
      </w:pPr>
      <w:r w:rsidRPr="000E4AE2">
        <w:rPr>
          <w:rFonts w:asciiTheme="minorBidi" w:hAnsiTheme="minorBidi" w:cstheme="minorBidi"/>
          <w:b/>
          <w:bCs/>
          <w:color w:val="000000"/>
          <w:lang w:val="en-US"/>
        </w:rPr>
        <w:lastRenderedPageBreak/>
        <w:t xml:space="preserve">Introduction </w:t>
      </w:r>
    </w:p>
    <w:p w14:paraId="2689EC34" w14:textId="77777777" w:rsidR="00417999" w:rsidRDefault="00417999" w:rsidP="00417999">
      <w:pPr>
        <w:tabs>
          <w:tab w:val="left" w:pos="2766"/>
        </w:tabs>
        <w:rPr>
          <w:rFonts w:asciiTheme="minorBidi" w:hAnsiTheme="minorBidi" w:cstheme="minorBidi"/>
          <w:b/>
          <w:bCs/>
          <w:color w:val="000000"/>
          <w:lang w:val="en-US"/>
        </w:rPr>
      </w:pPr>
    </w:p>
    <w:p w14:paraId="14375831" w14:textId="77777777" w:rsidR="00417999" w:rsidRPr="00CD5F7E" w:rsidRDefault="00417999" w:rsidP="00417999">
      <w:pPr>
        <w:pStyle w:val="ParaCOI"/>
        <w:shd w:val="clear" w:color="auto" w:fill="FFFFFF"/>
        <w:tabs>
          <w:tab w:val="clear" w:pos="709"/>
          <w:tab w:val="left" w:pos="0"/>
        </w:tabs>
        <w:rPr>
          <w:rFonts w:cs="Arial"/>
        </w:rPr>
      </w:pPr>
      <w:r w:rsidRPr="00CD5F7E">
        <w:rPr>
          <w:rFonts w:cs="Arial"/>
        </w:rPr>
        <w:t xml:space="preserve">This document has been prepared to provide updated information on the IOC contribution to the UN Decade of Ocean Science for Sustainable Development (‘the Ocean Decade’). It builds on and complements the information and analyses provided in </w:t>
      </w:r>
      <w:hyperlink r:id="rId10" w:history="1">
        <w:r w:rsidRPr="00B40ED1">
          <w:rPr>
            <w:rStyle w:val="Hyperlink"/>
            <w:rFonts w:cs="Arial"/>
          </w:rPr>
          <w:t>IOC/INF-1416</w:t>
        </w:r>
      </w:hyperlink>
      <w:r w:rsidRPr="00CD5F7E">
        <w:rPr>
          <w:rFonts w:cs="Arial"/>
        </w:rPr>
        <w:t xml:space="preserve"> presented to the 31</w:t>
      </w:r>
      <w:r w:rsidRPr="00CD5F7E">
        <w:rPr>
          <w:rFonts w:cs="Arial"/>
          <w:vertAlign w:val="superscript"/>
        </w:rPr>
        <w:t>st</w:t>
      </w:r>
      <w:r w:rsidRPr="00CD5F7E">
        <w:rPr>
          <w:rFonts w:cs="Arial"/>
        </w:rPr>
        <w:t xml:space="preserve"> Session of the IOC Assembly in June 2021</w:t>
      </w:r>
      <w:r>
        <w:rPr>
          <w:rFonts w:cs="Arial"/>
        </w:rPr>
        <w:t>, and IOC/INF-1418 presented to the 55</w:t>
      </w:r>
      <w:r w:rsidRPr="007F57EE">
        <w:rPr>
          <w:rFonts w:cs="Arial"/>
          <w:vertAlign w:val="superscript"/>
        </w:rPr>
        <w:t>th</w:t>
      </w:r>
      <w:r>
        <w:rPr>
          <w:rFonts w:cs="Arial"/>
        </w:rPr>
        <w:t xml:space="preserve"> Session of the IOC Executive Council in June 2022 that included a comprehensive </w:t>
      </w:r>
      <w:r w:rsidRPr="00CD5F7E">
        <w:rPr>
          <w:rFonts w:cs="Arial"/>
        </w:rPr>
        <w:t xml:space="preserve">mapping of IOC activities </w:t>
      </w:r>
      <w:r>
        <w:rPr>
          <w:rFonts w:cs="Arial"/>
        </w:rPr>
        <w:t xml:space="preserve">that </w:t>
      </w:r>
      <w:r w:rsidRPr="00CD5F7E">
        <w:rPr>
          <w:rFonts w:cs="Arial"/>
        </w:rPr>
        <w:t xml:space="preserve">make a significant direct contribution to almost all </w:t>
      </w:r>
      <w:r>
        <w:rPr>
          <w:rFonts w:cs="Arial"/>
        </w:rPr>
        <w:t xml:space="preserve">Ocean </w:t>
      </w:r>
      <w:r w:rsidRPr="00CD5F7E">
        <w:rPr>
          <w:rFonts w:cs="Arial"/>
        </w:rPr>
        <w:t xml:space="preserve">Decade </w:t>
      </w:r>
      <w:r>
        <w:rPr>
          <w:rFonts w:cs="Arial"/>
        </w:rPr>
        <w:t>C</w:t>
      </w:r>
      <w:r w:rsidRPr="00CD5F7E">
        <w:rPr>
          <w:rFonts w:cs="Arial"/>
        </w:rPr>
        <w:t>hallenges</w:t>
      </w:r>
      <w:r>
        <w:rPr>
          <w:rFonts w:cs="Arial"/>
        </w:rPr>
        <w:t>.</w:t>
      </w:r>
      <w:r w:rsidRPr="00CD5F7E">
        <w:rPr>
          <w:rFonts w:cs="Arial"/>
        </w:rPr>
        <w:t xml:space="preserve"> </w:t>
      </w:r>
    </w:p>
    <w:p w14:paraId="2A3F065A" w14:textId="23D997CA" w:rsidR="00417999" w:rsidRPr="000E4AE2" w:rsidRDefault="00417999" w:rsidP="00417999">
      <w:pPr>
        <w:pStyle w:val="ParaCOI"/>
        <w:shd w:val="clear" w:color="auto" w:fill="FFFFFF"/>
        <w:tabs>
          <w:tab w:val="clear" w:pos="709"/>
          <w:tab w:val="left" w:pos="0"/>
        </w:tabs>
        <w:rPr>
          <w:rFonts w:asciiTheme="minorBidi" w:hAnsiTheme="minorBidi" w:cstheme="minorBidi"/>
          <w:color w:val="000000"/>
          <w:lang w:val="en-US"/>
        </w:rPr>
      </w:pPr>
      <w:r w:rsidRPr="00CD5F7E">
        <w:rPr>
          <w:rFonts w:cs="Arial"/>
        </w:rPr>
        <w:t xml:space="preserve">This document provides an update on newly registered Decade Actions, identifies the newly endorsed Decade Actions where IOC is a key partner, provides an overview of the central and decentralised coordination mechanisms where IOC is playing a lead role, and discusses key challenges and opportunities for IOC’s future contribution to the Decade. </w:t>
      </w:r>
    </w:p>
    <w:p w14:paraId="4EE36729" w14:textId="77777777" w:rsidR="00417999" w:rsidRDefault="00417999" w:rsidP="00417999">
      <w:pPr>
        <w:tabs>
          <w:tab w:val="left" w:pos="2766"/>
        </w:tabs>
        <w:rPr>
          <w:rFonts w:asciiTheme="minorBidi" w:hAnsiTheme="minorBidi" w:cstheme="minorBidi"/>
          <w:b/>
          <w:bCs/>
          <w:color w:val="000000"/>
          <w:lang w:val="en-US"/>
        </w:rPr>
      </w:pPr>
      <w:r w:rsidRPr="000E4AE2">
        <w:rPr>
          <w:rFonts w:asciiTheme="minorBidi" w:hAnsiTheme="minorBidi" w:cstheme="minorBidi"/>
          <w:b/>
          <w:bCs/>
          <w:color w:val="000000"/>
          <w:lang w:val="en-US"/>
        </w:rPr>
        <w:t xml:space="preserve">Existing Endorsed IOC-led Decade Actions &amp; Resource Needs </w:t>
      </w:r>
    </w:p>
    <w:p w14:paraId="04F98024" w14:textId="77777777" w:rsidR="00417999" w:rsidRDefault="00417999" w:rsidP="00417999">
      <w:pPr>
        <w:tabs>
          <w:tab w:val="left" w:pos="2766"/>
        </w:tabs>
        <w:rPr>
          <w:rFonts w:asciiTheme="minorBidi" w:hAnsiTheme="minorBidi" w:cstheme="minorBidi"/>
          <w:b/>
          <w:bCs/>
          <w:color w:val="000000"/>
          <w:lang w:val="en-US"/>
        </w:rPr>
      </w:pPr>
    </w:p>
    <w:p w14:paraId="72B59C4C" w14:textId="77777777" w:rsidR="00417999" w:rsidRPr="00A661E5" w:rsidRDefault="00417999" w:rsidP="00417999">
      <w:pPr>
        <w:tabs>
          <w:tab w:val="left" w:pos="2766"/>
        </w:tabs>
        <w:jc w:val="both"/>
        <w:rPr>
          <w:rFonts w:asciiTheme="minorBidi" w:hAnsiTheme="minorBidi" w:cstheme="minorBidi"/>
          <w:color w:val="000000"/>
          <w:lang w:val="en-US"/>
        </w:rPr>
      </w:pPr>
      <w:r>
        <w:rPr>
          <w:rFonts w:asciiTheme="minorBidi" w:hAnsiTheme="minorBidi" w:cstheme="minorBidi"/>
          <w:color w:val="000000"/>
          <w:lang w:val="en-US"/>
        </w:rPr>
        <w:t>IOC is leading nineteen endorsed Decade Actions including seven endorsed Decade programmes, nine endorsed Decade projects and three endorsed contributions in the form of Decade Coordination Offices</w:t>
      </w:r>
      <w:r>
        <w:rPr>
          <w:rStyle w:val="FootnoteReference"/>
          <w:rFonts w:asciiTheme="minorBidi" w:hAnsiTheme="minorBidi" w:cstheme="minorBidi"/>
          <w:color w:val="000000"/>
          <w:lang w:val="en-US"/>
        </w:rPr>
        <w:footnoteReference w:id="1"/>
      </w:r>
      <w:r>
        <w:rPr>
          <w:rFonts w:asciiTheme="minorBidi" w:hAnsiTheme="minorBidi" w:cstheme="minorBidi"/>
          <w:color w:val="000000"/>
          <w:lang w:val="en-US"/>
        </w:rPr>
        <w:t xml:space="preserve">. These Decade Actions are summarized in the table below, together with an estimate of secured resources for Action implementation and an indication of the remaining annual resource gap for full implementation. Newly registered IOC-led Decade Actions are indicated in the table. </w:t>
      </w:r>
    </w:p>
    <w:p w14:paraId="3C3A0ACB" w14:textId="77777777" w:rsidR="00417999" w:rsidRPr="000E4AE2" w:rsidRDefault="00417999" w:rsidP="00417999">
      <w:pPr>
        <w:tabs>
          <w:tab w:val="left" w:pos="2766"/>
        </w:tabs>
        <w:rPr>
          <w:rFonts w:asciiTheme="minorBidi" w:hAnsiTheme="minorBidi" w:cstheme="minorBidi"/>
          <w:color w:val="000000"/>
          <w:lang w:val="en-US"/>
        </w:rPr>
      </w:pPr>
    </w:p>
    <w:tbl>
      <w:tblPr>
        <w:tblStyle w:val="TableGrid"/>
        <w:tblW w:w="5000" w:type="pct"/>
        <w:tblLook w:val="04A0" w:firstRow="1" w:lastRow="0" w:firstColumn="1" w:lastColumn="0" w:noHBand="0" w:noVBand="1"/>
      </w:tblPr>
      <w:tblGrid>
        <w:gridCol w:w="5230"/>
        <w:gridCol w:w="2199"/>
        <w:gridCol w:w="2199"/>
      </w:tblGrid>
      <w:tr w:rsidR="00394A82" w:rsidRPr="00A661E5" w14:paraId="58A926B9" w14:textId="77777777" w:rsidTr="0033641F">
        <w:trPr>
          <w:trHeight w:val="318"/>
          <w:tblHeader/>
        </w:trPr>
        <w:tc>
          <w:tcPr>
            <w:tcW w:w="2716" w:type="pct"/>
          </w:tcPr>
          <w:p w14:paraId="5F06E704" w14:textId="77777777" w:rsidR="00394A82" w:rsidRPr="00A661E5" w:rsidRDefault="00394A82" w:rsidP="0033641F">
            <w:pPr>
              <w:jc w:val="center"/>
              <w:rPr>
                <w:rFonts w:asciiTheme="minorBidi" w:eastAsia="Times New Roman" w:hAnsiTheme="minorBidi"/>
                <w:b/>
                <w:bCs/>
                <w:color w:val="000000"/>
                <w:sz w:val="20"/>
                <w:szCs w:val="20"/>
                <w:lang w:val="en-US"/>
              </w:rPr>
            </w:pPr>
            <w:r w:rsidRPr="00A661E5">
              <w:rPr>
                <w:rFonts w:asciiTheme="minorBidi" w:eastAsia="Times New Roman" w:hAnsiTheme="minorBidi"/>
                <w:b/>
                <w:bCs/>
                <w:color w:val="000000"/>
                <w:sz w:val="20"/>
                <w:szCs w:val="20"/>
                <w:lang w:val="en-US"/>
              </w:rPr>
              <w:t xml:space="preserve">Endorsed Decade Action </w:t>
            </w:r>
          </w:p>
        </w:tc>
        <w:tc>
          <w:tcPr>
            <w:tcW w:w="1142" w:type="pct"/>
          </w:tcPr>
          <w:p w14:paraId="26D9743F" w14:textId="77777777" w:rsidR="00394A82" w:rsidRPr="00A661E5" w:rsidRDefault="00394A82" w:rsidP="0033641F">
            <w:pPr>
              <w:jc w:val="center"/>
              <w:rPr>
                <w:rFonts w:asciiTheme="minorBidi" w:eastAsia="Times New Roman" w:hAnsiTheme="minorBidi"/>
                <w:b/>
                <w:bCs/>
                <w:color w:val="000000"/>
                <w:sz w:val="20"/>
                <w:szCs w:val="20"/>
                <w:lang w:val="en-US"/>
              </w:rPr>
            </w:pPr>
            <w:r w:rsidRPr="00A661E5">
              <w:rPr>
                <w:rFonts w:asciiTheme="minorBidi" w:eastAsia="Times New Roman" w:hAnsiTheme="minorBidi"/>
                <w:b/>
                <w:bCs/>
                <w:color w:val="000000"/>
                <w:sz w:val="20"/>
                <w:szCs w:val="20"/>
                <w:lang w:val="en-US"/>
              </w:rPr>
              <w:t>Estimate of Secured Resources 2023 – 2024 (USD)</w:t>
            </w:r>
          </w:p>
        </w:tc>
        <w:tc>
          <w:tcPr>
            <w:tcW w:w="1142" w:type="pct"/>
          </w:tcPr>
          <w:p w14:paraId="7F4D6F06" w14:textId="77777777" w:rsidR="00394A82" w:rsidRPr="00A661E5" w:rsidRDefault="00394A82" w:rsidP="0033641F">
            <w:pPr>
              <w:jc w:val="center"/>
              <w:rPr>
                <w:rFonts w:asciiTheme="minorBidi" w:eastAsia="Times New Roman" w:hAnsiTheme="minorBidi"/>
                <w:b/>
                <w:bCs/>
                <w:color w:val="000000"/>
                <w:sz w:val="20"/>
                <w:szCs w:val="20"/>
                <w:lang w:val="en-US"/>
              </w:rPr>
            </w:pPr>
            <w:r w:rsidRPr="00A661E5">
              <w:rPr>
                <w:rFonts w:asciiTheme="minorBidi" w:eastAsia="Times New Roman" w:hAnsiTheme="minorBidi"/>
                <w:b/>
                <w:bCs/>
                <w:color w:val="000000"/>
                <w:sz w:val="20"/>
                <w:szCs w:val="20"/>
                <w:lang w:val="en-US"/>
              </w:rPr>
              <w:t xml:space="preserve">Annual Resource Gap </w:t>
            </w:r>
            <w:r>
              <w:rPr>
                <w:rFonts w:asciiTheme="minorBidi" w:eastAsia="Times New Roman" w:hAnsiTheme="minorBidi"/>
                <w:b/>
                <w:bCs/>
                <w:color w:val="000000"/>
                <w:sz w:val="20"/>
                <w:szCs w:val="20"/>
                <w:lang w:val="en-US"/>
              </w:rPr>
              <w:t xml:space="preserve">2023 – 2024 </w:t>
            </w:r>
            <w:r w:rsidRPr="00A661E5">
              <w:rPr>
                <w:rFonts w:asciiTheme="minorBidi" w:eastAsia="Times New Roman" w:hAnsiTheme="minorBidi"/>
                <w:b/>
                <w:bCs/>
                <w:color w:val="000000"/>
                <w:sz w:val="20"/>
                <w:szCs w:val="20"/>
                <w:lang w:val="en-US"/>
              </w:rPr>
              <w:t>(USD)</w:t>
            </w:r>
          </w:p>
        </w:tc>
      </w:tr>
      <w:tr w:rsidR="00394A82" w:rsidRPr="00A661E5" w14:paraId="39FF7AF9" w14:textId="77777777" w:rsidTr="0033641F">
        <w:trPr>
          <w:trHeight w:val="358"/>
        </w:trPr>
        <w:tc>
          <w:tcPr>
            <w:tcW w:w="2716" w:type="pct"/>
            <w:shd w:val="clear" w:color="auto" w:fill="E7E6E6" w:themeFill="background2"/>
          </w:tcPr>
          <w:p w14:paraId="6C3F769F" w14:textId="77777777" w:rsidR="00394A82" w:rsidRPr="00A661E5" w:rsidRDefault="00394A82" w:rsidP="0033641F">
            <w:pPr>
              <w:jc w:val="center"/>
              <w:rPr>
                <w:rFonts w:asciiTheme="minorBidi" w:eastAsia="Times New Roman" w:hAnsiTheme="minorBidi"/>
                <w:b/>
                <w:bCs/>
                <w:i/>
                <w:iCs/>
                <w:color w:val="000000"/>
                <w:sz w:val="20"/>
                <w:szCs w:val="20"/>
                <w:lang w:val="en-US"/>
              </w:rPr>
            </w:pPr>
            <w:r w:rsidRPr="00A661E5">
              <w:rPr>
                <w:rFonts w:asciiTheme="minorBidi" w:eastAsia="Times New Roman" w:hAnsiTheme="minorBidi"/>
                <w:b/>
                <w:bCs/>
                <w:i/>
                <w:iCs/>
                <w:color w:val="000000"/>
                <w:sz w:val="20"/>
                <w:szCs w:val="20"/>
                <w:lang w:val="en-US"/>
              </w:rPr>
              <w:t>Endorsed Decade Programmes</w:t>
            </w:r>
          </w:p>
        </w:tc>
        <w:tc>
          <w:tcPr>
            <w:tcW w:w="1142" w:type="pct"/>
            <w:shd w:val="clear" w:color="auto" w:fill="E7E6E6" w:themeFill="background2"/>
          </w:tcPr>
          <w:p w14:paraId="59B6B5C9" w14:textId="77777777" w:rsidR="00394A82" w:rsidRPr="00A661E5" w:rsidRDefault="00394A82" w:rsidP="0033641F">
            <w:pPr>
              <w:jc w:val="center"/>
              <w:rPr>
                <w:rFonts w:asciiTheme="minorBidi" w:eastAsia="Times New Roman" w:hAnsiTheme="minorBidi"/>
                <w:b/>
                <w:bCs/>
                <w:i/>
                <w:iCs/>
                <w:color w:val="000000"/>
                <w:sz w:val="20"/>
                <w:szCs w:val="20"/>
                <w:lang w:val="en-US"/>
              </w:rPr>
            </w:pPr>
          </w:p>
        </w:tc>
        <w:tc>
          <w:tcPr>
            <w:tcW w:w="1142" w:type="pct"/>
            <w:shd w:val="clear" w:color="auto" w:fill="E7E6E6" w:themeFill="background2"/>
          </w:tcPr>
          <w:p w14:paraId="5168BBF5" w14:textId="77777777" w:rsidR="00394A82" w:rsidRPr="00A661E5" w:rsidRDefault="00394A82" w:rsidP="0033641F">
            <w:pPr>
              <w:jc w:val="center"/>
              <w:rPr>
                <w:rFonts w:asciiTheme="minorBidi" w:eastAsia="Times New Roman" w:hAnsiTheme="minorBidi"/>
                <w:b/>
                <w:bCs/>
                <w:i/>
                <w:iCs/>
                <w:color w:val="000000"/>
                <w:sz w:val="20"/>
                <w:szCs w:val="20"/>
                <w:lang w:val="en-US"/>
              </w:rPr>
            </w:pPr>
          </w:p>
        </w:tc>
      </w:tr>
      <w:tr w:rsidR="00394A82" w:rsidRPr="000E4AE2" w14:paraId="3E84E70F" w14:textId="77777777" w:rsidTr="0033641F">
        <w:trPr>
          <w:trHeight w:val="600"/>
        </w:trPr>
        <w:tc>
          <w:tcPr>
            <w:tcW w:w="2716" w:type="pct"/>
            <w:hideMark/>
          </w:tcPr>
          <w:p w14:paraId="191D7B8D"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 xml:space="preserve">Ocean Acidification Research for Sustainability </w:t>
            </w:r>
            <w:r w:rsidRPr="00A661E5">
              <w:rPr>
                <w:rFonts w:asciiTheme="minorBidi" w:eastAsia="Times New Roman" w:hAnsiTheme="minorBidi"/>
                <w:color w:val="000000"/>
                <w:sz w:val="20"/>
                <w:szCs w:val="20"/>
                <w:lang w:val="en-US"/>
              </w:rPr>
              <w:t xml:space="preserve">(OARS) </w:t>
            </w:r>
            <w:r w:rsidRPr="000E4AE2">
              <w:rPr>
                <w:rFonts w:asciiTheme="minorBidi" w:eastAsia="Times New Roman" w:hAnsiTheme="minorBidi"/>
                <w:color w:val="000000"/>
                <w:sz w:val="20"/>
                <w:szCs w:val="20"/>
                <w:lang w:val="en-US"/>
              </w:rPr>
              <w:t>- Providing society with the observational and scientific evidence needed to sustainably identify, monitor, mitigate and adapt to ocean acidification; from local to global scales</w:t>
            </w:r>
          </w:p>
        </w:tc>
        <w:tc>
          <w:tcPr>
            <w:tcW w:w="1142" w:type="pct"/>
          </w:tcPr>
          <w:p w14:paraId="1B198294"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350,000</w:t>
            </w:r>
          </w:p>
        </w:tc>
        <w:tc>
          <w:tcPr>
            <w:tcW w:w="1142" w:type="pct"/>
          </w:tcPr>
          <w:p w14:paraId="3CB31DA4"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2,800,000</w:t>
            </w:r>
          </w:p>
        </w:tc>
      </w:tr>
      <w:tr w:rsidR="00394A82" w:rsidRPr="007D5C7B" w14:paraId="661A1268" w14:textId="77777777" w:rsidTr="0033641F">
        <w:trPr>
          <w:trHeight w:val="600"/>
        </w:trPr>
        <w:tc>
          <w:tcPr>
            <w:tcW w:w="2716" w:type="pct"/>
            <w:hideMark/>
          </w:tcPr>
          <w:p w14:paraId="0BA0F30F"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 xml:space="preserve">Ocean Observing </w:t>
            </w:r>
            <w:proofErr w:type="gramStart"/>
            <w:r w:rsidRPr="000E4AE2">
              <w:rPr>
                <w:rFonts w:asciiTheme="minorBidi" w:eastAsia="Times New Roman" w:hAnsiTheme="minorBidi"/>
                <w:color w:val="000000"/>
                <w:sz w:val="20"/>
                <w:szCs w:val="20"/>
                <w:lang w:val="en-US"/>
              </w:rPr>
              <w:t>Co-Design - Evolving ocean</w:t>
            </w:r>
            <w:proofErr w:type="gramEnd"/>
            <w:r w:rsidRPr="000E4AE2">
              <w:rPr>
                <w:rFonts w:asciiTheme="minorBidi" w:eastAsia="Times New Roman" w:hAnsiTheme="minorBidi"/>
                <w:color w:val="000000"/>
                <w:sz w:val="20"/>
                <w:szCs w:val="20"/>
                <w:lang w:val="en-US"/>
              </w:rPr>
              <w:t xml:space="preserve"> observing for a sustainable future</w:t>
            </w:r>
          </w:p>
        </w:tc>
        <w:tc>
          <w:tcPr>
            <w:tcW w:w="1142" w:type="pct"/>
          </w:tcPr>
          <w:p w14:paraId="38993A4D" w14:textId="6FE12854" w:rsidR="00394A82" w:rsidRPr="00EF0457" w:rsidRDefault="00D82F5A" w:rsidP="0033641F">
            <w:pPr>
              <w:jc w:val="center"/>
              <w:rPr>
                <w:rFonts w:asciiTheme="minorBidi" w:eastAsia="Times New Roman" w:hAnsiTheme="minorBidi"/>
                <w:color w:val="000000"/>
                <w:sz w:val="20"/>
                <w:szCs w:val="20"/>
                <w:highlight w:val="yellow"/>
                <w:lang w:val="en-US"/>
              </w:rPr>
            </w:pPr>
            <w:r w:rsidRPr="00FD02E5">
              <w:rPr>
                <w:rFonts w:asciiTheme="minorBidi" w:eastAsia="Times New Roman" w:hAnsiTheme="minorBidi"/>
                <w:color w:val="000000"/>
                <w:sz w:val="20"/>
                <w:szCs w:val="20"/>
                <w:lang w:val="en-US"/>
              </w:rPr>
              <w:t>250,000</w:t>
            </w:r>
          </w:p>
        </w:tc>
        <w:tc>
          <w:tcPr>
            <w:tcW w:w="1142" w:type="pct"/>
          </w:tcPr>
          <w:p w14:paraId="695E6A1F" w14:textId="2BD51AE6" w:rsidR="00394A82" w:rsidRPr="00EF0457" w:rsidRDefault="00D82F5A" w:rsidP="0033641F">
            <w:pPr>
              <w:jc w:val="center"/>
              <w:rPr>
                <w:rFonts w:asciiTheme="minorBidi" w:eastAsia="Times New Roman" w:hAnsiTheme="minorBidi"/>
                <w:color w:val="000000"/>
                <w:sz w:val="20"/>
                <w:szCs w:val="20"/>
                <w:highlight w:val="yellow"/>
                <w:lang w:val="en-US"/>
              </w:rPr>
            </w:pPr>
            <w:r w:rsidRPr="00FD02E5">
              <w:rPr>
                <w:rFonts w:asciiTheme="minorBidi" w:eastAsia="Times New Roman" w:hAnsiTheme="minorBidi"/>
                <w:color w:val="000000"/>
                <w:sz w:val="20"/>
                <w:szCs w:val="20"/>
                <w:lang w:val="en-US"/>
              </w:rPr>
              <w:t>4,000,000</w:t>
            </w:r>
          </w:p>
        </w:tc>
      </w:tr>
      <w:tr w:rsidR="00394A82" w:rsidRPr="007D5C7B" w14:paraId="0D63012A" w14:textId="77777777" w:rsidTr="0033641F">
        <w:trPr>
          <w:trHeight w:val="600"/>
        </w:trPr>
        <w:tc>
          <w:tcPr>
            <w:tcW w:w="2716" w:type="pct"/>
            <w:hideMark/>
          </w:tcPr>
          <w:p w14:paraId="1141163F"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Observing Together: Meeting Stakeholder Needs and Making Every Observation Count</w:t>
            </w:r>
          </w:p>
        </w:tc>
        <w:tc>
          <w:tcPr>
            <w:tcW w:w="1142" w:type="pct"/>
          </w:tcPr>
          <w:p w14:paraId="08FF2909" w14:textId="77777777" w:rsidR="00394A82" w:rsidRPr="00FD02E5" w:rsidRDefault="00394A82" w:rsidP="0033641F">
            <w:pPr>
              <w:jc w:val="center"/>
              <w:rPr>
                <w:rFonts w:asciiTheme="minorBidi" w:eastAsia="Times New Roman" w:hAnsiTheme="minorBidi"/>
                <w:color w:val="000000"/>
                <w:sz w:val="20"/>
                <w:szCs w:val="20"/>
                <w:lang w:val="en-US"/>
              </w:rPr>
            </w:pPr>
            <w:r w:rsidRPr="00FD02E5">
              <w:rPr>
                <w:rFonts w:asciiTheme="minorBidi" w:hAnsiTheme="minorBidi"/>
                <w:color w:val="000000"/>
                <w:sz w:val="20"/>
                <w:szCs w:val="20"/>
                <w:lang w:val="en-US"/>
              </w:rPr>
              <w:t>TBD</w:t>
            </w:r>
          </w:p>
        </w:tc>
        <w:tc>
          <w:tcPr>
            <w:tcW w:w="1142" w:type="pct"/>
          </w:tcPr>
          <w:p w14:paraId="3FD5EFF3" w14:textId="77777777" w:rsidR="00394A82" w:rsidRPr="00FD02E5" w:rsidRDefault="00394A82" w:rsidP="0033641F">
            <w:pPr>
              <w:jc w:val="center"/>
              <w:rPr>
                <w:rFonts w:asciiTheme="minorBidi" w:eastAsia="Times New Roman" w:hAnsiTheme="minorBidi"/>
                <w:color w:val="000000"/>
                <w:sz w:val="20"/>
                <w:szCs w:val="20"/>
                <w:lang w:val="en-US"/>
              </w:rPr>
            </w:pPr>
            <w:r w:rsidRPr="00FD02E5">
              <w:rPr>
                <w:rFonts w:asciiTheme="minorBidi" w:hAnsiTheme="minorBidi"/>
                <w:color w:val="000000"/>
                <w:sz w:val="20"/>
                <w:szCs w:val="20"/>
                <w:lang w:val="en-US"/>
              </w:rPr>
              <w:t>TBD</w:t>
            </w:r>
          </w:p>
        </w:tc>
      </w:tr>
      <w:tr w:rsidR="00394A82" w:rsidRPr="007D5C7B" w14:paraId="1930C114" w14:textId="77777777" w:rsidTr="0033641F">
        <w:trPr>
          <w:trHeight w:val="600"/>
        </w:trPr>
        <w:tc>
          <w:tcPr>
            <w:tcW w:w="2716" w:type="pct"/>
            <w:hideMark/>
          </w:tcPr>
          <w:p w14:paraId="2A307177"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 xml:space="preserve">Ocean Literacy </w:t>
            </w:r>
            <w:proofErr w:type="gramStart"/>
            <w:r w:rsidRPr="000E4AE2">
              <w:rPr>
                <w:rFonts w:asciiTheme="minorBidi" w:eastAsia="Times New Roman" w:hAnsiTheme="minorBidi"/>
                <w:color w:val="000000"/>
                <w:sz w:val="20"/>
                <w:szCs w:val="20"/>
                <w:lang w:val="en-US"/>
              </w:rPr>
              <w:t>With</w:t>
            </w:r>
            <w:proofErr w:type="gramEnd"/>
            <w:r w:rsidRPr="000E4AE2">
              <w:rPr>
                <w:rFonts w:asciiTheme="minorBidi" w:eastAsia="Times New Roman" w:hAnsiTheme="minorBidi"/>
                <w:color w:val="000000"/>
                <w:sz w:val="20"/>
                <w:szCs w:val="20"/>
                <w:lang w:val="en-US"/>
              </w:rPr>
              <w:t xml:space="preserve"> All (OLWA): the change we need for the ocean we want</w:t>
            </w:r>
          </w:p>
        </w:tc>
        <w:tc>
          <w:tcPr>
            <w:tcW w:w="1142" w:type="pct"/>
          </w:tcPr>
          <w:p w14:paraId="1F7DA777"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280,000</w:t>
            </w:r>
          </w:p>
        </w:tc>
        <w:tc>
          <w:tcPr>
            <w:tcW w:w="1142" w:type="pct"/>
          </w:tcPr>
          <w:p w14:paraId="328E53C7"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825,000</w:t>
            </w:r>
          </w:p>
        </w:tc>
      </w:tr>
      <w:tr w:rsidR="00394A82" w:rsidRPr="000E4AE2" w14:paraId="3DF89B87" w14:textId="77777777" w:rsidTr="0033641F">
        <w:trPr>
          <w:trHeight w:val="600"/>
        </w:trPr>
        <w:tc>
          <w:tcPr>
            <w:tcW w:w="2716" w:type="pct"/>
            <w:hideMark/>
          </w:tcPr>
          <w:p w14:paraId="7E6BD030"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An Ocean Data and Information System supporting the UN Decade of Ocean Science for Sustainable Development (</w:t>
            </w:r>
            <w:proofErr w:type="spellStart"/>
            <w:r w:rsidRPr="000E4AE2">
              <w:rPr>
                <w:rFonts w:asciiTheme="minorBidi" w:eastAsia="Times New Roman" w:hAnsiTheme="minorBidi"/>
                <w:color w:val="000000"/>
                <w:sz w:val="20"/>
                <w:szCs w:val="20"/>
                <w:lang w:val="en-US"/>
              </w:rPr>
              <w:t>OceanData</w:t>
            </w:r>
            <w:proofErr w:type="spellEnd"/>
            <w:r w:rsidRPr="000E4AE2">
              <w:rPr>
                <w:rFonts w:asciiTheme="minorBidi" w:eastAsia="Times New Roman" w:hAnsiTheme="minorBidi"/>
                <w:color w:val="000000"/>
                <w:sz w:val="20"/>
                <w:szCs w:val="20"/>
                <w:lang w:val="en-US"/>
              </w:rPr>
              <w:t xml:space="preserve"> 2030)</w:t>
            </w:r>
          </w:p>
        </w:tc>
        <w:tc>
          <w:tcPr>
            <w:tcW w:w="1142" w:type="pct"/>
          </w:tcPr>
          <w:p w14:paraId="091EBCEC"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100,000</w:t>
            </w:r>
          </w:p>
        </w:tc>
        <w:tc>
          <w:tcPr>
            <w:tcW w:w="1142" w:type="pct"/>
          </w:tcPr>
          <w:p w14:paraId="7B426A65"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200,000</w:t>
            </w:r>
          </w:p>
        </w:tc>
      </w:tr>
      <w:tr w:rsidR="00394A82" w:rsidRPr="000E4AE2" w14:paraId="13DA87F0" w14:textId="77777777" w:rsidTr="0033641F">
        <w:trPr>
          <w:trHeight w:val="310"/>
        </w:trPr>
        <w:tc>
          <w:tcPr>
            <w:tcW w:w="2716" w:type="pct"/>
          </w:tcPr>
          <w:p w14:paraId="0573672F" w14:textId="77777777" w:rsidR="00394A82" w:rsidRPr="000E4AE2" w:rsidRDefault="00394A82" w:rsidP="0033641F">
            <w:pPr>
              <w:rPr>
                <w:rFonts w:asciiTheme="minorBidi" w:eastAsia="Times New Roman" w:hAnsiTheme="minorBidi"/>
                <w:color w:val="000000"/>
                <w:sz w:val="20"/>
                <w:szCs w:val="20"/>
                <w:lang w:val="en-US"/>
              </w:rPr>
            </w:pPr>
            <w:r w:rsidRPr="00AB4985">
              <w:rPr>
                <w:rFonts w:cs="Arial"/>
                <w:lang w:val="en-GB"/>
              </w:rPr>
              <w:t>Ocean Practices for the Decade</w:t>
            </w:r>
          </w:p>
        </w:tc>
        <w:tc>
          <w:tcPr>
            <w:tcW w:w="1142" w:type="pct"/>
          </w:tcPr>
          <w:p w14:paraId="374A2115" w14:textId="77777777" w:rsidR="00394A8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850,000</w:t>
            </w:r>
          </w:p>
        </w:tc>
        <w:tc>
          <w:tcPr>
            <w:tcW w:w="1142" w:type="pct"/>
          </w:tcPr>
          <w:p w14:paraId="31E40682" w14:textId="77777777" w:rsidR="00394A8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1,080,000</w:t>
            </w:r>
          </w:p>
        </w:tc>
      </w:tr>
      <w:tr w:rsidR="00394A82" w:rsidRPr="007D5C7B" w14:paraId="71EBD58F" w14:textId="77777777" w:rsidTr="0033641F">
        <w:trPr>
          <w:trHeight w:val="272"/>
        </w:trPr>
        <w:tc>
          <w:tcPr>
            <w:tcW w:w="2716" w:type="pct"/>
            <w:hideMark/>
          </w:tcPr>
          <w:p w14:paraId="419DCC71"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The Ocean Decade Tsunami Programme</w:t>
            </w:r>
            <w:r>
              <w:rPr>
                <w:rFonts w:asciiTheme="minorBidi" w:eastAsia="Times New Roman" w:hAnsiTheme="minorBidi"/>
                <w:color w:val="000000"/>
                <w:sz w:val="20"/>
                <w:szCs w:val="20"/>
                <w:lang w:val="en-US"/>
              </w:rPr>
              <w:t xml:space="preserve"> </w:t>
            </w:r>
            <w:r w:rsidRPr="00461FF4">
              <w:rPr>
                <w:rFonts w:asciiTheme="minorBidi" w:eastAsia="Times New Roman" w:hAnsiTheme="minorBidi"/>
                <w:i/>
                <w:iCs/>
                <w:color w:val="000000"/>
                <w:sz w:val="20"/>
                <w:szCs w:val="20"/>
                <w:lang w:val="en-US"/>
              </w:rPr>
              <w:t xml:space="preserve">(*newly registered) </w:t>
            </w:r>
          </w:p>
        </w:tc>
        <w:tc>
          <w:tcPr>
            <w:tcW w:w="1142" w:type="pct"/>
          </w:tcPr>
          <w:p w14:paraId="5DB8E51D"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1,936,000</w:t>
            </w:r>
          </w:p>
        </w:tc>
        <w:tc>
          <w:tcPr>
            <w:tcW w:w="1142" w:type="pct"/>
          </w:tcPr>
          <w:p w14:paraId="193A701D"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1,000,000</w:t>
            </w:r>
          </w:p>
        </w:tc>
      </w:tr>
      <w:tr w:rsidR="00394A82" w:rsidRPr="00A661E5" w14:paraId="06D62CBD" w14:textId="77777777" w:rsidTr="0033641F">
        <w:trPr>
          <w:trHeight w:val="190"/>
        </w:trPr>
        <w:tc>
          <w:tcPr>
            <w:tcW w:w="2716" w:type="pct"/>
            <w:shd w:val="clear" w:color="auto" w:fill="E7E6E6" w:themeFill="background2"/>
          </w:tcPr>
          <w:p w14:paraId="7F6CC4A8" w14:textId="77777777" w:rsidR="00394A82" w:rsidRPr="00A661E5" w:rsidRDefault="00394A82" w:rsidP="0033641F">
            <w:pPr>
              <w:jc w:val="center"/>
              <w:rPr>
                <w:rFonts w:asciiTheme="minorBidi" w:eastAsia="Times New Roman" w:hAnsiTheme="minorBidi"/>
                <w:b/>
                <w:bCs/>
                <w:i/>
                <w:iCs/>
                <w:color w:val="000000"/>
                <w:sz w:val="20"/>
                <w:szCs w:val="20"/>
                <w:lang w:val="en-US"/>
              </w:rPr>
            </w:pPr>
            <w:r w:rsidRPr="00A661E5">
              <w:rPr>
                <w:rFonts w:asciiTheme="minorBidi" w:eastAsia="Times New Roman" w:hAnsiTheme="minorBidi"/>
                <w:b/>
                <w:bCs/>
                <w:i/>
                <w:iCs/>
                <w:color w:val="000000"/>
                <w:sz w:val="20"/>
                <w:szCs w:val="20"/>
                <w:lang w:val="en-US"/>
              </w:rPr>
              <w:t xml:space="preserve">Endorsed </w:t>
            </w:r>
            <w:r>
              <w:rPr>
                <w:rFonts w:asciiTheme="minorBidi" w:eastAsia="Times New Roman" w:hAnsiTheme="minorBidi"/>
                <w:b/>
                <w:bCs/>
                <w:i/>
                <w:iCs/>
                <w:color w:val="000000"/>
                <w:sz w:val="20"/>
                <w:szCs w:val="20"/>
                <w:lang w:val="en-US"/>
              </w:rPr>
              <w:t xml:space="preserve">Decade </w:t>
            </w:r>
            <w:r w:rsidRPr="00A661E5">
              <w:rPr>
                <w:rFonts w:asciiTheme="minorBidi" w:eastAsia="Times New Roman" w:hAnsiTheme="minorBidi"/>
                <w:b/>
                <w:bCs/>
                <w:i/>
                <w:iCs/>
                <w:color w:val="000000"/>
                <w:sz w:val="20"/>
                <w:szCs w:val="20"/>
                <w:lang w:val="en-US"/>
              </w:rPr>
              <w:t>Projects</w:t>
            </w:r>
          </w:p>
        </w:tc>
        <w:tc>
          <w:tcPr>
            <w:tcW w:w="1142" w:type="pct"/>
            <w:shd w:val="clear" w:color="auto" w:fill="E7E6E6" w:themeFill="background2"/>
          </w:tcPr>
          <w:p w14:paraId="0AC16F06" w14:textId="77777777" w:rsidR="00394A82" w:rsidRPr="00A661E5" w:rsidRDefault="00394A82" w:rsidP="0033641F">
            <w:pPr>
              <w:jc w:val="center"/>
              <w:rPr>
                <w:rFonts w:asciiTheme="minorBidi" w:eastAsia="Times New Roman" w:hAnsiTheme="minorBidi"/>
                <w:i/>
                <w:iCs/>
                <w:color w:val="000000"/>
                <w:sz w:val="20"/>
                <w:szCs w:val="20"/>
              </w:rPr>
            </w:pPr>
          </w:p>
        </w:tc>
        <w:tc>
          <w:tcPr>
            <w:tcW w:w="1142" w:type="pct"/>
            <w:shd w:val="clear" w:color="auto" w:fill="E7E6E6" w:themeFill="background2"/>
          </w:tcPr>
          <w:p w14:paraId="39CCF4C0" w14:textId="77777777" w:rsidR="00394A82" w:rsidRPr="00A661E5" w:rsidRDefault="00394A82" w:rsidP="0033641F">
            <w:pPr>
              <w:jc w:val="center"/>
              <w:rPr>
                <w:rFonts w:asciiTheme="minorBidi" w:eastAsia="Times New Roman" w:hAnsiTheme="minorBidi"/>
                <w:i/>
                <w:iCs/>
                <w:color w:val="000000"/>
                <w:sz w:val="20"/>
                <w:szCs w:val="20"/>
              </w:rPr>
            </w:pPr>
          </w:p>
        </w:tc>
      </w:tr>
      <w:tr w:rsidR="00394A82" w:rsidRPr="007D5C7B" w14:paraId="6B32A66E" w14:textId="77777777" w:rsidTr="0033641F">
        <w:trPr>
          <w:trHeight w:val="600"/>
        </w:trPr>
        <w:tc>
          <w:tcPr>
            <w:tcW w:w="2716" w:type="pct"/>
            <w:hideMark/>
          </w:tcPr>
          <w:p w14:paraId="617F10F8" w14:textId="77777777" w:rsidR="00394A82" w:rsidRPr="000E4AE2" w:rsidRDefault="00394A82" w:rsidP="0033641F">
            <w:pPr>
              <w:rPr>
                <w:rFonts w:asciiTheme="minorBidi" w:eastAsia="Times New Roman" w:hAnsiTheme="minorBidi"/>
                <w:color w:val="000000"/>
                <w:sz w:val="20"/>
                <w:szCs w:val="20"/>
                <w:lang w:val="en-US"/>
              </w:rPr>
            </w:pPr>
            <w:proofErr w:type="spellStart"/>
            <w:r w:rsidRPr="000E4AE2">
              <w:rPr>
                <w:rFonts w:asciiTheme="minorBidi" w:eastAsia="Times New Roman" w:hAnsiTheme="minorBidi"/>
                <w:color w:val="000000"/>
                <w:sz w:val="20"/>
                <w:szCs w:val="20"/>
                <w:lang w:val="en-US"/>
              </w:rPr>
              <w:t>OceanTeacher</w:t>
            </w:r>
            <w:proofErr w:type="spellEnd"/>
            <w:r w:rsidRPr="000E4AE2">
              <w:rPr>
                <w:rFonts w:asciiTheme="minorBidi" w:eastAsia="Times New Roman" w:hAnsiTheme="minorBidi"/>
                <w:color w:val="000000"/>
                <w:sz w:val="20"/>
                <w:szCs w:val="20"/>
                <w:lang w:val="en-US"/>
              </w:rPr>
              <w:t xml:space="preserve"> Global Academy: Building Capacity and Accelerated Technology Transfer for the Ocean Decade</w:t>
            </w:r>
          </w:p>
        </w:tc>
        <w:tc>
          <w:tcPr>
            <w:tcW w:w="1142" w:type="pct"/>
          </w:tcPr>
          <w:p w14:paraId="62BAF0C7"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460,000</w:t>
            </w:r>
          </w:p>
        </w:tc>
        <w:tc>
          <w:tcPr>
            <w:tcW w:w="1142" w:type="pct"/>
          </w:tcPr>
          <w:p w14:paraId="38B3F7B5"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460,000</w:t>
            </w:r>
          </w:p>
        </w:tc>
      </w:tr>
      <w:tr w:rsidR="00394A82" w:rsidRPr="007D5C7B" w14:paraId="33EA4FF1" w14:textId="77777777" w:rsidTr="0033641F">
        <w:trPr>
          <w:trHeight w:val="418"/>
        </w:trPr>
        <w:tc>
          <w:tcPr>
            <w:tcW w:w="2716" w:type="pct"/>
            <w:hideMark/>
          </w:tcPr>
          <w:p w14:paraId="1127B556"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 xml:space="preserve">Pacific Islands Marine </w:t>
            </w:r>
            <w:proofErr w:type="spellStart"/>
            <w:r w:rsidRPr="000E4AE2">
              <w:rPr>
                <w:rFonts w:asciiTheme="minorBidi" w:eastAsia="Times New Roman" w:hAnsiTheme="minorBidi"/>
                <w:color w:val="000000"/>
                <w:sz w:val="20"/>
                <w:szCs w:val="20"/>
                <w:lang w:val="en-US"/>
              </w:rPr>
              <w:t>Bioinvasions</w:t>
            </w:r>
            <w:proofErr w:type="spellEnd"/>
            <w:r w:rsidRPr="000E4AE2">
              <w:rPr>
                <w:rFonts w:asciiTheme="minorBidi" w:eastAsia="Times New Roman" w:hAnsiTheme="minorBidi"/>
                <w:color w:val="000000"/>
                <w:sz w:val="20"/>
                <w:szCs w:val="20"/>
                <w:lang w:val="en-US"/>
              </w:rPr>
              <w:t xml:space="preserve"> Alert Network</w:t>
            </w:r>
          </w:p>
        </w:tc>
        <w:tc>
          <w:tcPr>
            <w:tcW w:w="1142" w:type="pct"/>
          </w:tcPr>
          <w:p w14:paraId="3B6462F5"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220,000</w:t>
            </w:r>
          </w:p>
        </w:tc>
        <w:tc>
          <w:tcPr>
            <w:tcW w:w="1142" w:type="pct"/>
          </w:tcPr>
          <w:p w14:paraId="15352C1F"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0</w:t>
            </w:r>
          </w:p>
        </w:tc>
      </w:tr>
      <w:tr w:rsidR="00394A82" w:rsidRPr="000E4AE2" w14:paraId="50A5B062" w14:textId="77777777" w:rsidTr="0033641F">
        <w:trPr>
          <w:trHeight w:val="600"/>
        </w:trPr>
        <w:tc>
          <w:tcPr>
            <w:tcW w:w="2716" w:type="pct"/>
            <w:hideMark/>
          </w:tcPr>
          <w:p w14:paraId="3F09B09C"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 xml:space="preserve">Accelerate Marine Spatial Planning in the Western Pacific </w:t>
            </w:r>
          </w:p>
        </w:tc>
        <w:tc>
          <w:tcPr>
            <w:tcW w:w="1142" w:type="pct"/>
          </w:tcPr>
          <w:p w14:paraId="71C92543"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200,000</w:t>
            </w:r>
          </w:p>
        </w:tc>
        <w:tc>
          <w:tcPr>
            <w:tcW w:w="1142" w:type="pct"/>
          </w:tcPr>
          <w:p w14:paraId="4CA77E50"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280,000</w:t>
            </w:r>
          </w:p>
        </w:tc>
      </w:tr>
      <w:tr w:rsidR="00394A82" w:rsidRPr="000E4AE2" w14:paraId="0D67F42D" w14:textId="77777777" w:rsidTr="0033641F">
        <w:trPr>
          <w:trHeight w:val="600"/>
        </w:trPr>
        <w:tc>
          <w:tcPr>
            <w:tcW w:w="2716" w:type="pct"/>
            <w:hideMark/>
          </w:tcPr>
          <w:p w14:paraId="7F6C79F6"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lastRenderedPageBreak/>
              <w:t>Stem the tide of Asia’s riverine plastic emission into the ocean</w:t>
            </w:r>
          </w:p>
        </w:tc>
        <w:tc>
          <w:tcPr>
            <w:tcW w:w="1142" w:type="pct"/>
          </w:tcPr>
          <w:p w14:paraId="7F8FD4D0"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200,000</w:t>
            </w:r>
          </w:p>
        </w:tc>
        <w:tc>
          <w:tcPr>
            <w:tcW w:w="1142" w:type="pct"/>
          </w:tcPr>
          <w:p w14:paraId="4BE438E8"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280,000</w:t>
            </w:r>
          </w:p>
        </w:tc>
      </w:tr>
      <w:tr w:rsidR="00394A82" w:rsidRPr="000E4AE2" w14:paraId="7544D769" w14:textId="77777777" w:rsidTr="0033641F">
        <w:trPr>
          <w:trHeight w:val="600"/>
        </w:trPr>
        <w:tc>
          <w:tcPr>
            <w:tcW w:w="2716" w:type="pct"/>
            <w:hideMark/>
          </w:tcPr>
          <w:p w14:paraId="680F184B"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 xml:space="preserve">Accelerating capacity development transformations in the Western Pacific - Regional Network of Training and Research Centers (RTRCs) on Marine Science </w:t>
            </w:r>
          </w:p>
        </w:tc>
        <w:tc>
          <w:tcPr>
            <w:tcW w:w="1142" w:type="pct"/>
          </w:tcPr>
          <w:p w14:paraId="2623ED0F"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200,000</w:t>
            </w:r>
          </w:p>
        </w:tc>
        <w:tc>
          <w:tcPr>
            <w:tcW w:w="1142" w:type="pct"/>
          </w:tcPr>
          <w:p w14:paraId="4B4A1CEF"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450,000</w:t>
            </w:r>
          </w:p>
        </w:tc>
      </w:tr>
      <w:tr w:rsidR="00394A82" w:rsidRPr="007D5C7B" w14:paraId="6C713F0C" w14:textId="77777777" w:rsidTr="0033641F">
        <w:trPr>
          <w:trHeight w:val="600"/>
        </w:trPr>
        <w:tc>
          <w:tcPr>
            <w:tcW w:w="2716" w:type="pct"/>
            <w:hideMark/>
          </w:tcPr>
          <w:p w14:paraId="6D08C822"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Explore the strongest ocean current in the Western Pacific: the 2nd Cooperative Study of Kuroshio and Adjacent Regions – from its sciences to human well beings</w:t>
            </w:r>
          </w:p>
        </w:tc>
        <w:tc>
          <w:tcPr>
            <w:tcW w:w="1142" w:type="pct"/>
          </w:tcPr>
          <w:p w14:paraId="04F2BD43"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200,000</w:t>
            </w:r>
          </w:p>
        </w:tc>
        <w:tc>
          <w:tcPr>
            <w:tcW w:w="1142" w:type="pct"/>
          </w:tcPr>
          <w:p w14:paraId="6F535F05"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200,000</w:t>
            </w:r>
          </w:p>
        </w:tc>
      </w:tr>
      <w:tr w:rsidR="00394A82" w:rsidRPr="007D5C7B" w14:paraId="2B757C85" w14:textId="77777777" w:rsidTr="0033641F">
        <w:trPr>
          <w:trHeight w:val="600"/>
        </w:trPr>
        <w:tc>
          <w:tcPr>
            <w:tcW w:w="2716" w:type="pct"/>
            <w:hideMark/>
          </w:tcPr>
          <w:p w14:paraId="4F8C8F7E"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Strengthening the Resilience of Coastal Communities in the Northeast Atlantic, Mediterranean Region to the Impact of Tsunamis and Other Sea Level-Related Coastal Hazards</w:t>
            </w:r>
            <w:r>
              <w:rPr>
                <w:rFonts w:asciiTheme="minorBidi" w:eastAsia="Times New Roman" w:hAnsiTheme="minorBidi"/>
                <w:color w:val="000000"/>
                <w:sz w:val="20"/>
                <w:szCs w:val="20"/>
                <w:lang w:val="en-US"/>
              </w:rPr>
              <w:t xml:space="preserve"> </w:t>
            </w:r>
            <w:r w:rsidRPr="00461FF4">
              <w:rPr>
                <w:rFonts w:asciiTheme="minorBidi" w:eastAsia="Times New Roman" w:hAnsiTheme="minorBidi"/>
                <w:i/>
                <w:iCs/>
                <w:color w:val="000000"/>
                <w:sz w:val="20"/>
                <w:szCs w:val="20"/>
                <w:lang w:val="en-US"/>
              </w:rPr>
              <w:t>(*newly registered)</w:t>
            </w:r>
          </w:p>
        </w:tc>
        <w:tc>
          <w:tcPr>
            <w:tcW w:w="1142" w:type="pct"/>
          </w:tcPr>
          <w:p w14:paraId="5E69B069"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1,400,000</w:t>
            </w:r>
          </w:p>
        </w:tc>
        <w:tc>
          <w:tcPr>
            <w:tcW w:w="1142" w:type="pct"/>
          </w:tcPr>
          <w:p w14:paraId="17A18B9B"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0</w:t>
            </w:r>
          </w:p>
        </w:tc>
      </w:tr>
      <w:tr w:rsidR="00394A82" w:rsidRPr="007D5C7B" w14:paraId="1F87A949" w14:textId="77777777" w:rsidTr="0033641F">
        <w:trPr>
          <w:trHeight w:val="600"/>
        </w:trPr>
        <w:tc>
          <w:tcPr>
            <w:tcW w:w="2716" w:type="pct"/>
            <w:hideMark/>
          </w:tcPr>
          <w:p w14:paraId="5536D188"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E-DNA expeditions in marine World Heritage sites</w:t>
            </w:r>
          </w:p>
        </w:tc>
        <w:tc>
          <w:tcPr>
            <w:tcW w:w="1142" w:type="pct"/>
          </w:tcPr>
          <w:p w14:paraId="331138BB"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362,000</w:t>
            </w:r>
          </w:p>
        </w:tc>
        <w:tc>
          <w:tcPr>
            <w:tcW w:w="1142" w:type="pct"/>
          </w:tcPr>
          <w:p w14:paraId="36BA2E1C"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0</w:t>
            </w:r>
          </w:p>
        </w:tc>
      </w:tr>
      <w:tr w:rsidR="00394A82" w:rsidRPr="007D5C7B" w14:paraId="7BC34886" w14:textId="77777777" w:rsidTr="0033641F">
        <w:trPr>
          <w:trHeight w:val="600"/>
        </w:trPr>
        <w:tc>
          <w:tcPr>
            <w:tcW w:w="2716" w:type="pct"/>
            <w:hideMark/>
          </w:tcPr>
          <w:p w14:paraId="32762971"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OBIS 2030 - The biodiversity data hub for the Ocean Decade Actions (OBIS 2030)</w:t>
            </w:r>
            <w:r>
              <w:rPr>
                <w:rFonts w:asciiTheme="minorBidi" w:eastAsia="Times New Roman" w:hAnsiTheme="minorBidi"/>
                <w:color w:val="000000"/>
                <w:sz w:val="20"/>
                <w:szCs w:val="20"/>
                <w:lang w:val="en-US"/>
              </w:rPr>
              <w:t xml:space="preserve"> </w:t>
            </w:r>
            <w:r w:rsidRPr="00461FF4">
              <w:rPr>
                <w:rFonts w:asciiTheme="minorBidi" w:eastAsia="Times New Roman" w:hAnsiTheme="minorBidi"/>
                <w:i/>
                <w:iCs/>
                <w:color w:val="000000"/>
                <w:sz w:val="20"/>
                <w:szCs w:val="20"/>
                <w:lang w:val="en-US"/>
              </w:rPr>
              <w:t>(*newly registered)</w:t>
            </w:r>
          </w:p>
        </w:tc>
        <w:tc>
          <w:tcPr>
            <w:tcW w:w="1142" w:type="pct"/>
          </w:tcPr>
          <w:p w14:paraId="7A20984F"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1,000,000</w:t>
            </w:r>
          </w:p>
        </w:tc>
        <w:tc>
          <w:tcPr>
            <w:tcW w:w="1142" w:type="pct"/>
          </w:tcPr>
          <w:p w14:paraId="4F7FFABF"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2,140,000</w:t>
            </w:r>
          </w:p>
        </w:tc>
      </w:tr>
      <w:tr w:rsidR="00394A82" w:rsidRPr="00A661E5" w14:paraId="203799B3" w14:textId="77777777" w:rsidTr="0033641F">
        <w:trPr>
          <w:trHeight w:val="377"/>
        </w:trPr>
        <w:tc>
          <w:tcPr>
            <w:tcW w:w="2716" w:type="pct"/>
            <w:shd w:val="clear" w:color="auto" w:fill="E7E6E6" w:themeFill="background2"/>
          </w:tcPr>
          <w:p w14:paraId="0DC24667" w14:textId="77777777" w:rsidR="00394A82" w:rsidRPr="00A661E5" w:rsidRDefault="00394A82" w:rsidP="0033641F">
            <w:pPr>
              <w:jc w:val="center"/>
              <w:rPr>
                <w:rFonts w:asciiTheme="minorBidi" w:eastAsia="Times New Roman" w:hAnsiTheme="minorBidi"/>
                <w:b/>
                <w:bCs/>
                <w:i/>
                <w:iCs/>
                <w:color w:val="000000"/>
                <w:sz w:val="20"/>
                <w:szCs w:val="20"/>
                <w:lang w:val="en-US"/>
              </w:rPr>
            </w:pPr>
            <w:r w:rsidRPr="00A661E5">
              <w:rPr>
                <w:rFonts w:asciiTheme="minorBidi" w:eastAsia="Times New Roman" w:hAnsiTheme="minorBidi"/>
                <w:b/>
                <w:bCs/>
                <w:i/>
                <w:iCs/>
                <w:color w:val="000000"/>
                <w:sz w:val="20"/>
                <w:szCs w:val="20"/>
                <w:lang w:val="en-US"/>
              </w:rPr>
              <w:t xml:space="preserve">Endorsed </w:t>
            </w:r>
            <w:r>
              <w:rPr>
                <w:rFonts w:asciiTheme="minorBidi" w:eastAsia="Times New Roman" w:hAnsiTheme="minorBidi"/>
                <w:b/>
                <w:bCs/>
                <w:i/>
                <w:iCs/>
                <w:color w:val="000000"/>
                <w:sz w:val="20"/>
                <w:szCs w:val="20"/>
                <w:lang w:val="en-US"/>
              </w:rPr>
              <w:t xml:space="preserve">Decade </w:t>
            </w:r>
            <w:r w:rsidRPr="00A661E5">
              <w:rPr>
                <w:rFonts w:asciiTheme="minorBidi" w:eastAsia="Times New Roman" w:hAnsiTheme="minorBidi"/>
                <w:b/>
                <w:bCs/>
                <w:i/>
                <w:iCs/>
                <w:color w:val="000000"/>
                <w:sz w:val="20"/>
                <w:szCs w:val="20"/>
                <w:lang w:val="en-US"/>
              </w:rPr>
              <w:t>Contributions</w:t>
            </w:r>
          </w:p>
        </w:tc>
        <w:tc>
          <w:tcPr>
            <w:tcW w:w="1142" w:type="pct"/>
            <w:shd w:val="clear" w:color="auto" w:fill="E7E6E6" w:themeFill="background2"/>
          </w:tcPr>
          <w:p w14:paraId="71138B7F" w14:textId="77777777" w:rsidR="00394A82" w:rsidRPr="00A661E5" w:rsidRDefault="00394A82" w:rsidP="0033641F">
            <w:pPr>
              <w:jc w:val="center"/>
              <w:rPr>
                <w:rFonts w:asciiTheme="minorBidi" w:eastAsia="Times New Roman" w:hAnsiTheme="minorBidi"/>
                <w:i/>
                <w:iCs/>
                <w:color w:val="000000"/>
                <w:sz w:val="20"/>
                <w:szCs w:val="20"/>
              </w:rPr>
            </w:pPr>
          </w:p>
        </w:tc>
        <w:tc>
          <w:tcPr>
            <w:tcW w:w="1142" w:type="pct"/>
            <w:shd w:val="clear" w:color="auto" w:fill="E7E6E6" w:themeFill="background2"/>
          </w:tcPr>
          <w:p w14:paraId="15DB7C2D" w14:textId="77777777" w:rsidR="00394A82" w:rsidRPr="00A661E5" w:rsidRDefault="00394A82" w:rsidP="0033641F">
            <w:pPr>
              <w:jc w:val="center"/>
              <w:rPr>
                <w:rFonts w:asciiTheme="minorBidi" w:eastAsia="Times New Roman" w:hAnsiTheme="minorBidi"/>
                <w:i/>
                <w:iCs/>
                <w:color w:val="000000"/>
                <w:sz w:val="20"/>
                <w:szCs w:val="20"/>
              </w:rPr>
            </w:pPr>
          </w:p>
        </w:tc>
      </w:tr>
      <w:tr w:rsidR="00394A82" w:rsidRPr="000E4AE2" w14:paraId="4EDAE23A" w14:textId="77777777" w:rsidTr="0033641F">
        <w:trPr>
          <w:trHeight w:val="600"/>
        </w:trPr>
        <w:tc>
          <w:tcPr>
            <w:tcW w:w="2716" w:type="pct"/>
            <w:hideMark/>
          </w:tcPr>
          <w:p w14:paraId="10102938"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Decade Coordination Office for the Western Pacific</w:t>
            </w:r>
          </w:p>
        </w:tc>
        <w:tc>
          <w:tcPr>
            <w:tcW w:w="1142" w:type="pct"/>
          </w:tcPr>
          <w:p w14:paraId="5709FDDE" w14:textId="77777777" w:rsidR="00394A82" w:rsidRPr="00A661E5"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239,000</w:t>
            </w:r>
          </w:p>
        </w:tc>
        <w:tc>
          <w:tcPr>
            <w:tcW w:w="1142" w:type="pct"/>
          </w:tcPr>
          <w:p w14:paraId="355D1427"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 xml:space="preserve">Resources fully secured </w:t>
            </w:r>
          </w:p>
        </w:tc>
      </w:tr>
      <w:tr w:rsidR="00394A82" w:rsidRPr="000E4AE2" w14:paraId="3573DAEB" w14:textId="77777777" w:rsidTr="0033641F">
        <w:trPr>
          <w:trHeight w:val="600"/>
        </w:trPr>
        <w:tc>
          <w:tcPr>
            <w:tcW w:w="2716" w:type="pct"/>
            <w:hideMark/>
          </w:tcPr>
          <w:p w14:paraId="3E259E8A"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Decade Coordination Office for Ocean Observing</w:t>
            </w:r>
          </w:p>
        </w:tc>
        <w:tc>
          <w:tcPr>
            <w:tcW w:w="1142" w:type="pct"/>
          </w:tcPr>
          <w:p w14:paraId="443FFB4F" w14:textId="77777777" w:rsidR="00394A82" w:rsidRPr="00A661E5" w:rsidRDefault="00394A82" w:rsidP="0033641F">
            <w:pPr>
              <w:jc w:val="center"/>
              <w:rPr>
                <w:rFonts w:asciiTheme="minorBidi" w:eastAsia="Times New Roman" w:hAnsiTheme="minorBidi"/>
                <w:color w:val="000000"/>
                <w:sz w:val="20"/>
                <w:szCs w:val="20"/>
                <w:lang w:val="en-US"/>
              </w:rPr>
            </w:pPr>
            <w:r w:rsidRPr="00A661E5">
              <w:rPr>
                <w:rFonts w:asciiTheme="minorBidi" w:eastAsia="Times New Roman" w:hAnsiTheme="minorBidi"/>
                <w:color w:val="000000"/>
                <w:sz w:val="20"/>
                <w:szCs w:val="20"/>
                <w:lang w:val="en-US"/>
              </w:rPr>
              <w:t>100,000</w:t>
            </w:r>
          </w:p>
        </w:tc>
        <w:tc>
          <w:tcPr>
            <w:tcW w:w="1142" w:type="pct"/>
          </w:tcPr>
          <w:p w14:paraId="6598E41B"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680,000</w:t>
            </w:r>
          </w:p>
        </w:tc>
      </w:tr>
      <w:tr w:rsidR="00394A82" w:rsidRPr="000E4AE2" w14:paraId="6A36310E" w14:textId="77777777" w:rsidTr="0033641F">
        <w:trPr>
          <w:trHeight w:val="600"/>
        </w:trPr>
        <w:tc>
          <w:tcPr>
            <w:tcW w:w="2716" w:type="pct"/>
            <w:hideMark/>
          </w:tcPr>
          <w:p w14:paraId="38A22D8E" w14:textId="77777777" w:rsidR="00394A82" w:rsidRPr="000E4AE2" w:rsidRDefault="00394A82" w:rsidP="0033641F">
            <w:pPr>
              <w:rPr>
                <w:rFonts w:asciiTheme="minorBidi" w:eastAsia="Times New Roman" w:hAnsiTheme="minorBidi"/>
                <w:color w:val="000000"/>
                <w:sz w:val="20"/>
                <w:szCs w:val="20"/>
                <w:lang w:val="en-US"/>
              </w:rPr>
            </w:pPr>
            <w:r w:rsidRPr="000E4AE2">
              <w:rPr>
                <w:rFonts w:asciiTheme="minorBidi" w:eastAsia="Times New Roman" w:hAnsiTheme="minorBidi"/>
                <w:color w:val="000000"/>
                <w:sz w:val="20"/>
                <w:szCs w:val="20"/>
                <w:lang w:val="en-US"/>
              </w:rPr>
              <w:t>Decade Coordination Office for Ocean Data Sharing</w:t>
            </w:r>
          </w:p>
        </w:tc>
        <w:tc>
          <w:tcPr>
            <w:tcW w:w="1142" w:type="pct"/>
          </w:tcPr>
          <w:p w14:paraId="40BA85AA" w14:textId="77777777" w:rsidR="00394A82" w:rsidRPr="00A661E5" w:rsidRDefault="00394A82" w:rsidP="0033641F">
            <w:pPr>
              <w:jc w:val="center"/>
              <w:rPr>
                <w:rFonts w:asciiTheme="minorBidi" w:eastAsia="Times New Roman" w:hAnsiTheme="minorBidi"/>
                <w:color w:val="000000"/>
                <w:sz w:val="20"/>
                <w:szCs w:val="20"/>
                <w:lang w:val="en-US"/>
              </w:rPr>
            </w:pPr>
            <w:r w:rsidRPr="00A661E5">
              <w:rPr>
                <w:rFonts w:asciiTheme="minorBidi" w:eastAsia="Times New Roman" w:hAnsiTheme="minorBidi"/>
                <w:color w:val="000000"/>
                <w:sz w:val="20"/>
                <w:szCs w:val="20"/>
                <w:lang w:val="en-US"/>
              </w:rPr>
              <w:t>100,000</w:t>
            </w:r>
          </w:p>
        </w:tc>
        <w:tc>
          <w:tcPr>
            <w:tcW w:w="1142" w:type="pct"/>
          </w:tcPr>
          <w:p w14:paraId="4EA6A5DF" w14:textId="77777777" w:rsidR="00394A82" w:rsidRPr="000E4AE2" w:rsidRDefault="00394A82" w:rsidP="0033641F">
            <w:pPr>
              <w:jc w:val="center"/>
              <w:rPr>
                <w:rFonts w:asciiTheme="minorBidi" w:eastAsia="Times New Roman" w:hAnsiTheme="minorBidi"/>
                <w:color w:val="000000"/>
                <w:sz w:val="20"/>
                <w:szCs w:val="20"/>
                <w:lang w:val="en-US"/>
              </w:rPr>
            </w:pPr>
            <w:r>
              <w:rPr>
                <w:rFonts w:asciiTheme="minorBidi" w:eastAsia="Times New Roman" w:hAnsiTheme="minorBidi"/>
                <w:color w:val="000000"/>
                <w:sz w:val="20"/>
                <w:szCs w:val="20"/>
                <w:lang w:val="en-US"/>
              </w:rPr>
              <w:t>570,000</w:t>
            </w:r>
          </w:p>
        </w:tc>
      </w:tr>
    </w:tbl>
    <w:p w14:paraId="0578C617" w14:textId="77777777" w:rsidR="00417999" w:rsidRDefault="00417999" w:rsidP="00417999">
      <w:pPr>
        <w:tabs>
          <w:tab w:val="left" w:pos="2766"/>
        </w:tabs>
        <w:rPr>
          <w:rFonts w:asciiTheme="minorBidi" w:hAnsiTheme="minorBidi" w:cstheme="minorBidi"/>
          <w:color w:val="000000"/>
          <w:lang w:val="en-US"/>
        </w:rPr>
      </w:pPr>
    </w:p>
    <w:p w14:paraId="055422D2" w14:textId="44EDE549" w:rsidR="00417999" w:rsidRDefault="00394A82" w:rsidP="00417999">
      <w:pPr>
        <w:tabs>
          <w:tab w:val="left" w:pos="2766"/>
        </w:tabs>
        <w:jc w:val="both"/>
        <w:rPr>
          <w:rFonts w:asciiTheme="minorBidi" w:hAnsiTheme="minorBidi" w:cstheme="minorBidi"/>
          <w:color w:val="000000"/>
          <w:lang w:val="en-US"/>
        </w:rPr>
      </w:pPr>
      <w:r w:rsidRPr="00CF72DB">
        <w:rPr>
          <w:rFonts w:asciiTheme="minorBidi" w:hAnsiTheme="minorBidi" w:cstheme="minorBidi"/>
          <w:color w:val="000000"/>
          <w:lang w:val="en-US"/>
        </w:rPr>
        <w:t>Based on available information, IOC-led Deca</w:t>
      </w:r>
      <w:r>
        <w:rPr>
          <w:rFonts w:asciiTheme="minorBidi" w:hAnsiTheme="minorBidi" w:cstheme="minorBidi"/>
          <w:color w:val="000000"/>
          <w:lang w:val="en-US"/>
        </w:rPr>
        <w:t>de programmes and projects have a combined secured annual budget in the order of USD </w:t>
      </w:r>
      <w:r w:rsidRPr="00FD02E5">
        <w:rPr>
          <w:rFonts w:asciiTheme="minorBidi" w:hAnsiTheme="minorBidi" w:cstheme="minorBidi"/>
          <w:color w:val="000000"/>
          <w:lang w:val="en-US"/>
        </w:rPr>
        <w:t>7,</w:t>
      </w:r>
      <w:r w:rsidR="00D82F5A" w:rsidRPr="00FD02E5">
        <w:rPr>
          <w:rFonts w:asciiTheme="minorBidi" w:hAnsiTheme="minorBidi" w:cstheme="minorBidi"/>
          <w:color w:val="000000"/>
          <w:lang w:val="en-US"/>
        </w:rPr>
        <w:t>6</w:t>
      </w:r>
      <w:r w:rsidRPr="00FD02E5">
        <w:rPr>
          <w:rFonts w:asciiTheme="minorBidi" w:hAnsiTheme="minorBidi" w:cstheme="minorBidi"/>
          <w:color w:val="000000"/>
          <w:lang w:val="en-US"/>
        </w:rPr>
        <w:t>00,000.</w:t>
      </w:r>
      <w:r>
        <w:rPr>
          <w:rFonts w:asciiTheme="minorBidi" w:hAnsiTheme="minorBidi" w:cstheme="minorBidi"/>
          <w:color w:val="000000"/>
          <w:lang w:val="en-US"/>
        </w:rPr>
        <w:t xml:space="preserve"> The annual resource gap for the full implementation of IOC-led Decade programmes and projects is in the order of USD </w:t>
      </w:r>
      <w:r w:rsidR="00D82F5A" w:rsidRPr="00FD02E5">
        <w:rPr>
          <w:rFonts w:asciiTheme="minorBidi" w:hAnsiTheme="minorBidi" w:cstheme="minorBidi"/>
          <w:color w:val="000000"/>
          <w:lang w:val="en-US"/>
        </w:rPr>
        <w:t>13</w:t>
      </w:r>
      <w:r w:rsidRPr="00FD02E5">
        <w:rPr>
          <w:rFonts w:asciiTheme="minorBidi" w:hAnsiTheme="minorBidi" w:cstheme="minorBidi"/>
          <w:color w:val="000000"/>
          <w:lang w:val="en-US"/>
        </w:rPr>
        <w:t>,300,000.</w:t>
      </w:r>
      <w:r>
        <w:rPr>
          <w:rFonts w:asciiTheme="minorBidi" w:hAnsiTheme="minorBidi" w:cstheme="minorBidi"/>
          <w:color w:val="000000"/>
          <w:lang w:val="en-US"/>
        </w:rPr>
        <w:t xml:space="preserve"> The three DCOs have a combined secured annual budget of USD439,000, and an annual resource gap of USD 1,250,000.</w:t>
      </w:r>
    </w:p>
    <w:p w14:paraId="087DAF51" w14:textId="77777777" w:rsidR="00417999" w:rsidRDefault="00417999" w:rsidP="00417999">
      <w:pPr>
        <w:tabs>
          <w:tab w:val="left" w:pos="2766"/>
        </w:tabs>
        <w:jc w:val="both"/>
        <w:rPr>
          <w:rFonts w:asciiTheme="minorBidi" w:hAnsiTheme="minorBidi" w:cstheme="minorBidi"/>
          <w:color w:val="000000"/>
          <w:lang w:val="en-US"/>
        </w:rPr>
      </w:pPr>
    </w:p>
    <w:p w14:paraId="58BB7464" w14:textId="75820ACA" w:rsidR="00417999" w:rsidRPr="00173B23" w:rsidRDefault="00417999" w:rsidP="00417999">
      <w:pPr>
        <w:tabs>
          <w:tab w:val="left" w:pos="2766"/>
        </w:tabs>
        <w:spacing w:after="120"/>
        <w:jc w:val="both"/>
        <w:rPr>
          <w:rFonts w:asciiTheme="minorBidi" w:hAnsiTheme="minorBidi" w:cstheme="minorBidi"/>
          <w:color w:val="000000"/>
          <w:lang w:val="en-US"/>
        </w:rPr>
      </w:pPr>
      <w:r w:rsidRPr="00173B23">
        <w:rPr>
          <w:rFonts w:asciiTheme="minorBidi" w:hAnsiTheme="minorBidi" w:cstheme="minorBidi"/>
          <w:color w:val="000000"/>
          <w:lang w:val="en-US"/>
        </w:rPr>
        <w:t>In addition to the above, IOC has a substantive engagement in the following endorsed Decade programmes:</w:t>
      </w:r>
    </w:p>
    <w:p w14:paraId="330526F0" w14:textId="77777777" w:rsidR="00417999" w:rsidRPr="009C13D5" w:rsidRDefault="00417999" w:rsidP="00417999">
      <w:pPr>
        <w:pStyle w:val="ListParagraph"/>
        <w:widowControl/>
        <w:numPr>
          <w:ilvl w:val="0"/>
          <w:numId w:val="4"/>
        </w:numPr>
        <w:tabs>
          <w:tab w:val="clear" w:pos="567"/>
        </w:tabs>
        <w:adjustRightInd/>
        <w:snapToGrid/>
        <w:spacing w:after="120" w:line="240" w:lineRule="auto"/>
        <w:contextualSpacing w:val="0"/>
        <w:textAlignment w:val="auto"/>
        <w:rPr>
          <w:rFonts w:cs="Arial"/>
          <w:i/>
        </w:rPr>
      </w:pPr>
      <w:r w:rsidRPr="009C13D5">
        <w:rPr>
          <w:rFonts w:cs="Arial"/>
        </w:rPr>
        <w:t xml:space="preserve">Global Ocean Oxygen Decade (Lead institution(s): GEOMAR Helmholtz Centre for Ocean Research Kiel, on behalf of the Global Ocean Oxygen Network (GO2NE), Lead IOC Programme: </w:t>
      </w:r>
      <w:r w:rsidRPr="009C13D5">
        <w:rPr>
          <w:rFonts w:cs="Arial"/>
          <w:iCs/>
        </w:rPr>
        <w:t>Ocean Science Section)</w:t>
      </w:r>
    </w:p>
    <w:p w14:paraId="67B3A17F" w14:textId="77777777" w:rsidR="00417999" w:rsidRPr="009C13D5" w:rsidRDefault="00417999" w:rsidP="00417999">
      <w:pPr>
        <w:pStyle w:val="ListParagraph"/>
        <w:widowControl/>
        <w:numPr>
          <w:ilvl w:val="0"/>
          <w:numId w:val="4"/>
        </w:numPr>
        <w:tabs>
          <w:tab w:val="clear" w:pos="567"/>
        </w:tabs>
        <w:adjustRightInd/>
        <w:snapToGrid/>
        <w:spacing w:after="120" w:line="240" w:lineRule="auto"/>
        <w:contextualSpacing w:val="0"/>
        <w:textAlignment w:val="auto"/>
        <w:rPr>
          <w:rFonts w:cs="Arial"/>
          <w:iCs/>
        </w:rPr>
      </w:pPr>
      <w:proofErr w:type="spellStart"/>
      <w:r w:rsidRPr="009C13D5">
        <w:rPr>
          <w:rFonts w:cs="Arial"/>
        </w:rPr>
        <w:t>CoastPredict</w:t>
      </w:r>
      <w:proofErr w:type="spellEnd"/>
      <w:r w:rsidRPr="009C13D5">
        <w:rPr>
          <w:rFonts w:cs="Arial"/>
        </w:rPr>
        <w:t xml:space="preserve"> - Observing and Predicting the Global Coastal Ocean (Lead institution(s): Alma </w:t>
      </w:r>
      <w:r w:rsidRPr="009C13D5">
        <w:rPr>
          <w:rFonts w:cs="Arial"/>
          <w:iCs/>
        </w:rPr>
        <w:t xml:space="preserve">Mater </w:t>
      </w:r>
      <w:proofErr w:type="spellStart"/>
      <w:r w:rsidRPr="009C13D5">
        <w:rPr>
          <w:rFonts w:cs="Arial"/>
          <w:iCs/>
        </w:rPr>
        <w:t>Studiorum</w:t>
      </w:r>
      <w:proofErr w:type="spellEnd"/>
      <w:r w:rsidRPr="009C13D5">
        <w:rPr>
          <w:rFonts w:cs="Arial"/>
          <w:iCs/>
        </w:rPr>
        <w:t>, University of Bologna, Lead IOC Programme: The Global Ocean Observing System (GOOS))</w:t>
      </w:r>
    </w:p>
    <w:p w14:paraId="71477CF2" w14:textId="77777777" w:rsidR="00417999" w:rsidRPr="009C13D5" w:rsidRDefault="00417999" w:rsidP="00417999">
      <w:pPr>
        <w:pStyle w:val="ListParagraph"/>
        <w:widowControl/>
        <w:numPr>
          <w:ilvl w:val="0"/>
          <w:numId w:val="4"/>
        </w:numPr>
        <w:tabs>
          <w:tab w:val="clear" w:pos="567"/>
        </w:tabs>
        <w:adjustRightInd/>
        <w:snapToGrid/>
        <w:spacing w:after="240" w:line="240" w:lineRule="auto"/>
        <w:ind w:left="714" w:hanging="357"/>
        <w:textAlignment w:val="auto"/>
        <w:rPr>
          <w:rFonts w:cs="Arial"/>
          <w:iCs/>
        </w:rPr>
      </w:pPr>
      <w:r w:rsidRPr="009C13D5">
        <w:rPr>
          <w:rFonts w:cs="Arial"/>
          <w:iCs/>
        </w:rPr>
        <w:t>Global Ocean Decade Programme for Blue Carbon (GO-BC) (Lead institution: The University of St Andrews - United Kingdom of Great Britain and Northern Ireland (UK), Lead IOC Programme: Ocean Science Section)</w:t>
      </w:r>
    </w:p>
    <w:p w14:paraId="5E913AC3" w14:textId="77777777" w:rsidR="00417999" w:rsidRPr="00461FF4" w:rsidRDefault="00417999" w:rsidP="00417999">
      <w:pPr>
        <w:tabs>
          <w:tab w:val="left" w:pos="2766"/>
        </w:tabs>
        <w:jc w:val="both"/>
        <w:rPr>
          <w:rFonts w:asciiTheme="minorBidi" w:hAnsiTheme="minorBidi" w:cstheme="minorBidi"/>
          <w:b/>
          <w:bCs/>
          <w:color w:val="000000"/>
          <w:lang w:val="en-US"/>
        </w:rPr>
      </w:pPr>
      <w:r w:rsidRPr="00461FF4">
        <w:rPr>
          <w:rFonts w:asciiTheme="minorBidi" w:hAnsiTheme="minorBidi" w:cstheme="minorBidi"/>
          <w:b/>
          <w:bCs/>
          <w:color w:val="000000"/>
          <w:lang w:val="en-US"/>
        </w:rPr>
        <w:t xml:space="preserve">Coordination Costs for the Ocean Decade </w:t>
      </w:r>
    </w:p>
    <w:p w14:paraId="04882595" w14:textId="77777777" w:rsidR="00417999" w:rsidRPr="00CF72DB" w:rsidRDefault="00417999" w:rsidP="00417999">
      <w:pPr>
        <w:tabs>
          <w:tab w:val="left" w:pos="2766"/>
        </w:tabs>
        <w:jc w:val="both"/>
        <w:rPr>
          <w:rFonts w:asciiTheme="minorBidi" w:hAnsiTheme="minorBidi" w:cstheme="minorBidi"/>
          <w:color w:val="000000"/>
          <w:lang w:val="en-US"/>
        </w:rPr>
      </w:pPr>
    </w:p>
    <w:p w14:paraId="76167754" w14:textId="77777777" w:rsidR="00417999" w:rsidRPr="00CD5F7E" w:rsidRDefault="00417999" w:rsidP="00417999">
      <w:pPr>
        <w:pStyle w:val="ParaCOI"/>
        <w:shd w:val="clear" w:color="auto" w:fill="FFFFFF"/>
        <w:tabs>
          <w:tab w:val="clear" w:pos="709"/>
          <w:tab w:val="left" w:pos="0"/>
        </w:tabs>
        <w:rPr>
          <w:rFonts w:cs="Arial"/>
        </w:rPr>
      </w:pPr>
      <w:r w:rsidRPr="00CD5F7E">
        <w:rPr>
          <w:rFonts w:cs="Arial"/>
        </w:rPr>
        <w:t>The Decade Coordination Unit (DCU) is housed within the IOC Secretariat and comprises two part-time regular programme staff, full time secondment</w:t>
      </w:r>
      <w:r>
        <w:rPr>
          <w:rFonts w:cs="Arial"/>
        </w:rPr>
        <w:t>s</w:t>
      </w:r>
      <w:r w:rsidRPr="00CD5F7E">
        <w:rPr>
          <w:rFonts w:cs="Arial"/>
        </w:rPr>
        <w:t xml:space="preserve"> from France</w:t>
      </w:r>
      <w:r>
        <w:rPr>
          <w:rFonts w:cs="Arial"/>
        </w:rPr>
        <w:t xml:space="preserve"> and Japan</w:t>
      </w:r>
      <w:r w:rsidRPr="00CD5F7E">
        <w:rPr>
          <w:rFonts w:cs="Arial"/>
        </w:rPr>
        <w:t>, one full loan from Fugro</w:t>
      </w:r>
      <w:r>
        <w:rPr>
          <w:rFonts w:cs="Arial"/>
        </w:rPr>
        <w:t>, three project appointment (PA) staff, and eight</w:t>
      </w:r>
      <w:r w:rsidRPr="00CD5F7E">
        <w:rPr>
          <w:rFonts w:cs="Arial"/>
        </w:rPr>
        <w:t xml:space="preserve"> consultants supported by extra-budgetary resources. Excluding the costs of regular programme staff, the current operational costs of the DCU are in the order of USD </w:t>
      </w:r>
      <w:r>
        <w:rPr>
          <w:rFonts w:cs="Arial"/>
        </w:rPr>
        <w:t>1.3 million</w:t>
      </w:r>
      <w:r w:rsidRPr="00CD5F7E">
        <w:rPr>
          <w:rFonts w:cs="Arial"/>
        </w:rPr>
        <w:t xml:space="preserve"> / year. However, as widely recognised in previous reporting on </w:t>
      </w:r>
      <w:r w:rsidRPr="00CD5F7E">
        <w:rPr>
          <w:rFonts w:cs="Arial"/>
        </w:rPr>
        <w:lastRenderedPageBreak/>
        <w:t xml:space="preserve">the status of Decade implementation, the DCU team is under-resourced for the functions that it is required to play. This amount therefore represents the lower end of the envelope required for full and effective functioning of the DCU. </w:t>
      </w:r>
    </w:p>
    <w:p w14:paraId="56ECC62E" w14:textId="18E4EF75" w:rsidR="00417999" w:rsidRPr="00CF72DB" w:rsidRDefault="00417999" w:rsidP="00417999">
      <w:pPr>
        <w:pStyle w:val="ParaCOI"/>
        <w:shd w:val="clear" w:color="auto" w:fill="FFFFFF"/>
        <w:tabs>
          <w:tab w:val="clear" w:pos="709"/>
          <w:tab w:val="left" w:pos="0"/>
        </w:tabs>
        <w:rPr>
          <w:rFonts w:asciiTheme="minorBidi" w:hAnsiTheme="minorBidi" w:cstheme="minorBidi"/>
          <w:color w:val="000000"/>
          <w:lang w:val="en-US"/>
        </w:rPr>
      </w:pPr>
      <w:r w:rsidRPr="00CD5F7E">
        <w:rPr>
          <w:rFonts w:cs="Arial"/>
        </w:rPr>
        <w:t xml:space="preserve">While the extrabudgetary resources provided by Member States to support consultants are fundamental to the operation of the DCU, the unpredictable nature of extrabudgetary support affects the DCU’s ability to attract and retain key staff over the long-term. Urgent financial or in-kind support is needed to fill these crucial positions </w:t>
      </w:r>
      <w:proofErr w:type="gramStart"/>
      <w:r w:rsidRPr="00CD5F7E">
        <w:rPr>
          <w:rFonts w:cs="Arial"/>
        </w:rPr>
        <w:t>and also</w:t>
      </w:r>
      <w:proofErr w:type="gramEnd"/>
      <w:r w:rsidRPr="00CD5F7E">
        <w:rPr>
          <w:rFonts w:cs="Arial"/>
        </w:rPr>
        <w:t xml:space="preserve"> to increase the security of consultant positions within the team. </w:t>
      </w:r>
    </w:p>
    <w:p w14:paraId="547BA581" w14:textId="77777777" w:rsidR="00417999" w:rsidRDefault="00417999" w:rsidP="00417999">
      <w:pPr>
        <w:rPr>
          <w:rFonts w:asciiTheme="minorBidi" w:hAnsiTheme="minorBidi" w:cstheme="minorBidi"/>
          <w:b/>
          <w:bCs/>
          <w:lang w:val="en-US"/>
        </w:rPr>
      </w:pPr>
      <w:r w:rsidRPr="000E4AE2">
        <w:rPr>
          <w:rFonts w:asciiTheme="minorBidi" w:hAnsiTheme="minorBidi" w:cstheme="minorBidi"/>
          <w:b/>
          <w:bCs/>
          <w:lang w:val="en-US"/>
        </w:rPr>
        <w:t>Planned IOC-led Decade Actions &amp; Resource Needs</w:t>
      </w:r>
    </w:p>
    <w:p w14:paraId="26893B0E" w14:textId="77777777" w:rsidR="00417999" w:rsidRDefault="00417999" w:rsidP="00417999">
      <w:pPr>
        <w:rPr>
          <w:rFonts w:asciiTheme="minorBidi" w:hAnsiTheme="minorBidi" w:cstheme="minorBidi"/>
          <w:b/>
          <w:bCs/>
          <w:lang w:val="en-US"/>
        </w:rPr>
      </w:pPr>
    </w:p>
    <w:p w14:paraId="79AB3EDB" w14:textId="77777777" w:rsidR="00417999" w:rsidRDefault="00417999" w:rsidP="00417999">
      <w:pPr>
        <w:jc w:val="both"/>
        <w:rPr>
          <w:rFonts w:asciiTheme="minorBidi" w:hAnsiTheme="minorBidi" w:cstheme="minorBidi"/>
          <w:lang w:val="en-US"/>
        </w:rPr>
      </w:pPr>
      <w:r>
        <w:rPr>
          <w:rFonts w:asciiTheme="minorBidi" w:hAnsiTheme="minorBidi" w:cstheme="minorBidi"/>
          <w:lang w:val="en-US"/>
        </w:rPr>
        <w:t xml:space="preserve">In addition to the existing Decade Actions, two other substantive IOC-led Decade Actions are in the scoping phase, namely the Africa Decade Coordination Office (DCO) that would be based in the IOCAFRICA Secretariat, and the Tropical Americas and Caribbean Decade Coordination Office that would be based in the IOCARIBE Secretariat. Establishment of these two DCOs would have the dual advantage of: (i) providing robust Decade decentralized coordination structures in priority areas where there is currently low engagement in the Decade and a clear need for increased coordination and stimulus of new initiatives; (ii) contributing to the strengthened positioning and role of IOC as the lead UN agency in ocean science during and following the legacy in these regions through increased staff capacity, partnerships and visibility. </w:t>
      </w:r>
    </w:p>
    <w:p w14:paraId="39974F4B" w14:textId="77777777" w:rsidR="00417999" w:rsidRDefault="00417999" w:rsidP="00417999">
      <w:pPr>
        <w:jc w:val="both"/>
        <w:rPr>
          <w:rFonts w:asciiTheme="minorBidi" w:hAnsiTheme="minorBidi" w:cstheme="minorBidi"/>
          <w:lang w:val="en-US"/>
        </w:rPr>
      </w:pPr>
    </w:p>
    <w:p w14:paraId="7CC9D446" w14:textId="6A81D6D1" w:rsidR="00417999" w:rsidRDefault="00417999" w:rsidP="00417999">
      <w:pPr>
        <w:jc w:val="both"/>
        <w:rPr>
          <w:rFonts w:asciiTheme="minorBidi" w:hAnsiTheme="minorBidi" w:cstheme="minorBidi"/>
          <w:lang w:val="en-US"/>
        </w:rPr>
      </w:pPr>
      <w:r>
        <w:rPr>
          <w:rFonts w:asciiTheme="minorBidi" w:hAnsiTheme="minorBidi" w:cstheme="minorBidi"/>
          <w:lang w:val="en-US"/>
        </w:rPr>
        <w:t xml:space="preserve">Both these DCOs are at similar stages of the planning. Initial scoping studies for each DCO were discussed at the IOCAFRICA meeting (March 2023) and the IOCARIBE meeting (May 2023) and the proposals received the support of Member States in those meetings. To date, neither of the DCOs has any secured budget. Initial annual budget estimates have been prepared for each DCO as summarized in the below table. These estimates are for the fully staffed and operational DCO, although in practical terms, DCOs could be built out in a progressive manner allowing resource needs to be progressively secured. Resource needs are presented in USD; however, a significant proportion of the resource needs of each DCO could be met through the provision of in-kind resources (e.g., staff loans or secondments). </w:t>
      </w:r>
    </w:p>
    <w:p w14:paraId="65E16E13" w14:textId="77777777" w:rsidR="00417999" w:rsidRDefault="00417999" w:rsidP="00417999">
      <w:pPr>
        <w:jc w:val="both"/>
        <w:rPr>
          <w:rFonts w:asciiTheme="minorBidi" w:hAnsiTheme="minorBidi" w:cstheme="minorBidi"/>
          <w:lang w:val="en-US"/>
        </w:rPr>
      </w:pPr>
    </w:p>
    <w:tbl>
      <w:tblPr>
        <w:tblStyle w:val="TableGrid"/>
        <w:tblW w:w="0" w:type="auto"/>
        <w:tblLook w:val="04A0" w:firstRow="1" w:lastRow="0" w:firstColumn="1" w:lastColumn="0" w:noHBand="0" w:noVBand="1"/>
      </w:tblPr>
      <w:tblGrid>
        <w:gridCol w:w="5718"/>
        <w:gridCol w:w="3419"/>
      </w:tblGrid>
      <w:tr w:rsidR="00417999" w:rsidRPr="00D62AE8" w14:paraId="7120629F" w14:textId="77777777" w:rsidTr="0033641F">
        <w:tc>
          <w:tcPr>
            <w:tcW w:w="0" w:type="auto"/>
          </w:tcPr>
          <w:p w14:paraId="1448B76E" w14:textId="77777777" w:rsidR="00417999" w:rsidRPr="00D62AE8" w:rsidRDefault="00417999" w:rsidP="0033641F">
            <w:pPr>
              <w:jc w:val="center"/>
              <w:rPr>
                <w:rFonts w:asciiTheme="minorBidi" w:hAnsiTheme="minorBidi"/>
                <w:b/>
                <w:bCs/>
                <w:lang w:val="en-US"/>
              </w:rPr>
            </w:pPr>
            <w:r w:rsidRPr="00D62AE8">
              <w:rPr>
                <w:rFonts w:asciiTheme="minorBidi" w:hAnsiTheme="minorBidi"/>
                <w:b/>
                <w:bCs/>
                <w:lang w:val="en-US"/>
              </w:rPr>
              <w:t>DCO</w:t>
            </w:r>
          </w:p>
        </w:tc>
        <w:tc>
          <w:tcPr>
            <w:tcW w:w="0" w:type="auto"/>
          </w:tcPr>
          <w:p w14:paraId="44B1B959" w14:textId="77777777" w:rsidR="00417999" w:rsidRPr="00D62AE8" w:rsidRDefault="00417999" w:rsidP="0033641F">
            <w:pPr>
              <w:jc w:val="center"/>
              <w:rPr>
                <w:rFonts w:asciiTheme="minorBidi" w:hAnsiTheme="minorBidi"/>
                <w:b/>
                <w:bCs/>
                <w:lang w:val="en-US"/>
              </w:rPr>
            </w:pPr>
            <w:r w:rsidRPr="00D62AE8">
              <w:rPr>
                <w:rFonts w:asciiTheme="minorBidi" w:hAnsiTheme="minorBidi"/>
                <w:b/>
                <w:bCs/>
                <w:lang w:val="en-US"/>
              </w:rPr>
              <w:t>Annual Resource Needs (USD)</w:t>
            </w:r>
          </w:p>
        </w:tc>
      </w:tr>
      <w:tr w:rsidR="00417999" w14:paraId="5DFAEE91" w14:textId="77777777" w:rsidTr="0033641F">
        <w:tc>
          <w:tcPr>
            <w:tcW w:w="0" w:type="auto"/>
          </w:tcPr>
          <w:p w14:paraId="02745F0F" w14:textId="77777777" w:rsidR="00417999" w:rsidRDefault="00417999" w:rsidP="0033641F">
            <w:pPr>
              <w:jc w:val="both"/>
              <w:rPr>
                <w:rFonts w:asciiTheme="minorBidi" w:hAnsiTheme="minorBidi"/>
                <w:lang w:val="en-US"/>
              </w:rPr>
            </w:pPr>
            <w:r>
              <w:rPr>
                <w:rFonts w:asciiTheme="minorBidi" w:hAnsiTheme="minorBidi"/>
                <w:lang w:val="en-US"/>
              </w:rPr>
              <w:t>Africa DCO (IOCAFRICA)</w:t>
            </w:r>
          </w:p>
        </w:tc>
        <w:tc>
          <w:tcPr>
            <w:tcW w:w="0" w:type="auto"/>
          </w:tcPr>
          <w:p w14:paraId="456F6823" w14:textId="77777777" w:rsidR="00417999" w:rsidRDefault="00417999" w:rsidP="0033641F">
            <w:pPr>
              <w:jc w:val="both"/>
              <w:rPr>
                <w:rFonts w:asciiTheme="minorBidi" w:hAnsiTheme="minorBidi"/>
                <w:lang w:val="en-US"/>
              </w:rPr>
            </w:pPr>
            <w:r>
              <w:rPr>
                <w:rFonts w:asciiTheme="minorBidi" w:hAnsiTheme="minorBidi"/>
                <w:lang w:val="en-US"/>
              </w:rPr>
              <w:t>404,000</w:t>
            </w:r>
          </w:p>
        </w:tc>
      </w:tr>
      <w:tr w:rsidR="00417999" w:rsidRPr="00D62AE8" w14:paraId="0FBC20CD" w14:textId="77777777" w:rsidTr="0033641F">
        <w:tc>
          <w:tcPr>
            <w:tcW w:w="0" w:type="auto"/>
          </w:tcPr>
          <w:p w14:paraId="7E9F1813" w14:textId="77777777" w:rsidR="00417999" w:rsidRPr="00D62AE8" w:rsidRDefault="00417999" w:rsidP="0033641F">
            <w:pPr>
              <w:jc w:val="both"/>
              <w:rPr>
                <w:rFonts w:asciiTheme="minorBidi" w:hAnsiTheme="minorBidi"/>
                <w:lang w:val="es-ES"/>
              </w:rPr>
            </w:pPr>
            <w:r w:rsidRPr="00D62AE8">
              <w:rPr>
                <w:rFonts w:asciiTheme="minorBidi" w:hAnsiTheme="minorBidi"/>
                <w:lang w:val="es-ES"/>
              </w:rPr>
              <w:t xml:space="preserve">Tropical </w:t>
            </w:r>
            <w:proofErr w:type="spellStart"/>
            <w:r w:rsidRPr="00D62AE8">
              <w:rPr>
                <w:rFonts w:asciiTheme="minorBidi" w:hAnsiTheme="minorBidi"/>
                <w:lang w:val="es-ES"/>
              </w:rPr>
              <w:t>Americas</w:t>
            </w:r>
            <w:proofErr w:type="spellEnd"/>
            <w:r w:rsidRPr="00D62AE8">
              <w:rPr>
                <w:rFonts w:asciiTheme="minorBidi" w:hAnsiTheme="minorBidi"/>
                <w:lang w:val="es-ES"/>
              </w:rPr>
              <w:t xml:space="preserve"> &amp; </w:t>
            </w:r>
            <w:proofErr w:type="spellStart"/>
            <w:r w:rsidRPr="00D62AE8">
              <w:rPr>
                <w:rFonts w:asciiTheme="minorBidi" w:hAnsiTheme="minorBidi"/>
                <w:lang w:val="es-ES"/>
              </w:rPr>
              <w:t>Caribbean</w:t>
            </w:r>
            <w:proofErr w:type="spellEnd"/>
            <w:r w:rsidRPr="00D62AE8">
              <w:rPr>
                <w:rFonts w:asciiTheme="minorBidi" w:hAnsiTheme="minorBidi"/>
                <w:lang w:val="es-ES"/>
              </w:rPr>
              <w:t xml:space="preserve"> (TAC) DCO (IOCARIBE)</w:t>
            </w:r>
          </w:p>
        </w:tc>
        <w:tc>
          <w:tcPr>
            <w:tcW w:w="0" w:type="auto"/>
          </w:tcPr>
          <w:p w14:paraId="386B8438" w14:textId="77777777" w:rsidR="00417999" w:rsidRPr="00D62AE8" w:rsidRDefault="00417999" w:rsidP="0033641F">
            <w:pPr>
              <w:jc w:val="both"/>
              <w:rPr>
                <w:rFonts w:asciiTheme="minorBidi" w:hAnsiTheme="minorBidi"/>
                <w:lang w:val="es-ES"/>
              </w:rPr>
            </w:pPr>
            <w:r>
              <w:rPr>
                <w:rFonts w:asciiTheme="minorBidi" w:hAnsiTheme="minorBidi"/>
                <w:lang w:val="es-ES"/>
              </w:rPr>
              <w:t>740,000</w:t>
            </w:r>
          </w:p>
        </w:tc>
      </w:tr>
    </w:tbl>
    <w:p w14:paraId="3F4324C0" w14:textId="77777777" w:rsidR="00417999" w:rsidRPr="00D62AE8" w:rsidRDefault="00417999" w:rsidP="00417999">
      <w:pPr>
        <w:rPr>
          <w:rFonts w:asciiTheme="minorBidi" w:hAnsiTheme="minorBidi" w:cstheme="minorBidi"/>
          <w:lang w:val="es-ES"/>
        </w:rPr>
      </w:pPr>
    </w:p>
    <w:p w14:paraId="0DE5B025" w14:textId="121B0FE8" w:rsidR="00417999" w:rsidRPr="00AD130E" w:rsidRDefault="00417999" w:rsidP="00417999">
      <w:pPr>
        <w:jc w:val="both"/>
        <w:rPr>
          <w:rFonts w:asciiTheme="minorBidi" w:hAnsiTheme="minorBidi" w:cstheme="minorBidi"/>
          <w:lang w:val="en-US"/>
        </w:rPr>
      </w:pPr>
      <w:r w:rsidRPr="00AD130E">
        <w:rPr>
          <w:rFonts w:asciiTheme="minorBidi" w:hAnsiTheme="minorBidi" w:cstheme="minorBidi"/>
          <w:lang w:val="en-US"/>
        </w:rPr>
        <w:t>In addition</w:t>
      </w:r>
      <w:r>
        <w:rPr>
          <w:rFonts w:asciiTheme="minorBidi" w:hAnsiTheme="minorBidi" w:cstheme="minorBidi"/>
          <w:lang w:val="en-US"/>
        </w:rPr>
        <w:t xml:space="preserve"> to the above</w:t>
      </w:r>
      <w:r w:rsidRPr="00AD130E">
        <w:rPr>
          <w:rFonts w:asciiTheme="minorBidi" w:hAnsiTheme="minorBidi" w:cstheme="minorBidi"/>
          <w:lang w:val="en-US"/>
        </w:rPr>
        <w:t xml:space="preserve">, </w:t>
      </w:r>
      <w:r>
        <w:rPr>
          <w:rFonts w:asciiTheme="minorBidi" w:hAnsiTheme="minorBidi" w:cstheme="minorBidi"/>
          <w:lang w:val="en-US"/>
        </w:rPr>
        <w:t xml:space="preserve">technical </w:t>
      </w:r>
      <w:r w:rsidRPr="00AD130E">
        <w:rPr>
          <w:rFonts w:asciiTheme="minorBidi" w:hAnsiTheme="minorBidi" w:cstheme="minorBidi"/>
          <w:lang w:val="en-US"/>
        </w:rPr>
        <w:t xml:space="preserve">work has commenced on the development of a Decade programme related to </w:t>
      </w:r>
      <w:r w:rsidRPr="002B674F">
        <w:rPr>
          <w:rFonts w:asciiTheme="minorBidi" w:hAnsiTheme="minorBidi" w:cstheme="minorBidi"/>
          <w:lang w:val="en-US"/>
        </w:rPr>
        <w:t xml:space="preserve">sustainable ocean planning in cooperation with Norway and members of the </w:t>
      </w:r>
      <w:proofErr w:type="gramStart"/>
      <w:r w:rsidRPr="002B674F">
        <w:rPr>
          <w:rFonts w:asciiTheme="minorBidi" w:hAnsiTheme="minorBidi" w:cstheme="minorBidi"/>
          <w:lang w:val="en-US"/>
        </w:rPr>
        <w:t>High Level</w:t>
      </w:r>
      <w:proofErr w:type="gramEnd"/>
      <w:r w:rsidRPr="002B674F">
        <w:rPr>
          <w:rFonts w:asciiTheme="minorBidi" w:hAnsiTheme="minorBidi" w:cstheme="minorBidi"/>
          <w:lang w:val="en-US"/>
        </w:rPr>
        <w:t xml:space="preserve"> Panel for a Sustainable Ocean Economy. This initiative would build on IOC’s significant experience in marine spatial planning and act as a natural framework to </w:t>
      </w:r>
      <w:proofErr w:type="spellStart"/>
      <w:r w:rsidRPr="002B674F">
        <w:rPr>
          <w:rFonts w:asciiTheme="minorBidi" w:hAnsiTheme="minorBidi" w:cstheme="minorBidi"/>
          <w:lang w:val="en-US"/>
        </w:rPr>
        <w:t>galvanise</w:t>
      </w:r>
      <w:proofErr w:type="spellEnd"/>
      <w:r w:rsidRPr="002B674F">
        <w:rPr>
          <w:rFonts w:asciiTheme="minorBidi" w:hAnsiTheme="minorBidi" w:cstheme="minorBidi"/>
          <w:lang w:val="en-US"/>
        </w:rPr>
        <w:t xml:space="preserve"> different aspects of IOC’s work. This initiative will be developed </w:t>
      </w:r>
      <w:r>
        <w:rPr>
          <w:rFonts w:asciiTheme="minorBidi" w:hAnsiTheme="minorBidi" w:cstheme="minorBidi"/>
          <w:lang w:val="en-US"/>
        </w:rPr>
        <w:t>to</w:t>
      </w:r>
      <w:r w:rsidRPr="002B674F">
        <w:rPr>
          <w:rFonts w:asciiTheme="minorBidi" w:hAnsiTheme="minorBidi" w:cstheme="minorBidi"/>
          <w:lang w:val="en-US"/>
        </w:rPr>
        <w:t xml:space="preserve"> make a significant contribution to the development and implementation of a new IOC-wide strategy on sustainable ocean planning</w:t>
      </w:r>
      <w:r>
        <w:rPr>
          <w:rFonts w:asciiTheme="minorBidi" w:hAnsiTheme="minorBidi" w:cstheme="minorBidi"/>
          <w:lang w:val="en-US"/>
        </w:rPr>
        <w:t xml:space="preserve"> and integrated coastal management as outlined in </w:t>
      </w:r>
      <w:r w:rsidR="00394A82" w:rsidRPr="00394A82">
        <w:rPr>
          <w:rFonts w:asciiTheme="minorBidi" w:hAnsiTheme="minorBidi" w:cstheme="minorBidi"/>
          <w:lang w:val="en-US"/>
        </w:rPr>
        <w:t>IOC-32/4.</w:t>
      </w:r>
      <w:proofErr w:type="gramStart"/>
      <w:r w:rsidR="00394A82" w:rsidRPr="00394A82">
        <w:rPr>
          <w:rFonts w:asciiTheme="minorBidi" w:hAnsiTheme="minorBidi" w:cstheme="minorBidi"/>
          <w:lang w:val="en-US"/>
        </w:rPr>
        <w:t>7.Doc</w:t>
      </w:r>
      <w:proofErr w:type="gramEnd"/>
      <w:r w:rsidR="00394A82" w:rsidRPr="00394A82">
        <w:rPr>
          <w:rFonts w:asciiTheme="minorBidi" w:hAnsiTheme="minorBidi" w:cstheme="minorBidi"/>
          <w:lang w:val="en-US"/>
        </w:rPr>
        <w:t>(1)</w:t>
      </w:r>
      <w:r>
        <w:rPr>
          <w:rFonts w:asciiTheme="minorBidi" w:hAnsiTheme="minorBidi" w:cstheme="minorBidi"/>
          <w:lang w:val="en-US"/>
        </w:rPr>
        <w:t xml:space="preserve">. </w:t>
      </w:r>
    </w:p>
    <w:p w14:paraId="3FA33F7A" w14:textId="77777777" w:rsidR="00417999" w:rsidRPr="00AD130E" w:rsidRDefault="00417999" w:rsidP="00417999">
      <w:pPr>
        <w:rPr>
          <w:rFonts w:asciiTheme="minorBidi" w:hAnsiTheme="minorBidi" w:cstheme="minorBidi"/>
          <w:b/>
          <w:bCs/>
        </w:rPr>
      </w:pPr>
    </w:p>
    <w:p w14:paraId="74C70276" w14:textId="77777777" w:rsidR="00417999" w:rsidRPr="000E4AE2" w:rsidRDefault="00417999" w:rsidP="00417999">
      <w:pPr>
        <w:rPr>
          <w:rFonts w:asciiTheme="minorBidi" w:hAnsiTheme="minorBidi" w:cstheme="minorBidi"/>
          <w:b/>
          <w:bCs/>
          <w:lang w:val="en-US"/>
        </w:rPr>
      </w:pPr>
      <w:r w:rsidRPr="000E4AE2">
        <w:rPr>
          <w:rFonts w:asciiTheme="minorBidi" w:hAnsiTheme="minorBidi" w:cstheme="minorBidi"/>
          <w:b/>
          <w:bCs/>
          <w:lang w:val="en-US"/>
        </w:rPr>
        <w:t xml:space="preserve">Perspectives </w:t>
      </w:r>
      <w:r>
        <w:rPr>
          <w:rFonts w:asciiTheme="minorBidi" w:hAnsiTheme="minorBidi" w:cstheme="minorBidi"/>
          <w:b/>
          <w:bCs/>
          <w:lang w:val="en-US"/>
        </w:rPr>
        <w:t xml:space="preserve">for IOC-led Decade Actions </w:t>
      </w:r>
    </w:p>
    <w:p w14:paraId="11B64C3A" w14:textId="77777777" w:rsidR="00417999" w:rsidRDefault="00417999" w:rsidP="00417999">
      <w:pPr>
        <w:rPr>
          <w:rFonts w:asciiTheme="minorBidi" w:hAnsiTheme="minorBidi" w:cstheme="minorBidi"/>
          <w:lang w:val="en-US"/>
        </w:rPr>
      </w:pPr>
    </w:p>
    <w:p w14:paraId="1996FB27" w14:textId="77777777" w:rsidR="00417999" w:rsidRPr="00CD5F7E" w:rsidRDefault="00417999" w:rsidP="00417999">
      <w:pPr>
        <w:pStyle w:val="ParaCOI"/>
        <w:shd w:val="clear" w:color="auto" w:fill="FFFFFF"/>
        <w:tabs>
          <w:tab w:val="clear" w:pos="709"/>
          <w:tab w:val="left" w:pos="0"/>
        </w:tabs>
        <w:rPr>
          <w:rFonts w:cs="Arial"/>
        </w:rPr>
      </w:pPr>
      <w:r w:rsidRPr="00CD5F7E">
        <w:rPr>
          <w:rFonts w:cs="Arial"/>
        </w:rPr>
        <w:t>As the mandated coordinating agency of the Ocean Decade, the IOC occupies a unique position to make a substantive contribution to the Decade through the implementation of the High-Level Objectives contained in the IOC Medium Term Strategy 2022</w:t>
      </w:r>
      <w:r>
        <w:rPr>
          <w:rFonts w:cs="Arial"/>
        </w:rPr>
        <w:t>–</w:t>
      </w:r>
      <w:r w:rsidRPr="00CD5F7E">
        <w:rPr>
          <w:rFonts w:cs="Arial"/>
        </w:rPr>
        <w:t xml:space="preserve">2029 and the Programme and Budget for 2022–2026. This position has been reinforced following the first </w:t>
      </w:r>
      <w:r>
        <w:rPr>
          <w:rFonts w:cs="Arial"/>
        </w:rPr>
        <w:t xml:space="preserve">thirty months </w:t>
      </w:r>
      <w:r w:rsidRPr="00CD5F7E">
        <w:rPr>
          <w:rFonts w:cs="Arial"/>
        </w:rPr>
        <w:t xml:space="preserve">of implementation of the Ocean Decade. Over this period IOC-UNESCO has become the leading UN entity in terms of the number of Decade Actions registered as part of the Decade and has become the first UN entity to </w:t>
      </w:r>
      <w:r>
        <w:rPr>
          <w:rFonts w:cs="Arial"/>
        </w:rPr>
        <w:t>establish</w:t>
      </w:r>
      <w:r w:rsidRPr="00CD5F7E">
        <w:rPr>
          <w:rFonts w:cs="Arial"/>
        </w:rPr>
        <w:t xml:space="preserve"> Decade Coordination Offices. </w:t>
      </w:r>
    </w:p>
    <w:p w14:paraId="502DD5D8" w14:textId="333DF40D" w:rsidR="00417999" w:rsidRPr="00CD5F7E" w:rsidRDefault="00417999" w:rsidP="00417999">
      <w:pPr>
        <w:pStyle w:val="ParaCOI"/>
        <w:shd w:val="clear" w:color="auto" w:fill="FFFFFF"/>
        <w:tabs>
          <w:tab w:val="clear" w:pos="709"/>
          <w:tab w:val="left" w:pos="0"/>
        </w:tabs>
        <w:rPr>
          <w:rStyle w:val="Hyperlink"/>
          <w:rFonts w:cs="Arial"/>
        </w:rPr>
      </w:pPr>
      <w:r w:rsidRPr="00CD5F7E">
        <w:rPr>
          <w:rFonts w:cs="Arial"/>
        </w:rPr>
        <w:t xml:space="preserve">The evaluation carried out by UNESCO’s Internal Oversight Service “The Evaluation of the Strategic Positioning of IOC-UNESCO” </w:t>
      </w:r>
      <w:hyperlink r:id="rId11" w:history="1">
        <w:r w:rsidRPr="00CD5F7E">
          <w:rPr>
            <w:rStyle w:val="Hyperlink"/>
            <w:rFonts w:cs="Arial"/>
            <w:sz w:val="20"/>
            <w:szCs w:val="20"/>
          </w:rPr>
          <w:t>IOS/EVS/PI/197</w:t>
        </w:r>
      </w:hyperlink>
      <w:r w:rsidRPr="00CD5F7E">
        <w:rPr>
          <w:rStyle w:val="Hyperlink"/>
          <w:rFonts w:cs="Arial"/>
        </w:rPr>
        <w:t xml:space="preserve"> and the </w:t>
      </w:r>
      <w:r>
        <w:rPr>
          <w:rStyle w:val="Hyperlink"/>
          <w:rFonts w:cs="Arial"/>
        </w:rPr>
        <w:t>related</w:t>
      </w:r>
      <w:r w:rsidRPr="00CD5F7E">
        <w:rPr>
          <w:rStyle w:val="Hyperlink"/>
          <w:rFonts w:cs="Arial"/>
        </w:rPr>
        <w:t xml:space="preserve"> Action Plan presented to the </w:t>
      </w:r>
      <w:r>
        <w:rPr>
          <w:rStyle w:val="Hyperlink"/>
          <w:rFonts w:cs="Arial"/>
        </w:rPr>
        <w:t>55</w:t>
      </w:r>
      <w:r w:rsidRPr="0066196A">
        <w:rPr>
          <w:rStyle w:val="Hyperlink"/>
          <w:rFonts w:cs="Arial"/>
          <w:vertAlign w:val="superscript"/>
        </w:rPr>
        <w:t>th</w:t>
      </w:r>
      <w:r>
        <w:rPr>
          <w:rStyle w:val="Hyperlink"/>
          <w:rFonts w:cs="Arial"/>
        </w:rPr>
        <w:t xml:space="preserve"> </w:t>
      </w:r>
      <w:r>
        <w:rPr>
          <w:rStyle w:val="Hyperlink"/>
          <w:rFonts w:cs="Arial"/>
        </w:rPr>
        <w:lastRenderedPageBreak/>
        <w:t xml:space="preserve">Session of the </w:t>
      </w:r>
      <w:r w:rsidRPr="00CD5F7E">
        <w:rPr>
          <w:rStyle w:val="Hyperlink"/>
          <w:rFonts w:cs="Arial"/>
        </w:rPr>
        <w:t xml:space="preserve">Executive Council in </w:t>
      </w:r>
      <w:hyperlink r:id="rId12" w:history="1">
        <w:r w:rsidRPr="00854CCA">
          <w:rPr>
            <w:rStyle w:val="Hyperlink"/>
            <w:rFonts w:cs="Arial"/>
            <w:lang w:eastAsia="en-US"/>
          </w:rPr>
          <w:t>IOC/EC-55/AP</w:t>
        </w:r>
      </w:hyperlink>
      <w:r w:rsidRPr="00CD5F7E">
        <w:rPr>
          <w:rFonts w:cs="Arial"/>
          <w:lang w:eastAsia="en-US"/>
        </w:rPr>
        <w:t xml:space="preserve">, further highlighted the unique opportunity that IOC’s lead role in the Decade creates for the long term reinforcement and growth of the Secretariat. Notably, this analysis highlighted the opportunity presented to coalesce initiatives of the Ocean Decade under the umbrella of sustainable ocean management and use this momentum to create a lead role globally for the IOC in sustainable ocean planning and management by aligning the work of the Ocean Decade with the ambitions of the High-Level Panel for a Sustainable Ocean Economy. Such an approach builds on the recommendations contained in the 2021 analysis of the </w:t>
      </w:r>
      <w:hyperlink r:id="rId13" w:history="1">
        <w:r w:rsidRPr="00CD5F7E">
          <w:rPr>
            <w:rStyle w:val="Hyperlink"/>
            <w:rFonts w:cs="Arial"/>
            <w:lang w:eastAsia="en-US"/>
          </w:rPr>
          <w:t>links between the Ocean Decade and the Ocean Panel</w:t>
        </w:r>
      </w:hyperlink>
      <w:r w:rsidRPr="00CD5F7E">
        <w:rPr>
          <w:rFonts w:cs="Arial"/>
          <w:lang w:eastAsia="en-US"/>
        </w:rPr>
        <w:t xml:space="preserve">. </w:t>
      </w:r>
    </w:p>
    <w:p w14:paraId="09718EAC" w14:textId="6AC8561C" w:rsidR="00417999" w:rsidRPr="00CD5F7E" w:rsidRDefault="00417999" w:rsidP="00417999">
      <w:pPr>
        <w:pStyle w:val="ParaCOI"/>
        <w:shd w:val="clear" w:color="auto" w:fill="FFFFFF"/>
        <w:tabs>
          <w:tab w:val="clear" w:pos="709"/>
          <w:tab w:val="left" w:pos="0"/>
        </w:tabs>
        <w:rPr>
          <w:rFonts w:cs="Arial"/>
        </w:rPr>
      </w:pPr>
      <w:r w:rsidRPr="00CD5F7E">
        <w:rPr>
          <w:rFonts w:cs="Arial"/>
        </w:rPr>
        <w:t>Provided that adequate resources area available, the creation of the DCU generates opportunities to attract new talent and expertise within the IOC Secretariat, including skills that have traditionally not been represented in the Secretariat team. Such skills will have flow on effects to other programmatic work within the IOC and may create the foundation for a diversified and enhanced Secretariat beyond the Decade. Similarly, the creation of DCOs with GOOS and IODE</w:t>
      </w:r>
      <w:r>
        <w:rPr>
          <w:rFonts w:cs="Arial"/>
        </w:rPr>
        <w:t>, and in the WESTPAC, IOCAFRICA</w:t>
      </w:r>
      <w:r w:rsidRPr="00CD5F7E">
        <w:rPr>
          <w:rFonts w:cs="Arial"/>
        </w:rPr>
        <w:t xml:space="preserve"> </w:t>
      </w:r>
      <w:r>
        <w:rPr>
          <w:rFonts w:cs="Arial"/>
        </w:rPr>
        <w:t xml:space="preserve">and IOCARIBE </w:t>
      </w:r>
      <w:r w:rsidRPr="00CD5F7E">
        <w:rPr>
          <w:rFonts w:cs="Arial"/>
        </w:rPr>
        <w:t xml:space="preserve">offers a significant opportunity to bolster these </w:t>
      </w:r>
      <w:r>
        <w:rPr>
          <w:rFonts w:cs="Arial"/>
        </w:rPr>
        <w:t xml:space="preserve">key components of the IOC </w:t>
      </w:r>
      <w:proofErr w:type="gramStart"/>
      <w:r>
        <w:rPr>
          <w:rFonts w:cs="Arial"/>
        </w:rPr>
        <w:t>Secretariat,</w:t>
      </w:r>
      <w:r w:rsidRPr="00CD5F7E">
        <w:rPr>
          <w:rFonts w:cs="Arial"/>
        </w:rPr>
        <w:t xml:space="preserve"> and</w:t>
      </w:r>
      <w:proofErr w:type="gramEnd"/>
      <w:r w:rsidRPr="00CD5F7E">
        <w:rPr>
          <w:rFonts w:cs="Arial"/>
        </w:rPr>
        <w:t xml:space="preserve"> assure their leadership as coordinating structures in their respective areas of work throughout the Decade and beyond. It also creates opportunities for broadening partnerships with </w:t>
      </w:r>
      <w:r>
        <w:rPr>
          <w:rFonts w:cs="Arial"/>
        </w:rPr>
        <w:t xml:space="preserve">funders and </w:t>
      </w:r>
      <w:r w:rsidRPr="00CD5F7E">
        <w:rPr>
          <w:rFonts w:cs="Arial"/>
        </w:rPr>
        <w:t xml:space="preserve">stakeholders </w:t>
      </w:r>
      <w:r>
        <w:rPr>
          <w:rFonts w:cs="Arial"/>
        </w:rPr>
        <w:t xml:space="preserve">including user groups that IOC is not traditionally interacting with. </w:t>
      </w:r>
    </w:p>
    <w:p w14:paraId="647B0FBC" w14:textId="7E8036B4" w:rsidR="00417999" w:rsidRPr="00CD5F7E" w:rsidRDefault="00417999" w:rsidP="00417999">
      <w:pPr>
        <w:pStyle w:val="ParaCOI"/>
        <w:shd w:val="clear" w:color="auto" w:fill="FFFFFF"/>
        <w:tabs>
          <w:tab w:val="clear" w:pos="709"/>
          <w:tab w:val="left" w:pos="0"/>
        </w:tabs>
        <w:rPr>
          <w:rFonts w:cs="Arial"/>
        </w:rPr>
      </w:pPr>
      <w:r w:rsidRPr="00CD5F7E">
        <w:rPr>
          <w:rFonts w:cs="Arial"/>
        </w:rPr>
        <w:t>However, such opportunities also generate challenges</w:t>
      </w:r>
      <w:r w:rsidR="009048A0">
        <w:rPr>
          <w:rFonts w:cs="Arial"/>
        </w:rPr>
        <w:t>.</w:t>
      </w:r>
      <w:r w:rsidRPr="00CD5F7E">
        <w:rPr>
          <w:rFonts w:cs="Arial"/>
        </w:rPr>
        <w:t xml:space="preserve"> </w:t>
      </w:r>
      <w:r w:rsidR="009048A0">
        <w:rPr>
          <w:rFonts w:cs="Arial"/>
        </w:rPr>
        <w:t>T</w:t>
      </w:r>
      <w:r w:rsidRPr="00CD5F7E">
        <w:rPr>
          <w:rFonts w:cs="Arial"/>
        </w:rPr>
        <w:t>he main challenges in this regard relate to the need for increased and sustained resource mobilisation for Decade coordination structures, both the Decade Coordination Unit and the proposed Decade Coordination Offices, and Decade Actions that IOC is leading or engaged in.</w:t>
      </w:r>
      <w:r>
        <w:rPr>
          <w:rFonts w:cs="Arial"/>
        </w:rPr>
        <w:t xml:space="preserve"> </w:t>
      </w:r>
      <w:r w:rsidRPr="00CD5F7E">
        <w:rPr>
          <w:rFonts w:cs="Arial"/>
        </w:rPr>
        <w:t>Urgent in-kind or financial support is required from Member States and other partners to meet the resource needs for IOC-led Decade Actions and Actions in which IOC is playing a key role, as well as for Decade coordination structures. Such support could take the form of extrabudgetary resources or in-kind resources, including secondments or loans of expert staff members. Previous reporting to the Executive Council and Assembly has highlighted such needs, however with the significantly increased momentum and visibility of the Decade over the last eighteen months, such needs are now critical. Failure to attract necessary resources will undermine the capacity of IOC to continue playing a lead role in Decade Actions and will handicap its coordination functions. Combined, this could lead to the loss of significant opportunities to use the Decade as a lever for the future development and strengthening of IOC</w:t>
      </w:r>
      <w:r>
        <w:rPr>
          <w:rFonts w:cs="Arial"/>
        </w:rPr>
        <w:t>.</w:t>
      </w:r>
    </w:p>
    <w:p w14:paraId="4422B1DE" w14:textId="675ED4C3" w:rsidR="004F7D6C" w:rsidRDefault="004F7D6C" w:rsidP="00B50304">
      <w:pPr>
        <w:pStyle w:val="Style2"/>
        <w:tabs>
          <w:tab w:val="clear" w:pos="1400"/>
          <w:tab w:val="left" w:pos="851"/>
        </w:tabs>
        <w:snapToGrid w:val="0"/>
        <w:ind w:left="0"/>
      </w:pPr>
    </w:p>
    <w:p w14:paraId="45B06359" w14:textId="77777777" w:rsidR="0029039B" w:rsidRDefault="00C80692" w:rsidP="00C80692">
      <w:pPr>
        <w:tabs>
          <w:tab w:val="left" w:pos="6589"/>
        </w:tabs>
        <w:spacing w:before="720"/>
        <w:rPr>
          <w:b/>
          <w:sz w:val="18"/>
          <w:szCs w:val="18"/>
        </w:rPr>
      </w:pPr>
      <w:r>
        <w:rPr>
          <w:b/>
          <w:sz w:val="18"/>
          <w:szCs w:val="18"/>
        </w:rPr>
        <w:tab/>
      </w:r>
      <w:r>
        <w:rPr>
          <w:b/>
          <w:sz w:val="18"/>
          <w:szCs w:val="18"/>
        </w:rPr>
        <w:tab/>
      </w:r>
    </w:p>
    <w:p w14:paraId="1AE0375C" w14:textId="77777777" w:rsidR="0029039B" w:rsidRDefault="0029039B" w:rsidP="0029039B">
      <w:pPr>
        <w:spacing w:before="720"/>
        <w:jc w:val="center"/>
        <w:rPr>
          <w:b/>
          <w:sz w:val="18"/>
          <w:szCs w:val="18"/>
        </w:rPr>
      </w:pPr>
    </w:p>
    <w:p w14:paraId="65CE75C8" w14:textId="77777777" w:rsidR="00A479A9" w:rsidRDefault="00A479A9" w:rsidP="0029039B">
      <w:pPr>
        <w:spacing w:before="720"/>
        <w:jc w:val="center"/>
        <w:rPr>
          <w:b/>
          <w:sz w:val="18"/>
          <w:szCs w:val="18"/>
        </w:rPr>
      </w:pPr>
    </w:p>
    <w:p w14:paraId="26B878B9" w14:textId="77777777" w:rsidR="0029039B" w:rsidRPr="0029039B" w:rsidRDefault="0029039B" w:rsidP="0029039B">
      <w:pPr>
        <w:spacing w:before="720"/>
        <w:jc w:val="center"/>
        <w:rPr>
          <w:b/>
          <w:sz w:val="18"/>
          <w:szCs w:val="18"/>
        </w:rPr>
      </w:pPr>
      <w:r w:rsidRPr="0029039B">
        <w:rPr>
          <w:b/>
          <w:sz w:val="18"/>
          <w:szCs w:val="18"/>
        </w:rPr>
        <w:t>Intergovernmental Oceanographic Commission (IOC)</w:t>
      </w:r>
    </w:p>
    <w:p w14:paraId="0DFC22CF" w14:textId="77777777" w:rsidR="0029039B" w:rsidRPr="0029039B" w:rsidRDefault="0029039B" w:rsidP="0029039B">
      <w:pPr>
        <w:jc w:val="center"/>
        <w:rPr>
          <w:sz w:val="18"/>
          <w:szCs w:val="18"/>
        </w:rPr>
      </w:pPr>
      <w:r w:rsidRPr="0029039B">
        <w:rPr>
          <w:sz w:val="18"/>
          <w:szCs w:val="18"/>
        </w:rPr>
        <w:t>United Nations Educational, Scientific and Cultural Organization</w:t>
      </w:r>
    </w:p>
    <w:p w14:paraId="1CD00B42" w14:textId="77777777" w:rsidR="0029039B" w:rsidRPr="00CD1CFD" w:rsidRDefault="00CD1CFD" w:rsidP="0029039B">
      <w:pPr>
        <w:jc w:val="center"/>
        <w:rPr>
          <w:sz w:val="18"/>
          <w:szCs w:val="18"/>
          <w:lang w:val="fr-FR"/>
        </w:rPr>
      </w:pPr>
      <w:r>
        <w:rPr>
          <w:sz w:val="18"/>
          <w:szCs w:val="18"/>
          <w:lang w:val="fr-FR"/>
        </w:rPr>
        <w:t>7, Place de Fontenoy</w:t>
      </w:r>
    </w:p>
    <w:p w14:paraId="744CB552" w14:textId="77777777" w:rsidR="0029039B" w:rsidRPr="00CD1CFD" w:rsidRDefault="0029039B" w:rsidP="0029039B">
      <w:pPr>
        <w:jc w:val="center"/>
        <w:rPr>
          <w:sz w:val="18"/>
          <w:szCs w:val="18"/>
          <w:lang w:val="fr-FR"/>
        </w:rPr>
      </w:pPr>
      <w:r w:rsidRPr="00CD1CFD">
        <w:rPr>
          <w:sz w:val="18"/>
          <w:szCs w:val="18"/>
          <w:lang w:val="fr-FR"/>
        </w:rPr>
        <w:t xml:space="preserve">75 732 Paris </w:t>
      </w:r>
      <w:r w:rsidR="00CD1CFD">
        <w:rPr>
          <w:sz w:val="18"/>
          <w:szCs w:val="18"/>
          <w:lang w:val="fr-FR"/>
        </w:rPr>
        <w:t>07 SP</w:t>
      </w:r>
      <w:r w:rsidRPr="00CD1CFD">
        <w:rPr>
          <w:sz w:val="18"/>
          <w:szCs w:val="18"/>
          <w:lang w:val="fr-FR"/>
        </w:rPr>
        <w:t>, France</w:t>
      </w:r>
    </w:p>
    <w:p w14:paraId="3DD4FC88" w14:textId="77777777" w:rsidR="0029039B" w:rsidRPr="00CD1CFD" w:rsidRDefault="0029039B" w:rsidP="0029039B">
      <w:pPr>
        <w:jc w:val="center"/>
        <w:rPr>
          <w:sz w:val="18"/>
          <w:szCs w:val="18"/>
          <w:lang w:val="fr-FR"/>
        </w:rPr>
      </w:pPr>
      <w:r w:rsidRPr="00CD1CFD">
        <w:rPr>
          <w:sz w:val="18"/>
          <w:szCs w:val="18"/>
          <w:lang w:val="fr-FR"/>
        </w:rPr>
        <w:t>Tel</w:t>
      </w:r>
      <w:proofErr w:type="gramStart"/>
      <w:r w:rsidRPr="00CD1CFD">
        <w:rPr>
          <w:sz w:val="18"/>
          <w:szCs w:val="18"/>
          <w:lang w:val="fr-FR"/>
        </w:rPr>
        <w:t>.:</w:t>
      </w:r>
      <w:proofErr w:type="gramEnd"/>
      <w:r w:rsidRPr="00CD1CFD">
        <w:rPr>
          <w:sz w:val="18"/>
          <w:szCs w:val="18"/>
          <w:lang w:val="fr-FR"/>
        </w:rPr>
        <w:t xml:space="preserve"> +33 1 45 68 </w:t>
      </w:r>
      <w:r w:rsidR="00C80692">
        <w:rPr>
          <w:sz w:val="18"/>
          <w:szCs w:val="18"/>
          <w:lang w:val="fr-FR"/>
        </w:rPr>
        <w:t>24 11</w:t>
      </w:r>
    </w:p>
    <w:p w14:paraId="2EE8BD0E" w14:textId="77777777" w:rsidR="0029039B" w:rsidRPr="00CD1CFD" w:rsidRDefault="00CD1CFD" w:rsidP="0029039B">
      <w:pPr>
        <w:jc w:val="center"/>
        <w:rPr>
          <w:sz w:val="18"/>
          <w:szCs w:val="18"/>
          <w:lang w:val="fr-FR"/>
        </w:rPr>
      </w:pPr>
      <w:r w:rsidRPr="00CD1CFD">
        <w:rPr>
          <w:sz w:val="18"/>
          <w:szCs w:val="18"/>
          <w:lang w:val="fr-FR"/>
        </w:rPr>
        <w:t>http://i</w:t>
      </w:r>
      <w:r w:rsidR="0029039B" w:rsidRPr="00CD1CFD">
        <w:rPr>
          <w:sz w:val="18"/>
          <w:szCs w:val="18"/>
          <w:lang w:val="fr-FR"/>
        </w:rPr>
        <w:t>oc.unesco.org</w:t>
      </w:r>
    </w:p>
    <w:sectPr w:rsidR="0029039B" w:rsidRPr="00CD1CFD" w:rsidSect="003F7186">
      <w:headerReference w:type="even" r:id="rId14"/>
      <w:headerReference w:type="default" r:id="rId15"/>
      <w:headerReference w:type="first" r:id="rId1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999F" w14:textId="77777777" w:rsidR="00C35724" w:rsidRDefault="00C35724">
      <w:r>
        <w:separator/>
      </w:r>
    </w:p>
  </w:endnote>
  <w:endnote w:type="continuationSeparator" w:id="0">
    <w:p w14:paraId="269B3BED" w14:textId="77777777" w:rsidR="00C35724" w:rsidRDefault="00C3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EEFF" w14:textId="77777777" w:rsidR="00C35724" w:rsidRDefault="00C35724">
      <w:r>
        <w:separator/>
      </w:r>
    </w:p>
  </w:footnote>
  <w:footnote w:type="continuationSeparator" w:id="0">
    <w:p w14:paraId="1CBC296B" w14:textId="77777777" w:rsidR="00C35724" w:rsidRDefault="00C35724">
      <w:r>
        <w:continuationSeparator/>
      </w:r>
    </w:p>
  </w:footnote>
  <w:footnote w:id="1">
    <w:p w14:paraId="6017826D" w14:textId="77777777" w:rsidR="00417999" w:rsidRPr="00461FF4" w:rsidRDefault="00417999" w:rsidP="00417999">
      <w:pPr>
        <w:pStyle w:val="FootnoteText"/>
        <w:rPr>
          <w:sz w:val="18"/>
          <w:szCs w:val="18"/>
          <w:lang w:val="en-US"/>
        </w:rPr>
      </w:pPr>
      <w:r w:rsidRPr="00461FF4">
        <w:rPr>
          <w:rStyle w:val="FootnoteReference"/>
          <w:sz w:val="18"/>
          <w:szCs w:val="18"/>
        </w:rPr>
        <w:footnoteRef/>
      </w:r>
      <w:r w:rsidRPr="00461FF4">
        <w:rPr>
          <w:sz w:val="18"/>
          <w:szCs w:val="18"/>
          <w:lang w:val="en-US"/>
        </w:rPr>
        <w:t xml:space="preserve"> </w:t>
      </w:r>
      <w:r>
        <w:rPr>
          <w:rFonts w:asciiTheme="minorBidi" w:hAnsiTheme="minorBidi" w:cstheme="minorBidi"/>
          <w:color w:val="000000"/>
          <w:sz w:val="18"/>
          <w:szCs w:val="18"/>
          <w:lang w:val="en-US"/>
        </w:rPr>
        <w:t>Three</w:t>
      </w:r>
      <w:r w:rsidRPr="00461FF4">
        <w:rPr>
          <w:rFonts w:asciiTheme="minorBidi" w:hAnsiTheme="minorBidi" w:cstheme="minorBidi"/>
          <w:color w:val="000000"/>
          <w:sz w:val="18"/>
          <w:szCs w:val="18"/>
          <w:lang w:val="en-US"/>
        </w:rPr>
        <w:t xml:space="preserve"> Decade Actions that were developed by the Tropical America and Caribbean Regional Planning Group and that were previously identified as IOC-led Decade Actions have been re-assigned to the partner institutions</w:t>
      </w:r>
      <w:r>
        <w:rPr>
          <w:rFonts w:asciiTheme="minorBidi" w:hAnsiTheme="minorBidi" w:cstheme="minorBidi"/>
          <w:color w:val="000000"/>
          <w:sz w:val="18"/>
          <w:szCs w:val="18"/>
          <w:lang w:val="en-US"/>
        </w:rPr>
        <w:t xml:space="preserve"> leading implementation of the </w:t>
      </w:r>
      <w:proofErr w:type="gramStart"/>
      <w:r>
        <w:rPr>
          <w:rFonts w:asciiTheme="minorBidi" w:hAnsiTheme="minorBidi" w:cstheme="minorBidi"/>
          <w:color w:val="000000"/>
          <w:sz w:val="18"/>
          <w:szCs w:val="18"/>
          <w:lang w:val="en-US"/>
        </w:rPr>
        <w:t>Action,</w:t>
      </w:r>
      <w:r w:rsidRPr="00461FF4">
        <w:rPr>
          <w:rFonts w:asciiTheme="minorBidi" w:hAnsiTheme="minorBidi" w:cstheme="minorBidi"/>
          <w:color w:val="000000"/>
          <w:sz w:val="18"/>
          <w:szCs w:val="18"/>
          <w:lang w:val="en-US"/>
        </w:rPr>
        <w:t xml:space="preserve"> and</w:t>
      </w:r>
      <w:proofErr w:type="gramEnd"/>
      <w:r w:rsidRPr="00461FF4">
        <w:rPr>
          <w:rFonts w:asciiTheme="minorBidi" w:hAnsiTheme="minorBidi" w:cstheme="minorBidi"/>
          <w:color w:val="000000"/>
          <w:sz w:val="18"/>
          <w:szCs w:val="18"/>
          <w:lang w:val="en-US"/>
        </w:rPr>
        <w:t xml:space="preserve"> are thus no longer included in the analysis of IOC-led Decade Action</w:t>
      </w:r>
      <w:r>
        <w:rPr>
          <w:rFonts w:asciiTheme="minorBidi" w:hAnsiTheme="minorBidi" w:cstheme="minorBidi"/>
          <w:color w:val="000000"/>
          <w:sz w:val="18"/>
          <w:szCs w:val="18"/>
          <w:lang w:val="en-US"/>
        </w:rPr>
        <w:t xml:space="preserve">s although IOCARIBE Secretariat remains engaged in coordination and planning of these Actions.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0630" w14:textId="77777777" w:rsidR="00C962F0" w:rsidRPr="00C962F0" w:rsidRDefault="00C962F0">
    <w:pPr>
      <w:pStyle w:val="Header"/>
      <w:rPr>
        <w:szCs w:val="22"/>
      </w:rPr>
    </w:pPr>
    <w:r w:rsidRPr="00C962F0">
      <w:rPr>
        <w:szCs w:val="22"/>
      </w:rPr>
      <w:t>ICG/CARIBE-EWS II/WD </w:t>
    </w:r>
    <w:r w:rsidRPr="00C962F0">
      <w:rPr>
        <w:szCs w:val="22"/>
        <w:highlight w:val="cyan"/>
      </w:rPr>
      <w:t>__</w:t>
    </w:r>
  </w:p>
  <w:p w14:paraId="1FA03695" w14:textId="77777777" w:rsidR="00C962F0" w:rsidRPr="00C962F0" w:rsidRDefault="00C962F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746B89">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0C8F" w14:textId="77777777" w:rsidR="00DF2FB9" w:rsidRPr="00746B89" w:rsidRDefault="00DF2FB9" w:rsidP="00DF2FB9">
    <w:pPr>
      <w:pStyle w:val="Header"/>
      <w:tabs>
        <w:tab w:val="clear" w:pos="8306"/>
      </w:tabs>
      <w:rPr>
        <w:szCs w:val="22"/>
      </w:rPr>
    </w:pPr>
    <w:r w:rsidRPr="00746B89">
      <w:rPr>
        <w:szCs w:val="22"/>
      </w:rPr>
      <w:t xml:space="preserve">IOC-XXIV/2 Annex </w:t>
    </w:r>
    <w:r w:rsidRPr="00746B89">
      <w:rPr>
        <w:szCs w:val="22"/>
        <w:highlight w:val="yellow"/>
      </w:rPr>
      <w:t>__</w:t>
    </w:r>
  </w:p>
  <w:p w14:paraId="33D78AB0" w14:textId="77777777" w:rsidR="00DF2FB9" w:rsidRPr="00746B89" w:rsidRDefault="00DF2FB9"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6EF05960" w14:textId="77777777" w:rsidR="00C962F0" w:rsidRPr="00DF2FB9" w:rsidRDefault="00C962F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2C69" w14:textId="22DADC59" w:rsidR="00DF2FB9" w:rsidRPr="00B50304" w:rsidRDefault="00C80692" w:rsidP="00DC3847">
    <w:pPr>
      <w:pStyle w:val="Marge"/>
      <w:tabs>
        <w:tab w:val="clear" w:pos="567"/>
        <w:tab w:val="left" w:pos="6840"/>
      </w:tabs>
      <w:spacing w:after="0"/>
      <w:rPr>
        <w:rFonts w:cs="Arial"/>
        <w:b/>
        <w:bCs/>
        <w:sz w:val="32"/>
        <w:szCs w:val="32"/>
      </w:rPr>
    </w:pPr>
    <w:r>
      <w:rPr>
        <w:rFonts w:cs="Arial"/>
        <w:noProof/>
        <w:snapToGrid/>
        <w:szCs w:val="22"/>
      </w:rPr>
      <w:drawing>
        <wp:anchor distT="0" distB="0" distL="114300" distR="114300" simplePos="0" relativeHeight="251659264" behindDoc="0" locked="0" layoutInCell="1" allowOverlap="1" wp14:anchorId="11D84C67" wp14:editId="31F7C3B1">
          <wp:simplePos x="0" y="0"/>
          <wp:positionH relativeFrom="column">
            <wp:posOffset>-17780</wp:posOffset>
          </wp:positionH>
          <wp:positionV relativeFrom="paragraph">
            <wp:posOffset>-80645</wp:posOffset>
          </wp:positionV>
          <wp:extent cx="1578610" cy="1047115"/>
          <wp:effectExtent l="0" t="0" r="0" b="0"/>
          <wp:wrapSquare wrapText="bothSides"/>
          <wp:docPr id="1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FB9" w:rsidRPr="005E544C">
      <w:rPr>
        <w:rFonts w:cs="Arial"/>
        <w:szCs w:val="22"/>
      </w:rPr>
      <w:tab/>
    </w:r>
    <w:r w:rsidR="00DF2FB9" w:rsidRPr="00B50304">
      <w:rPr>
        <w:rFonts w:cs="Arial"/>
        <w:b/>
        <w:bCs/>
        <w:sz w:val="32"/>
        <w:szCs w:val="32"/>
      </w:rPr>
      <w:t>IOC</w:t>
    </w:r>
    <w:r w:rsidR="00DC3847" w:rsidRPr="00B50304">
      <w:rPr>
        <w:rFonts w:cs="Arial"/>
        <w:b/>
        <w:bCs/>
        <w:sz w:val="32"/>
        <w:szCs w:val="32"/>
      </w:rPr>
      <w:t>/INF-</w:t>
    </w:r>
    <w:r w:rsidR="00B50304" w:rsidRPr="00B50304">
      <w:rPr>
        <w:rFonts w:cs="Arial"/>
        <w:b/>
        <w:bCs/>
        <w:sz w:val="32"/>
        <w:szCs w:val="32"/>
      </w:rPr>
      <w:t>142</w:t>
    </w:r>
    <w:r w:rsidR="00EF7F28">
      <w:rPr>
        <w:rFonts w:cs="Arial"/>
        <w:b/>
        <w:bCs/>
        <w:sz w:val="32"/>
        <w:szCs w:val="32"/>
      </w:rPr>
      <w:t>5</w:t>
    </w:r>
  </w:p>
  <w:p w14:paraId="17EF663A" w14:textId="53430DDD" w:rsidR="00DF2FB9" w:rsidRPr="005E544C" w:rsidRDefault="00DF2FB9" w:rsidP="005E544C">
    <w:pPr>
      <w:tabs>
        <w:tab w:val="clear" w:pos="567"/>
        <w:tab w:val="left" w:pos="6840"/>
      </w:tabs>
      <w:jc w:val="both"/>
      <w:rPr>
        <w:rFonts w:cs="Arial"/>
        <w:szCs w:val="22"/>
      </w:rPr>
    </w:pPr>
    <w:r w:rsidRPr="005E544C">
      <w:rPr>
        <w:rFonts w:cs="Arial"/>
        <w:b/>
        <w:szCs w:val="22"/>
      </w:rPr>
      <w:tab/>
    </w:r>
    <w:r w:rsidRPr="005E544C">
      <w:rPr>
        <w:rFonts w:cs="Arial"/>
        <w:szCs w:val="22"/>
      </w:rPr>
      <w:t xml:space="preserve">Paris, </w:t>
    </w:r>
    <w:r w:rsidR="00B50304">
      <w:rPr>
        <w:rFonts w:cs="Arial"/>
        <w:szCs w:val="22"/>
      </w:rPr>
      <w:t>29 May</w:t>
    </w:r>
    <w:r w:rsidR="00CD1CFD">
      <w:rPr>
        <w:rFonts w:cs="Arial"/>
        <w:szCs w:val="22"/>
      </w:rPr>
      <w:t xml:space="preserve"> 20</w:t>
    </w:r>
    <w:r w:rsidR="00C80692">
      <w:rPr>
        <w:rFonts w:cs="Arial"/>
        <w:szCs w:val="22"/>
      </w:rPr>
      <w:t>23</w:t>
    </w:r>
  </w:p>
  <w:p w14:paraId="56318DBE" w14:textId="4E8F202F" w:rsidR="00DF2FB9" w:rsidRPr="005E544C" w:rsidRDefault="00DF2FB9" w:rsidP="005E544C">
    <w:pPr>
      <w:tabs>
        <w:tab w:val="clear" w:pos="567"/>
        <w:tab w:val="left" w:pos="6840"/>
      </w:tabs>
      <w:jc w:val="both"/>
      <w:rPr>
        <w:rFonts w:cs="Arial"/>
        <w:szCs w:val="22"/>
      </w:rPr>
    </w:pPr>
    <w:r w:rsidRPr="005E544C">
      <w:rPr>
        <w:rFonts w:cs="Arial"/>
        <w:b/>
        <w:szCs w:val="22"/>
      </w:rPr>
      <w:tab/>
    </w:r>
    <w:r w:rsidRPr="005E544C">
      <w:rPr>
        <w:rFonts w:cs="Arial"/>
        <w:szCs w:val="22"/>
      </w:rPr>
      <w:t>English</w:t>
    </w:r>
    <w:r w:rsidR="00B50304">
      <w:rPr>
        <w:rFonts w:cs="Arial"/>
        <w:szCs w:val="22"/>
      </w:rPr>
      <w:t xml:space="preserve"> only</w:t>
    </w:r>
  </w:p>
  <w:p w14:paraId="4617A796" w14:textId="77777777" w:rsidR="00DF2FB9" w:rsidRPr="005E544C" w:rsidRDefault="00C80692" w:rsidP="00C80692">
    <w:pPr>
      <w:tabs>
        <w:tab w:val="clear" w:pos="567"/>
        <w:tab w:val="left" w:pos="-1440"/>
        <w:tab w:val="left" w:pos="-720"/>
        <w:tab w:val="left" w:pos="0"/>
        <w:tab w:val="left" w:pos="1413"/>
      </w:tabs>
      <w:jc w:val="both"/>
      <w:rPr>
        <w:rFonts w:cs="Arial"/>
        <w:b/>
        <w:szCs w:val="22"/>
      </w:rPr>
    </w:pPr>
    <w:r>
      <w:rPr>
        <w:rFonts w:cs="Arial"/>
        <w:b/>
        <w:szCs w:val="22"/>
      </w:rPr>
      <w:tab/>
    </w:r>
  </w:p>
  <w:p w14:paraId="1484FF1C"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D3B91F0"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15A89F2"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96AAFA8"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5CE16FFC"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4F92057A"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w:t>
    </w:r>
    <w:proofErr w:type="gramStart"/>
    <w:r w:rsidRPr="00010BBB">
      <w:rPr>
        <w:rFonts w:cs="Arial"/>
        <w:bCs/>
        <w:sz w:val="24"/>
      </w:rPr>
      <w:t>of</w:t>
    </w:r>
    <w:proofErr w:type="gramEnd"/>
    <w:r w:rsidRPr="00010BBB">
      <w:rPr>
        <w:rFonts w:cs="Arial"/>
        <w:bCs/>
        <w:sz w:val="24"/>
      </w:rPr>
      <w:t xml:space="preserve"> UNESCO)</w:t>
    </w:r>
  </w:p>
  <w:p w14:paraId="2FE90345" w14:textId="77777777" w:rsidR="00010BBB" w:rsidRPr="005E544C" w:rsidRDefault="00010BBB" w:rsidP="003F718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192F41C4" w14:textId="77777777" w:rsidR="009C15B1" w:rsidRPr="00010BBB" w:rsidRDefault="009C15B1" w:rsidP="003F7186">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44FAAB8F" w14:textId="77777777" w:rsidR="00DF2FB9" w:rsidRPr="005E544C" w:rsidRDefault="00DF2FB9"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F945EFE" w14:textId="77777777" w:rsidR="00DF2FB9" w:rsidRPr="005E544C" w:rsidRDefault="00DF2FB9" w:rsidP="00DF2FB9">
    <w:pPr>
      <w:jc w:val="center"/>
      <w:rPr>
        <w:rFonts w:cs="Arial"/>
        <w:szCs w:val="22"/>
      </w:rPr>
    </w:pPr>
  </w:p>
  <w:p w14:paraId="5A0D3281" w14:textId="77777777" w:rsidR="00DF2FB9" w:rsidRDefault="00DF2FB9" w:rsidP="00DF2FB9">
    <w:pPr>
      <w:jc w:val="center"/>
      <w:rPr>
        <w:rFonts w:cs="Arial"/>
        <w:szCs w:val="22"/>
      </w:rPr>
    </w:pPr>
  </w:p>
  <w:p w14:paraId="47575ED9" w14:textId="77777777" w:rsidR="00010BBB" w:rsidRPr="00DC3847" w:rsidRDefault="00C80692" w:rsidP="00DF2FB9">
    <w:pPr>
      <w:jc w:val="center"/>
      <w:rPr>
        <w:rFonts w:cs="Arial"/>
        <w:b/>
        <w:sz w:val="28"/>
        <w:szCs w:val="28"/>
      </w:rPr>
    </w:pPr>
    <w:r>
      <w:rPr>
        <w:noProof/>
      </w:rPr>
      <mc:AlternateContent>
        <mc:Choice Requires="wps">
          <w:drawing>
            <wp:anchor distT="0" distB="0" distL="114300" distR="114300" simplePos="0" relativeHeight="251658240" behindDoc="1" locked="0" layoutInCell="1" allowOverlap="1" wp14:anchorId="091B2097" wp14:editId="70BDF8AD">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42F9EB0D"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1B2097"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">
              <v:textbox style="mso-fit-shape-to-text:t">
                <w:txbxContent>
                  <w:p w14:paraId="42F9EB0D"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7DDE7874" w14:textId="77777777" w:rsidR="00010BBB" w:rsidRDefault="00010BBB" w:rsidP="00DF2FB9">
    <w:pPr>
      <w:jc w:val="center"/>
      <w:rPr>
        <w:rFonts w:cs="Arial"/>
        <w:szCs w:val="22"/>
      </w:rPr>
    </w:pPr>
  </w:p>
  <w:p w14:paraId="5AC0013C" w14:textId="77777777" w:rsidR="00010BBB" w:rsidRPr="005E544C" w:rsidRDefault="00010BBB" w:rsidP="00DF2FB9">
    <w:pPr>
      <w:jc w:val="center"/>
      <w:rPr>
        <w:rFonts w:cs="Arial"/>
        <w:szCs w:val="22"/>
      </w:rPr>
    </w:pPr>
  </w:p>
  <w:p w14:paraId="12FC47D2" w14:textId="77777777" w:rsidR="00DF2FB9" w:rsidRPr="005E544C" w:rsidRDefault="00DF2FB9" w:rsidP="00DF2FB9">
    <w:pPr>
      <w:jc w:val="center"/>
      <w:rPr>
        <w:rFonts w:cs="Arial"/>
        <w:szCs w:val="22"/>
      </w:rPr>
    </w:pPr>
  </w:p>
  <w:p w14:paraId="735C01C7" w14:textId="77777777" w:rsidR="00DF2FB9" w:rsidRPr="005E544C" w:rsidRDefault="00AC3397" w:rsidP="00AC3397">
    <w:pPr>
      <w:tabs>
        <w:tab w:val="clear" w:pos="567"/>
        <w:tab w:val="left" w:pos="8681"/>
      </w:tabs>
      <w:rPr>
        <w:rFonts w:cs="Arial"/>
        <w:szCs w:val="22"/>
      </w:rPr>
    </w:pPr>
    <w:r>
      <w:rPr>
        <w:rFonts w:cs="Arial"/>
        <w:szCs w:val="22"/>
      </w:rPr>
      <w:tab/>
    </w:r>
  </w:p>
  <w:p w14:paraId="2BBD1BDE" w14:textId="77777777" w:rsidR="00DF2FB9" w:rsidRPr="005E544C" w:rsidRDefault="00DF2FB9" w:rsidP="00DF2FB9">
    <w:pPr>
      <w:rPr>
        <w:rFonts w:cs="Arial"/>
        <w:szCs w:val="22"/>
      </w:rPr>
    </w:pPr>
  </w:p>
  <w:p w14:paraId="10E2CEC5" w14:textId="486F3153" w:rsidR="00DF2FB9" w:rsidRPr="009C15B1" w:rsidRDefault="00417999" w:rsidP="009C15B1">
    <w:pPr>
      <w:pStyle w:val="Docheading"/>
    </w:pPr>
    <w:r w:rsidRPr="00417999">
      <w:rPr>
        <w:rFonts w:asciiTheme="minorBidi" w:hAnsiTheme="minorBidi" w:cstheme="minorBidi"/>
        <w:color w:val="000000"/>
        <w:lang w:val="en-US"/>
      </w:rPr>
      <w:t xml:space="preserve">Update of IOC Contributions </w:t>
    </w:r>
    <w:r>
      <w:rPr>
        <w:rFonts w:asciiTheme="minorBidi" w:hAnsiTheme="minorBidi" w:cstheme="minorBidi"/>
        <w:color w:val="000000"/>
        <w:lang w:val="en-US"/>
      </w:rPr>
      <w:br/>
    </w:r>
    <w:r w:rsidRPr="00417999">
      <w:rPr>
        <w:rFonts w:asciiTheme="minorBidi" w:hAnsiTheme="minorBidi" w:cstheme="minorBidi"/>
        <w:color w:val="000000"/>
        <w:lang w:val="en-US"/>
      </w:rPr>
      <w:t>to the Ocean Decade and Resource Needs</w:t>
    </w:r>
  </w:p>
  <w:p w14:paraId="68231B1A" w14:textId="77777777" w:rsidR="00DF2FB9" w:rsidRPr="005E544C" w:rsidRDefault="00DF2FB9" w:rsidP="00DF2FB9">
    <w:pPr>
      <w:pStyle w:val="Header"/>
      <w:rPr>
        <w:rFonts w:cs="Arial"/>
        <w:szCs w:val="22"/>
      </w:rPr>
    </w:pPr>
  </w:p>
  <w:p w14:paraId="25D3B5D9" w14:textId="77777777" w:rsidR="00DF2FB9" w:rsidRPr="005E544C" w:rsidRDefault="00DF2FB9">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0A21" w14:textId="113C326C" w:rsidR="00746B89" w:rsidRPr="00417999" w:rsidRDefault="00746B89" w:rsidP="00746B89">
    <w:pPr>
      <w:pStyle w:val="Header"/>
      <w:tabs>
        <w:tab w:val="clear" w:pos="8306"/>
      </w:tabs>
      <w:rPr>
        <w:rFonts w:cs="Arial"/>
        <w:szCs w:val="22"/>
      </w:rPr>
    </w:pPr>
    <w:r w:rsidRPr="00417999">
      <w:rPr>
        <w:rFonts w:cs="Arial"/>
        <w:szCs w:val="22"/>
      </w:rPr>
      <w:t>IOC</w:t>
    </w:r>
    <w:r w:rsidR="00417999" w:rsidRPr="00417999">
      <w:rPr>
        <w:rFonts w:cs="Arial"/>
        <w:szCs w:val="22"/>
      </w:rPr>
      <w:t>/</w:t>
    </w:r>
    <w:r w:rsidR="00DC3847" w:rsidRPr="00417999">
      <w:rPr>
        <w:rFonts w:cs="Arial"/>
        <w:szCs w:val="22"/>
      </w:rPr>
      <w:t>INF-</w:t>
    </w:r>
    <w:r w:rsidR="00B50304" w:rsidRPr="00417999">
      <w:rPr>
        <w:rFonts w:cs="Arial"/>
        <w:szCs w:val="22"/>
      </w:rPr>
      <w:t>142</w:t>
    </w:r>
    <w:r w:rsidR="00417999" w:rsidRPr="00417999">
      <w:rPr>
        <w:rFonts w:cs="Arial"/>
        <w:szCs w:val="22"/>
      </w:rPr>
      <w:t>5</w:t>
    </w:r>
    <w:r w:rsidR="00DC3847" w:rsidRPr="00417999">
      <w:rPr>
        <w:rFonts w:cs="Arial"/>
        <w:szCs w:val="22"/>
      </w:rPr>
      <w:t xml:space="preserve"> – p</w:t>
    </w:r>
    <w:r w:rsidRPr="00417999">
      <w:rPr>
        <w:rFonts w:cs="Arial"/>
        <w:szCs w:val="22"/>
      </w:rPr>
      <w:t>age </w:t>
    </w:r>
    <w:r w:rsidRPr="00417999">
      <w:rPr>
        <w:rStyle w:val="PageNumber"/>
        <w:rFonts w:cs="Arial"/>
        <w:szCs w:val="22"/>
      </w:rPr>
      <w:fldChar w:fldCharType="begin"/>
    </w:r>
    <w:r w:rsidRPr="00417999">
      <w:rPr>
        <w:rStyle w:val="PageNumber"/>
        <w:rFonts w:cs="Arial"/>
        <w:szCs w:val="22"/>
      </w:rPr>
      <w:instrText xml:space="preserve"> PAGE </w:instrText>
    </w:r>
    <w:r w:rsidRPr="00417999">
      <w:rPr>
        <w:rStyle w:val="PageNumber"/>
        <w:rFonts w:cs="Arial"/>
        <w:szCs w:val="22"/>
      </w:rPr>
      <w:fldChar w:fldCharType="separate"/>
    </w:r>
    <w:r w:rsidR="000909A4" w:rsidRPr="00417999">
      <w:rPr>
        <w:rStyle w:val="PageNumber"/>
        <w:rFonts w:cs="Arial"/>
        <w:noProof/>
        <w:szCs w:val="22"/>
      </w:rPr>
      <w:t>2</w:t>
    </w:r>
    <w:r w:rsidRPr="00417999">
      <w:rPr>
        <w:rStyle w:val="PageNumber"/>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8EEE" w14:textId="594377B0" w:rsidR="00DF2FB9" w:rsidRPr="00424DE6" w:rsidRDefault="00DF2FB9" w:rsidP="00417999">
    <w:pPr>
      <w:pStyle w:val="Header"/>
      <w:tabs>
        <w:tab w:val="clear" w:pos="8306"/>
      </w:tabs>
      <w:ind w:left="7230"/>
      <w:rPr>
        <w:rFonts w:cs="Arial"/>
        <w:szCs w:val="22"/>
      </w:rPr>
    </w:pPr>
    <w:r w:rsidRPr="00424DE6">
      <w:rPr>
        <w:rFonts w:cs="Arial"/>
        <w:szCs w:val="22"/>
      </w:rPr>
      <w:t>IOC</w:t>
    </w:r>
    <w:r w:rsidR="00DC3847">
      <w:rPr>
        <w:rFonts w:cs="Arial"/>
        <w:szCs w:val="22"/>
      </w:rPr>
      <w:t>/INF-</w:t>
    </w:r>
    <w:r w:rsidR="00417999">
      <w:rPr>
        <w:rFonts w:cs="Arial"/>
        <w:szCs w:val="22"/>
      </w:rPr>
      <w:t>1425</w:t>
    </w:r>
    <w:r w:rsidR="00DC3847">
      <w:rPr>
        <w:rFonts w:cs="Arial"/>
        <w:szCs w:val="22"/>
      </w:rPr>
      <w:t xml:space="preserve"> – p</w:t>
    </w:r>
    <w:r w:rsidRPr="00424DE6">
      <w:rPr>
        <w:rFonts w:cs="Arial"/>
        <w:szCs w:val="22"/>
      </w:rPr>
      <w:t>age </w:t>
    </w:r>
    <w:r w:rsidRPr="00424DE6">
      <w:rPr>
        <w:rStyle w:val="PageNumber"/>
        <w:rFonts w:cs="Arial"/>
        <w:szCs w:val="22"/>
      </w:rPr>
      <w:fldChar w:fldCharType="begin"/>
    </w:r>
    <w:r w:rsidRPr="00424DE6">
      <w:rPr>
        <w:rStyle w:val="PageNumber"/>
        <w:rFonts w:cs="Arial"/>
        <w:szCs w:val="22"/>
      </w:rPr>
      <w:instrText xml:space="preserve"> PAGE </w:instrText>
    </w:r>
    <w:r w:rsidRPr="00424DE6">
      <w:rPr>
        <w:rStyle w:val="PageNumber"/>
        <w:rFonts w:cs="Arial"/>
        <w:szCs w:val="22"/>
      </w:rPr>
      <w:fldChar w:fldCharType="separate"/>
    </w:r>
    <w:r w:rsidR="00DC3847">
      <w:rPr>
        <w:rStyle w:val="PageNumber"/>
        <w:rFonts w:cs="Arial"/>
        <w:noProof/>
        <w:szCs w:val="22"/>
      </w:rPr>
      <w:t>3</w:t>
    </w:r>
    <w:r w:rsidRPr="00424DE6">
      <w:rPr>
        <w:rStyle w:val="PageNumber"/>
        <w:rFonts w:cs="Arial"/>
        <w:szCs w:val="22"/>
      </w:rPr>
      <w:fldChar w:fldCharType="end"/>
    </w:r>
  </w:p>
  <w:p w14:paraId="630807CA" w14:textId="77777777" w:rsidR="00DF2FB9" w:rsidRPr="00424DE6" w:rsidRDefault="00DF2FB9" w:rsidP="00417999">
    <w:pPr>
      <w:pStyle w:val="Header"/>
      <w:ind w:left="7230"/>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E156" w14:textId="0679271E" w:rsidR="00746B89" w:rsidRPr="00417999" w:rsidRDefault="00746B89" w:rsidP="00746B89">
    <w:pPr>
      <w:pStyle w:val="Header"/>
      <w:jc w:val="right"/>
      <w:rPr>
        <w:rFonts w:cs="Arial"/>
        <w:szCs w:val="22"/>
      </w:rPr>
    </w:pPr>
    <w:r w:rsidRPr="00417999">
      <w:rPr>
        <w:rFonts w:cs="Arial"/>
        <w:szCs w:val="22"/>
      </w:rPr>
      <w:t>IOC/</w:t>
    </w:r>
    <w:r w:rsidR="00DC3847" w:rsidRPr="00417999">
      <w:rPr>
        <w:rFonts w:cs="Arial"/>
        <w:szCs w:val="22"/>
      </w:rPr>
      <w:t>INF-</w:t>
    </w:r>
    <w:r w:rsidR="00B50304" w:rsidRPr="00417999">
      <w:rPr>
        <w:rFonts w:cs="Arial"/>
        <w:szCs w:val="22"/>
      </w:rPr>
      <w:t>142</w:t>
    </w:r>
    <w:r w:rsidR="00417999" w:rsidRPr="00417999">
      <w:rPr>
        <w:rFonts w:cs="Arial"/>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15E5"/>
    <w:multiLevelType w:val="hybridMultilevel"/>
    <w:tmpl w:val="70E21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5A42EA"/>
    <w:multiLevelType w:val="hybridMultilevel"/>
    <w:tmpl w:val="C4B4CC0C"/>
    <w:lvl w:ilvl="0" w:tplc="040C0001">
      <w:start w:val="1"/>
      <w:numFmt w:val="bullet"/>
      <w:lvlText w:val=""/>
      <w:lvlJc w:val="left"/>
      <w:pPr>
        <w:ind w:left="720" w:hanging="360"/>
      </w:pPr>
      <w:rPr>
        <w:rFonts w:ascii="Symbol" w:hAnsi="Symbol" w:hint="default"/>
        <w:b w:val="0"/>
        <w:bCs/>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3"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9287946">
    <w:abstractNumId w:val="2"/>
  </w:num>
  <w:num w:numId="2" w16cid:durableId="1426070288">
    <w:abstractNumId w:val="3"/>
  </w:num>
  <w:num w:numId="3" w16cid:durableId="1283340732">
    <w:abstractNumId w:val="1"/>
  </w:num>
  <w:num w:numId="4" w16cid:durableId="17566336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04"/>
    <w:rsid w:val="00010BBB"/>
    <w:rsid w:val="000909A4"/>
    <w:rsid w:val="001241D7"/>
    <w:rsid w:val="001448C4"/>
    <w:rsid w:val="00164503"/>
    <w:rsid w:val="001C08DB"/>
    <w:rsid w:val="001C6455"/>
    <w:rsid w:val="0029039B"/>
    <w:rsid w:val="00373EC2"/>
    <w:rsid w:val="00394A82"/>
    <w:rsid w:val="003F7186"/>
    <w:rsid w:val="00417999"/>
    <w:rsid w:val="00424DE6"/>
    <w:rsid w:val="004A069D"/>
    <w:rsid w:val="004A135F"/>
    <w:rsid w:val="004B6E05"/>
    <w:rsid w:val="004E050E"/>
    <w:rsid w:val="004F0A11"/>
    <w:rsid w:val="004F7D6C"/>
    <w:rsid w:val="005E544C"/>
    <w:rsid w:val="00633EA5"/>
    <w:rsid w:val="006842FA"/>
    <w:rsid w:val="00686284"/>
    <w:rsid w:val="00693199"/>
    <w:rsid w:val="00746B89"/>
    <w:rsid w:val="0079212B"/>
    <w:rsid w:val="007D0489"/>
    <w:rsid w:val="008048D2"/>
    <w:rsid w:val="008B384B"/>
    <w:rsid w:val="009048A0"/>
    <w:rsid w:val="009B63AB"/>
    <w:rsid w:val="009C15B1"/>
    <w:rsid w:val="00A11697"/>
    <w:rsid w:val="00A25BC8"/>
    <w:rsid w:val="00A479A9"/>
    <w:rsid w:val="00AC3397"/>
    <w:rsid w:val="00AF5B19"/>
    <w:rsid w:val="00B50304"/>
    <w:rsid w:val="00B722DE"/>
    <w:rsid w:val="00B83068"/>
    <w:rsid w:val="00BF069C"/>
    <w:rsid w:val="00BF3835"/>
    <w:rsid w:val="00C1002D"/>
    <w:rsid w:val="00C35724"/>
    <w:rsid w:val="00C80692"/>
    <w:rsid w:val="00C962F0"/>
    <w:rsid w:val="00CD1CFD"/>
    <w:rsid w:val="00CF6F5A"/>
    <w:rsid w:val="00D82F5A"/>
    <w:rsid w:val="00D8471A"/>
    <w:rsid w:val="00DC3847"/>
    <w:rsid w:val="00DF2FB9"/>
    <w:rsid w:val="00EF7F28"/>
    <w:rsid w:val="00F15D99"/>
    <w:rsid w:val="00FD02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96BC45"/>
  <w15:chartTrackingRefBased/>
  <w15:docId w15:val="{A88A1AF0-2219-4081-8778-D77AD7AD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paragraph" w:styleId="ListParagraph">
    <w:name w:val="List Paragraph"/>
    <w:basedOn w:val="Normal"/>
    <w:link w:val="ListParagraphChar"/>
    <w:uiPriority w:val="34"/>
    <w:qFormat/>
    <w:rsid w:val="00B50304"/>
    <w:pPr>
      <w:widowControl w:val="0"/>
      <w:adjustRightInd w:val="0"/>
      <w:spacing w:line="360" w:lineRule="atLeast"/>
      <w:ind w:left="720"/>
      <w:contextualSpacing/>
      <w:jc w:val="both"/>
      <w:textAlignment w:val="baseline"/>
    </w:pPr>
  </w:style>
  <w:style w:type="character" w:customStyle="1" w:styleId="ListParagraphChar">
    <w:name w:val="List Paragraph Char"/>
    <w:link w:val="ListParagraph"/>
    <w:uiPriority w:val="34"/>
    <w:locked/>
    <w:rsid w:val="00B50304"/>
    <w:rPr>
      <w:rFonts w:ascii="Arial" w:hAnsi="Arial"/>
      <w:snapToGrid w:val="0"/>
      <w:sz w:val="22"/>
      <w:szCs w:val="24"/>
      <w:lang w:eastAsia="en-US"/>
    </w:rPr>
  </w:style>
  <w:style w:type="character" w:styleId="Hyperlink">
    <w:name w:val="Hyperlink"/>
    <w:basedOn w:val="DefaultParagraphFont"/>
    <w:uiPriority w:val="99"/>
    <w:rsid w:val="00B50304"/>
    <w:rPr>
      <w:color w:val="0563C1" w:themeColor="hyperlink"/>
      <w:u w:val="single"/>
    </w:rPr>
  </w:style>
  <w:style w:type="paragraph" w:customStyle="1" w:styleId="Style2">
    <w:name w:val="Style2"/>
    <w:basedOn w:val="Normal"/>
    <w:link w:val="Style2Car"/>
    <w:qFormat/>
    <w:rsid w:val="00B50304"/>
    <w:pPr>
      <w:shd w:val="clear" w:color="auto" w:fill="FFFFFF"/>
      <w:tabs>
        <w:tab w:val="clear" w:pos="567"/>
        <w:tab w:val="num" w:pos="1400"/>
      </w:tabs>
      <w:snapToGrid/>
      <w:spacing w:after="240"/>
      <w:ind w:left="720"/>
      <w:jc w:val="both"/>
    </w:pPr>
    <w:rPr>
      <w:iCs/>
      <w:szCs w:val="22"/>
    </w:rPr>
  </w:style>
  <w:style w:type="character" w:customStyle="1" w:styleId="Style2Car">
    <w:name w:val="Style2 Car"/>
    <w:basedOn w:val="DefaultParagraphFont"/>
    <w:link w:val="Style2"/>
    <w:rsid w:val="00B50304"/>
    <w:rPr>
      <w:rFonts w:ascii="Arial" w:hAnsi="Arial"/>
      <w:iCs/>
      <w:snapToGrid w:val="0"/>
      <w:sz w:val="22"/>
      <w:szCs w:val="22"/>
      <w:shd w:val="clear" w:color="auto" w:fill="FFFFFF"/>
      <w:lang w:eastAsia="en-US"/>
    </w:rPr>
  </w:style>
  <w:style w:type="table" w:styleId="TableGrid">
    <w:name w:val="Table Grid"/>
    <w:basedOn w:val="TableNormal"/>
    <w:uiPriority w:val="39"/>
    <w:rsid w:val="00417999"/>
    <w:rPr>
      <w:rFonts w:asciiTheme="minorHAnsi" w:eastAsiaTheme="minorEastAsia"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OI">
    <w:name w:val="Para COI"/>
    <w:basedOn w:val="Normal"/>
    <w:link w:val="ParaCOICar"/>
    <w:qFormat/>
    <w:rsid w:val="00417999"/>
    <w:pPr>
      <w:tabs>
        <w:tab w:val="clear" w:pos="567"/>
        <w:tab w:val="left" w:pos="709"/>
      </w:tabs>
      <w:spacing w:after="240"/>
      <w:jc w:val="both"/>
    </w:pPr>
    <w:rPr>
      <w:szCs w:val="22"/>
      <w:lang w:eastAsia="zh-CN"/>
    </w:rPr>
  </w:style>
  <w:style w:type="character" w:customStyle="1" w:styleId="ParaCOICar">
    <w:name w:val="Para COI Car"/>
    <w:link w:val="ParaCOI"/>
    <w:rsid w:val="00417999"/>
    <w:rPr>
      <w:rFonts w:ascii="Arial" w:hAnsi="Arial"/>
      <w:snapToGrid w:val="0"/>
      <w:sz w:val="22"/>
      <w:szCs w:val="22"/>
    </w:rPr>
  </w:style>
  <w:style w:type="character" w:customStyle="1" w:styleId="FootnoteTextChar">
    <w:name w:val="Footnote Text Char"/>
    <w:basedOn w:val="DefaultParagraphFont"/>
    <w:link w:val="FootnoteText"/>
    <w:uiPriority w:val="99"/>
    <w:semiHidden/>
    <w:rsid w:val="00417999"/>
    <w:rPr>
      <w:rFonts w:ascii="Arial" w:hAnsi="Arial"/>
      <w:snapToGrid w:val="0"/>
      <w:lang w:eastAsia="en-US"/>
    </w:rPr>
  </w:style>
  <w:style w:type="paragraph" w:styleId="Revision">
    <w:name w:val="Revision"/>
    <w:hidden/>
    <w:uiPriority w:val="99"/>
    <w:semiHidden/>
    <w:rsid w:val="00394A82"/>
    <w:rPr>
      <w:rFonts w:ascii="Arial"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esdoc.unesco.org/ark:/48223/pf0000375969.locale=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oceanexpert.org/document/304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79054.locale=fr"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s://oceanexpert.org/document/28493"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2032\INF%20Seri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 Series-template.dotx</Template>
  <TotalTime>1</TotalTime>
  <Pages>6</Pages>
  <Words>1932</Words>
  <Characters>11314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The Road to the UN Year</vt:lpstr>
    </vt:vector>
  </TitlesOfParts>
  <Company>UNESCO</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Boned, Patrice</dc:creator>
  <cp:keywords/>
  <dc:description/>
  <cp:lastModifiedBy>Boned, Patrice</cp:lastModifiedBy>
  <cp:revision>2</cp:revision>
  <cp:lastPrinted>2002-06-12T08:28:00Z</cp:lastPrinted>
  <dcterms:created xsi:type="dcterms:W3CDTF">2023-05-31T19:43:00Z</dcterms:created>
  <dcterms:modified xsi:type="dcterms:W3CDTF">2023-05-31T19:43:00Z</dcterms:modified>
</cp:coreProperties>
</file>