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08" w:type="dxa"/>
        <w:jc w:val="center"/>
        <w:tblLook w:val="04A0" w:firstRow="1" w:lastRow="0" w:firstColumn="1" w:lastColumn="0" w:noHBand="0" w:noVBand="1"/>
      </w:tblPr>
      <w:tblGrid>
        <w:gridCol w:w="7508"/>
      </w:tblGrid>
      <w:tr w:rsidR="00173221" w:rsidRPr="00F05FDB" w14:paraId="3CE1A9CD" w14:textId="77777777" w:rsidTr="00523732">
        <w:trPr>
          <w:trHeight w:val="3878"/>
          <w:jc w:val="center"/>
        </w:trPr>
        <w:tc>
          <w:tcPr>
            <w:tcW w:w="7508" w:type="dxa"/>
          </w:tcPr>
          <w:p w14:paraId="5C52748C" w14:textId="77777777" w:rsidR="00173221" w:rsidRPr="00173221" w:rsidRDefault="00173221" w:rsidP="00BC6020">
            <w:pPr>
              <w:spacing w:before="120"/>
              <w:jc w:val="center"/>
              <w:rPr>
                <w:rFonts w:ascii="Arial" w:hAnsi="Arial" w:cs="Arial"/>
                <w:bCs/>
                <w:sz w:val="22"/>
                <w:szCs w:val="22"/>
                <w:u w:val="single"/>
                <w:lang w:val="en-US"/>
              </w:rPr>
            </w:pPr>
            <w:r w:rsidRPr="00173221">
              <w:rPr>
                <w:rFonts w:ascii="Arial" w:hAnsi="Arial" w:cs="Arial"/>
                <w:bCs/>
                <w:sz w:val="22"/>
                <w:szCs w:val="22"/>
                <w:u w:val="single"/>
                <w:lang w:val="en-US"/>
              </w:rPr>
              <w:t>Summary</w:t>
            </w:r>
          </w:p>
          <w:p w14:paraId="624DF3D4" w14:textId="77777777" w:rsidR="00173221" w:rsidRPr="00173221" w:rsidRDefault="00173221" w:rsidP="00BC6020">
            <w:pPr>
              <w:rPr>
                <w:rFonts w:ascii="Arial" w:hAnsi="Arial" w:cs="Arial"/>
                <w:b/>
                <w:bCs/>
                <w:sz w:val="22"/>
                <w:szCs w:val="22"/>
                <w:lang w:val="en-US"/>
              </w:rPr>
            </w:pPr>
          </w:p>
          <w:p w14:paraId="638FE51B" w14:textId="62E78295" w:rsidR="00173221" w:rsidRPr="00523732" w:rsidRDefault="00523732" w:rsidP="00F05FDB">
            <w:pPr>
              <w:widowControl w:val="0"/>
              <w:shd w:val="clear" w:color="auto" w:fill="FFFFFF"/>
              <w:adjustRightInd w:val="0"/>
              <w:spacing w:after="120"/>
              <w:jc w:val="both"/>
              <w:textAlignment w:val="baseline"/>
              <w:rPr>
                <w:rFonts w:ascii="Arial" w:eastAsia="Times New Roman" w:hAnsi="Arial" w:cs="Arial"/>
                <w:sz w:val="22"/>
                <w:szCs w:val="22"/>
                <w:lang w:val="en-US" w:eastAsia="en-US"/>
              </w:rPr>
            </w:pPr>
            <w:r>
              <w:rPr>
                <w:rFonts w:ascii="Arial" w:eastAsia="Times New Roman" w:hAnsi="Arial" w:cs="Arial"/>
                <w:sz w:val="22"/>
                <w:szCs w:val="22"/>
                <w:lang w:val="en-US" w:eastAsia="en-US"/>
              </w:rPr>
              <w:t xml:space="preserve">Further to Executive Council </w:t>
            </w:r>
            <w:r w:rsidRPr="00523732">
              <w:rPr>
                <w:rFonts w:ascii="Arial" w:eastAsia="Times New Roman" w:hAnsi="Arial" w:cs="Arial"/>
                <w:sz w:val="22"/>
                <w:szCs w:val="22"/>
                <w:lang w:val="en-US" w:eastAsia="en-US"/>
              </w:rPr>
              <w:t>decision EC-55/3.1</w:t>
            </w:r>
            <w:r>
              <w:rPr>
                <w:rFonts w:ascii="Arial" w:eastAsia="Times New Roman" w:hAnsi="Arial" w:cs="Arial"/>
                <w:sz w:val="22"/>
                <w:szCs w:val="22"/>
                <w:lang w:val="en-US" w:eastAsia="en-US"/>
              </w:rPr>
              <w:t xml:space="preserve"> (2022)</w:t>
            </w:r>
            <w:r w:rsidR="00217FED">
              <w:rPr>
                <w:rFonts w:ascii="Arial" w:eastAsia="Times New Roman" w:hAnsi="Arial" w:cs="Arial"/>
                <w:sz w:val="22"/>
                <w:szCs w:val="22"/>
                <w:lang w:val="en-US" w:eastAsia="en-US"/>
              </w:rPr>
              <w:t xml:space="preserve"> and the establishment of the </w:t>
            </w:r>
            <w:r w:rsidR="00217FED" w:rsidRPr="00217FED">
              <w:rPr>
                <w:rFonts w:ascii="Arial" w:eastAsia="Times New Roman" w:hAnsi="Arial" w:cs="Arial"/>
                <w:sz w:val="22"/>
                <w:szCs w:val="22"/>
                <w:lang w:val="en-US" w:eastAsia="en-US"/>
              </w:rPr>
              <w:t>GEBCO Governance Review Project Team</w:t>
            </w:r>
            <w:r>
              <w:rPr>
                <w:rFonts w:ascii="Arial" w:eastAsia="Times New Roman" w:hAnsi="Arial" w:cs="Arial"/>
                <w:sz w:val="22"/>
                <w:szCs w:val="22"/>
                <w:lang w:val="en-US" w:eastAsia="en-US"/>
              </w:rPr>
              <w:t>, t</w:t>
            </w:r>
            <w:r w:rsidRPr="00523732">
              <w:rPr>
                <w:rFonts w:ascii="Arial" w:eastAsia="Times New Roman" w:hAnsi="Arial" w:cs="Arial"/>
                <w:sz w:val="22"/>
                <w:szCs w:val="22"/>
                <w:lang w:val="en-US" w:eastAsia="en-US"/>
              </w:rPr>
              <w:t>his document prepared by the IHO/GEBCO Secretary provides details of the work</w:t>
            </w:r>
            <w:r>
              <w:rPr>
                <w:rFonts w:ascii="Arial" w:eastAsia="Times New Roman" w:hAnsi="Arial" w:cs="Arial"/>
                <w:sz w:val="22"/>
                <w:szCs w:val="22"/>
                <w:lang w:val="en-US" w:eastAsia="en-US"/>
              </w:rPr>
              <w:t xml:space="preserve"> </w:t>
            </w:r>
            <w:r w:rsidRPr="00523732">
              <w:rPr>
                <w:rFonts w:ascii="Arial" w:eastAsia="Times New Roman" w:hAnsi="Arial" w:cs="Arial"/>
                <w:sz w:val="22"/>
                <w:szCs w:val="22"/>
                <w:lang w:val="en-US" w:eastAsia="en-US"/>
              </w:rPr>
              <w:t>completed to date on the GEBCO Governance Review and the proposed next steps.</w:t>
            </w:r>
            <w:r>
              <w:rPr>
                <w:rFonts w:ascii="Arial" w:eastAsia="Times New Roman" w:hAnsi="Arial" w:cs="Arial"/>
                <w:sz w:val="22"/>
                <w:szCs w:val="22"/>
                <w:lang w:val="en-US" w:eastAsia="en-US"/>
              </w:rPr>
              <w:t xml:space="preserve"> </w:t>
            </w:r>
          </w:p>
          <w:p w14:paraId="7655F2B7" w14:textId="33F281A8" w:rsidR="00983B66" w:rsidRPr="0060561B" w:rsidRDefault="00173221" w:rsidP="00F05FDB">
            <w:pPr>
              <w:widowControl w:val="0"/>
              <w:shd w:val="clear" w:color="auto" w:fill="FFFFFF"/>
              <w:adjustRightInd w:val="0"/>
              <w:spacing w:after="120"/>
              <w:ind w:right="284"/>
              <w:jc w:val="both"/>
              <w:textAlignment w:val="baseline"/>
              <w:rPr>
                <w:rFonts w:ascii="Arial" w:eastAsia="Times New Roman" w:hAnsi="Arial" w:cs="Arial"/>
                <w:sz w:val="22"/>
                <w:szCs w:val="22"/>
                <w:lang w:val="en-US" w:eastAsia="en-US"/>
              </w:rPr>
            </w:pPr>
            <w:r w:rsidRPr="00884179">
              <w:rPr>
                <w:rFonts w:ascii="Arial" w:eastAsia="Times New Roman" w:hAnsi="Arial" w:cs="Arial"/>
                <w:sz w:val="22"/>
                <w:szCs w:val="22"/>
                <w:u w:val="single"/>
                <w:lang w:val="en-US" w:eastAsia="en-US"/>
              </w:rPr>
              <w:t>Financial implications</w:t>
            </w:r>
            <w:r w:rsidRPr="00884179">
              <w:rPr>
                <w:rFonts w:ascii="Arial" w:eastAsia="Times New Roman" w:hAnsi="Arial" w:cs="Arial"/>
                <w:sz w:val="22"/>
                <w:szCs w:val="22"/>
                <w:lang w:val="en-US" w:eastAsia="en-US"/>
              </w:rPr>
              <w:t xml:space="preserve">: </w:t>
            </w:r>
            <w:r w:rsidR="00523732" w:rsidRPr="00884179">
              <w:rPr>
                <w:rFonts w:ascii="Arial" w:eastAsia="Times New Roman" w:hAnsi="Arial" w:cs="Arial"/>
                <w:sz w:val="22"/>
                <w:szCs w:val="22"/>
                <w:lang w:val="en-US" w:eastAsia="en-US"/>
              </w:rPr>
              <w:t>none</w:t>
            </w:r>
          </w:p>
          <w:p w14:paraId="4A15AED9" w14:textId="3573BA32" w:rsidR="00173221" w:rsidRPr="00523732" w:rsidRDefault="0060561B" w:rsidP="00BC6020">
            <w:pPr>
              <w:spacing w:after="120"/>
              <w:jc w:val="both"/>
              <w:rPr>
                <w:rFonts w:ascii="Arial" w:eastAsia="Calibri" w:hAnsi="Arial" w:cs="Arial"/>
                <w:bCs/>
                <w:sz w:val="22"/>
                <w:u w:val="single"/>
                <w:lang w:val="en-GB"/>
              </w:rPr>
            </w:pPr>
            <w:r w:rsidRPr="0060561B">
              <w:rPr>
                <w:rFonts w:ascii="Arial" w:eastAsia="Times New Roman" w:hAnsi="Arial" w:cs="Arial"/>
                <w:sz w:val="22"/>
                <w:szCs w:val="22"/>
                <w:u w:val="single"/>
                <w:lang w:val="en-US" w:eastAsia="en-US"/>
              </w:rPr>
              <w:t>The proposed decision</w:t>
            </w:r>
            <w:r w:rsidRPr="00884179">
              <w:rPr>
                <w:rFonts w:ascii="Arial" w:eastAsia="Times New Roman" w:hAnsi="Arial" w:cs="Arial"/>
                <w:sz w:val="22"/>
                <w:szCs w:val="22"/>
                <w:lang w:val="en-US" w:eastAsia="en-US"/>
              </w:rPr>
              <w:t xml:space="preserve"> is referenced Dec</w:t>
            </w:r>
            <w:r>
              <w:rPr>
                <w:rFonts w:ascii="Arial" w:eastAsia="Times New Roman" w:hAnsi="Arial" w:cs="Arial"/>
                <w:sz w:val="22"/>
                <w:szCs w:val="22"/>
                <w:lang w:val="en-US" w:eastAsia="en-US"/>
              </w:rPr>
              <w:t>. </w:t>
            </w:r>
            <w:r w:rsidRPr="00884179">
              <w:rPr>
                <w:rFonts w:ascii="Arial" w:eastAsia="Times New Roman" w:hAnsi="Arial" w:cs="Arial"/>
                <w:sz w:val="22"/>
                <w:szCs w:val="22"/>
                <w:lang w:val="en-US" w:eastAsia="en-US"/>
              </w:rPr>
              <w:t>A-32/4.</w:t>
            </w:r>
            <w:r>
              <w:rPr>
                <w:rFonts w:ascii="Arial" w:eastAsia="Times New Roman" w:hAnsi="Arial" w:cs="Arial"/>
                <w:sz w:val="22"/>
                <w:szCs w:val="22"/>
                <w:lang w:val="en-US" w:eastAsia="en-US"/>
              </w:rPr>
              <w:t>1</w:t>
            </w:r>
            <w:r w:rsidRPr="00884179">
              <w:rPr>
                <w:rFonts w:ascii="Arial" w:eastAsia="Times New Roman" w:hAnsi="Arial" w:cs="Arial"/>
                <w:sz w:val="22"/>
                <w:szCs w:val="22"/>
                <w:lang w:val="en-US" w:eastAsia="en-US"/>
              </w:rPr>
              <w:t xml:space="preserve"> in the Action Paper (document IOC</w:t>
            </w:r>
            <w:r w:rsidR="00C370B0">
              <w:rPr>
                <w:rFonts w:ascii="Arial" w:eastAsia="Times New Roman" w:hAnsi="Arial" w:cs="Arial"/>
                <w:sz w:val="22"/>
                <w:szCs w:val="22"/>
                <w:lang w:val="en-US" w:eastAsia="en-US"/>
              </w:rPr>
              <w:t>/A</w:t>
            </w:r>
            <w:r w:rsidRPr="00884179">
              <w:rPr>
                <w:rFonts w:ascii="Arial" w:eastAsia="Times New Roman" w:hAnsi="Arial" w:cs="Arial"/>
                <w:sz w:val="22"/>
                <w:szCs w:val="22"/>
                <w:lang w:val="en-US" w:eastAsia="en-US"/>
              </w:rPr>
              <w:t>-32/AP Prov.)</w:t>
            </w:r>
            <w:r>
              <w:rPr>
                <w:rFonts w:ascii="Arial" w:eastAsia="Times New Roman" w:hAnsi="Arial" w:cs="Arial"/>
                <w:sz w:val="22"/>
                <w:szCs w:val="22"/>
                <w:lang w:val="en-US" w:eastAsia="en-US"/>
              </w:rPr>
              <w:t xml:space="preserve">. </w:t>
            </w:r>
            <w:r w:rsidR="00523732" w:rsidRPr="00523732">
              <w:rPr>
                <w:rFonts w:ascii="Arial" w:eastAsia="Times New Roman" w:hAnsi="Arial" w:cs="Arial"/>
                <w:sz w:val="22"/>
                <w:szCs w:val="22"/>
                <w:lang w:val="en-US" w:eastAsia="en-US"/>
              </w:rPr>
              <w:t>The IOC Assembly is requested to take note of these development</w:t>
            </w:r>
            <w:r w:rsidR="0049601F">
              <w:rPr>
                <w:rFonts w:ascii="Arial" w:eastAsia="Times New Roman" w:hAnsi="Arial" w:cs="Arial"/>
                <w:sz w:val="22"/>
                <w:szCs w:val="22"/>
                <w:lang w:val="en-US" w:eastAsia="en-US"/>
              </w:rPr>
              <w:t>s</w:t>
            </w:r>
            <w:r w:rsidR="00523732" w:rsidRPr="00523732">
              <w:rPr>
                <w:rFonts w:ascii="Arial" w:eastAsia="Times New Roman" w:hAnsi="Arial" w:cs="Arial"/>
                <w:sz w:val="22"/>
                <w:szCs w:val="22"/>
                <w:lang w:val="en-US" w:eastAsia="en-US"/>
              </w:rPr>
              <w:t xml:space="preserve">. The Executive Secretary </w:t>
            </w:r>
            <w:r>
              <w:rPr>
                <w:rFonts w:ascii="Arial" w:eastAsia="Times New Roman" w:hAnsi="Arial" w:cs="Arial"/>
                <w:sz w:val="22"/>
                <w:szCs w:val="22"/>
                <w:lang w:val="en-US" w:eastAsia="en-US"/>
              </w:rPr>
              <w:t>would</w:t>
            </w:r>
            <w:r w:rsidR="00523732" w:rsidRPr="00523732">
              <w:rPr>
                <w:rFonts w:ascii="Arial" w:eastAsia="Times New Roman" w:hAnsi="Arial" w:cs="Arial"/>
                <w:sz w:val="22"/>
                <w:szCs w:val="22"/>
                <w:lang w:val="en-US" w:eastAsia="en-US"/>
              </w:rPr>
              <w:t xml:space="preserve"> present the outcomes of the GEBCO governance review to the Executive Council at its 57</w:t>
            </w:r>
            <w:r w:rsidR="00523732" w:rsidRPr="00F05FDB">
              <w:rPr>
                <w:rFonts w:ascii="Arial" w:eastAsia="Times New Roman" w:hAnsi="Arial" w:cs="Arial"/>
                <w:vertAlign w:val="superscript"/>
                <w:lang w:val="en-US" w:eastAsia="en-US"/>
              </w:rPr>
              <w:t>th</w:t>
            </w:r>
            <w:r w:rsidR="0049601F">
              <w:rPr>
                <w:rFonts w:ascii="Arial" w:eastAsia="Times New Roman" w:hAnsi="Arial" w:cs="Arial"/>
                <w:sz w:val="22"/>
                <w:szCs w:val="22"/>
                <w:lang w:val="en-US" w:eastAsia="en-US"/>
              </w:rPr>
              <w:t xml:space="preserve"> </w:t>
            </w:r>
            <w:r w:rsidR="00523732" w:rsidRPr="00523732">
              <w:rPr>
                <w:rFonts w:ascii="Arial" w:eastAsia="Times New Roman" w:hAnsi="Arial" w:cs="Arial"/>
                <w:sz w:val="22"/>
                <w:szCs w:val="22"/>
                <w:lang w:val="en-US" w:eastAsia="en-US"/>
              </w:rPr>
              <w:t>session</w:t>
            </w:r>
            <w:r w:rsidR="006A1313">
              <w:rPr>
                <w:rFonts w:ascii="Arial" w:eastAsia="Times New Roman" w:hAnsi="Arial" w:cs="Arial"/>
                <w:sz w:val="22"/>
                <w:szCs w:val="22"/>
                <w:lang w:val="en-US" w:eastAsia="en-US"/>
              </w:rPr>
              <w:t xml:space="preserve"> in 2024.</w:t>
            </w:r>
            <w:r w:rsidR="00217FED">
              <w:rPr>
                <w:rFonts w:ascii="Arial" w:eastAsia="Times New Roman" w:hAnsi="Arial" w:cs="Arial"/>
                <w:sz w:val="22"/>
                <w:szCs w:val="22"/>
                <w:lang w:val="en-US" w:eastAsia="en-US"/>
              </w:rPr>
              <w:t xml:space="preserve"> </w:t>
            </w:r>
          </w:p>
        </w:tc>
      </w:tr>
    </w:tbl>
    <w:p w14:paraId="383BF7B0" w14:textId="77777777" w:rsidR="00173221" w:rsidRPr="00173221" w:rsidRDefault="00173221" w:rsidP="00173221">
      <w:pPr>
        <w:rPr>
          <w:rFonts w:ascii="Arial" w:eastAsia="Times New Roman" w:hAnsi="Arial" w:cs="Arial"/>
          <w:lang w:val="en-US" w:eastAsia="en-US"/>
        </w:rPr>
      </w:pPr>
      <w:r w:rsidRPr="00173221">
        <w:rPr>
          <w:rFonts w:ascii="Arial" w:hAnsi="Arial" w:cs="Arial"/>
          <w:b/>
          <w:bCs/>
          <w:lang w:val="en-US"/>
        </w:rPr>
        <w:br w:type="page"/>
      </w:r>
    </w:p>
    <w:p w14:paraId="6C3A8EEF" w14:textId="5E61C5A7" w:rsidR="00523732" w:rsidRPr="00523732" w:rsidRDefault="00523732" w:rsidP="00F05FDB">
      <w:pPr>
        <w:tabs>
          <w:tab w:val="left" w:pos="5019"/>
        </w:tabs>
        <w:spacing w:after="240" w:line="240" w:lineRule="auto"/>
        <w:jc w:val="both"/>
        <w:rPr>
          <w:rFonts w:ascii="Arial" w:eastAsia="Times New Roman" w:hAnsi="Arial" w:cs="Arial"/>
          <w:b/>
          <w:bCs/>
          <w:lang w:val="en-GB" w:eastAsia="en-US"/>
        </w:rPr>
      </w:pPr>
      <w:r w:rsidRPr="00523732">
        <w:rPr>
          <w:rFonts w:ascii="Arial" w:eastAsia="Times New Roman" w:hAnsi="Arial" w:cs="Arial"/>
          <w:b/>
          <w:bCs/>
          <w:lang w:val="en-GB" w:eastAsia="en-US"/>
        </w:rPr>
        <w:lastRenderedPageBreak/>
        <w:t>Introduction</w:t>
      </w:r>
    </w:p>
    <w:p w14:paraId="603AD953" w14:textId="35987D40"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rPr>
      </w:pPr>
      <w:r w:rsidRPr="00523732">
        <w:rPr>
          <w:rFonts w:cs="Arial"/>
          <w:bCs/>
        </w:rPr>
        <w:t>In light of the changing ocean policy landscape, the growing visibility of GEBCO</w:t>
      </w:r>
      <w:r w:rsidR="0049601F">
        <w:rPr>
          <w:rFonts w:cs="Arial"/>
          <w:bCs/>
        </w:rPr>
        <w:t>,</w:t>
      </w:r>
      <w:r w:rsidRPr="00523732">
        <w:rPr>
          <w:rFonts w:cs="Arial"/>
          <w:bCs/>
        </w:rPr>
        <w:t xml:space="preserve"> thanks to the </w:t>
      </w:r>
      <w:r w:rsidR="00B778DE">
        <w:rPr>
          <w:rFonts w:cs="Arial"/>
          <w:bCs/>
        </w:rPr>
        <w:t xml:space="preserve">increasing involvement of stakeholders, a renewed GEBCO communication strategy, as well as the </w:t>
      </w:r>
      <w:r w:rsidRPr="00523732">
        <w:rPr>
          <w:rFonts w:cs="Arial"/>
          <w:bCs/>
        </w:rPr>
        <w:t>work of the Nippon Foundation – GEBCO Seabed 2030 Project (Seabed 2030)</w:t>
      </w:r>
      <w:r w:rsidR="00B778DE">
        <w:rPr>
          <w:rFonts w:cs="Arial"/>
          <w:bCs/>
        </w:rPr>
        <w:t xml:space="preserve">, </w:t>
      </w:r>
      <w:r w:rsidRPr="00523732">
        <w:rPr>
          <w:rFonts w:cs="Arial"/>
          <w:bCs/>
        </w:rPr>
        <w:t>the GEBCO Guiding Committee</w:t>
      </w:r>
      <w:r w:rsidR="0049601F">
        <w:rPr>
          <w:rFonts w:cs="Arial"/>
          <w:bCs/>
        </w:rPr>
        <w:t xml:space="preserve"> (GGC) at its </w:t>
      </w:r>
      <w:r w:rsidR="0049601F" w:rsidRPr="00523732">
        <w:rPr>
          <w:rFonts w:cs="Arial"/>
          <w:bCs/>
        </w:rPr>
        <w:t>38</w:t>
      </w:r>
      <w:r w:rsidR="0049601F" w:rsidRPr="00523732">
        <w:rPr>
          <w:rFonts w:cs="Arial"/>
          <w:bCs/>
          <w:vertAlign w:val="superscript"/>
        </w:rPr>
        <w:t>th</w:t>
      </w:r>
      <w:r w:rsidR="0049601F" w:rsidRPr="00523732">
        <w:rPr>
          <w:rFonts w:cs="Arial"/>
          <w:bCs/>
        </w:rPr>
        <w:t xml:space="preserve"> meeting </w:t>
      </w:r>
      <w:r w:rsidRPr="00523732">
        <w:rPr>
          <w:rFonts w:cs="Arial"/>
          <w:bCs/>
        </w:rPr>
        <w:t>(GGC38</w:t>
      </w:r>
      <w:r w:rsidR="006A1313">
        <w:rPr>
          <w:rFonts w:cs="Arial"/>
          <w:bCs/>
        </w:rPr>
        <w:t>, April 2022</w:t>
      </w:r>
      <w:r w:rsidRPr="00523732">
        <w:rPr>
          <w:rFonts w:cs="Arial"/>
          <w:bCs/>
        </w:rPr>
        <w:t>) decided to create a project team to conduct a governance review of GEBCO (referred to as the GRPT). This project team was to be led by the GEBCO Secretary (Chair) and supported by the IOC GEBCO Representative (Vice Chair). In doing so, the GGC noted that “</w:t>
      </w:r>
      <w:r w:rsidRPr="00884179">
        <w:rPr>
          <w:rFonts w:cs="Arial"/>
          <w:i/>
          <w:iCs/>
        </w:rPr>
        <w:t>whilst this was clearly a much needed and worthwhile endeavour”</w:t>
      </w:r>
      <w:r w:rsidRPr="00523732">
        <w:rPr>
          <w:rFonts w:cs="Arial"/>
        </w:rPr>
        <w:t xml:space="preserve">, it could be a significant undertaking and the project team </w:t>
      </w:r>
      <w:r w:rsidRPr="00884179">
        <w:rPr>
          <w:rFonts w:cs="Arial"/>
          <w:i/>
          <w:iCs/>
        </w:rPr>
        <w:t>“should be cautious not to make it too detailed or over burdensome”</w:t>
      </w:r>
      <w:r w:rsidRPr="00523732">
        <w:rPr>
          <w:rFonts w:cs="Arial"/>
        </w:rPr>
        <w:t xml:space="preserve">. As such it was agreed that the aim should be to create </w:t>
      </w:r>
      <w:r w:rsidRPr="00884179">
        <w:rPr>
          <w:rFonts w:cs="Arial"/>
          <w:i/>
          <w:iCs/>
        </w:rPr>
        <w:t>“a repeatable continuous improvement process rather than just a standalone report”</w:t>
      </w:r>
      <w:r w:rsidRPr="00523732">
        <w:rPr>
          <w:rFonts w:cs="Arial"/>
        </w:rPr>
        <w:t xml:space="preserve">. </w:t>
      </w:r>
    </w:p>
    <w:p w14:paraId="1E73477D" w14:textId="77777777"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szCs w:val="22"/>
        </w:rPr>
      </w:pPr>
      <w:r w:rsidRPr="00523732">
        <w:rPr>
          <w:rFonts w:cs="Arial"/>
          <w:szCs w:val="22"/>
        </w:rPr>
        <w:t xml:space="preserve">The core </w:t>
      </w:r>
      <w:r w:rsidRPr="00523732">
        <w:rPr>
          <w:rFonts w:cs="Arial"/>
          <w:bCs/>
        </w:rPr>
        <w:t>elements</w:t>
      </w:r>
      <w:r w:rsidRPr="00523732">
        <w:rPr>
          <w:rFonts w:cs="Arial"/>
          <w:szCs w:val="22"/>
        </w:rPr>
        <w:t xml:space="preserve"> of the review are stakeholder mapping and engagement, mapping of the existing organization and functional structure, a review of the legal structure and framework, a gap analysis of existing governance instruments, a review of the financial status and the identification of findings and recommendations.</w:t>
      </w:r>
    </w:p>
    <w:p w14:paraId="1D00E975" w14:textId="4D310767"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I</w:t>
      </w:r>
      <w:r w:rsidR="006A1313">
        <w:rPr>
          <w:rFonts w:cs="Arial"/>
          <w:bCs/>
          <w:szCs w:val="22"/>
        </w:rPr>
        <w:t>t</w:t>
      </w:r>
      <w:r w:rsidRPr="00523732">
        <w:rPr>
          <w:rFonts w:cs="Arial"/>
          <w:bCs/>
          <w:szCs w:val="22"/>
        </w:rPr>
        <w:t xml:space="preserve"> is clear from </w:t>
      </w:r>
      <w:r w:rsidRPr="00523732">
        <w:rPr>
          <w:rFonts w:cs="Arial"/>
          <w:bCs/>
        </w:rPr>
        <w:t>the</w:t>
      </w:r>
      <w:r w:rsidRPr="00523732">
        <w:rPr>
          <w:rFonts w:cs="Arial"/>
          <w:bCs/>
          <w:szCs w:val="22"/>
        </w:rPr>
        <w:t xml:space="preserve"> work undertaken so far that this has indeed proven to be a complex task which has had to draw on significant resource from both IHO and IOC Secretariats. It </w:t>
      </w:r>
      <w:r w:rsidR="00B778DE">
        <w:rPr>
          <w:rFonts w:cs="Arial"/>
          <w:bCs/>
          <w:szCs w:val="22"/>
        </w:rPr>
        <w:t>was therefore decided</w:t>
      </w:r>
      <w:r w:rsidRPr="00523732">
        <w:rPr>
          <w:rFonts w:cs="Arial"/>
          <w:bCs/>
          <w:szCs w:val="22"/>
        </w:rPr>
        <w:t xml:space="preserve"> to defer final delivery of the findings to GGC40 (November 2023) before onward reporting to the parent organisations. </w:t>
      </w:r>
    </w:p>
    <w:p w14:paraId="3E12C7AC" w14:textId="77777777"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This report provides an update on the progress made to date including initial findings and next steps.</w:t>
      </w:r>
    </w:p>
    <w:p w14:paraId="4351A5F1" w14:textId="77777777" w:rsidR="00523732" w:rsidRPr="00F05FDB" w:rsidRDefault="00523732" w:rsidP="00523732">
      <w:pPr>
        <w:spacing w:after="240" w:line="240" w:lineRule="auto"/>
        <w:jc w:val="both"/>
        <w:rPr>
          <w:rFonts w:ascii="Arial" w:eastAsia="Times New Roman" w:hAnsi="Arial" w:cs="Arial"/>
          <w:b/>
          <w:bCs/>
          <w:lang w:val="en-GB" w:eastAsia="en-US"/>
        </w:rPr>
      </w:pPr>
      <w:r w:rsidRPr="00F05FDB">
        <w:rPr>
          <w:rFonts w:ascii="Arial" w:eastAsia="Times New Roman" w:hAnsi="Arial" w:cs="Arial"/>
          <w:b/>
          <w:bCs/>
          <w:lang w:val="en-GB" w:eastAsia="en-US"/>
        </w:rPr>
        <w:t>Process – work to date</w:t>
      </w:r>
    </w:p>
    <w:p w14:paraId="7C72A1E5" w14:textId="40135065"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 xml:space="preserve">Following the endorsement of the proposed creation of the </w:t>
      </w:r>
      <w:r w:rsidR="00337667" w:rsidRPr="00337667">
        <w:rPr>
          <w:rFonts w:cs="Arial"/>
          <w:bCs/>
          <w:szCs w:val="22"/>
        </w:rPr>
        <w:t>GEBCO Governance Review Project Team (GRPT)</w:t>
      </w:r>
      <w:r w:rsidR="00337667" w:rsidRPr="00337667" w:rsidDel="00337667">
        <w:rPr>
          <w:rFonts w:cs="Arial"/>
          <w:bCs/>
          <w:szCs w:val="22"/>
        </w:rPr>
        <w:t xml:space="preserve"> </w:t>
      </w:r>
      <w:r w:rsidRPr="00523732">
        <w:rPr>
          <w:rFonts w:cs="Arial"/>
          <w:bCs/>
          <w:szCs w:val="22"/>
        </w:rPr>
        <w:t xml:space="preserve">by </w:t>
      </w:r>
      <w:r w:rsidR="0049601F">
        <w:rPr>
          <w:rFonts w:cs="Arial"/>
          <w:bCs/>
          <w:szCs w:val="22"/>
        </w:rPr>
        <w:t xml:space="preserve">the </w:t>
      </w:r>
      <w:r w:rsidRPr="00523732">
        <w:rPr>
          <w:rFonts w:cs="Arial"/>
          <w:bCs/>
          <w:color w:val="000000"/>
          <w:szCs w:val="22"/>
        </w:rPr>
        <w:t xml:space="preserve">IHO’s </w:t>
      </w:r>
      <w:r w:rsidRPr="00523732">
        <w:rPr>
          <w:rFonts w:cs="Arial"/>
          <w:color w:val="000000"/>
          <w:szCs w:val="22"/>
          <w:shd w:val="clear" w:color="auto" w:fill="FFFFFF"/>
        </w:rPr>
        <w:t>Inter-Regional Coordination Committee</w:t>
      </w:r>
      <w:r w:rsidRPr="00523732">
        <w:rPr>
          <w:rFonts w:cs="Arial"/>
          <w:b/>
          <w:bCs/>
          <w:color w:val="000000"/>
          <w:szCs w:val="22"/>
          <w:shd w:val="clear" w:color="auto" w:fill="FFFFFF"/>
        </w:rPr>
        <w:t xml:space="preserve"> (IRCC)-</w:t>
      </w:r>
      <w:r w:rsidRPr="00523732">
        <w:rPr>
          <w:rFonts w:cs="Arial"/>
          <w:bCs/>
          <w:color w:val="000000"/>
          <w:szCs w:val="22"/>
        </w:rPr>
        <w:t xml:space="preserve">14 </w:t>
      </w:r>
      <w:r w:rsidRPr="00523732">
        <w:rPr>
          <w:rFonts w:cs="Arial"/>
          <w:bCs/>
          <w:szCs w:val="22"/>
        </w:rPr>
        <w:t xml:space="preserve">and the </w:t>
      </w:r>
      <w:r w:rsidR="006A1313" w:rsidRPr="00523732">
        <w:rPr>
          <w:rFonts w:cs="Arial"/>
          <w:bCs/>
          <w:szCs w:val="22"/>
        </w:rPr>
        <w:t xml:space="preserve">IOC Executive Council </w:t>
      </w:r>
      <w:r w:rsidR="006A1313">
        <w:rPr>
          <w:rFonts w:cs="Arial"/>
          <w:bCs/>
          <w:szCs w:val="22"/>
        </w:rPr>
        <w:t xml:space="preserve">at its </w:t>
      </w:r>
      <w:r w:rsidRPr="00523732">
        <w:rPr>
          <w:rFonts w:cs="Arial"/>
          <w:bCs/>
          <w:szCs w:val="22"/>
        </w:rPr>
        <w:t>55</w:t>
      </w:r>
      <w:r w:rsidRPr="00523732">
        <w:rPr>
          <w:rFonts w:cs="Arial"/>
          <w:bCs/>
          <w:szCs w:val="22"/>
          <w:vertAlign w:val="superscript"/>
        </w:rPr>
        <w:t>th</w:t>
      </w:r>
      <w:r w:rsidR="006A1313">
        <w:rPr>
          <w:rFonts w:cs="Arial"/>
          <w:bCs/>
          <w:szCs w:val="22"/>
          <w:vertAlign w:val="superscript"/>
        </w:rPr>
        <w:t xml:space="preserve"> </w:t>
      </w:r>
      <w:r w:rsidR="006A1313">
        <w:rPr>
          <w:rFonts w:cs="Arial"/>
          <w:bCs/>
          <w:szCs w:val="22"/>
        </w:rPr>
        <w:t>session,</w:t>
      </w:r>
      <w:r w:rsidRPr="00523732">
        <w:rPr>
          <w:rFonts w:cs="Arial"/>
          <w:bCs/>
          <w:szCs w:val="22"/>
        </w:rPr>
        <w:t xml:space="preserve"> work on the Governance review commenced. It was agreed that the initial work would be focused on mapping GEBCO’s organisational and functional structure which would allow a gap analysis of the various governance instruments to be started with initial findings identified. Given the size and complexity of the task, it was necessary to initially focus on the core entities within the GEBCO Programme (being the sub-committees) and their relationship to their parent organisations. </w:t>
      </w:r>
      <w:r w:rsidR="00337667">
        <w:rPr>
          <w:rFonts w:cs="Arial"/>
          <w:bCs/>
          <w:szCs w:val="22"/>
        </w:rPr>
        <w:t xml:space="preserve"> </w:t>
      </w:r>
    </w:p>
    <w:p w14:paraId="767212F8" w14:textId="77777777" w:rsidR="00523732" w:rsidRPr="00496C20" w:rsidRDefault="00523732" w:rsidP="00523732">
      <w:pPr>
        <w:spacing w:after="240" w:line="240" w:lineRule="auto"/>
        <w:jc w:val="both"/>
        <w:rPr>
          <w:rFonts w:ascii="Arial" w:eastAsia="Times New Roman" w:hAnsi="Arial" w:cs="Arial"/>
          <w:i/>
          <w:iCs/>
          <w:u w:val="single"/>
          <w:lang w:val="en-GB" w:eastAsia="en-US"/>
        </w:rPr>
      </w:pPr>
      <w:r w:rsidRPr="00496C20">
        <w:rPr>
          <w:rFonts w:ascii="Arial" w:eastAsia="Times New Roman" w:hAnsi="Arial" w:cs="Arial"/>
          <w:i/>
          <w:iCs/>
          <w:u w:val="single"/>
          <w:lang w:val="en-GB" w:eastAsia="en-US"/>
        </w:rPr>
        <w:t>Alignment to Strategy</w:t>
      </w:r>
    </w:p>
    <w:p w14:paraId="14E5E815" w14:textId="77777777"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 xml:space="preserve">At GGC38 </w:t>
      </w:r>
      <w:r w:rsidRPr="00523732">
        <w:rPr>
          <w:rFonts w:cs="Arial"/>
          <w:bCs/>
        </w:rPr>
        <w:t>and</w:t>
      </w:r>
      <w:r w:rsidRPr="00523732">
        <w:rPr>
          <w:rFonts w:cs="Arial"/>
          <w:bCs/>
          <w:szCs w:val="22"/>
        </w:rPr>
        <w:t xml:space="preserve"> GGC39 it was acknowledged that ordinarily a governance review of this type would be undertaken against some form of organisational strategy to ensure that it could be properly implemented. Further, it was noted that until the new GEBCO Strategy reached an initial level of maturity, it was unlikely that the governance review would be completed. </w:t>
      </w:r>
    </w:p>
    <w:p w14:paraId="0ADBCC0E" w14:textId="77777777" w:rsidR="00523732" w:rsidRPr="00496C20" w:rsidRDefault="00523732" w:rsidP="00523732">
      <w:pPr>
        <w:spacing w:after="240" w:line="240" w:lineRule="auto"/>
        <w:jc w:val="both"/>
        <w:rPr>
          <w:rFonts w:ascii="Arial" w:eastAsia="Times New Roman" w:hAnsi="Arial" w:cs="Arial"/>
          <w:i/>
          <w:iCs/>
          <w:u w:val="single"/>
          <w:lang w:val="en-GB" w:eastAsia="en-US"/>
        </w:rPr>
      </w:pPr>
      <w:r w:rsidRPr="00496C20">
        <w:rPr>
          <w:rFonts w:ascii="Arial" w:eastAsia="Times New Roman" w:hAnsi="Arial" w:cs="Arial"/>
          <w:i/>
          <w:iCs/>
          <w:u w:val="single"/>
          <w:lang w:val="en-GB" w:eastAsia="en-US"/>
        </w:rPr>
        <w:t>Initial Considerations</w:t>
      </w:r>
    </w:p>
    <w:p w14:paraId="246971EC" w14:textId="57F60FE1" w:rsidR="00523732" w:rsidRPr="008B3A97" w:rsidRDefault="00523732" w:rsidP="00496C20">
      <w:pPr>
        <w:pStyle w:val="ListParagraph"/>
        <w:numPr>
          <w:ilvl w:val="0"/>
          <w:numId w:val="5"/>
        </w:numPr>
        <w:tabs>
          <w:tab w:val="clear" w:pos="567"/>
          <w:tab w:val="left" w:pos="709"/>
        </w:tabs>
        <w:spacing w:after="120" w:line="240" w:lineRule="auto"/>
        <w:ind w:left="0" w:firstLine="0"/>
        <w:contextualSpacing w:val="0"/>
        <w:rPr>
          <w:rFonts w:cs="Arial"/>
          <w:bCs/>
          <w:szCs w:val="22"/>
        </w:rPr>
      </w:pPr>
      <w:r w:rsidRPr="00523732">
        <w:rPr>
          <w:rFonts w:cs="Arial"/>
          <w:bCs/>
          <w:szCs w:val="22"/>
        </w:rPr>
        <w:t xml:space="preserve">In order to </w:t>
      </w:r>
      <w:r w:rsidRPr="00523732">
        <w:rPr>
          <w:rFonts w:cs="Arial"/>
          <w:bCs/>
        </w:rPr>
        <w:t>identify</w:t>
      </w:r>
      <w:r w:rsidRPr="00523732">
        <w:rPr>
          <w:rFonts w:cs="Arial"/>
          <w:bCs/>
          <w:szCs w:val="22"/>
        </w:rPr>
        <w:t xml:space="preserve"> the initial set of findings presented in this paper, a series of questions were developed to ensure a consistent and repeatable approach was taken to what a largely qualitative assessment process</w:t>
      </w:r>
      <w:r w:rsidR="00337667" w:rsidRPr="00337667">
        <w:rPr>
          <w:rFonts w:cs="Arial"/>
          <w:bCs/>
          <w:szCs w:val="22"/>
        </w:rPr>
        <w:t xml:space="preserve"> </w:t>
      </w:r>
      <w:r w:rsidR="00337667" w:rsidRPr="00523732">
        <w:rPr>
          <w:rFonts w:cs="Arial"/>
          <w:bCs/>
          <w:szCs w:val="22"/>
        </w:rPr>
        <w:t>is</w:t>
      </w:r>
      <w:r w:rsidR="00337667">
        <w:rPr>
          <w:rFonts w:cs="Arial"/>
          <w:bCs/>
          <w:szCs w:val="22"/>
        </w:rPr>
        <w:t xml:space="preserve">: </w:t>
      </w:r>
    </w:p>
    <w:p w14:paraId="602D4269" w14:textId="77777777" w:rsidR="00523732" w:rsidRPr="00523732" w:rsidRDefault="00523732" w:rsidP="00496C20">
      <w:pPr>
        <w:numPr>
          <w:ilvl w:val="0"/>
          <w:numId w:val="4"/>
        </w:numPr>
        <w:spacing w:after="120" w:line="240" w:lineRule="auto"/>
        <w:ind w:left="1064"/>
        <w:jc w:val="both"/>
        <w:rPr>
          <w:rFonts w:ascii="Arial" w:eastAsia="Times New Roman" w:hAnsi="Arial" w:cs="Arial"/>
          <w:bCs/>
          <w:lang w:val="en-GB" w:eastAsia="en-US"/>
        </w:rPr>
      </w:pPr>
      <w:r w:rsidRPr="00523732">
        <w:rPr>
          <w:rFonts w:ascii="Arial" w:eastAsia="Times New Roman" w:hAnsi="Arial" w:cs="Arial"/>
          <w:bCs/>
          <w:lang w:val="en-GB" w:eastAsia="en-US"/>
        </w:rPr>
        <w:t>Do the relevant governance instruments exist?</w:t>
      </w:r>
    </w:p>
    <w:p w14:paraId="4359AB68" w14:textId="593A4ED7" w:rsidR="00523732" w:rsidRPr="00523732" w:rsidRDefault="00523732" w:rsidP="00496C20">
      <w:pPr>
        <w:numPr>
          <w:ilvl w:val="0"/>
          <w:numId w:val="4"/>
        </w:numPr>
        <w:spacing w:after="120" w:line="240" w:lineRule="auto"/>
        <w:ind w:left="1064"/>
        <w:jc w:val="both"/>
        <w:rPr>
          <w:rFonts w:ascii="Arial" w:eastAsia="Times New Roman" w:hAnsi="Arial" w:cs="Arial"/>
          <w:bCs/>
          <w:lang w:val="en-GB" w:eastAsia="en-US"/>
        </w:rPr>
      </w:pPr>
      <w:r w:rsidRPr="00523732">
        <w:rPr>
          <w:rFonts w:ascii="Arial" w:eastAsia="Times New Roman" w:hAnsi="Arial" w:cs="Arial"/>
          <w:bCs/>
          <w:lang w:val="en-GB" w:eastAsia="en-US"/>
        </w:rPr>
        <w:t xml:space="preserve">Are the governance instruments up to date and </w:t>
      </w:r>
      <w:r w:rsidR="0049601F">
        <w:rPr>
          <w:rFonts w:ascii="Arial" w:eastAsia="Times New Roman" w:hAnsi="Arial" w:cs="Arial"/>
          <w:bCs/>
          <w:lang w:val="en-GB" w:eastAsia="en-US"/>
        </w:rPr>
        <w:t xml:space="preserve">do they </w:t>
      </w:r>
      <w:r w:rsidRPr="00523732">
        <w:rPr>
          <w:rFonts w:ascii="Arial" w:eastAsia="Times New Roman" w:hAnsi="Arial" w:cs="Arial"/>
          <w:bCs/>
          <w:lang w:val="en-GB" w:eastAsia="en-US"/>
        </w:rPr>
        <w:t>adequately support the work of the group or committee?</w:t>
      </w:r>
    </w:p>
    <w:p w14:paraId="621198E2" w14:textId="77777777" w:rsidR="00523732" w:rsidRPr="00523732" w:rsidRDefault="00523732" w:rsidP="00496C20">
      <w:pPr>
        <w:numPr>
          <w:ilvl w:val="0"/>
          <w:numId w:val="4"/>
        </w:numPr>
        <w:spacing w:after="120" w:line="240" w:lineRule="auto"/>
        <w:ind w:left="1064"/>
        <w:jc w:val="both"/>
        <w:rPr>
          <w:rFonts w:ascii="Arial" w:eastAsia="Times New Roman" w:hAnsi="Arial" w:cs="Arial"/>
          <w:bCs/>
          <w:lang w:val="en-GB" w:eastAsia="en-US"/>
        </w:rPr>
      </w:pPr>
      <w:r w:rsidRPr="00523732">
        <w:rPr>
          <w:rFonts w:ascii="Arial" w:eastAsia="Times New Roman" w:hAnsi="Arial" w:cs="Arial"/>
          <w:bCs/>
          <w:lang w:val="en-GB" w:eastAsia="en-US"/>
        </w:rPr>
        <w:t>Is the work plan clear, current and logically structured?</w:t>
      </w:r>
    </w:p>
    <w:p w14:paraId="582309B7" w14:textId="7C8779F7" w:rsidR="00523732" w:rsidRPr="00523732" w:rsidRDefault="00523732" w:rsidP="00496C20">
      <w:pPr>
        <w:numPr>
          <w:ilvl w:val="0"/>
          <w:numId w:val="4"/>
        </w:numPr>
        <w:spacing w:after="120" w:line="240" w:lineRule="auto"/>
        <w:ind w:left="1064"/>
        <w:jc w:val="both"/>
        <w:rPr>
          <w:rFonts w:ascii="Arial" w:eastAsia="Times New Roman" w:hAnsi="Arial" w:cs="Arial"/>
          <w:bCs/>
          <w:lang w:val="en-GB" w:eastAsia="en-US"/>
        </w:rPr>
      </w:pPr>
      <w:r w:rsidRPr="00523732">
        <w:rPr>
          <w:rFonts w:ascii="Arial" w:eastAsia="Times New Roman" w:hAnsi="Arial" w:cs="Arial"/>
          <w:bCs/>
          <w:lang w:val="en-GB" w:eastAsia="en-US"/>
        </w:rPr>
        <w:lastRenderedPageBreak/>
        <w:t xml:space="preserve">Is the work of the GGC and </w:t>
      </w:r>
      <w:r w:rsidRPr="00727D37">
        <w:rPr>
          <w:rFonts w:ascii="Arial" w:eastAsia="Times New Roman" w:hAnsi="Arial" w:cs="Arial"/>
          <w:bCs/>
          <w:lang w:val="en-GB" w:eastAsia="en-US"/>
        </w:rPr>
        <w:t>S</w:t>
      </w:r>
      <w:r w:rsidR="00727D37" w:rsidRPr="00884179">
        <w:rPr>
          <w:rFonts w:ascii="Arial" w:eastAsia="Times New Roman" w:hAnsi="Arial" w:cs="Arial"/>
          <w:bCs/>
          <w:lang w:val="en-GB" w:eastAsia="en-US"/>
        </w:rPr>
        <w:t>ub-</w:t>
      </w:r>
      <w:r w:rsidRPr="00727D37">
        <w:rPr>
          <w:rFonts w:ascii="Arial" w:eastAsia="Times New Roman" w:hAnsi="Arial" w:cs="Arial"/>
          <w:bCs/>
          <w:lang w:val="en-GB" w:eastAsia="en-US"/>
        </w:rPr>
        <w:t>C</w:t>
      </w:r>
      <w:r w:rsidR="00727D37" w:rsidRPr="00884179">
        <w:rPr>
          <w:rFonts w:ascii="Arial" w:eastAsia="Times New Roman" w:hAnsi="Arial" w:cs="Arial"/>
          <w:bCs/>
          <w:lang w:val="en-GB" w:eastAsia="en-US"/>
        </w:rPr>
        <w:t>ommittee</w:t>
      </w:r>
      <w:r w:rsidRPr="00727D37">
        <w:rPr>
          <w:rFonts w:ascii="Arial" w:eastAsia="Times New Roman" w:hAnsi="Arial" w:cs="Arial"/>
          <w:bCs/>
          <w:lang w:val="en-GB" w:eastAsia="en-US"/>
        </w:rPr>
        <w:t>s</w:t>
      </w:r>
      <w:r w:rsidRPr="00523732">
        <w:rPr>
          <w:rFonts w:ascii="Arial" w:eastAsia="Times New Roman" w:hAnsi="Arial" w:cs="Arial"/>
          <w:bCs/>
          <w:lang w:val="en-GB" w:eastAsia="en-US"/>
        </w:rPr>
        <w:t xml:space="preserve"> appropriately structured in terms of programme delivery hierarchy?</w:t>
      </w:r>
    </w:p>
    <w:p w14:paraId="533895BC" w14:textId="77777777" w:rsidR="00523732" w:rsidRPr="00523732" w:rsidRDefault="00523732" w:rsidP="00496C20">
      <w:pPr>
        <w:numPr>
          <w:ilvl w:val="0"/>
          <w:numId w:val="4"/>
        </w:numPr>
        <w:spacing w:after="120" w:line="240" w:lineRule="auto"/>
        <w:ind w:left="1064"/>
        <w:jc w:val="both"/>
        <w:rPr>
          <w:rFonts w:ascii="Arial" w:eastAsia="Times New Roman" w:hAnsi="Arial" w:cs="Arial"/>
          <w:bCs/>
          <w:lang w:val="en-GB" w:eastAsia="en-US"/>
        </w:rPr>
      </w:pPr>
      <w:r w:rsidRPr="00523732">
        <w:rPr>
          <w:rFonts w:ascii="Arial" w:eastAsia="Times New Roman" w:hAnsi="Arial" w:cs="Arial"/>
          <w:bCs/>
          <w:lang w:val="en-GB" w:eastAsia="en-US"/>
        </w:rPr>
        <w:t>Is the membership of the group or committee appropriate and are there any barriers to effective contribution?</w:t>
      </w:r>
    </w:p>
    <w:p w14:paraId="3CD5287C" w14:textId="77777777" w:rsidR="00523732" w:rsidRPr="00523732" w:rsidRDefault="00523732" w:rsidP="00496C20">
      <w:pPr>
        <w:numPr>
          <w:ilvl w:val="0"/>
          <w:numId w:val="4"/>
        </w:numPr>
        <w:spacing w:after="240" w:line="240" w:lineRule="auto"/>
        <w:ind w:left="1060" w:hanging="357"/>
        <w:jc w:val="both"/>
        <w:rPr>
          <w:rFonts w:ascii="Arial" w:eastAsia="Times New Roman" w:hAnsi="Arial" w:cs="Arial"/>
          <w:bCs/>
          <w:lang w:val="en-GB" w:eastAsia="en-US"/>
        </w:rPr>
      </w:pPr>
      <w:r w:rsidRPr="00523732">
        <w:rPr>
          <w:rFonts w:ascii="Arial" w:eastAsia="Times New Roman" w:hAnsi="Arial" w:cs="Arial"/>
          <w:bCs/>
          <w:lang w:val="en-GB" w:eastAsia="en-US"/>
        </w:rPr>
        <w:t xml:space="preserve">Are any relevant working practices sufficiently clear, formalised and fit for purpose? </w:t>
      </w:r>
    </w:p>
    <w:p w14:paraId="1A259064" w14:textId="77777777" w:rsidR="00523732" w:rsidRPr="00496C20" w:rsidRDefault="00523732" w:rsidP="00523732">
      <w:pPr>
        <w:spacing w:after="240" w:line="240" w:lineRule="auto"/>
        <w:jc w:val="both"/>
        <w:rPr>
          <w:rFonts w:ascii="Arial" w:eastAsia="Times New Roman" w:hAnsi="Arial" w:cs="Arial"/>
          <w:i/>
          <w:iCs/>
          <w:u w:val="single"/>
          <w:lang w:val="en-GB" w:eastAsia="en-US"/>
        </w:rPr>
      </w:pPr>
      <w:r w:rsidRPr="00496C20">
        <w:rPr>
          <w:rFonts w:ascii="Arial" w:eastAsia="Times New Roman" w:hAnsi="Arial" w:cs="Arial"/>
          <w:i/>
          <w:iCs/>
          <w:u w:val="single"/>
          <w:lang w:val="en-GB" w:eastAsia="en-US"/>
        </w:rPr>
        <w:t>External Advisory Panel</w:t>
      </w:r>
    </w:p>
    <w:p w14:paraId="42477BEA" w14:textId="00B4BD31"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
          <w:bCs/>
          <w:szCs w:val="22"/>
        </w:rPr>
      </w:pPr>
      <w:r w:rsidRPr="00523732">
        <w:rPr>
          <w:rFonts w:cs="Arial"/>
          <w:bCs/>
          <w:szCs w:val="22"/>
        </w:rPr>
        <w:t xml:space="preserve">The </w:t>
      </w:r>
      <w:r w:rsidR="00337667">
        <w:rPr>
          <w:rFonts w:cs="Arial"/>
          <w:bCs/>
          <w:szCs w:val="22"/>
        </w:rPr>
        <w:t xml:space="preserve">GEBCO </w:t>
      </w:r>
      <w:r w:rsidRPr="00523732">
        <w:rPr>
          <w:rFonts w:cs="Arial"/>
          <w:bCs/>
          <w:szCs w:val="22"/>
        </w:rPr>
        <w:t xml:space="preserve">GRPT ToRs and RoPs state that </w:t>
      </w:r>
      <w:r w:rsidRPr="00884179">
        <w:rPr>
          <w:rFonts w:cs="Arial"/>
          <w:bCs/>
          <w:i/>
          <w:iCs/>
          <w:szCs w:val="22"/>
        </w:rPr>
        <w:t xml:space="preserve">“the project team is empowered to identify suitably qualified </w:t>
      </w:r>
      <w:r w:rsidRPr="00884179">
        <w:rPr>
          <w:rFonts w:cs="Arial"/>
          <w:bCs/>
          <w:i/>
          <w:iCs/>
        </w:rPr>
        <w:t>members</w:t>
      </w:r>
      <w:r w:rsidRPr="00884179">
        <w:rPr>
          <w:rFonts w:cs="Arial"/>
          <w:bCs/>
          <w:i/>
          <w:iCs/>
          <w:szCs w:val="22"/>
        </w:rPr>
        <w:t xml:space="preserve"> of an External Advisory Panel</w:t>
      </w:r>
      <w:r w:rsidR="00B778DE">
        <w:rPr>
          <w:rFonts w:cs="Arial"/>
          <w:bCs/>
          <w:i/>
          <w:iCs/>
          <w:szCs w:val="22"/>
        </w:rPr>
        <w:t xml:space="preserve"> (EAP)</w:t>
      </w:r>
      <w:r w:rsidRPr="00884179">
        <w:rPr>
          <w:rFonts w:cs="Arial"/>
          <w:bCs/>
          <w:i/>
          <w:iCs/>
          <w:szCs w:val="22"/>
        </w:rPr>
        <w:t>, and to engage them as required in order to provide assurance to the GGC (and the bodies to which the GGC is accountable) that the work that undertaken is of sufficient quality, is impartial and is objective in its recommendations”</w:t>
      </w:r>
      <w:r w:rsidR="00337667">
        <w:rPr>
          <w:rFonts w:cs="Arial"/>
          <w:bCs/>
          <w:i/>
          <w:iCs/>
          <w:szCs w:val="22"/>
        </w:rPr>
        <w:t xml:space="preserve"> </w:t>
      </w:r>
      <w:r w:rsidR="00337667">
        <w:rPr>
          <w:rFonts w:cs="Arial"/>
          <w:bCs/>
          <w:szCs w:val="22"/>
        </w:rPr>
        <w:t xml:space="preserve">(cf. </w:t>
      </w:r>
      <w:hyperlink r:id="rId7" w:history="1">
        <w:r w:rsidR="00337667" w:rsidRPr="00337667">
          <w:rPr>
            <w:rStyle w:val="Hyperlink"/>
            <w:rFonts w:cs="Arial"/>
            <w:bCs/>
            <w:szCs w:val="22"/>
          </w:rPr>
          <w:t>IOC/EC-55/3.1.Doc(4)</w:t>
        </w:r>
      </w:hyperlink>
      <w:r w:rsidR="00337667">
        <w:rPr>
          <w:rFonts w:cs="Arial"/>
          <w:bCs/>
          <w:szCs w:val="22"/>
        </w:rPr>
        <w:t>)</w:t>
      </w:r>
      <w:r w:rsidRPr="00523732">
        <w:rPr>
          <w:rFonts w:cs="Arial"/>
          <w:bCs/>
          <w:szCs w:val="22"/>
        </w:rPr>
        <w:t xml:space="preserve">. The GRPT considered carefully how they would make use of such a </w:t>
      </w:r>
      <w:r w:rsidR="00337667" w:rsidRPr="00523732">
        <w:rPr>
          <w:rFonts w:cs="Arial"/>
          <w:bCs/>
          <w:szCs w:val="22"/>
        </w:rPr>
        <w:t>resource,</w:t>
      </w:r>
      <w:r w:rsidRPr="00523732">
        <w:rPr>
          <w:rFonts w:cs="Arial"/>
          <w:bCs/>
          <w:szCs w:val="22"/>
        </w:rPr>
        <w:t xml:space="preserve"> and it was decided that they would be best employed as an external or peer review of the final report. </w:t>
      </w:r>
    </w:p>
    <w:p w14:paraId="2D14CD72" w14:textId="364375DB" w:rsidR="00523732" w:rsidRPr="00523732" w:rsidRDefault="00523732" w:rsidP="00496C20">
      <w:pPr>
        <w:pStyle w:val="ListParagraph"/>
        <w:numPr>
          <w:ilvl w:val="0"/>
          <w:numId w:val="5"/>
        </w:numPr>
        <w:tabs>
          <w:tab w:val="clear" w:pos="567"/>
          <w:tab w:val="left" w:pos="709"/>
        </w:tabs>
        <w:spacing w:after="120" w:line="240" w:lineRule="auto"/>
        <w:ind w:left="0" w:firstLine="0"/>
        <w:contextualSpacing w:val="0"/>
        <w:rPr>
          <w:rFonts w:cs="Arial"/>
          <w:b/>
          <w:bCs/>
          <w:szCs w:val="22"/>
        </w:rPr>
      </w:pPr>
      <w:r w:rsidRPr="00523732">
        <w:rPr>
          <w:rFonts w:cs="Arial"/>
          <w:bCs/>
          <w:szCs w:val="22"/>
        </w:rPr>
        <w:t xml:space="preserve">To date, </w:t>
      </w:r>
      <w:r w:rsidRPr="00523732">
        <w:rPr>
          <w:rFonts w:cs="Arial"/>
          <w:bCs/>
        </w:rPr>
        <w:t>three</w:t>
      </w:r>
      <w:r w:rsidRPr="00523732">
        <w:rPr>
          <w:rFonts w:cs="Arial"/>
          <w:bCs/>
          <w:szCs w:val="22"/>
        </w:rPr>
        <w:t xml:space="preserve"> positions identified have been filled with only a representative from industry </w:t>
      </w:r>
      <w:r w:rsidR="0049601F">
        <w:rPr>
          <w:rFonts w:cs="Arial"/>
          <w:bCs/>
          <w:szCs w:val="22"/>
        </w:rPr>
        <w:t xml:space="preserve">remaining </w:t>
      </w:r>
      <w:r w:rsidRPr="00523732">
        <w:rPr>
          <w:rFonts w:cs="Arial"/>
          <w:bCs/>
          <w:szCs w:val="22"/>
        </w:rPr>
        <w:t xml:space="preserve">to be appointed. Currently the </w:t>
      </w:r>
      <w:r w:rsidR="00337667">
        <w:t>Expert Advisory Panel</w:t>
      </w:r>
      <w:r w:rsidR="00337667" w:rsidRPr="00884179" w:rsidDel="00337667">
        <w:rPr>
          <w:rFonts w:cs="Arial"/>
          <w:bCs/>
          <w:szCs w:val="22"/>
        </w:rPr>
        <w:t xml:space="preserve"> </w:t>
      </w:r>
      <w:r w:rsidRPr="00523732">
        <w:rPr>
          <w:rFonts w:cs="Arial"/>
          <w:bCs/>
          <w:szCs w:val="22"/>
        </w:rPr>
        <w:t>is constituted of:</w:t>
      </w:r>
    </w:p>
    <w:p w14:paraId="17D111CD" w14:textId="6CF5E5DD" w:rsidR="00523732" w:rsidRPr="00523732" w:rsidRDefault="00523732" w:rsidP="00884179">
      <w:pPr>
        <w:spacing w:after="120"/>
        <w:ind w:left="720"/>
        <w:rPr>
          <w:rFonts w:ascii="Arial" w:eastAsia="Times New Roman" w:hAnsi="Arial" w:cs="Arial"/>
          <w:bCs/>
          <w:lang w:val="en-GB" w:eastAsia="en-US"/>
        </w:rPr>
      </w:pPr>
      <w:r w:rsidRPr="00496C20">
        <w:rPr>
          <w:rFonts w:ascii="Arial" w:eastAsia="Times New Roman" w:hAnsi="Arial" w:cs="Arial"/>
          <w:u w:val="single"/>
          <w:lang w:val="en-GB" w:eastAsia="en-US"/>
        </w:rPr>
        <w:t>Legal Representative</w:t>
      </w:r>
      <w:r w:rsidRPr="00523732">
        <w:rPr>
          <w:rFonts w:ascii="Arial" w:eastAsia="Times New Roman" w:hAnsi="Arial" w:cs="Arial"/>
          <w:bCs/>
          <w:lang w:val="en-GB" w:eastAsia="en-US"/>
        </w:rPr>
        <w:t xml:space="preserve"> – Dr </w:t>
      </w:r>
      <w:r w:rsidRPr="00523732">
        <w:rPr>
          <w:rFonts w:ascii="Arial" w:hAnsi="Arial" w:cs="Arial"/>
          <w:lang w:val="en-GB"/>
        </w:rPr>
        <w:t>Virginie Tassin Campanella, Avocat à la Cour</w:t>
      </w:r>
      <w:r w:rsidR="00C370B0">
        <w:rPr>
          <w:rFonts w:ascii="Arial" w:hAnsi="Arial" w:cs="Arial"/>
          <w:lang w:val="en-GB"/>
        </w:rPr>
        <w:t xml:space="preserve"> </w:t>
      </w:r>
      <w:r w:rsidRPr="00523732">
        <w:rPr>
          <w:rFonts w:ascii="Arial" w:hAnsi="Arial" w:cs="Arial"/>
          <w:lang w:val="en-GB"/>
        </w:rPr>
        <w:t>(Paris Bar) &amp; EU/EFTA Attorney-at-Law (Zürich Bar), Vice President of the Scientific Council of INDEMER (Monaco)</w:t>
      </w:r>
    </w:p>
    <w:p w14:paraId="4AA49953" w14:textId="77777777" w:rsidR="00523732" w:rsidRPr="00523732" w:rsidRDefault="00523732" w:rsidP="00884179">
      <w:pPr>
        <w:spacing w:after="120"/>
        <w:ind w:left="720"/>
        <w:rPr>
          <w:rFonts w:ascii="Arial" w:eastAsia="Times New Roman" w:hAnsi="Arial" w:cs="Arial"/>
          <w:bCs/>
          <w:lang w:val="en-GB" w:eastAsia="en-US"/>
        </w:rPr>
      </w:pPr>
      <w:r w:rsidRPr="00496C20">
        <w:rPr>
          <w:rFonts w:ascii="Arial" w:eastAsia="Times New Roman" w:hAnsi="Arial" w:cs="Arial"/>
          <w:u w:val="single"/>
          <w:lang w:val="en-GB" w:eastAsia="en-US"/>
        </w:rPr>
        <w:t>Financial Representative</w:t>
      </w:r>
      <w:r w:rsidRPr="00523732">
        <w:rPr>
          <w:rFonts w:ascii="Arial" w:eastAsia="Times New Roman" w:hAnsi="Arial" w:cs="Arial"/>
          <w:bCs/>
          <w:lang w:val="en-GB" w:eastAsia="en-US"/>
        </w:rPr>
        <w:t xml:space="preserve"> – Mrs Sandrine Brunel, IHO Secretariat</w:t>
      </w:r>
    </w:p>
    <w:p w14:paraId="279AD34E" w14:textId="77777777" w:rsidR="00523732" w:rsidRPr="00523732" w:rsidRDefault="00523732" w:rsidP="00884179">
      <w:pPr>
        <w:spacing w:after="120"/>
        <w:ind w:left="720"/>
        <w:rPr>
          <w:rFonts w:ascii="Arial" w:eastAsia="Times New Roman" w:hAnsi="Arial" w:cs="Arial"/>
          <w:bCs/>
          <w:lang w:val="en-GB" w:eastAsia="en-US"/>
        </w:rPr>
      </w:pPr>
      <w:r w:rsidRPr="00496C20">
        <w:rPr>
          <w:rFonts w:ascii="Arial" w:eastAsia="Times New Roman" w:hAnsi="Arial" w:cs="Arial"/>
          <w:u w:val="single"/>
          <w:lang w:val="en-GB" w:eastAsia="en-US"/>
        </w:rPr>
        <w:t>Academic Representative</w:t>
      </w:r>
      <w:r w:rsidRPr="00523732">
        <w:rPr>
          <w:rFonts w:ascii="Arial" w:eastAsia="Times New Roman" w:hAnsi="Arial" w:cs="Arial"/>
          <w:bCs/>
          <w:lang w:val="en-GB" w:eastAsia="en-US"/>
        </w:rPr>
        <w:t xml:space="preserve"> – Dr Paul Elsner, University of London</w:t>
      </w:r>
    </w:p>
    <w:p w14:paraId="67A8A15C" w14:textId="422228D3" w:rsidR="00523732" w:rsidRPr="00884179" w:rsidRDefault="00523732" w:rsidP="00884179">
      <w:pPr>
        <w:spacing w:after="240"/>
        <w:ind w:left="720"/>
        <w:rPr>
          <w:rFonts w:ascii="Arial" w:eastAsia="Times New Roman" w:hAnsi="Arial" w:cs="Arial"/>
          <w:bCs/>
          <w:lang w:val="en-GB" w:eastAsia="en-US"/>
        </w:rPr>
      </w:pPr>
      <w:r w:rsidRPr="00884179">
        <w:rPr>
          <w:rFonts w:ascii="Arial" w:eastAsia="Times New Roman" w:hAnsi="Arial" w:cs="Arial"/>
          <w:u w:val="single"/>
          <w:lang w:val="en-GB" w:eastAsia="en-US"/>
        </w:rPr>
        <w:t>Industry/Private Sector Representative</w:t>
      </w:r>
      <w:r w:rsidRPr="00884179">
        <w:rPr>
          <w:rFonts w:ascii="Arial" w:eastAsia="Times New Roman" w:hAnsi="Arial" w:cs="Arial"/>
          <w:b/>
          <w:bCs/>
          <w:lang w:val="en-GB" w:eastAsia="en-US"/>
        </w:rPr>
        <w:t xml:space="preserve"> </w:t>
      </w:r>
      <w:r w:rsidRPr="00884179">
        <w:rPr>
          <w:rFonts w:ascii="Arial" w:eastAsia="Times New Roman" w:hAnsi="Arial" w:cs="Arial"/>
          <w:lang w:val="en-GB" w:eastAsia="en-US"/>
        </w:rPr>
        <w:t>–</w:t>
      </w:r>
      <w:r w:rsidRPr="00884179">
        <w:rPr>
          <w:rFonts w:ascii="Arial" w:eastAsia="Times New Roman" w:hAnsi="Arial" w:cs="Arial"/>
          <w:b/>
          <w:bCs/>
          <w:lang w:val="en-GB" w:eastAsia="en-US"/>
        </w:rPr>
        <w:t xml:space="preserve"> </w:t>
      </w:r>
      <w:r w:rsidR="00337667" w:rsidRPr="00884179">
        <w:rPr>
          <w:rFonts w:ascii="Arial" w:eastAsia="Times New Roman" w:hAnsi="Arial" w:cs="Arial"/>
          <w:i/>
          <w:iCs/>
          <w:lang w:val="en-GB" w:eastAsia="en-US"/>
        </w:rPr>
        <w:t>[</w:t>
      </w:r>
      <w:r w:rsidRPr="00884179">
        <w:rPr>
          <w:rFonts w:ascii="Arial" w:eastAsia="Times New Roman" w:hAnsi="Arial" w:cs="Arial"/>
          <w:bCs/>
          <w:i/>
          <w:iCs/>
          <w:lang w:val="en-GB" w:eastAsia="en-US"/>
        </w:rPr>
        <w:t>TBC</w:t>
      </w:r>
      <w:r w:rsidR="00337667" w:rsidRPr="00884179">
        <w:rPr>
          <w:rFonts w:ascii="Arial" w:eastAsia="Times New Roman" w:hAnsi="Arial" w:cs="Arial"/>
          <w:bCs/>
          <w:i/>
          <w:iCs/>
          <w:lang w:val="en-GB" w:eastAsia="en-US"/>
        </w:rPr>
        <w:t>]</w:t>
      </w:r>
      <w:r w:rsidRPr="00884179">
        <w:rPr>
          <w:rFonts w:ascii="Arial" w:eastAsia="Times New Roman" w:hAnsi="Arial" w:cs="Arial"/>
          <w:bCs/>
          <w:lang w:val="en-GB" w:eastAsia="en-US"/>
        </w:rPr>
        <w:t xml:space="preserve"> </w:t>
      </w:r>
    </w:p>
    <w:p w14:paraId="4B432701" w14:textId="77777777" w:rsidR="00523732" w:rsidRPr="00496C20" w:rsidRDefault="00523732" w:rsidP="00496C20">
      <w:pPr>
        <w:spacing w:before="360" w:after="240" w:line="240" w:lineRule="auto"/>
        <w:jc w:val="both"/>
        <w:rPr>
          <w:rFonts w:ascii="Arial" w:eastAsia="Times New Roman" w:hAnsi="Arial" w:cs="Arial"/>
          <w:b/>
          <w:bCs/>
          <w:lang w:val="en-GB" w:eastAsia="en-US"/>
        </w:rPr>
      </w:pPr>
      <w:r w:rsidRPr="00496C20">
        <w:rPr>
          <w:rFonts w:ascii="Arial" w:eastAsia="Times New Roman" w:hAnsi="Arial" w:cs="Arial"/>
          <w:b/>
          <w:bCs/>
          <w:lang w:val="en-GB" w:eastAsia="en-US"/>
        </w:rPr>
        <w:t>Summary of Initial Findings</w:t>
      </w:r>
    </w:p>
    <w:p w14:paraId="221892A4" w14:textId="77777777"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 xml:space="preserve">Based upon </w:t>
      </w:r>
      <w:r w:rsidRPr="00523732">
        <w:rPr>
          <w:rFonts w:cs="Arial"/>
          <w:bCs/>
        </w:rPr>
        <w:t>the</w:t>
      </w:r>
      <w:r w:rsidRPr="00523732">
        <w:rPr>
          <w:rFonts w:cs="Arial"/>
          <w:bCs/>
          <w:szCs w:val="22"/>
        </w:rPr>
        <w:t xml:space="preserve"> initial organisational and functional mapping of the GEBCO programme, the following initial findings have been identified.</w:t>
      </w:r>
    </w:p>
    <w:p w14:paraId="5A88519B" w14:textId="77777777" w:rsidR="00523732" w:rsidRPr="00496C20" w:rsidRDefault="00523732" w:rsidP="00523732">
      <w:pPr>
        <w:spacing w:after="240" w:line="240" w:lineRule="auto"/>
        <w:jc w:val="both"/>
        <w:rPr>
          <w:rFonts w:ascii="Arial" w:eastAsia="Times New Roman" w:hAnsi="Arial" w:cs="Arial"/>
          <w:i/>
          <w:iCs/>
          <w:u w:val="single"/>
          <w:lang w:val="en-GB" w:eastAsia="en-US"/>
        </w:rPr>
      </w:pPr>
      <w:r w:rsidRPr="00496C20">
        <w:rPr>
          <w:rFonts w:ascii="Arial" w:eastAsia="Times New Roman" w:hAnsi="Arial" w:cs="Arial"/>
          <w:i/>
          <w:iCs/>
          <w:u w:val="single"/>
          <w:lang w:val="en-GB" w:eastAsia="en-US"/>
        </w:rPr>
        <w:t>Organisational Mapping</w:t>
      </w:r>
    </w:p>
    <w:p w14:paraId="7BB22CB0" w14:textId="77777777"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 xml:space="preserve">The GEBCO programme at its core consists of a Guiding Committee and five sub-committees. Over time, a </w:t>
      </w:r>
      <w:r w:rsidRPr="00523732">
        <w:rPr>
          <w:rFonts w:cs="Arial"/>
          <w:bCs/>
        </w:rPr>
        <w:t>number</w:t>
      </w:r>
      <w:r w:rsidRPr="00523732">
        <w:rPr>
          <w:rFonts w:cs="Arial"/>
          <w:bCs/>
          <w:szCs w:val="22"/>
        </w:rPr>
        <w:t xml:space="preserve"> of associated bodies and project activity have come into existence; the most prominent of which is the Nippon Foundation – GEBCO Seabed 2030 Project. </w:t>
      </w:r>
    </w:p>
    <w:p w14:paraId="4B6E6084" w14:textId="382F8094"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 xml:space="preserve">In order to assess </w:t>
      </w:r>
      <w:r w:rsidRPr="00523732">
        <w:rPr>
          <w:rFonts w:cs="Arial"/>
          <w:bCs/>
        </w:rPr>
        <w:t>the</w:t>
      </w:r>
      <w:r w:rsidRPr="00523732">
        <w:rPr>
          <w:rFonts w:cs="Arial"/>
          <w:bCs/>
          <w:szCs w:val="22"/>
        </w:rPr>
        <w:t xml:space="preserve"> status of the associated governance (and instruments), an organisational mapping exercise has been undertaken. </w:t>
      </w:r>
      <w:r w:rsidRPr="00884179">
        <w:rPr>
          <w:rFonts w:cs="Arial"/>
          <w:bCs/>
          <w:i/>
          <w:iCs/>
          <w:szCs w:val="22"/>
        </w:rPr>
        <w:t>Figure</w:t>
      </w:r>
      <w:r w:rsidR="00727D37" w:rsidRPr="00884179">
        <w:rPr>
          <w:rFonts w:cs="Arial"/>
          <w:bCs/>
          <w:i/>
          <w:iCs/>
          <w:szCs w:val="22"/>
        </w:rPr>
        <w:t> </w:t>
      </w:r>
      <w:r w:rsidRPr="00884179">
        <w:rPr>
          <w:rFonts w:cs="Arial"/>
          <w:bCs/>
          <w:i/>
          <w:iCs/>
          <w:szCs w:val="22"/>
        </w:rPr>
        <w:t>1</w:t>
      </w:r>
      <w:r w:rsidRPr="00523732">
        <w:rPr>
          <w:rFonts w:cs="Arial"/>
          <w:bCs/>
          <w:szCs w:val="22"/>
        </w:rPr>
        <w:t xml:space="preserve"> is an ‘organogram’ showing the functional structure and reporting lines of the modern GEBCO community. There were over 25 functional relationships identified and these have all been described and codified. Within the core GEBCO bodies, a gap analysis of governance instruments has been undertaken.</w:t>
      </w:r>
    </w:p>
    <w:p w14:paraId="087FCCA5" w14:textId="77777777" w:rsidR="00EB14F0" w:rsidRPr="00523732" w:rsidRDefault="00EB14F0" w:rsidP="00EB14F0">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 xml:space="preserve">The initial findings described below were presented to GGC39 for discussion. They are presented by </w:t>
      </w:r>
      <w:r w:rsidRPr="00523732">
        <w:rPr>
          <w:rFonts w:cs="Arial"/>
          <w:bCs/>
        </w:rPr>
        <w:t>organisational</w:t>
      </w:r>
      <w:r w:rsidRPr="00523732">
        <w:rPr>
          <w:rFonts w:cs="Arial"/>
          <w:bCs/>
          <w:szCs w:val="22"/>
        </w:rPr>
        <w:t xml:space="preserve"> entity. Each finding has been categorised by ‘type’ and where appropriate, a recommendation for onward action suggested. It should be noted that the suggested recommendations (where made) were to stimulate discussion and are subject to agreement by those bodies affected and ultimately endorsement by the GGC40.</w:t>
      </w:r>
    </w:p>
    <w:p w14:paraId="64797FFE" w14:textId="77777777" w:rsidR="00523732" w:rsidRPr="00523732" w:rsidRDefault="00523732" w:rsidP="00523732">
      <w:pPr>
        <w:ind w:left="360"/>
        <w:jc w:val="both"/>
        <w:rPr>
          <w:rFonts w:ascii="Arial" w:eastAsia="Times New Roman" w:hAnsi="Arial" w:cs="Arial"/>
          <w:bCs/>
          <w:lang w:val="en-GB" w:eastAsia="en-US"/>
        </w:rPr>
      </w:pPr>
    </w:p>
    <w:p w14:paraId="24301D86" w14:textId="1C979501" w:rsidR="00523732" w:rsidRPr="008B3A97" w:rsidRDefault="00523732" w:rsidP="00523732">
      <w:pPr>
        <w:keepNext/>
        <w:ind w:left="792"/>
        <w:jc w:val="both"/>
        <w:rPr>
          <w:rFonts w:ascii="Arial" w:hAnsi="Arial" w:cs="Arial"/>
        </w:rPr>
      </w:pPr>
      <w:r w:rsidRPr="00B41D51">
        <w:rPr>
          <w:rFonts w:ascii="Arial" w:eastAsia="Times New Roman" w:hAnsi="Arial" w:cs="Arial"/>
          <w:b/>
          <w:bCs/>
          <w:noProof/>
          <w:lang w:eastAsia="en-US"/>
        </w:rPr>
        <w:lastRenderedPageBreak/>
        <w:drawing>
          <wp:inline distT="0" distB="0" distL="0" distR="0" wp14:anchorId="5C98C7EC" wp14:editId="3A2E4847">
            <wp:extent cx="4830445" cy="42081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0445" cy="4208145"/>
                    </a:xfrm>
                    <a:prstGeom prst="rect">
                      <a:avLst/>
                    </a:prstGeom>
                    <a:noFill/>
                    <a:ln>
                      <a:noFill/>
                    </a:ln>
                  </pic:spPr>
                </pic:pic>
              </a:graphicData>
            </a:graphic>
          </wp:inline>
        </w:drawing>
      </w:r>
    </w:p>
    <w:p w14:paraId="64E966E2" w14:textId="70D4EA13" w:rsidR="00523732" w:rsidRPr="003427D6" w:rsidRDefault="00523732" w:rsidP="00496C20">
      <w:pPr>
        <w:pStyle w:val="Caption"/>
        <w:jc w:val="center"/>
        <w:rPr>
          <w:rFonts w:ascii="Arial" w:eastAsia="Times New Roman" w:hAnsi="Arial" w:cs="Arial"/>
          <w:b w:val="0"/>
          <w:bCs w:val="0"/>
          <w:i/>
          <w:iCs/>
          <w:sz w:val="22"/>
          <w:szCs w:val="22"/>
          <w:lang w:eastAsia="en-US"/>
        </w:rPr>
      </w:pPr>
      <w:r w:rsidRPr="003427D6">
        <w:rPr>
          <w:rFonts w:ascii="Arial" w:hAnsi="Arial" w:cs="Arial"/>
          <w:b w:val="0"/>
          <w:bCs w:val="0"/>
          <w:i/>
          <w:iCs/>
          <w:sz w:val="22"/>
          <w:szCs w:val="22"/>
        </w:rPr>
        <w:t xml:space="preserve">Figure </w:t>
      </w:r>
      <w:r w:rsidRPr="003427D6">
        <w:rPr>
          <w:rFonts w:ascii="Arial" w:hAnsi="Arial" w:cs="Arial"/>
          <w:b w:val="0"/>
          <w:bCs w:val="0"/>
          <w:i/>
          <w:iCs/>
          <w:sz w:val="22"/>
          <w:szCs w:val="22"/>
        </w:rPr>
        <w:fldChar w:fldCharType="begin"/>
      </w:r>
      <w:r w:rsidRPr="003427D6">
        <w:rPr>
          <w:rFonts w:ascii="Arial" w:hAnsi="Arial" w:cs="Arial"/>
          <w:b w:val="0"/>
          <w:bCs w:val="0"/>
          <w:i/>
          <w:iCs/>
          <w:sz w:val="22"/>
          <w:szCs w:val="22"/>
        </w:rPr>
        <w:instrText xml:space="preserve"> SEQ Figure \* ARABIC </w:instrText>
      </w:r>
      <w:r w:rsidRPr="003427D6">
        <w:rPr>
          <w:rFonts w:ascii="Arial" w:hAnsi="Arial" w:cs="Arial"/>
          <w:b w:val="0"/>
          <w:bCs w:val="0"/>
          <w:i/>
          <w:iCs/>
          <w:sz w:val="22"/>
          <w:szCs w:val="22"/>
        </w:rPr>
        <w:fldChar w:fldCharType="separate"/>
      </w:r>
      <w:r w:rsidR="002A244D">
        <w:rPr>
          <w:rFonts w:ascii="Arial" w:hAnsi="Arial" w:cs="Arial"/>
          <w:b w:val="0"/>
          <w:bCs w:val="0"/>
          <w:i/>
          <w:iCs/>
          <w:noProof/>
          <w:sz w:val="22"/>
          <w:szCs w:val="22"/>
        </w:rPr>
        <w:t>1</w:t>
      </w:r>
      <w:r w:rsidRPr="003427D6">
        <w:rPr>
          <w:rFonts w:ascii="Arial" w:hAnsi="Arial" w:cs="Arial"/>
          <w:b w:val="0"/>
          <w:bCs w:val="0"/>
          <w:i/>
          <w:iCs/>
          <w:sz w:val="22"/>
          <w:szCs w:val="22"/>
        </w:rPr>
        <w:fldChar w:fldCharType="end"/>
      </w:r>
      <w:r w:rsidR="00496C20">
        <w:rPr>
          <w:rFonts w:ascii="Arial" w:hAnsi="Arial" w:cs="Arial"/>
          <w:b w:val="0"/>
          <w:bCs w:val="0"/>
          <w:i/>
          <w:iCs/>
          <w:sz w:val="22"/>
          <w:szCs w:val="22"/>
        </w:rPr>
        <w:t xml:space="preserve"> –</w:t>
      </w:r>
      <w:r w:rsidRPr="003427D6">
        <w:rPr>
          <w:rFonts w:ascii="Arial" w:hAnsi="Arial" w:cs="Arial"/>
          <w:b w:val="0"/>
          <w:bCs w:val="0"/>
          <w:i/>
          <w:iCs/>
          <w:sz w:val="22"/>
          <w:szCs w:val="22"/>
        </w:rPr>
        <w:t xml:space="preserve"> GEBCO Programme and associated entities functional structure</w:t>
      </w:r>
    </w:p>
    <w:p w14:paraId="691CD7B2" w14:textId="77777777" w:rsidR="00523732" w:rsidRPr="00523732" w:rsidRDefault="00523732" w:rsidP="00523732">
      <w:pPr>
        <w:ind w:left="792"/>
        <w:jc w:val="both"/>
        <w:rPr>
          <w:rFonts w:ascii="Arial" w:eastAsia="Times New Roman" w:hAnsi="Arial" w:cs="Arial"/>
          <w:b/>
          <w:bCs/>
          <w:lang w:val="en-GB" w:eastAsia="en-US"/>
        </w:rPr>
      </w:pPr>
    </w:p>
    <w:p w14:paraId="5DAAA15C" w14:textId="77777777" w:rsidR="00523732" w:rsidRPr="00496C20" w:rsidRDefault="00523732" w:rsidP="00523732">
      <w:pPr>
        <w:spacing w:after="240" w:line="240" w:lineRule="auto"/>
        <w:jc w:val="both"/>
        <w:rPr>
          <w:rFonts w:ascii="Arial" w:eastAsia="Times New Roman" w:hAnsi="Arial" w:cs="Arial"/>
          <w:i/>
          <w:iCs/>
          <w:u w:val="single"/>
          <w:lang w:val="en-GB" w:eastAsia="en-US"/>
        </w:rPr>
      </w:pPr>
      <w:r w:rsidRPr="00496C20">
        <w:rPr>
          <w:rFonts w:ascii="Arial" w:eastAsia="Times New Roman" w:hAnsi="Arial" w:cs="Arial"/>
          <w:i/>
          <w:iCs/>
          <w:u w:val="single"/>
          <w:lang w:val="en-GB" w:eastAsia="en-US"/>
        </w:rPr>
        <w:t>GEBCO Programme Work Structure</w:t>
      </w:r>
    </w:p>
    <w:p w14:paraId="0FD621F3" w14:textId="116489C8"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 xml:space="preserve">Within the organisational structure described </w:t>
      </w:r>
      <w:r w:rsidR="00727D37">
        <w:rPr>
          <w:rFonts w:cs="Arial"/>
          <w:bCs/>
          <w:szCs w:val="22"/>
        </w:rPr>
        <w:t>above</w:t>
      </w:r>
      <w:r w:rsidRPr="00523732">
        <w:rPr>
          <w:rFonts w:cs="Arial"/>
          <w:bCs/>
          <w:szCs w:val="22"/>
        </w:rPr>
        <w:t xml:space="preserve">, a review of the GEBCO work plan(s) has been </w:t>
      </w:r>
      <w:r w:rsidRPr="00523732">
        <w:rPr>
          <w:rFonts w:cs="Arial"/>
          <w:bCs/>
        </w:rPr>
        <w:t>undertaken</w:t>
      </w:r>
      <w:r w:rsidRPr="00523732">
        <w:rPr>
          <w:rFonts w:cs="Arial"/>
          <w:bCs/>
          <w:szCs w:val="22"/>
        </w:rPr>
        <w:t>. A key component of this activity was to consider the programmatic hierarchy and reporting mechanisms. The initial observations are that the work plan has become very complicated, with many work items, many of which need to be prioritised and potentially consolidated into more manageable packages. Further consideration will be given to the need for a dedicated programme board and more regular financial reporting/forecasting.</w:t>
      </w:r>
    </w:p>
    <w:p w14:paraId="6967BFD2" w14:textId="77777777" w:rsidR="00523732" w:rsidRPr="00496C20" w:rsidRDefault="00523732" w:rsidP="00523732">
      <w:pPr>
        <w:spacing w:after="240" w:line="240" w:lineRule="auto"/>
        <w:jc w:val="both"/>
        <w:rPr>
          <w:rFonts w:ascii="Arial" w:eastAsia="Times New Roman" w:hAnsi="Arial" w:cs="Arial"/>
          <w:i/>
          <w:iCs/>
          <w:u w:val="single"/>
          <w:lang w:val="en-GB" w:eastAsia="en-US"/>
        </w:rPr>
      </w:pPr>
      <w:r w:rsidRPr="00496C20">
        <w:rPr>
          <w:rFonts w:ascii="Arial" w:eastAsia="Times New Roman" w:hAnsi="Arial" w:cs="Arial"/>
          <w:i/>
          <w:iCs/>
          <w:u w:val="single"/>
          <w:lang w:val="en-GB" w:eastAsia="en-US"/>
        </w:rPr>
        <w:t>Parent Organisations</w:t>
      </w:r>
    </w:p>
    <w:p w14:paraId="6B95B039" w14:textId="426E2313"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 xml:space="preserve">The review of </w:t>
      </w:r>
      <w:r w:rsidRPr="00523732">
        <w:rPr>
          <w:rFonts w:cs="Arial"/>
          <w:bCs/>
        </w:rPr>
        <w:t>existing</w:t>
      </w:r>
      <w:r w:rsidRPr="00523732">
        <w:rPr>
          <w:rFonts w:cs="Arial"/>
          <w:bCs/>
          <w:szCs w:val="22"/>
        </w:rPr>
        <w:t xml:space="preserve"> governance instruments showed that the MoU between the two organisations predated key developments such as the UN Decade of Ocean Science for sustainable development</w:t>
      </w:r>
      <w:r w:rsidR="009E68A0">
        <w:rPr>
          <w:rFonts w:cs="Arial"/>
          <w:bCs/>
          <w:szCs w:val="22"/>
        </w:rPr>
        <w:t xml:space="preserve"> (2021</w:t>
      </w:r>
      <w:r w:rsidR="00C370B0">
        <w:rPr>
          <w:rFonts w:cs="Arial"/>
          <w:bCs/>
          <w:szCs w:val="22"/>
        </w:rPr>
        <w:t>–</w:t>
      </w:r>
      <w:r w:rsidR="009E68A0">
        <w:rPr>
          <w:rFonts w:cs="Arial"/>
          <w:bCs/>
          <w:szCs w:val="22"/>
        </w:rPr>
        <w:t>2030)</w:t>
      </w:r>
      <w:r w:rsidRPr="00523732">
        <w:rPr>
          <w:rFonts w:cs="Arial"/>
          <w:bCs/>
          <w:szCs w:val="22"/>
        </w:rPr>
        <w:t xml:space="preserve"> and Seabed 2030.</w:t>
      </w:r>
    </w:p>
    <w:p w14:paraId="6F531344" w14:textId="30BD6B6D" w:rsidR="00523732" w:rsidRPr="00496C20" w:rsidRDefault="00523732" w:rsidP="00523732">
      <w:pPr>
        <w:spacing w:after="240" w:line="240" w:lineRule="auto"/>
        <w:jc w:val="both"/>
        <w:rPr>
          <w:rFonts w:ascii="Arial" w:eastAsia="Times New Roman" w:hAnsi="Arial" w:cs="Arial"/>
          <w:i/>
          <w:iCs/>
          <w:u w:val="single"/>
          <w:lang w:val="en-GB" w:eastAsia="en-US"/>
        </w:rPr>
      </w:pPr>
      <w:r w:rsidRPr="00496C20">
        <w:rPr>
          <w:rFonts w:ascii="Arial" w:eastAsia="Times New Roman" w:hAnsi="Arial" w:cs="Arial"/>
          <w:i/>
          <w:iCs/>
          <w:u w:val="single"/>
          <w:lang w:val="en-GB" w:eastAsia="en-US"/>
        </w:rPr>
        <w:t>GEBCO Guiding Committee</w:t>
      </w:r>
      <w:r w:rsidR="00020701">
        <w:rPr>
          <w:rFonts w:ascii="Arial" w:eastAsia="Times New Roman" w:hAnsi="Arial" w:cs="Arial"/>
          <w:i/>
          <w:iCs/>
          <w:u w:val="single"/>
          <w:lang w:val="en-GB" w:eastAsia="en-US"/>
        </w:rPr>
        <w:t xml:space="preserve"> (GGC)</w:t>
      </w:r>
    </w:p>
    <w:p w14:paraId="4973A547" w14:textId="2FA19A27"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 xml:space="preserve">The main themes relate to the membership of the GGC and the way that the modern portfolio of work is structured. The nature of the findings identified </w:t>
      </w:r>
      <w:r w:rsidR="009E68A0">
        <w:rPr>
          <w:rFonts w:cs="Arial"/>
          <w:bCs/>
          <w:szCs w:val="22"/>
        </w:rPr>
        <w:t>is</w:t>
      </w:r>
      <w:r w:rsidRPr="00523732">
        <w:rPr>
          <w:rFonts w:cs="Arial"/>
          <w:bCs/>
          <w:szCs w:val="22"/>
        </w:rPr>
        <w:t xml:space="preserve"> largely a reflection of how the work of the GEBCO programme has evolved over recent years into complex portfolio of different work items. </w:t>
      </w:r>
    </w:p>
    <w:p w14:paraId="734B3A54" w14:textId="77777777" w:rsidR="00F05FDB" w:rsidRDefault="00F05FDB">
      <w:pPr>
        <w:rPr>
          <w:rFonts w:ascii="Arial" w:eastAsia="Times New Roman" w:hAnsi="Arial" w:cs="Arial"/>
          <w:i/>
          <w:iCs/>
          <w:u w:val="single"/>
          <w:lang w:val="en-GB" w:eastAsia="en-US"/>
        </w:rPr>
      </w:pPr>
      <w:r>
        <w:rPr>
          <w:rFonts w:ascii="Arial" w:eastAsia="Times New Roman" w:hAnsi="Arial" w:cs="Arial"/>
          <w:i/>
          <w:iCs/>
          <w:u w:val="single"/>
          <w:lang w:val="en-GB" w:eastAsia="en-US"/>
        </w:rPr>
        <w:br w:type="page"/>
      </w:r>
    </w:p>
    <w:p w14:paraId="4C11B7A5" w14:textId="419459F1" w:rsidR="00523732" w:rsidRPr="00496C20" w:rsidRDefault="00523732" w:rsidP="00523732">
      <w:pPr>
        <w:spacing w:after="240" w:line="240" w:lineRule="auto"/>
        <w:jc w:val="both"/>
        <w:rPr>
          <w:rFonts w:ascii="Arial" w:eastAsia="Times New Roman" w:hAnsi="Arial" w:cs="Arial"/>
          <w:i/>
          <w:iCs/>
          <w:u w:val="single"/>
          <w:lang w:val="en-GB" w:eastAsia="en-US"/>
        </w:rPr>
      </w:pPr>
      <w:r w:rsidRPr="00496C20">
        <w:rPr>
          <w:rFonts w:ascii="Arial" w:eastAsia="Times New Roman" w:hAnsi="Arial" w:cs="Arial"/>
          <w:i/>
          <w:iCs/>
          <w:u w:val="single"/>
          <w:lang w:val="en-GB" w:eastAsia="en-US"/>
        </w:rPr>
        <w:t>Technical Sub-Committee of Ocean Mapping</w:t>
      </w:r>
      <w:r w:rsidR="00020701">
        <w:rPr>
          <w:rFonts w:ascii="Arial" w:eastAsia="Times New Roman" w:hAnsi="Arial" w:cs="Arial"/>
          <w:i/>
          <w:iCs/>
          <w:u w:val="single"/>
          <w:lang w:val="en-GB" w:eastAsia="en-US"/>
        </w:rPr>
        <w:t xml:space="preserve"> (TSCOM)</w:t>
      </w:r>
      <w:r w:rsidRPr="00496C20">
        <w:rPr>
          <w:rFonts w:ascii="Arial" w:eastAsia="Times New Roman" w:hAnsi="Arial" w:cs="Arial"/>
          <w:i/>
          <w:iCs/>
          <w:u w:val="single"/>
          <w:lang w:val="en-GB" w:eastAsia="en-US"/>
        </w:rPr>
        <w:t xml:space="preserve"> </w:t>
      </w:r>
    </w:p>
    <w:p w14:paraId="31E4D0D3" w14:textId="4F337325" w:rsidR="00523732" w:rsidRPr="00F05FDB" w:rsidRDefault="00523732" w:rsidP="00C370B0">
      <w:pPr>
        <w:pStyle w:val="ListParagraph"/>
        <w:widowControl/>
        <w:numPr>
          <w:ilvl w:val="0"/>
          <w:numId w:val="5"/>
        </w:numPr>
        <w:tabs>
          <w:tab w:val="clear" w:pos="567"/>
          <w:tab w:val="left" w:pos="709"/>
        </w:tabs>
        <w:spacing w:after="240" w:line="240" w:lineRule="auto"/>
        <w:ind w:left="0" w:firstLine="0"/>
        <w:contextualSpacing w:val="0"/>
        <w:rPr>
          <w:rFonts w:cs="Arial"/>
          <w:i/>
          <w:iCs/>
          <w:szCs w:val="22"/>
        </w:rPr>
      </w:pPr>
      <w:r w:rsidRPr="00523732">
        <w:rPr>
          <w:rFonts w:cs="Arial"/>
          <w:bCs/>
          <w:szCs w:val="22"/>
        </w:rPr>
        <w:t xml:space="preserve">TSCOM (with perhaps the exception of </w:t>
      </w:r>
      <w:r w:rsidR="00727D37" w:rsidRPr="00727D37">
        <w:rPr>
          <w:rFonts w:cs="Arial"/>
          <w:bCs/>
          <w:szCs w:val="22"/>
        </w:rPr>
        <w:t>Sub-Committee on Undersea Feature Names</w:t>
      </w:r>
      <w:r w:rsidR="00727D37">
        <w:rPr>
          <w:rFonts w:cs="Arial"/>
          <w:bCs/>
          <w:szCs w:val="22"/>
        </w:rPr>
        <w:t>—</w:t>
      </w:r>
      <w:r w:rsidRPr="00523732">
        <w:rPr>
          <w:rFonts w:cs="Arial"/>
          <w:bCs/>
          <w:szCs w:val="22"/>
        </w:rPr>
        <w:t>SCUFN) has the largest and most complex programme of work. As such, it has a number of functional relationships and dependencies on external entities. A number of the findings relate to how these relationships could be formalised and the potential for consolidating work items. It is likely that the latter will only be possible once the GEBCO strategy has been completed.</w:t>
      </w:r>
    </w:p>
    <w:p w14:paraId="52DDBF6A" w14:textId="2A679FFF" w:rsidR="00523732" w:rsidRPr="00496C20" w:rsidRDefault="00523732" w:rsidP="00EB14F0">
      <w:pPr>
        <w:keepNext/>
        <w:spacing w:after="240" w:line="240" w:lineRule="auto"/>
        <w:jc w:val="both"/>
        <w:rPr>
          <w:rFonts w:ascii="Arial" w:eastAsia="Times New Roman" w:hAnsi="Arial" w:cs="Arial"/>
          <w:i/>
          <w:iCs/>
          <w:u w:val="single"/>
          <w:lang w:val="en-GB" w:eastAsia="en-US"/>
        </w:rPr>
      </w:pPr>
      <w:r w:rsidRPr="00496C20">
        <w:rPr>
          <w:rFonts w:ascii="Arial" w:eastAsia="Times New Roman" w:hAnsi="Arial" w:cs="Arial"/>
          <w:i/>
          <w:iCs/>
          <w:u w:val="single"/>
          <w:lang w:val="en-GB" w:eastAsia="en-US"/>
        </w:rPr>
        <w:t>Sub-Committee on Regional Undersea Mapping</w:t>
      </w:r>
      <w:r w:rsidR="00020701">
        <w:rPr>
          <w:rFonts w:ascii="Arial" w:eastAsia="Times New Roman" w:hAnsi="Arial" w:cs="Arial"/>
          <w:i/>
          <w:iCs/>
          <w:u w:val="single"/>
          <w:lang w:val="en-GB" w:eastAsia="en-US"/>
        </w:rPr>
        <w:t xml:space="preserve"> (SCRUM)</w:t>
      </w:r>
    </w:p>
    <w:p w14:paraId="7FEC66DD" w14:textId="26975ABB" w:rsid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 xml:space="preserve">The main issue identified </w:t>
      </w:r>
      <w:r w:rsidR="009E68A0">
        <w:rPr>
          <w:rFonts w:cs="Arial"/>
          <w:bCs/>
          <w:szCs w:val="22"/>
        </w:rPr>
        <w:t xml:space="preserve">in </w:t>
      </w:r>
      <w:r w:rsidRPr="00523732">
        <w:rPr>
          <w:rFonts w:cs="Arial"/>
          <w:bCs/>
          <w:szCs w:val="22"/>
        </w:rPr>
        <w:t>relat</w:t>
      </w:r>
      <w:r w:rsidR="009E68A0">
        <w:rPr>
          <w:rFonts w:cs="Arial"/>
          <w:bCs/>
          <w:szCs w:val="22"/>
        </w:rPr>
        <w:t>ion</w:t>
      </w:r>
      <w:r w:rsidRPr="00523732">
        <w:rPr>
          <w:rFonts w:cs="Arial"/>
          <w:bCs/>
          <w:szCs w:val="22"/>
        </w:rPr>
        <w:t xml:space="preserve"> to the work of </w:t>
      </w:r>
      <w:r w:rsidRPr="00523732">
        <w:rPr>
          <w:rFonts w:cs="Arial"/>
          <w:bCs/>
        </w:rPr>
        <w:t>SCRUM</w:t>
      </w:r>
      <w:r w:rsidRPr="00523732">
        <w:rPr>
          <w:rFonts w:cs="Arial"/>
          <w:bCs/>
          <w:szCs w:val="22"/>
        </w:rPr>
        <w:t xml:space="preserve"> </w:t>
      </w:r>
      <w:r w:rsidR="009E68A0">
        <w:rPr>
          <w:rFonts w:cs="Arial"/>
          <w:bCs/>
          <w:szCs w:val="22"/>
        </w:rPr>
        <w:t xml:space="preserve">is largely the same as for </w:t>
      </w:r>
      <w:r w:rsidRPr="00523732">
        <w:rPr>
          <w:rFonts w:cs="Arial"/>
          <w:bCs/>
          <w:szCs w:val="22"/>
        </w:rPr>
        <w:t xml:space="preserve">other activities/bodies such as TSCOM and Seabed 2030. In discussion with the SCRUM Chair Team it </w:t>
      </w:r>
      <w:r w:rsidR="009E68A0">
        <w:rPr>
          <w:rFonts w:cs="Arial"/>
          <w:bCs/>
          <w:szCs w:val="22"/>
        </w:rPr>
        <w:t xml:space="preserve">became </w:t>
      </w:r>
      <w:r w:rsidRPr="00523732">
        <w:rPr>
          <w:rFonts w:cs="Arial"/>
          <w:bCs/>
          <w:szCs w:val="22"/>
        </w:rPr>
        <w:t>evident that this is likely to be an exercise in clarifying the wording in the work plan as opposed to materially adjusting any activity.</w:t>
      </w:r>
    </w:p>
    <w:p w14:paraId="739E9D58" w14:textId="5AB1284F" w:rsidR="00523732" w:rsidRPr="00496C20" w:rsidRDefault="00523732" w:rsidP="00523732">
      <w:pPr>
        <w:spacing w:after="240" w:line="240" w:lineRule="auto"/>
        <w:jc w:val="both"/>
        <w:rPr>
          <w:rFonts w:ascii="Arial" w:eastAsia="Times New Roman" w:hAnsi="Arial" w:cs="Arial"/>
          <w:i/>
          <w:iCs/>
          <w:u w:val="single"/>
          <w:lang w:val="en-GB" w:eastAsia="en-US"/>
        </w:rPr>
      </w:pPr>
      <w:r w:rsidRPr="00496C20">
        <w:rPr>
          <w:rFonts w:ascii="Arial" w:eastAsia="Times New Roman" w:hAnsi="Arial" w:cs="Arial"/>
          <w:i/>
          <w:iCs/>
          <w:u w:val="single"/>
          <w:lang w:val="en-GB" w:eastAsia="en-US"/>
        </w:rPr>
        <w:t>Sub-Committee on Outreach and Public Engagement</w:t>
      </w:r>
      <w:r w:rsidR="00020701">
        <w:rPr>
          <w:rFonts w:ascii="Arial" w:eastAsia="Times New Roman" w:hAnsi="Arial" w:cs="Arial"/>
          <w:i/>
          <w:iCs/>
          <w:u w:val="single"/>
          <w:lang w:val="en-GB" w:eastAsia="en-US"/>
        </w:rPr>
        <w:t xml:space="preserve"> (SCOPE)</w:t>
      </w:r>
    </w:p>
    <w:p w14:paraId="5BF255AD" w14:textId="0594A729"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The main issues identified surround the interaction between SCOPE and the other GEBCO bodies, including the parent organisations. Given the purpose of SCOPE is to coordinate and support the outreach and communication requirements of the GEBCO Programme, strong coordination with the other GEB</w:t>
      </w:r>
      <w:r w:rsidR="00020701">
        <w:rPr>
          <w:rFonts w:cs="Arial"/>
          <w:bCs/>
          <w:szCs w:val="22"/>
        </w:rPr>
        <w:t>C</w:t>
      </w:r>
      <w:r w:rsidRPr="00523732">
        <w:rPr>
          <w:rFonts w:cs="Arial"/>
          <w:bCs/>
          <w:szCs w:val="22"/>
        </w:rPr>
        <w:t xml:space="preserve">O bodies is essential. Further, the Parent Organisations being IGOs that are accountable to their </w:t>
      </w:r>
      <w:r w:rsidR="00020701" w:rsidRPr="00523732">
        <w:rPr>
          <w:rFonts w:cs="Arial"/>
          <w:bCs/>
          <w:szCs w:val="22"/>
        </w:rPr>
        <w:t>Member States</w:t>
      </w:r>
      <w:r w:rsidRPr="00523732">
        <w:rPr>
          <w:rFonts w:cs="Arial"/>
          <w:bCs/>
          <w:szCs w:val="22"/>
        </w:rPr>
        <w:t xml:space="preserve">, </w:t>
      </w:r>
      <w:r w:rsidR="009E68A0">
        <w:rPr>
          <w:rFonts w:cs="Arial"/>
          <w:bCs/>
          <w:szCs w:val="22"/>
        </w:rPr>
        <w:t xml:space="preserve">there is a </w:t>
      </w:r>
      <w:r w:rsidRPr="00523732">
        <w:rPr>
          <w:rFonts w:cs="Arial"/>
          <w:bCs/>
          <w:szCs w:val="22"/>
        </w:rPr>
        <w:t>need to have a more effective means of supporting the work of SCOPE. It is felt this could be achieved by the creation of a new category of participation/membership for the Communication leads of the parent organisation, together with the formalisation of a process for review planned communication material</w:t>
      </w:r>
      <w:r w:rsidR="00020701">
        <w:rPr>
          <w:rFonts w:cs="Arial"/>
          <w:bCs/>
          <w:szCs w:val="22"/>
        </w:rPr>
        <w:t>.</w:t>
      </w:r>
    </w:p>
    <w:p w14:paraId="2F9C9F10" w14:textId="40C7236F" w:rsidR="00523732" w:rsidRPr="00C370B0" w:rsidRDefault="00523732" w:rsidP="00523732">
      <w:pPr>
        <w:spacing w:after="240" w:line="240" w:lineRule="auto"/>
        <w:jc w:val="both"/>
        <w:rPr>
          <w:rFonts w:ascii="Arial" w:eastAsia="Times New Roman" w:hAnsi="Arial" w:cs="Arial"/>
          <w:i/>
          <w:iCs/>
          <w:u w:val="single"/>
          <w:lang w:val="en-GB" w:eastAsia="en-US"/>
        </w:rPr>
      </w:pPr>
      <w:r w:rsidRPr="00C370B0">
        <w:rPr>
          <w:rFonts w:ascii="Arial" w:eastAsia="Times New Roman" w:hAnsi="Arial" w:cs="Arial"/>
          <w:i/>
          <w:iCs/>
          <w:u w:val="single"/>
          <w:lang w:val="en-GB" w:eastAsia="en-US"/>
        </w:rPr>
        <w:t>Sub-Committee on Education and Training</w:t>
      </w:r>
      <w:r w:rsidR="00020701" w:rsidRPr="00C370B0">
        <w:rPr>
          <w:rFonts w:ascii="Arial" w:eastAsia="Times New Roman" w:hAnsi="Arial" w:cs="Arial"/>
          <w:i/>
          <w:iCs/>
          <w:u w:val="single"/>
          <w:lang w:val="en-GB" w:eastAsia="en-US"/>
        </w:rPr>
        <w:t xml:space="preserve"> (SCET)</w:t>
      </w:r>
    </w:p>
    <w:p w14:paraId="55B0A5FF" w14:textId="4680471A"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bCs/>
          <w:szCs w:val="22"/>
        </w:rPr>
      </w:pPr>
      <w:r w:rsidRPr="00523732">
        <w:rPr>
          <w:rFonts w:cs="Arial"/>
          <w:bCs/>
          <w:szCs w:val="22"/>
        </w:rPr>
        <w:t xml:space="preserve">SCET is the newest Sub-Committee and is still in its </w:t>
      </w:r>
      <w:r w:rsidRPr="00523732">
        <w:rPr>
          <w:rFonts w:cs="Arial"/>
          <w:bCs/>
        </w:rPr>
        <w:t>initiation</w:t>
      </w:r>
      <w:r w:rsidRPr="00523732">
        <w:rPr>
          <w:rFonts w:cs="Arial"/>
          <w:bCs/>
          <w:szCs w:val="22"/>
        </w:rPr>
        <w:t xml:space="preserve"> phase. As a </w:t>
      </w:r>
      <w:r w:rsidR="00020701" w:rsidRPr="00523732">
        <w:rPr>
          <w:rFonts w:cs="Arial"/>
          <w:bCs/>
          <w:szCs w:val="22"/>
        </w:rPr>
        <w:t>consequence,</w:t>
      </w:r>
      <w:r w:rsidRPr="00523732">
        <w:rPr>
          <w:rFonts w:cs="Arial"/>
          <w:bCs/>
          <w:szCs w:val="22"/>
        </w:rPr>
        <w:t xml:space="preserve"> the only finding relates to the need to review the ToRs once the new GEBCO Strategy has been developed.</w:t>
      </w:r>
    </w:p>
    <w:p w14:paraId="544A59F9" w14:textId="77777777" w:rsidR="00523732" w:rsidRPr="00523732" w:rsidRDefault="00523732" w:rsidP="00523732">
      <w:pPr>
        <w:spacing w:after="240" w:line="240" w:lineRule="auto"/>
        <w:jc w:val="both"/>
        <w:rPr>
          <w:rFonts w:ascii="Arial" w:eastAsia="Times New Roman" w:hAnsi="Arial" w:cs="Arial"/>
          <w:b/>
          <w:bCs/>
          <w:lang w:val="en-GB" w:eastAsia="en-US"/>
        </w:rPr>
      </w:pPr>
      <w:r w:rsidRPr="00523732">
        <w:rPr>
          <w:rFonts w:ascii="Arial" w:eastAsia="Times New Roman" w:hAnsi="Arial" w:cs="Arial"/>
          <w:b/>
          <w:bCs/>
          <w:lang w:val="en-GB" w:eastAsia="en-US"/>
        </w:rPr>
        <w:t>Next Steps</w:t>
      </w:r>
    </w:p>
    <w:p w14:paraId="6ABE9475" w14:textId="1F5127BE" w:rsidR="00523732" w:rsidRPr="00523732" w:rsidRDefault="00523732" w:rsidP="00523732">
      <w:pPr>
        <w:pStyle w:val="ListParagraph"/>
        <w:numPr>
          <w:ilvl w:val="0"/>
          <w:numId w:val="5"/>
        </w:numPr>
        <w:tabs>
          <w:tab w:val="clear" w:pos="567"/>
          <w:tab w:val="left" w:pos="709"/>
        </w:tabs>
        <w:spacing w:after="240" w:line="240" w:lineRule="auto"/>
        <w:ind w:left="0" w:firstLine="0"/>
        <w:contextualSpacing w:val="0"/>
        <w:rPr>
          <w:rFonts w:cs="Arial"/>
          <w:szCs w:val="22"/>
        </w:rPr>
      </w:pPr>
      <w:r w:rsidRPr="00523732">
        <w:rPr>
          <w:rFonts w:cs="Arial"/>
          <w:szCs w:val="22"/>
        </w:rPr>
        <w:t xml:space="preserve">The initial findings </w:t>
      </w:r>
      <w:r w:rsidRPr="00523732">
        <w:rPr>
          <w:rFonts w:cs="Arial"/>
          <w:bCs/>
        </w:rPr>
        <w:t>presented</w:t>
      </w:r>
      <w:r w:rsidRPr="00523732">
        <w:rPr>
          <w:rFonts w:cs="Arial"/>
          <w:szCs w:val="22"/>
        </w:rPr>
        <w:t xml:space="preserve"> in this paper have been discussed with the Chair Teams of the GEBCO bodies concerned. Due to the complexity of activity, and despite significant progress in completing core elements of the review, the GEBCO Guiding Committee still needs to discuss the final report and recommendations at its 40</w:t>
      </w:r>
      <w:r w:rsidRPr="00C370B0">
        <w:rPr>
          <w:rFonts w:cs="Arial"/>
          <w:szCs w:val="22"/>
          <w:vertAlign w:val="superscript"/>
        </w:rPr>
        <w:t>th</w:t>
      </w:r>
      <w:r w:rsidR="009E68A0">
        <w:rPr>
          <w:rFonts w:cs="Arial"/>
          <w:szCs w:val="22"/>
        </w:rPr>
        <w:t xml:space="preserve"> </w:t>
      </w:r>
      <w:r w:rsidRPr="00523732">
        <w:rPr>
          <w:rFonts w:cs="Arial"/>
          <w:szCs w:val="22"/>
        </w:rPr>
        <w:t>Meeting in November 2023, prior to consideration by the parent organizations in 2024.</w:t>
      </w:r>
    </w:p>
    <w:sectPr w:rsidR="00523732" w:rsidRPr="00523732" w:rsidSect="002D5222">
      <w:headerReference w:type="even" r:id="rId9"/>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923E" w14:textId="77777777" w:rsidR="00354CD2" w:rsidRDefault="00354CD2" w:rsidP="00173221">
      <w:pPr>
        <w:spacing w:after="0" w:line="240" w:lineRule="auto"/>
      </w:pPr>
      <w:r>
        <w:separator/>
      </w:r>
    </w:p>
  </w:endnote>
  <w:endnote w:type="continuationSeparator" w:id="0">
    <w:p w14:paraId="2E6214F2" w14:textId="77777777" w:rsidR="00354CD2" w:rsidRDefault="00354CD2" w:rsidP="0017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6AFF" w14:textId="2BAE679F" w:rsidR="00173221" w:rsidRDefault="00173221">
    <w:pPr>
      <w:pStyle w:val="Footer"/>
      <w:jc w:val="center"/>
    </w:pPr>
  </w:p>
  <w:p w14:paraId="6A58EA03" w14:textId="77777777" w:rsidR="00173221" w:rsidRDefault="0017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2149" w14:textId="77777777" w:rsidR="00354CD2" w:rsidRDefault="00354CD2" w:rsidP="00173221">
      <w:pPr>
        <w:spacing w:after="0" w:line="240" w:lineRule="auto"/>
      </w:pPr>
      <w:r>
        <w:separator/>
      </w:r>
    </w:p>
  </w:footnote>
  <w:footnote w:type="continuationSeparator" w:id="0">
    <w:p w14:paraId="4970DAB6" w14:textId="77777777" w:rsidR="00354CD2" w:rsidRDefault="00354CD2" w:rsidP="00173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61FE" w14:textId="0B304896" w:rsidR="002D5222" w:rsidRPr="0097089C" w:rsidRDefault="002D5222">
    <w:pPr>
      <w:pStyle w:val="Header"/>
      <w:rPr>
        <w:rFonts w:ascii="Arial" w:hAnsi="Arial" w:cs="Arial"/>
        <w:sz w:val="22"/>
        <w:szCs w:val="22"/>
      </w:rPr>
    </w:pPr>
    <w:r w:rsidRPr="0097089C">
      <w:rPr>
        <w:rFonts w:ascii="Arial" w:hAnsi="Arial" w:cs="Arial"/>
        <w:sz w:val="22"/>
        <w:szCs w:val="22"/>
      </w:rPr>
      <w:t>IOC</w:t>
    </w:r>
    <w:r w:rsidR="00C370B0">
      <w:rPr>
        <w:rFonts w:ascii="Arial" w:hAnsi="Arial" w:cs="Arial"/>
        <w:sz w:val="22"/>
        <w:szCs w:val="22"/>
      </w:rPr>
      <w:t>/A</w:t>
    </w:r>
    <w:r w:rsidRPr="0097089C">
      <w:rPr>
        <w:rFonts w:ascii="Arial" w:hAnsi="Arial" w:cs="Arial"/>
        <w:sz w:val="22"/>
        <w:szCs w:val="22"/>
      </w:rPr>
      <w:t>-32/4.</w:t>
    </w:r>
    <w:r w:rsidR="00A96D7F">
      <w:rPr>
        <w:rFonts w:ascii="Arial" w:hAnsi="Arial" w:cs="Arial"/>
        <w:sz w:val="22"/>
        <w:szCs w:val="22"/>
      </w:rPr>
      <w:t>1</w:t>
    </w:r>
    <w:r w:rsidRPr="0097089C">
      <w:rPr>
        <w:rFonts w:ascii="Arial" w:hAnsi="Arial" w:cs="Arial"/>
        <w:sz w:val="22"/>
        <w:szCs w:val="22"/>
      </w:rPr>
      <w:t>.Doc(1)</w:t>
    </w:r>
    <w:r>
      <w:rPr>
        <w:rFonts w:ascii="Arial" w:hAnsi="Arial" w:cs="Arial"/>
        <w:sz w:val="22"/>
        <w:szCs w:val="22"/>
      </w:rPr>
      <w:t xml:space="preserve"> – page </w:t>
    </w:r>
    <w:r w:rsidRPr="002D5222">
      <w:rPr>
        <w:rFonts w:ascii="Arial" w:hAnsi="Arial" w:cs="Arial"/>
        <w:sz w:val="22"/>
        <w:szCs w:val="22"/>
      </w:rPr>
      <w:fldChar w:fldCharType="begin"/>
    </w:r>
    <w:r w:rsidRPr="002D5222">
      <w:rPr>
        <w:rFonts w:ascii="Arial" w:hAnsi="Arial" w:cs="Arial"/>
        <w:sz w:val="22"/>
        <w:szCs w:val="22"/>
      </w:rPr>
      <w:instrText xml:space="preserve"> PAGE   \* MERGEFORMAT </w:instrText>
    </w:r>
    <w:r w:rsidRPr="002D5222">
      <w:rPr>
        <w:rFonts w:ascii="Arial" w:hAnsi="Arial" w:cs="Arial"/>
        <w:sz w:val="22"/>
        <w:szCs w:val="22"/>
      </w:rPr>
      <w:fldChar w:fldCharType="separate"/>
    </w:r>
    <w:r w:rsidRPr="002D5222">
      <w:rPr>
        <w:rFonts w:ascii="Arial" w:hAnsi="Arial" w:cs="Arial"/>
        <w:noProof/>
        <w:sz w:val="22"/>
        <w:szCs w:val="22"/>
      </w:rPr>
      <w:t>1</w:t>
    </w:r>
    <w:r w:rsidRPr="002D5222">
      <w:rPr>
        <w:rFonts w:ascii="Arial" w:hAnsi="Arial" w:cs="Arial"/>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546D" w14:textId="199B0825" w:rsidR="000826E6" w:rsidRPr="0033641F" w:rsidRDefault="000826E6" w:rsidP="0097089C">
    <w:pPr>
      <w:pStyle w:val="Header"/>
      <w:jc w:val="right"/>
      <w:rPr>
        <w:rFonts w:ascii="Arial" w:hAnsi="Arial" w:cs="Arial"/>
        <w:sz w:val="22"/>
        <w:szCs w:val="22"/>
      </w:rPr>
    </w:pPr>
    <w:r w:rsidRPr="0033641F">
      <w:rPr>
        <w:rFonts w:ascii="Arial" w:hAnsi="Arial" w:cs="Arial"/>
        <w:sz w:val="22"/>
        <w:szCs w:val="22"/>
      </w:rPr>
      <w:t>IOC</w:t>
    </w:r>
    <w:r w:rsidR="00C370B0">
      <w:rPr>
        <w:rFonts w:ascii="Arial" w:hAnsi="Arial" w:cs="Arial"/>
        <w:sz w:val="22"/>
        <w:szCs w:val="22"/>
      </w:rPr>
      <w:t>/A</w:t>
    </w:r>
    <w:r w:rsidRPr="0033641F">
      <w:rPr>
        <w:rFonts w:ascii="Arial" w:hAnsi="Arial" w:cs="Arial"/>
        <w:sz w:val="22"/>
        <w:szCs w:val="22"/>
      </w:rPr>
      <w:t>-32/4.</w:t>
    </w:r>
    <w:r w:rsidR="00A96D7F">
      <w:rPr>
        <w:rFonts w:ascii="Arial" w:hAnsi="Arial" w:cs="Arial"/>
        <w:sz w:val="22"/>
        <w:szCs w:val="22"/>
      </w:rPr>
      <w:t>1</w:t>
    </w:r>
    <w:r w:rsidRPr="0033641F">
      <w:rPr>
        <w:rFonts w:ascii="Arial" w:hAnsi="Arial" w:cs="Arial"/>
        <w:sz w:val="22"/>
        <w:szCs w:val="22"/>
      </w:rPr>
      <w:t>.Doc(1)</w:t>
    </w:r>
    <w:r>
      <w:rPr>
        <w:rFonts w:ascii="Arial" w:hAnsi="Arial" w:cs="Arial"/>
        <w:sz w:val="22"/>
        <w:szCs w:val="22"/>
      </w:rPr>
      <w:t xml:space="preserve"> – page </w:t>
    </w:r>
    <w:r w:rsidRPr="002D5222">
      <w:rPr>
        <w:rFonts w:ascii="Arial" w:hAnsi="Arial" w:cs="Arial"/>
        <w:sz w:val="22"/>
        <w:szCs w:val="22"/>
      </w:rPr>
      <w:fldChar w:fldCharType="begin"/>
    </w:r>
    <w:r w:rsidRPr="002D5222">
      <w:rPr>
        <w:rFonts w:ascii="Arial" w:hAnsi="Arial" w:cs="Arial"/>
        <w:sz w:val="22"/>
        <w:szCs w:val="22"/>
      </w:rPr>
      <w:instrText xml:space="preserve"> PAGE   \* MERGEFORMAT </w:instrText>
    </w:r>
    <w:r w:rsidRPr="002D5222">
      <w:rPr>
        <w:rFonts w:ascii="Arial" w:hAnsi="Arial" w:cs="Arial"/>
        <w:sz w:val="22"/>
        <w:szCs w:val="22"/>
      </w:rPr>
      <w:fldChar w:fldCharType="separate"/>
    </w:r>
    <w:r>
      <w:rPr>
        <w:rFonts w:ascii="Arial" w:hAnsi="Arial" w:cs="Arial"/>
        <w:sz w:val="22"/>
        <w:szCs w:val="22"/>
      </w:rPr>
      <w:t>2</w:t>
    </w:r>
    <w:r w:rsidRPr="002D5222">
      <w:rPr>
        <w:rFonts w:ascii="Arial" w:hAnsi="Arial" w:cs="Arial"/>
        <w:noProof/>
        <w:sz w:val="22"/>
        <w:szCs w:val="22"/>
      </w:rPr>
      <w:fldChar w:fldCharType="end"/>
    </w:r>
  </w:p>
  <w:p w14:paraId="410C058F" w14:textId="77777777" w:rsidR="002D5222" w:rsidRDefault="002D5222" w:rsidP="009708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85F4" w14:textId="629A9EA9" w:rsidR="002D5222" w:rsidRPr="007C710A" w:rsidRDefault="002D5222" w:rsidP="00F05FDB">
    <w:pPr>
      <w:pStyle w:val="Marge"/>
      <w:tabs>
        <w:tab w:val="left" w:pos="5670"/>
        <w:tab w:val="left" w:pos="7560"/>
      </w:tabs>
      <w:spacing w:after="0"/>
      <w:rPr>
        <w:rFonts w:cs="Arial"/>
        <w:b/>
        <w:szCs w:val="22"/>
      </w:rPr>
    </w:pPr>
    <w:r w:rsidRPr="007C710A">
      <w:rPr>
        <w:rFonts w:cs="Arial"/>
        <w:szCs w:val="22"/>
      </w:rPr>
      <w:t>Restricted Distribution</w:t>
    </w:r>
    <w:r w:rsidRPr="007C710A">
      <w:rPr>
        <w:rFonts w:cs="Arial"/>
        <w:szCs w:val="22"/>
      </w:rPr>
      <w:tab/>
    </w:r>
    <w:r w:rsidRPr="00655F5E">
      <w:rPr>
        <w:rFonts w:cs="Arial"/>
        <w:b/>
        <w:sz w:val="36"/>
        <w:szCs w:val="36"/>
      </w:rPr>
      <w:t>IOC</w:t>
    </w:r>
    <w:r w:rsidR="00C370B0">
      <w:rPr>
        <w:rFonts w:cs="Arial"/>
        <w:b/>
        <w:sz w:val="36"/>
        <w:szCs w:val="36"/>
      </w:rPr>
      <w:t>/A</w:t>
    </w:r>
    <w:r w:rsidRPr="00655F5E">
      <w:rPr>
        <w:rFonts w:cs="Arial"/>
        <w:b/>
        <w:sz w:val="36"/>
        <w:szCs w:val="36"/>
      </w:rPr>
      <w:t>-32/4.</w:t>
    </w:r>
    <w:r w:rsidR="007D53EA">
      <w:rPr>
        <w:rFonts w:cs="Arial"/>
        <w:b/>
        <w:sz w:val="36"/>
        <w:szCs w:val="36"/>
      </w:rPr>
      <w:t>1</w:t>
    </w:r>
    <w:r w:rsidRPr="00655F5E">
      <w:rPr>
        <w:rFonts w:cs="Arial"/>
        <w:b/>
        <w:sz w:val="36"/>
        <w:szCs w:val="36"/>
      </w:rPr>
      <w:t>.Doc(</w:t>
    </w:r>
    <w:r>
      <w:rPr>
        <w:rFonts w:cs="Arial"/>
        <w:b/>
        <w:sz w:val="36"/>
        <w:szCs w:val="36"/>
      </w:rPr>
      <w:t>1</w:t>
    </w:r>
    <w:r w:rsidRPr="00655F5E">
      <w:rPr>
        <w:rFonts w:cs="Arial"/>
        <w:b/>
        <w:sz w:val="36"/>
        <w:szCs w:val="36"/>
      </w:rPr>
      <w:t>)</w:t>
    </w:r>
  </w:p>
  <w:p w14:paraId="4917E1FE" w14:textId="4D845A7E" w:rsidR="002D5222" w:rsidRPr="002D5222" w:rsidRDefault="002D5222" w:rsidP="00C370B0">
    <w:pPr>
      <w:tabs>
        <w:tab w:val="left" w:pos="5670"/>
        <w:tab w:val="left" w:pos="7560"/>
      </w:tabs>
      <w:spacing w:after="0" w:line="240" w:lineRule="auto"/>
      <w:jc w:val="both"/>
      <w:rPr>
        <w:rFonts w:asciiTheme="minorBidi" w:hAnsiTheme="minorBidi"/>
        <w:lang w:val="en-GB"/>
      </w:rPr>
    </w:pPr>
    <w:r>
      <w:rPr>
        <w:noProof/>
      </w:rPr>
      <w:drawing>
        <wp:anchor distT="0" distB="0" distL="114300" distR="114300" simplePos="0" relativeHeight="251658240" behindDoc="0" locked="0" layoutInCell="1" allowOverlap="1" wp14:anchorId="357B803A" wp14:editId="5DF2FBFF">
          <wp:simplePos x="0" y="0"/>
          <wp:positionH relativeFrom="column">
            <wp:posOffset>-19685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rFonts w:cs="Arial"/>
        <w:b/>
        <w:lang w:val="en-GB"/>
      </w:rPr>
      <w:tab/>
    </w:r>
    <w:r w:rsidRPr="002D5222">
      <w:rPr>
        <w:rFonts w:asciiTheme="minorBidi" w:hAnsiTheme="minorBidi"/>
        <w:lang w:val="en-GB"/>
      </w:rPr>
      <w:t>Paris, 29 May 2023</w:t>
    </w:r>
  </w:p>
  <w:p w14:paraId="3445ACF5" w14:textId="77777777" w:rsidR="002D5222" w:rsidRPr="002D5222" w:rsidRDefault="002D5222" w:rsidP="00C370B0">
    <w:pPr>
      <w:tabs>
        <w:tab w:val="left" w:pos="5670"/>
        <w:tab w:val="left" w:pos="7560"/>
      </w:tabs>
      <w:spacing w:after="0" w:line="240" w:lineRule="auto"/>
      <w:jc w:val="both"/>
      <w:rPr>
        <w:rFonts w:asciiTheme="minorBidi" w:hAnsiTheme="minorBidi"/>
        <w:lang w:val="en-GB"/>
      </w:rPr>
    </w:pPr>
    <w:r w:rsidRPr="002D5222">
      <w:rPr>
        <w:rFonts w:asciiTheme="minorBidi" w:hAnsiTheme="minorBidi"/>
        <w:b/>
        <w:lang w:val="en-GB"/>
      </w:rPr>
      <w:tab/>
    </w:r>
    <w:r w:rsidRPr="002D5222">
      <w:rPr>
        <w:rFonts w:asciiTheme="minorBidi" w:hAnsiTheme="minorBidi"/>
        <w:lang w:val="en-GB"/>
      </w:rPr>
      <w:t>Original: English</w:t>
    </w:r>
  </w:p>
  <w:p w14:paraId="70090B1E" w14:textId="77777777" w:rsidR="002D5222" w:rsidRPr="002D5222"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jc w:val="both"/>
      <w:rPr>
        <w:rFonts w:asciiTheme="minorBidi" w:hAnsiTheme="minorBidi"/>
        <w:b/>
        <w:lang w:val="en-GB"/>
      </w:rPr>
    </w:pPr>
  </w:p>
  <w:p w14:paraId="25FC6F1E"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603F970E"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5017C654"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n-GB"/>
      </w:rPr>
    </w:pPr>
  </w:p>
  <w:p w14:paraId="3B207429"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
        <w:lang w:val="en-GB"/>
      </w:rPr>
    </w:pPr>
    <w:r w:rsidRPr="002D5222">
      <w:rPr>
        <w:rFonts w:asciiTheme="minorBidi" w:hAnsiTheme="minorBidi"/>
        <w:b/>
        <w:lang w:val="en-GB"/>
      </w:rPr>
      <w:t>INTERGOVERNMENTAL OCEANOGRAPHIC COMMISSION</w:t>
    </w:r>
  </w:p>
  <w:p w14:paraId="67151518" w14:textId="77777777" w:rsidR="002D5222" w:rsidRPr="002D5222"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Cs/>
        <w:lang w:val="en-GB"/>
      </w:rPr>
    </w:pPr>
    <w:r w:rsidRPr="002D5222">
      <w:rPr>
        <w:rFonts w:asciiTheme="minorBidi" w:hAnsiTheme="minorBidi"/>
        <w:bCs/>
        <w:lang w:val="en-GB"/>
      </w:rPr>
      <w:t>(of UNESCO)</w:t>
    </w:r>
  </w:p>
  <w:p w14:paraId="2ED72F82" w14:textId="77777777" w:rsidR="002D5222" w:rsidRPr="002D5222"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n-GB"/>
      </w:rPr>
    </w:pPr>
  </w:p>
  <w:p w14:paraId="10465663" w14:textId="77777777" w:rsidR="002D5222" w:rsidRPr="002D5222"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n-GB"/>
      </w:rPr>
    </w:pPr>
    <w:r w:rsidRPr="002D5222">
      <w:rPr>
        <w:rFonts w:asciiTheme="minorBidi" w:hAnsiTheme="minorBidi"/>
        <w:b/>
        <w:lang w:val="en-GB"/>
      </w:rPr>
      <w:t>Thirty-second Session of the Assembly</w:t>
    </w:r>
  </w:p>
  <w:p w14:paraId="756CC45E" w14:textId="77777777" w:rsidR="002D5222" w:rsidRPr="002D5222"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lang w:val="en-GB"/>
      </w:rPr>
    </w:pPr>
    <w:r w:rsidRPr="002D5222">
      <w:rPr>
        <w:rFonts w:asciiTheme="minorBidi" w:hAnsiTheme="minorBidi"/>
        <w:lang w:val="en-GB"/>
      </w:rPr>
      <w:t>UNESCO, 21–30 June 2023</w:t>
    </w:r>
  </w:p>
  <w:p w14:paraId="68B63106" w14:textId="77777777" w:rsidR="002D5222" w:rsidRPr="002D5222" w:rsidRDefault="002D5222" w:rsidP="002D5222">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asciiTheme="minorBidi" w:hAnsiTheme="minorBidi"/>
        <w:bCs/>
        <w:lang w:val="en-GB"/>
      </w:rPr>
    </w:pPr>
  </w:p>
  <w:p w14:paraId="30839C28" w14:textId="77777777" w:rsidR="002D5222" w:rsidRPr="002D5222" w:rsidRDefault="002D5222" w:rsidP="002D5222">
    <w:pPr>
      <w:spacing w:after="0" w:line="240" w:lineRule="auto"/>
      <w:jc w:val="center"/>
      <w:rPr>
        <w:rFonts w:asciiTheme="minorBidi" w:hAnsiTheme="minorBidi"/>
        <w:lang w:val="en-GB"/>
      </w:rPr>
    </w:pPr>
  </w:p>
  <w:p w14:paraId="440A705D" w14:textId="77777777" w:rsidR="002D5222" w:rsidRPr="002D5222" w:rsidRDefault="002D5222" w:rsidP="002D5222">
    <w:pPr>
      <w:spacing w:after="0" w:line="240" w:lineRule="auto"/>
      <w:jc w:val="center"/>
      <w:rPr>
        <w:rFonts w:asciiTheme="minorBidi" w:hAnsiTheme="minorBidi"/>
        <w:lang w:val="en-GB"/>
      </w:rPr>
    </w:pPr>
  </w:p>
  <w:p w14:paraId="5F8584B6" w14:textId="77777777" w:rsidR="002D5222" w:rsidRPr="002D5222" w:rsidRDefault="002D5222" w:rsidP="00F05FDB">
    <w:pPr>
      <w:spacing w:after="0" w:line="240" w:lineRule="auto"/>
      <w:jc w:val="right"/>
      <w:rPr>
        <w:rFonts w:asciiTheme="minorBidi" w:hAnsiTheme="minorBidi"/>
        <w:lang w:val="en-GB"/>
      </w:rPr>
    </w:pPr>
  </w:p>
  <w:p w14:paraId="7F816350" w14:textId="77777777" w:rsidR="002D5222" w:rsidRPr="002D5222" w:rsidRDefault="002D5222" w:rsidP="002D5222">
    <w:pPr>
      <w:spacing w:after="0" w:line="240" w:lineRule="auto"/>
      <w:jc w:val="center"/>
      <w:rPr>
        <w:rFonts w:cs="Arial"/>
        <w:lang w:val="en-GB"/>
      </w:rPr>
    </w:pPr>
  </w:p>
  <w:p w14:paraId="21CBF9BD" w14:textId="071A1497" w:rsidR="002D5222" w:rsidRPr="00655F5E" w:rsidRDefault="002D5222" w:rsidP="002D5222">
    <w:pPr>
      <w:pStyle w:val="Heading7"/>
      <w:tabs>
        <w:tab w:val="clear" w:pos="567"/>
        <w:tab w:val="right" w:pos="9540"/>
      </w:tabs>
      <w:spacing w:line="240" w:lineRule="auto"/>
      <w:rPr>
        <w:rFonts w:asciiTheme="minorBidi" w:hAnsiTheme="minorBidi" w:cstheme="minorBidi"/>
        <w:szCs w:val="22"/>
      </w:rPr>
    </w:pPr>
    <w:r w:rsidRPr="00655F5E">
      <w:rPr>
        <w:rFonts w:asciiTheme="minorBidi" w:hAnsiTheme="minorBidi" w:cstheme="minorBidi"/>
        <w:sz w:val="24"/>
      </w:rPr>
      <w:t xml:space="preserve">Item </w:t>
    </w:r>
    <w:r w:rsidRPr="00655F5E">
      <w:rPr>
        <w:rFonts w:asciiTheme="minorBidi" w:hAnsiTheme="minorBidi" w:cstheme="minorBidi"/>
        <w:b/>
        <w:bCs/>
        <w:sz w:val="24"/>
      </w:rPr>
      <w:t>4.1</w:t>
    </w:r>
    <w:r w:rsidRPr="00655F5E">
      <w:rPr>
        <w:rFonts w:asciiTheme="minorBidi" w:hAnsiTheme="minorBidi" w:cstheme="minorBidi"/>
        <w:sz w:val="24"/>
      </w:rPr>
      <w:t xml:space="preserve"> of the Provisional Agenda</w:t>
    </w:r>
  </w:p>
  <w:p w14:paraId="29387CF0" w14:textId="77777777" w:rsidR="002D5222" w:rsidRPr="002D5222" w:rsidRDefault="002D5222" w:rsidP="002D5222">
    <w:pPr>
      <w:spacing w:after="0" w:line="240" w:lineRule="auto"/>
      <w:rPr>
        <w:rFonts w:cs="Arial"/>
        <w:lang w:val="en-GB"/>
      </w:rPr>
    </w:pPr>
  </w:p>
  <w:p w14:paraId="771DBC48" w14:textId="77777777" w:rsidR="002D5222" w:rsidRPr="002D5222" w:rsidRDefault="002D5222" w:rsidP="002D5222">
    <w:pPr>
      <w:spacing w:after="0" w:line="240" w:lineRule="auto"/>
      <w:rPr>
        <w:rFonts w:cs="Arial"/>
        <w:lang w:val="en-GB"/>
      </w:rPr>
    </w:pPr>
  </w:p>
  <w:p w14:paraId="4ACCFFBB" w14:textId="7F2D7169" w:rsidR="002D5222" w:rsidRPr="00655F5E" w:rsidRDefault="00523732" w:rsidP="002D5222">
    <w:pPr>
      <w:pStyle w:val="Docheading"/>
      <w:rPr>
        <w:sz w:val="32"/>
        <w:szCs w:val="32"/>
      </w:rPr>
    </w:pPr>
    <w:r w:rsidRPr="00523732">
      <w:t>Progress report on the GEBCO Governance Review (2023)</w:t>
    </w:r>
  </w:p>
  <w:p w14:paraId="51AC81AA" w14:textId="77777777" w:rsidR="002D5222" w:rsidRDefault="002D5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C18AD"/>
    <w:multiLevelType w:val="multilevel"/>
    <w:tmpl w:val="0409001F"/>
    <w:lvl w:ilvl="0">
      <w:start w:val="1"/>
      <w:numFmt w:val="decimal"/>
      <w:lvlText w:val="%1."/>
      <w:lvlJc w:val="left"/>
      <w:pPr>
        <w:ind w:left="360" w:hanging="360"/>
      </w:pPr>
      <w:rPr>
        <w:rFonts w:hint="default"/>
        <w:b/>
        <w:i w:val="0"/>
        <w:strike w:val="0"/>
        <w:dstrike w:val="0"/>
        <w:color w:val="000000"/>
        <w:sz w:val="24"/>
        <w:szCs w:val="24"/>
        <w:u w:val="none" w:color="000000"/>
        <w:vertAlign w:val="baseline"/>
      </w:rPr>
    </w:lvl>
    <w:lvl w:ilvl="1">
      <w:start w:val="1"/>
      <w:numFmt w:val="decimal"/>
      <w:lvlText w:val="%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2" w15:restartNumberingAfterBreak="0">
    <w:nsid w:val="63213DA8"/>
    <w:multiLevelType w:val="hybridMultilevel"/>
    <w:tmpl w:val="0C8CB9BA"/>
    <w:lvl w:ilvl="0" w:tplc="39BC45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16554"/>
    <w:multiLevelType w:val="hybridMultilevel"/>
    <w:tmpl w:val="28BE8246"/>
    <w:lvl w:ilvl="0" w:tplc="460CBEE8">
      <w:start w:val="1"/>
      <w:numFmt w:val="decimal"/>
      <w:lvlText w:val="%1."/>
      <w:lvlJc w:val="left"/>
      <w:pPr>
        <w:ind w:left="720" w:hanging="360"/>
      </w:pPr>
      <w:rPr>
        <w:rFonts w:eastAsia="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804400">
    <w:abstractNumId w:val="1"/>
  </w:num>
  <w:num w:numId="2" w16cid:durableId="1720588903">
    <w:abstractNumId w:val="3"/>
  </w:num>
  <w:num w:numId="3" w16cid:durableId="1356075361">
    <w:abstractNumId w:val="0"/>
  </w:num>
  <w:num w:numId="4" w16cid:durableId="392899588">
    <w:abstractNumId w:val="2"/>
  </w:num>
  <w:num w:numId="5" w16cid:durableId="1741169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D1"/>
    <w:rsid w:val="00020701"/>
    <w:rsid w:val="000826E6"/>
    <w:rsid w:val="00173221"/>
    <w:rsid w:val="001B0854"/>
    <w:rsid w:val="001F4025"/>
    <w:rsid w:val="001F556F"/>
    <w:rsid w:val="00217FED"/>
    <w:rsid w:val="00270226"/>
    <w:rsid w:val="002704AD"/>
    <w:rsid w:val="002826E4"/>
    <w:rsid w:val="002A244D"/>
    <w:rsid w:val="002D5222"/>
    <w:rsid w:val="00337667"/>
    <w:rsid w:val="00354CD2"/>
    <w:rsid w:val="00365312"/>
    <w:rsid w:val="003C311B"/>
    <w:rsid w:val="0049601F"/>
    <w:rsid w:val="00496C20"/>
    <w:rsid w:val="00523732"/>
    <w:rsid w:val="005C5A42"/>
    <w:rsid w:val="005D6B3D"/>
    <w:rsid w:val="0060561B"/>
    <w:rsid w:val="00646844"/>
    <w:rsid w:val="00665260"/>
    <w:rsid w:val="006A1313"/>
    <w:rsid w:val="00727D37"/>
    <w:rsid w:val="00774583"/>
    <w:rsid w:val="007D53EA"/>
    <w:rsid w:val="007D5C47"/>
    <w:rsid w:val="007E3CD1"/>
    <w:rsid w:val="007E5ED7"/>
    <w:rsid w:val="008470B5"/>
    <w:rsid w:val="008837E6"/>
    <w:rsid w:val="00884179"/>
    <w:rsid w:val="008C0037"/>
    <w:rsid w:val="00963329"/>
    <w:rsid w:val="0097089C"/>
    <w:rsid w:val="00983B66"/>
    <w:rsid w:val="009873AA"/>
    <w:rsid w:val="009B432A"/>
    <w:rsid w:val="009D2665"/>
    <w:rsid w:val="009E68A0"/>
    <w:rsid w:val="00A44DEC"/>
    <w:rsid w:val="00A51998"/>
    <w:rsid w:val="00A9344F"/>
    <w:rsid w:val="00A96D7F"/>
    <w:rsid w:val="00B00804"/>
    <w:rsid w:val="00B778DE"/>
    <w:rsid w:val="00BD663E"/>
    <w:rsid w:val="00BE30D2"/>
    <w:rsid w:val="00C370B0"/>
    <w:rsid w:val="00C577BB"/>
    <w:rsid w:val="00C806B9"/>
    <w:rsid w:val="00CB17C6"/>
    <w:rsid w:val="00D634EF"/>
    <w:rsid w:val="00D96D82"/>
    <w:rsid w:val="00DA27C5"/>
    <w:rsid w:val="00DF4243"/>
    <w:rsid w:val="00DF4B42"/>
    <w:rsid w:val="00E047C7"/>
    <w:rsid w:val="00E97DCA"/>
    <w:rsid w:val="00EA7830"/>
    <w:rsid w:val="00EB14F0"/>
    <w:rsid w:val="00F05FDB"/>
    <w:rsid w:val="00F37FA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AAEB"/>
  <w15:chartTrackingRefBased/>
  <w15:docId w15:val="{D6D6BA5A-C928-413D-ADC3-7F7DAE24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0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3766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qFormat/>
    <w:rsid w:val="002D5222"/>
    <w:pPr>
      <w:keepNext/>
      <w:tabs>
        <w:tab w:val="left" w:pos="567"/>
      </w:tabs>
      <w:snapToGrid w:val="0"/>
      <w:spacing w:after="0" w:line="360" w:lineRule="atLeast"/>
      <w:outlineLvl w:val="6"/>
    </w:pPr>
    <w:rPr>
      <w:rFonts w:ascii="Arial" w:eastAsia="Times New Roman" w:hAnsi="Arial" w:cs="Times New Roman"/>
      <w:snapToGrid w:val="0"/>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3CD1"/>
    <w:rPr>
      <w:color w:val="0000FF"/>
      <w:u w:val="single"/>
    </w:rPr>
  </w:style>
  <w:style w:type="paragraph" w:styleId="ListParagraph">
    <w:name w:val="List Paragraph"/>
    <w:basedOn w:val="Normal"/>
    <w:link w:val="ListParagraphChar"/>
    <w:uiPriority w:val="34"/>
    <w:qFormat/>
    <w:rsid w:val="007E3CD1"/>
    <w:pPr>
      <w:widowControl w:val="0"/>
      <w:tabs>
        <w:tab w:val="left" w:pos="567"/>
      </w:tabs>
      <w:adjustRightInd w:val="0"/>
      <w:snapToGrid w:val="0"/>
      <w:spacing w:after="0" w:line="360" w:lineRule="atLeast"/>
      <w:ind w:left="720"/>
      <w:contextualSpacing/>
      <w:jc w:val="both"/>
      <w:textAlignment w:val="baseline"/>
    </w:pPr>
    <w:rPr>
      <w:rFonts w:ascii="Arial" w:eastAsia="Times New Roman" w:hAnsi="Arial" w:cs="Times New Roman"/>
      <w:snapToGrid w:val="0"/>
      <w:szCs w:val="24"/>
      <w:lang w:val="en-GB" w:eastAsia="en-US"/>
    </w:rPr>
  </w:style>
  <w:style w:type="character" w:customStyle="1" w:styleId="ListParagraphChar">
    <w:name w:val="List Paragraph Char"/>
    <w:link w:val="ListParagraph"/>
    <w:uiPriority w:val="34"/>
    <w:locked/>
    <w:rsid w:val="007E3CD1"/>
    <w:rPr>
      <w:rFonts w:ascii="Arial" w:eastAsia="Times New Roman" w:hAnsi="Arial" w:cs="Times New Roman"/>
      <w:snapToGrid w:val="0"/>
      <w:szCs w:val="24"/>
      <w:lang w:val="en-GB" w:eastAsia="en-US"/>
    </w:rPr>
  </w:style>
  <w:style w:type="paragraph" w:customStyle="1" w:styleId="Style2">
    <w:name w:val="Style2"/>
    <w:basedOn w:val="Normal"/>
    <w:link w:val="Style2Car"/>
    <w:qFormat/>
    <w:rsid w:val="009873AA"/>
    <w:pPr>
      <w:shd w:val="clear" w:color="auto" w:fill="FFFFFF"/>
      <w:tabs>
        <w:tab w:val="num" w:pos="1400"/>
      </w:tabs>
      <w:spacing w:after="240" w:line="240" w:lineRule="auto"/>
      <w:ind w:left="720"/>
      <w:jc w:val="both"/>
    </w:pPr>
    <w:rPr>
      <w:rFonts w:ascii="Arial" w:eastAsia="Times New Roman" w:hAnsi="Arial" w:cs="Times New Roman"/>
      <w:iCs/>
      <w:snapToGrid w:val="0"/>
      <w:lang w:val="en-GB" w:eastAsia="en-US"/>
    </w:rPr>
  </w:style>
  <w:style w:type="character" w:customStyle="1" w:styleId="Style2Car">
    <w:name w:val="Style2 Car"/>
    <w:basedOn w:val="DefaultParagraphFont"/>
    <w:link w:val="Style2"/>
    <w:rsid w:val="009873AA"/>
    <w:rPr>
      <w:rFonts w:ascii="Arial" w:eastAsia="Times New Roman" w:hAnsi="Arial" w:cs="Times New Roman"/>
      <w:iCs/>
      <w:snapToGrid w:val="0"/>
      <w:shd w:val="clear" w:color="auto" w:fill="FFFFFF"/>
      <w:lang w:val="en-GB" w:eastAsia="en-US"/>
    </w:rPr>
  </w:style>
  <w:style w:type="paragraph" w:styleId="Header">
    <w:name w:val="header"/>
    <w:basedOn w:val="Normal"/>
    <w:link w:val="HeaderChar"/>
    <w:uiPriority w:val="99"/>
    <w:rsid w:val="00E047C7"/>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val="en-GB" w:eastAsia="en-US"/>
    </w:rPr>
  </w:style>
  <w:style w:type="character" w:customStyle="1" w:styleId="HeaderChar">
    <w:name w:val="Header Char"/>
    <w:basedOn w:val="DefaultParagraphFont"/>
    <w:link w:val="Header"/>
    <w:uiPriority w:val="99"/>
    <w:rsid w:val="00E047C7"/>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1732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221"/>
  </w:style>
  <w:style w:type="table" w:styleId="TableGrid">
    <w:name w:val="Table Grid"/>
    <w:basedOn w:val="TableNormal"/>
    <w:rsid w:val="0017322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D5222"/>
    <w:rPr>
      <w:rFonts w:ascii="Arial" w:eastAsia="Times New Roman" w:hAnsi="Arial" w:cs="Times New Roman"/>
      <w:snapToGrid w:val="0"/>
      <w:szCs w:val="24"/>
      <w:u w:val="single"/>
      <w:lang w:val="en-GB" w:eastAsia="en-US"/>
    </w:rPr>
  </w:style>
  <w:style w:type="paragraph" w:customStyle="1" w:styleId="Marge">
    <w:name w:val="Marge"/>
    <w:basedOn w:val="Normal"/>
    <w:link w:val="MargeChar"/>
    <w:uiPriority w:val="99"/>
    <w:rsid w:val="002D5222"/>
    <w:pPr>
      <w:tabs>
        <w:tab w:val="left" w:pos="567"/>
      </w:tabs>
      <w:snapToGrid w:val="0"/>
      <w:spacing w:after="240" w:line="240" w:lineRule="auto"/>
      <w:jc w:val="both"/>
    </w:pPr>
    <w:rPr>
      <w:rFonts w:ascii="Arial" w:eastAsia="Times New Roman" w:hAnsi="Arial" w:cs="Times New Roman"/>
      <w:snapToGrid w:val="0"/>
      <w:szCs w:val="24"/>
      <w:lang w:val="en-GB" w:eastAsia="en-US"/>
    </w:rPr>
  </w:style>
  <w:style w:type="paragraph" w:customStyle="1" w:styleId="Docheading">
    <w:name w:val="Doc. heading"/>
    <w:basedOn w:val="Header"/>
    <w:rsid w:val="002D5222"/>
    <w:pPr>
      <w:spacing w:after="480"/>
      <w:jc w:val="center"/>
    </w:pPr>
    <w:rPr>
      <w:rFonts w:ascii="Arial" w:hAnsi="Arial" w:cs="Arial"/>
      <w:b/>
      <w:bCs/>
      <w:caps/>
    </w:rPr>
  </w:style>
  <w:style w:type="character" w:customStyle="1" w:styleId="MargeChar">
    <w:name w:val="Marge Char"/>
    <w:basedOn w:val="DefaultParagraphFont"/>
    <w:link w:val="Marge"/>
    <w:uiPriority w:val="99"/>
    <w:rsid w:val="002D5222"/>
    <w:rPr>
      <w:rFonts w:ascii="Arial" w:eastAsia="Times New Roman" w:hAnsi="Arial" w:cs="Times New Roman"/>
      <w:snapToGrid w:val="0"/>
      <w:szCs w:val="24"/>
      <w:lang w:val="en-GB" w:eastAsia="en-US"/>
    </w:rPr>
  </w:style>
  <w:style w:type="paragraph" w:styleId="Revision">
    <w:name w:val="Revision"/>
    <w:hidden/>
    <w:uiPriority w:val="99"/>
    <w:semiHidden/>
    <w:rsid w:val="002D5222"/>
    <w:pPr>
      <w:spacing w:after="0" w:line="240" w:lineRule="auto"/>
    </w:pPr>
  </w:style>
  <w:style w:type="character" w:styleId="UnresolvedMention">
    <w:name w:val="Unresolved Mention"/>
    <w:basedOn w:val="DefaultParagraphFont"/>
    <w:uiPriority w:val="99"/>
    <w:semiHidden/>
    <w:unhideWhenUsed/>
    <w:rsid w:val="000826E6"/>
    <w:rPr>
      <w:color w:val="605E5C"/>
      <w:shd w:val="clear" w:color="auto" w:fill="E1DFDD"/>
    </w:rPr>
  </w:style>
  <w:style w:type="paragraph" w:styleId="BalloonText">
    <w:name w:val="Balloon Text"/>
    <w:basedOn w:val="Normal"/>
    <w:link w:val="BalloonTextChar"/>
    <w:uiPriority w:val="99"/>
    <w:semiHidden/>
    <w:unhideWhenUsed/>
    <w:rsid w:val="00A519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1998"/>
    <w:rPr>
      <w:rFonts w:ascii="Times New Roman" w:hAnsi="Times New Roman" w:cs="Times New Roman"/>
      <w:sz w:val="18"/>
      <w:szCs w:val="18"/>
    </w:rPr>
  </w:style>
  <w:style w:type="paragraph" w:styleId="Caption">
    <w:name w:val="caption"/>
    <w:basedOn w:val="Normal"/>
    <w:next w:val="Normal"/>
    <w:unhideWhenUsed/>
    <w:qFormat/>
    <w:rsid w:val="00523732"/>
    <w:pPr>
      <w:spacing w:after="0" w:line="240" w:lineRule="auto"/>
    </w:pPr>
    <w:rPr>
      <w:rFonts w:ascii="Times New Roman" w:eastAsia="MS Mincho" w:hAnsi="Times New Roman" w:cs="Times New Roman"/>
      <w:b/>
      <w:bCs/>
      <w:sz w:val="20"/>
      <w:szCs w:val="20"/>
      <w:lang w:val="en-GB" w:eastAsia="ja-JP"/>
    </w:rPr>
  </w:style>
  <w:style w:type="character" w:customStyle="1" w:styleId="Heading4Char">
    <w:name w:val="Heading 4 Char"/>
    <w:basedOn w:val="DefaultParagraphFont"/>
    <w:link w:val="Heading4"/>
    <w:uiPriority w:val="9"/>
    <w:semiHidden/>
    <w:rsid w:val="00337667"/>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0207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01639">
      <w:bodyDiv w:val="1"/>
      <w:marLeft w:val="0"/>
      <w:marRight w:val="0"/>
      <w:marTop w:val="0"/>
      <w:marBottom w:val="0"/>
      <w:divBdr>
        <w:top w:val="none" w:sz="0" w:space="0" w:color="auto"/>
        <w:left w:val="none" w:sz="0" w:space="0" w:color="auto"/>
        <w:bottom w:val="none" w:sz="0" w:space="0" w:color="auto"/>
        <w:right w:val="none" w:sz="0" w:space="0" w:color="auto"/>
      </w:divBdr>
    </w:div>
    <w:div w:id="657153073">
      <w:bodyDiv w:val="1"/>
      <w:marLeft w:val="0"/>
      <w:marRight w:val="0"/>
      <w:marTop w:val="0"/>
      <w:marBottom w:val="0"/>
      <w:divBdr>
        <w:top w:val="none" w:sz="0" w:space="0" w:color="auto"/>
        <w:left w:val="none" w:sz="0" w:space="0" w:color="auto"/>
        <w:bottom w:val="none" w:sz="0" w:space="0" w:color="auto"/>
        <w:right w:val="none" w:sz="0" w:space="0" w:color="auto"/>
      </w:divBdr>
    </w:div>
    <w:div w:id="700785957">
      <w:bodyDiv w:val="1"/>
      <w:marLeft w:val="0"/>
      <w:marRight w:val="0"/>
      <w:marTop w:val="0"/>
      <w:marBottom w:val="0"/>
      <w:divBdr>
        <w:top w:val="none" w:sz="0" w:space="0" w:color="auto"/>
        <w:left w:val="none" w:sz="0" w:space="0" w:color="auto"/>
        <w:bottom w:val="none" w:sz="0" w:space="0" w:color="auto"/>
        <w:right w:val="none" w:sz="0" w:space="0" w:color="auto"/>
      </w:divBdr>
    </w:div>
    <w:div w:id="12766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eanexpert.org/document/3046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Clausen, Alison</dc:creator>
  <cp:keywords/>
  <dc:description/>
  <cp:lastModifiedBy>Boned, Patrice</cp:lastModifiedBy>
  <cp:revision>3</cp:revision>
  <cp:lastPrinted>2023-05-31T14:29:00Z</cp:lastPrinted>
  <dcterms:created xsi:type="dcterms:W3CDTF">2023-05-31T14:29:00Z</dcterms:created>
  <dcterms:modified xsi:type="dcterms:W3CDTF">2023-05-31T14:29:00Z</dcterms:modified>
</cp:coreProperties>
</file>