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tblGrid>
      <w:tr w:rsidR="00B83068" w:rsidRPr="006842FA" w14:paraId="0EDC5012" w14:textId="77777777" w:rsidTr="00BE7722">
        <w:trPr>
          <w:jc w:val="center"/>
        </w:trPr>
        <w:tc>
          <w:tcPr>
            <w:tcW w:w="8075" w:type="dxa"/>
            <w:tcMar>
              <w:top w:w="170" w:type="dxa"/>
              <w:left w:w="170" w:type="dxa"/>
              <w:bottom w:w="170" w:type="dxa"/>
              <w:right w:w="170" w:type="dxa"/>
            </w:tcMar>
          </w:tcPr>
          <w:p w14:paraId="642F51B4" w14:textId="0E46418B" w:rsidR="00BE7722" w:rsidRPr="004552C0" w:rsidRDefault="00B83068" w:rsidP="00BE7722">
            <w:pPr>
              <w:pStyle w:val="Marge"/>
              <w:jc w:val="center"/>
              <w:rPr>
                <w:rFonts w:cs="Arial"/>
                <w:szCs w:val="22"/>
              </w:rPr>
            </w:pPr>
            <w:r w:rsidRPr="00BE7722">
              <w:rPr>
                <w:rFonts w:cs="Arial"/>
                <w:szCs w:val="22"/>
                <w:u w:val="single"/>
              </w:rPr>
              <w:t>Summary</w:t>
            </w:r>
          </w:p>
          <w:p w14:paraId="66AC5503" w14:textId="51C9A182" w:rsidR="00467E3F" w:rsidRPr="00BE7722" w:rsidRDefault="00846B8C" w:rsidP="00F524DB">
            <w:pPr>
              <w:pStyle w:val="Marge"/>
              <w:rPr>
                <w:rFonts w:cs="Arial"/>
                <w:szCs w:val="22"/>
              </w:rPr>
            </w:pPr>
            <w:r w:rsidRPr="00F524DB">
              <w:rPr>
                <w:rFonts w:cs="Arial"/>
                <w:szCs w:val="22"/>
              </w:rPr>
              <w:t xml:space="preserve">The 2022 Global Climate Observing System (GCOS) Implementation Plan </w:t>
            </w:r>
            <w:r w:rsidR="00BE7722">
              <w:rPr>
                <w:rFonts w:cs="Arial"/>
                <w:szCs w:val="22"/>
              </w:rPr>
              <w:t>(</w:t>
            </w:r>
            <w:hyperlink r:id="rId8" w:history="1">
              <w:r w:rsidR="00BE7722" w:rsidRPr="001D3BBA">
                <w:rPr>
                  <w:rStyle w:val="Hyperlink"/>
                  <w:rFonts w:cs="Arial"/>
                  <w:szCs w:val="22"/>
                </w:rPr>
                <w:t>GCOS-244/GOOS-272</w:t>
              </w:r>
            </w:hyperlink>
            <w:r w:rsidR="00BE7722">
              <w:rPr>
                <w:rFonts w:cs="Arial"/>
                <w:szCs w:val="22"/>
              </w:rPr>
              <w:t xml:space="preserve">) </w:t>
            </w:r>
            <w:r w:rsidRPr="00F524DB">
              <w:rPr>
                <w:rFonts w:cs="Arial"/>
                <w:szCs w:val="22"/>
              </w:rPr>
              <w:t xml:space="preserve">is the latest in a series of GCOS implementation plans produced since its inception in 1992. It provides a set of high priority actions which, if undertaken, will improve global observations of the climate system and our understanding of how it is changing. The plan aims at identifying the major practical actions that should be undertaken in the next 5-10 years across six major themes, including, sustainability of observations, filling data gaps, data quality, </w:t>
            </w:r>
            <w:r w:rsidR="00DB60BB" w:rsidRPr="00F524DB">
              <w:rPr>
                <w:rFonts w:cs="Arial"/>
                <w:szCs w:val="22"/>
              </w:rPr>
              <w:t>availability,</w:t>
            </w:r>
            <w:r w:rsidRPr="00F524DB">
              <w:rPr>
                <w:rFonts w:cs="Arial"/>
                <w:szCs w:val="22"/>
              </w:rPr>
              <w:t xml:space="preserve"> and management, and engaging with countries. </w:t>
            </w:r>
          </w:p>
          <w:p w14:paraId="6F82200D" w14:textId="5AE1479A" w:rsidR="00846B8C" w:rsidRPr="00BE7722" w:rsidRDefault="00BE7722" w:rsidP="00F524DB">
            <w:pPr>
              <w:pStyle w:val="Marge"/>
              <w:rPr>
                <w:lang w:val="en-US"/>
              </w:rPr>
            </w:pPr>
            <w:r w:rsidRPr="00F524DB">
              <w:t>This</w:t>
            </w:r>
            <w:r w:rsidR="00467E3F" w:rsidRPr="00F524DB">
              <w:t xml:space="preserve"> document</w:t>
            </w:r>
            <w:r>
              <w:t xml:space="preserve"> </w:t>
            </w:r>
            <w:r w:rsidR="00846B8C" w:rsidRPr="00BE7722">
              <w:t>summarise</w:t>
            </w:r>
            <w:r>
              <w:t>s</w:t>
            </w:r>
            <w:r w:rsidR="00846B8C" w:rsidRPr="00BE7722">
              <w:t xml:space="preserve"> the main actions identified within each of the six major themes that are relevant to IOC (GOOS). The main activities are </w:t>
            </w:r>
            <w:r w:rsidR="00DB60BB" w:rsidRPr="00BE7722">
              <w:t xml:space="preserve">noted, with </w:t>
            </w:r>
            <w:r w:rsidR="00846B8C" w:rsidRPr="00BE7722">
              <w:t xml:space="preserve">details on the issues, benefits and means of assessing progress in </w:t>
            </w:r>
            <w:r w:rsidR="00DB60BB" w:rsidRPr="00F524DB">
              <w:rPr>
                <w:color w:val="000000"/>
              </w:rPr>
              <w:t xml:space="preserve">the </w:t>
            </w:r>
            <w:r w:rsidRPr="000C6618">
              <w:rPr>
                <w:color w:val="000000"/>
              </w:rPr>
              <w:t>2022</w:t>
            </w:r>
            <w:r w:rsidRPr="00BE7722">
              <w:t xml:space="preserve"> </w:t>
            </w:r>
            <w:r w:rsidR="00846B8C" w:rsidRPr="00F524DB">
              <w:rPr>
                <w:color w:val="000000"/>
              </w:rPr>
              <w:t>GCOS Implementation Plan.</w:t>
            </w:r>
          </w:p>
          <w:p w14:paraId="11F67054" w14:textId="650D7039" w:rsidR="00467E3F" w:rsidRPr="00BE7722" w:rsidRDefault="00467E3F" w:rsidP="001D3BBA">
            <w:pPr>
              <w:pStyle w:val="Marge"/>
              <w:spacing w:after="120"/>
              <w:rPr>
                <w:rFonts w:cs="Arial"/>
                <w:szCs w:val="22"/>
              </w:rPr>
            </w:pPr>
            <w:r w:rsidRPr="00BE7722">
              <w:rPr>
                <w:rFonts w:cs="Arial"/>
                <w:szCs w:val="22"/>
              </w:rPr>
              <w:t xml:space="preserve">There are no financial and administrative implications. </w:t>
            </w:r>
          </w:p>
          <w:p w14:paraId="6E5A0770" w14:textId="730EB63B" w:rsidR="00737A18" w:rsidRPr="00BE7722" w:rsidRDefault="00413F17" w:rsidP="00F524DB">
            <w:pPr>
              <w:spacing w:after="240"/>
              <w:jc w:val="both"/>
              <w:rPr>
                <w:rFonts w:cs="Arial"/>
                <w:color w:val="000000"/>
                <w:szCs w:val="22"/>
                <w:u w:val="single"/>
              </w:rPr>
            </w:pPr>
            <w:r w:rsidRPr="00BE7722">
              <w:rPr>
                <w:rFonts w:cs="Arial"/>
                <w:szCs w:val="22"/>
                <w:u w:val="single"/>
              </w:rPr>
              <w:t>The proposed decision</w:t>
            </w:r>
            <w:r w:rsidR="00467E3F" w:rsidRPr="00BE7722">
              <w:rPr>
                <w:rFonts w:cs="Arial"/>
                <w:szCs w:val="22"/>
              </w:rPr>
              <w:t xml:space="preserve"> </w:t>
            </w:r>
            <w:r w:rsidR="00853565" w:rsidRPr="00BE7722">
              <w:rPr>
                <w:rFonts w:cs="Arial"/>
                <w:szCs w:val="22"/>
              </w:rPr>
              <w:t xml:space="preserve">is </w:t>
            </w:r>
            <w:r w:rsidR="00853565" w:rsidRPr="001D3BBA">
              <w:rPr>
                <w:rFonts w:cs="Arial"/>
                <w:szCs w:val="22"/>
              </w:rPr>
              <w:t xml:space="preserve">referenced </w:t>
            </w:r>
            <w:r w:rsidR="00DB60BB" w:rsidRPr="00F524DB">
              <w:rPr>
                <w:rFonts w:eastAsia="Calibri" w:cs="Arial"/>
                <w:color w:val="000000"/>
                <w:szCs w:val="22"/>
              </w:rPr>
              <w:t>Draft Resolution</w:t>
            </w:r>
            <w:r w:rsidR="00DB60BB" w:rsidRPr="00F524DB">
              <w:rPr>
                <w:rFonts w:cs="Arial"/>
                <w:color w:val="000000"/>
                <w:szCs w:val="22"/>
              </w:rPr>
              <w:t xml:space="preserve"> IOC-32</w:t>
            </w:r>
            <w:proofErr w:type="gramStart"/>
            <w:r w:rsidR="00DB60BB" w:rsidRPr="00F524DB">
              <w:rPr>
                <w:rFonts w:cs="Arial"/>
                <w:color w:val="000000"/>
                <w:szCs w:val="22"/>
              </w:rPr>
              <w:t>/[</w:t>
            </w:r>
            <w:proofErr w:type="gramEnd"/>
            <w:r w:rsidR="00DB60BB" w:rsidRPr="00F524DB">
              <w:rPr>
                <w:rFonts w:cs="Arial"/>
                <w:color w:val="000000"/>
                <w:szCs w:val="22"/>
              </w:rPr>
              <w:t>4.10]</w:t>
            </w:r>
            <w:r w:rsidR="00DB60BB" w:rsidRPr="001D3BBA">
              <w:rPr>
                <w:rFonts w:cs="Arial"/>
                <w:color w:val="000000"/>
                <w:szCs w:val="22"/>
              </w:rPr>
              <w:t xml:space="preserve"> </w:t>
            </w:r>
            <w:r w:rsidR="00467E3F" w:rsidRPr="001D3BBA">
              <w:rPr>
                <w:rFonts w:cs="Arial"/>
                <w:szCs w:val="22"/>
              </w:rPr>
              <w:t xml:space="preserve">in </w:t>
            </w:r>
            <w:r w:rsidR="00853565" w:rsidRPr="001D3BBA">
              <w:rPr>
                <w:rFonts w:cs="Arial"/>
                <w:szCs w:val="22"/>
              </w:rPr>
              <w:t xml:space="preserve">the </w:t>
            </w:r>
            <w:r w:rsidR="00C4032B" w:rsidRPr="001D3BBA">
              <w:rPr>
                <w:rFonts w:cs="Arial"/>
                <w:szCs w:val="22"/>
              </w:rPr>
              <w:t>Action Paper</w:t>
            </w:r>
            <w:r w:rsidR="00853565" w:rsidRPr="001D3BBA">
              <w:rPr>
                <w:rFonts w:cs="Arial"/>
                <w:szCs w:val="22"/>
              </w:rPr>
              <w:t xml:space="preserve"> (document IOC</w:t>
            </w:r>
            <w:r w:rsidR="001D3BBA">
              <w:rPr>
                <w:rFonts w:cs="Arial"/>
                <w:szCs w:val="22"/>
              </w:rPr>
              <w:t>-32</w:t>
            </w:r>
            <w:r w:rsidR="00003B31" w:rsidRPr="001D3BBA">
              <w:rPr>
                <w:rFonts w:cs="Arial"/>
                <w:szCs w:val="22"/>
              </w:rPr>
              <w:t>/</w:t>
            </w:r>
            <w:r w:rsidR="001D3BBA">
              <w:rPr>
                <w:rFonts w:cs="Arial"/>
                <w:szCs w:val="22"/>
              </w:rPr>
              <w:t>AP </w:t>
            </w:r>
            <w:r w:rsidR="00853565" w:rsidRPr="001D3BBA">
              <w:rPr>
                <w:rFonts w:cs="Arial"/>
                <w:szCs w:val="22"/>
              </w:rPr>
              <w:t>Prov.)</w:t>
            </w:r>
            <w:r w:rsidR="001D3BBA">
              <w:rPr>
                <w:rFonts w:cs="Arial"/>
                <w:szCs w:val="22"/>
              </w:rPr>
              <w:t>.</w:t>
            </w:r>
            <w:r w:rsidR="001D3BBA" w:rsidRPr="001D3BBA">
              <w:rPr>
                <w:rFonts w:cs="Arial"/>
                <w:szCs w:val="22"/>
              </w:rPr>
              <w:t xml:space="preserve"> </w:t>
            </w:r>
            <w:r w:rsidR="001D3BBA" w:rsidRPr="00AA1D51">
              <w:rPr>
                <w:rFonts w:cs="Arial"/>
                <w:szCs w:val="22"/>
              </w:rPr>
              <w:t xml:space="preserve">The Resolution </w:t>
            </w:r>
            <w:r w:rsidR="001D3BBA" w:rsidRPr="00AA1D51">
              <w:rPr>
                <w:rFonts w:cs="Arial"/>
                <w:color w:val="000000"/>
                <w:szCs w:val="22"/>
              </w:rPr>
              <w:t>endorses</w:t>
            </w:r>
            <w:r w:rsidR="001D3BBA" w:rsidRPr="00AA1D51">
              <w:rPr>
                <w:rFonts w:cs="Arial"/>
                <w:snapToGrid/>
                <w:color w:val="000000"/>
                <w:szCs w:val="22"/>
                <w:lang w:eastAsia="zh-CN"/>
              </w:rPr>
              <w:t xml:space="preserve"> the conclusions of the 2022 GCOS Implementation Plan and urges Member States to </w:t>
            </w:r>
            <w:proofErr w:type="gramStart"/>
            <w:r w:rsidR="001D3BBA" w:rsidRPr="00AA1D51">
              <w:rPr>
                <w:rFonts w:cs="Arial"/>
                <w:snapToGrid/>
                <w:color w:val="000000"/>
                <w:szCs w:val="22"/>
                <w:lang w:eastAsia="zh-CN"/>
              </w:rPr>
              <w:t>take action</w:t>
            </w:r>
            <w:proofErr w:type="gramEnd"/>
            <w:r w:rsidR="001D3BBA" w:rsidRPr="00AA1D51">
              <w:rPr>
                <w:rFonts w:cs="Arial"/>
                <w:snapToGrid/>
                <w:color w:val="000000"/>
                <w:szCs w:val="22"/>
                <w:lang w:eastAsia="zh-CN"/>
              </w:rPr>
              <w:t xml:space="preserve"> with regard to the IOC relevant actions noted in this IOC Supplement Report.</w:t>
            </w:r>
          </w:p>
        </w:tc>
      </w:tr>
    </w:tbl>
    <w:p w14:paraId="34F88A19" w14:textId="77777777" w:rsidR="00746B89" w:rsidRPr="006842FA" w:rsidRDefault="00746B89" w:rsidP="00AA1D51">
      <w:pPr>
        <w:pStyle w:val="Heading3"/>
        <w:sectPr w:rsidR="00746B89" w:rsidRPr="006842FA" w:rsidSect="003F7186">
          <w:headerReference w:type="even" r:id="rId9"/>
          <w:headerReference w:type="default" r:id="rId10"/>
          <w:headerReference w:type="first" r:id="rId11"/>
          <w:type w:val="continuous"/>
          <w:pgSz w:w="11906" w:h="16838" w:code="9"/>
          <w:pgMar w:top="1418" w:right="1134" w:bottom="1134" w:left="1134" w:header="709" w:footer="680" w:gutter="0"/>
          <w:pgNumType w:start="1"/>
          <w:cols w:space="708"/>
          <w:titlePg/>
          <w:docGrid w:linePitch="360"/>
        </w:sectPr>
      </w:pPr>
    </w:p>
    <w:p w14:paraId="6B84A3D8" w14:textId="77777777" w:rsidR="00737A18" w:rsidRDefault="009026D3" w:rsidP="00AA1D51">
      <w:pPr>
        <w:pStyle w:val="Heading3"/>
      </w:pPr>
      <w:r>
        <w:lastRenderedPageBreak/>
        <w:t>Introduction</w:t>
      </w:r>
    </w:p>
    <w:p w14:paraId="2BDB9C54" w14:textId="7814F553" w:rsidR="00EC2C27" w:rsidRPr="00EC2C27" w:rsidRDefault="00EC2C27" w:rsidP="00AA1D51">
      <w:pPr>
        <w:pStyle w:val="COI"/>
        <w:rPr>
          <w:lang w:val="en-US"/>
        </w:rPr>
      </w:pPr>
      <w:r w:rsidRPr="00EC2C27">
        <w:rPr>
          <w:lang w:val="en-US"/>
        </w:rPr>
        <w:t>The 2022 GCOS Implementation Plan (</w:t>
      </w:r>
      <w:hyperlink r:id="rId12" w:history="1">
        <w:r w:rsidRPr="00EC2C27">
          <w:rPr>
            <w:rStyle w:val="Hyperlink"/>
            <w:lang w:val="en-US"/>
          </w:rPr>
          <w:t>GCOS-244</w:t>
        </w:r>
      </w:hyperlink>
      <w:r w:rsidRPr="00EC2C27">
        <w:rPr>
          <w:lang w:val="en-US"/>
        </w:rPr>
        <w:t>) is the latest in a series of implementation plans produced by GCOS since its inception in 1992. It provides a set of high priority actions which</w:t>
      </w:r>
      <w:r w:rsidR="00906FFE">
        <w:rPr>
          <w:lang w:val="en-US"/>
        </w:rPr>
        <w:t>,</w:t>
      </w:r>
      <w:r w:rsidRPr="00EC2C27">
        <w:rPr>
          <w:lang w:val="en-US"/>
        </w:rPr>
        <w:t xml:space="preserve"> if undertaken</w:t>
      </w:r>
      <w:r w:rsidR="00906FFE">
        <w:rPr>
          <w:lang w:val="en-US"/>
        </w:rPr>
        <w:t>,</w:t>
      </w:r>
      <w:r w:rsidRPr="00EC2C27">
        <w:rPr>
          <w:lang w:val="en-US"/>
        </w:rPr>
        <w:t xml:space="preserve"> will improve global observations of the climate system and our understanding of how it is changing, categorized under six major themes (see Table 1).</w:t>
      </w:r>
      <w:r w:rsidR="00AA1D51">
        <w:rPr>
          <w:lang w:val="en-US"/>
        </w:rPr>
        <w:t xml:space="preserve"> </w:t>
      </w:r>
      <w:r w:rsidRPr="00EC2C27">
        <w:rPr>
          <w:lang w:val="en-US"/>
        </w:rPr>
        <w:t>The 2022 GCOS ECVs Requirements (</w:t>
      </w:r>
      <w:hyperlink r:id="rId13" w:history="1">
        <w:r w:rsidRPr="00EC2C27">
          <w:rPr>
            <w:rStyle w:val="Hyperlink"/>
            <w:lang w:val="en-US"/>
          </w:rPr>
          <w:t>GCOS-245</w:t>
        </w:r>
      </w:hyperlink>
      <w:r w:rsidRPr="00EC2C27">
        <w:rPr>
          <w:lang w:val="en-US"/>
        </w:rPr>
        <w:t>) provide</w:t>
      </w:r>
      <w:r w:rsidR="00906FFE">
        <w:rPr>
          <w:lang w:val="en-US"/>
        </w:rPr>
        <w:t xml:space="preserve"> </w:t>
      </w:r>
      <w:r w:rsidRPr="00EC2C27">
        <w:rPr>
          <w:lang w:val="en-US"/>
        </w:rPr>
        <w:t>revis</w:t>
      </w:r>
      <w:r w:rsidR="00906FFE">
        <w:rPr>
          <w:lang w:val="en-US"/>
        </w:rPr>
        <w:t xml:space="preserve">ion for the whole set of </w:t>
      </w:r>
      <w:r w:rsidRPr="00EC2C27">
        <w:rPr>
          <w:lang w:val="en-US"/>
        </w:rPr>
        <w:t>Essential Climate Variables (ECVs). There are currently 55 ECVs specified by GCOS, of which 19 are ocean-focused variables. GOOS expert panels are responsible for those.</w:t>
      </w:r>
    </w:p>
    <w:p w14:paraId="2B41D265" w14:textId="571474F3" w:rsidR="00EC2C27" w:rsidRPr="00EC2C27" w:rsidRDefault="00AA1D51" w:rsidP="00AA1D51">
      <w:pPr>
        <w:pStyle w:val="COI"/>
        <w:rPr>
          <w:lang w:val="en-US"/>
        </w:rPr>
      </w:pPr>
      <w:r>
        <w:rPr>
          <w:lang w:val="en-US"/>
        </w:rPr>
        <w:t>The Sharm-El-Sheikh Climate Change Conference of November 2022 (</w:t>
      </w:r>
      <w:r w:rsidR="00EC2C27" w:rsidRPr="00EC2C27">
        <w:rPr>
          <w:lang w:val="en-US"/>
        </w:rPr>
        <w:t>COP</w:t>
      </w:r>
      <w:r>
        <w:rPr>
          <w:lang w:val="en-US"/>
        </w:rPr>
        <w:t>-</w:t>
      </w:r>
      <w:r w:rsidR="00EC2C27" w:rsidRPr="00EC2C27">
        <w:rPr>
          <w:lang w:val="en-US"/>
        </w:rPr>
        <w:t>27</w:t>
      </w:r>
      <w:r>
        <w:rPr>
          <w:lang w:val="en-US"/>
        </w:rPr>
        <w:t>)</w:t>
      </w:r>
      <w:r w:rsidR="00EC2C27" w:rsidRPr="00EC2C27">
        <w:rPr>
          <w:lang w:val="en-US"/>
        </w:rPr>
        <w:t xml:space="preserve"> adopted a Decision that welcomed the 2022 GCOS Implementation Plan and the 2022 GCOS essential climate variables requirements encouraging parties and relevant organizations, as appropriate, to work towards the implementation of the 2022 GCOS Implementation Plan.</w:t>
      </w:r>
    </w:p>
    <w:p w14:paraId="63282CEA" w14:textId="3F2F1D21" w:rsidR="00E82853" w:rsidRPr="00EC2C27" w:rsidRDefault="00EC2C27" w:rsidP="00AA1D51">
      <w:pPr>
        <w:pStyle w:val="COI"/>
        <w:rPr>
          <w:lang w:val="en-US"/>
        </w:rPr>
      </w:pPr>
      <w:r w:rsidRPr="00EC2C27">
        <w:rPr>
          <w:lang w:val="en-US"/>
        </w:rPr>
        <w:t>Th</w:t>
      </w:r>
      <w:r>
        <w:rPr>
          <w:lang w:val="en-US"/>
        </w:rPr>
        <w:t>is</w:t>
      </w:r>
      <w:r w:rsidRPr="00EC2C27">
        <w:rPr>
          <w:lang w:val="en-US"/>
        </w:rPr>
        <w:t xml:space="preserve"> IOC Supplement only lists those actions within each theme that are </w:t>
      </w:r>
      <w:r w:rsidR="00906FFE">
        <w:rPr>
          <w:lang w:val="en-US"/>
        </w:rPr>
        <w:t>under purview of</w:t>
      </w:r>
      <w:r w:rsidRPr="00EC2C27">
        <w:rPr>
          <w:lang w:val="en-US"/>
        </w:rPr>
        <w:t xml:space="preserve"> IOC Members and can be implemented by GOOS. </w:t>
      </w:r>
      <w:r w:rsidR="00906FFE">
        <w:rPr>
          <w:lang w:val="en-US"/>
        </w:rPr>
        <w:t>T</w:t>
      </w:r>
      <w:r w:rsidRPr="00EC2C27">
        <w:rPr>
          <w:lang w:val="en-US"/>
        </w:rPr>
        <w:t>ables present the activities</w:t>
      </w:r>
      <w:r w:rsidR="00906FFE">
        <w:rPr>
          <w:lang w:val="en-US"/>
        </w:rPr>
        <w:t>,</w:t>
      </w:r>
      <w:r w:rsidRPr="00EC2C27">
        <w:rPr>
          <w:lang w:val="en-US"/>
        </w:rPr>
        <w:t xml:space="preserve"> which would have to be achieved within each action, the issues they intend to address and their benefits, and the means of assessing progress. The tables presented in this document are a condensed version of the more detailed tables, which can be found in the full report </w:t>
      </w:r>
      <w:hyperlink r:id="rId14" w:history="1">
        <w:r w:rsidRPr="00EC2C27">
          <w:rPr>
            <w:rStyle w:val="Hyperlink"/>
            <w:lang w:val="en-US"/>
          </w:rPr>
          <w:t>GCOS-244</w:t>
        </w:r>
      </w:hyperlink>
      <w:r w:rsidRPr="00EC2C27">
        <w:rPr>
          <w:lang w:val="en-US"/>
        </w:rPr>
        <w:t xml:space="preserve">. The full report also contains actions related to other part of the observing system (atmosphere, terrestrial cryosphere), as well as acronyms, </w:t>
      </w:r>
      <w:proofErr w:type="gramStart"/>
      <w:r w:rsidRPr="00EC2C27">
        <w:rPr>
          <w:lang w:val="en-US"/>
        </w:rPr>
        <w:t>references</w:t>
      </w:r>
      <w:proofErr w:type="gramEnd"/>
      <w:r w:rsidRPr="00EC2C27">
        <w:rPr>
          <w:lang w:val="en-US"/>
        </w:rPr>
        <w:t xml:space="preserve"> and a list of contributors.</w:t>
      </w:r>
    </w:p>
    <w:tbl>
      <w:tblPr>
        <w:tblStyle w:val="GridTable5Dark-Accent1"/>
        <w:tblW w:w="5000" w:type="pct"/>
        <w:tblLook w:val="04A0" w:firstRow="1" w:lastRow="0" w:firstColumn="1" w:lastColumn="0" w:noHBand="0" w:noVBand="1"/>
      </w:tblPr>
      <w:tblGrid>
        <w:gridCol w:w="1975"/>
        <w:gridCol w:w="7653"/>
      </w:tblGrid>
      <w:tr w:rsidR="00EC2C27" w:rsidRPr="004F292B" w14:paraId="1C1C6EC5" w14:textId="77777777" w:rsidTr="00545534">
        <w:trPr>
          <w:cnfStyle w:val="100000000000" w:firstRow="1" w:lastRow="0" w:firstColumn="0" w:lastColumn="0" w:oddVBand="0" w:evenVBand="0" w:oddHBand="0" w:evenHBand="0" w:firstRowFirstColumn="0" w:firstRowLastColumn="0" w:lastRowFirstColumn="0" w:lastRowLastColumn="0"/>
          <w:cantSplit/>
          <w:trHeight w:val="557"/>
          <w:tblHeader/>
        </w:trPr>
        <w:tc>
          <w:tcPr>
            <w:cnfStyle w:val="001000000000" w:firstRow="0" w:lastRow="0" w:firstColumn="1" w:lastColumn="0" w:oddVBand="0" w:evenVBand="0" w:oddHBand="0" w:evenHBand="0" w:firstRowFirstColumn="0" w:firstRowLastColumn="0" w:lastRowFirstColumn="0" w:lastRowLastColumn="0"/>
            <w:tcW w:w="1025" w:type="pct"/>
            <w:vAlign w:val="center"/>
          </w:tcPr>
          <w:p w14:paraId="466C6DCD" w14:textId="77777777" w:rsidR="00EC2C27" w:rsidRPr="004F292B" w:rsidRDefault="00EC2C27" w:rsidP="00545534">
            <w:pPr>
              <w:jc w:val="center"/>
              <w:rPr>
                <w:rFonts w:ascii="Verdana" w:eastAsia="Times New Roman" w:hAnsi="Verdana"/>
                <w:color w:val="FFFFFF"/>
                <w:sz w:val="18"/>
                <w:szCs w:val="18"/>
              </w:rPr>
            </w:pPr>
            <w:r w:rsidRPr="004F292B">
              <w:rPr>
                <w:rFonts w:ascii="Verdana" w:eastAsia="Times New Roman" w:hAnsi="Verdana"/>
                <w:color w:val="FFFFFF"/>
                <w:sz w:val="18"/>
                <w:szCs w:val="18"/>
              </w:rPr>
              <w:t>Theme</w:t>
            </w:r>
          </w:p>
        </w:tc>
        <w:tc>
          <w:tcPr>
            <w:tcW w:w="3975" w:type="pct"/>
            <w:vAlign w:val="center"/>
          </w:tcPr>
          <w:p w14:paraId="48BD2AB6" w14:textId="77777777" w:rsidR="00EC2C27" w:rsidRPr="004F292B" w:rsidRDefault="00EC2C27" w:rsidP="0054553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FFFFFF"/>
                <w:sz w:val="18"/>
                <w:szCs w:val="18"/>
              </w:rPr>
            </w:pPr>
            <w:r w:rsidRPr="004F292B">
              <w:rPr>
                <w:rFonts w:ascii="Verdana" w:eastAsia="Times New Roman" w:hAnsi="Verdana"/>
                <w:color w:val="FFFFFF"/>
                <w:sz w:val="18"/>
                <w:szCs w:val="18"/>
              </w:rPr>
              <w:t>Actions</w:t>
            </w:r>
          </w:p>
        </w:tc>
      </w:tr>
      <w:tr w:rsidR="00EC2C27" w:rsidRPr="004F292B" w14:paraId="7C2B200E" w14:textId="77777777" w:rsidTr="005455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5" w:type="pct"/>
          </w:tcPr>
          <w:p w14:paraId="09D24F91" w14:textId="77777777" w:rsidR="00EC2C27" w:rsidRPr="004F292B" w:rsidRDefault="00EC2C27" w:rsidP="00545534">
            <w:pPr>
              <w:rPr>
                <w:rFonts w:ascii="Verdana" w:eastAsia="Times New Roman" w:hAnsi="Verdana"/>
                <w:color w:val="FFFFFF"/>
                <w:sz w:val="18"/>
                <w:szCs w:val="18"/>
              </w:rPr>
            </w:pPr>
            <w:r>
              <w:rPr>
                <w:rFonts w:ascii="Verdana" w:eastAsia="Times New Roman" w:hAnsi="Verdana"/>
                <w:color w:val="FFFFFF"/>
                <w:sz w:val="18"/>
                <w:szCs w:val="18"/>
              </w:rPr>
              <w:t>A: ENSURING SUSTAINABILITY</w:t>
            </w:r>
          </w:p>
        </w:tc>
        <w:tc>
          <w:tcPr>
            <w:tcW w:w="3975" w:type="pct"/>
          </w:tcPr>
          <w:p w14:paraId="6443128A" w14:textId="77777777" w:rsidR="00EC2C27" w:rsidRPr="004F292B" w:rsidRDefault="00EC2C27" w:rsidP="0054553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8"/>
                <w:szCs w:val="18"/>
              </w:rPr>
            </w:pPr>
            <w:r>
              <w:rPr>
                <w:rFonts w:ascii="Verdana" w:eastAsia="Times New Roman" w:hAnsi="Verdana"/>
                <w:color w:val="000000"/>
                <w:sz w:val="18"/>
                <w:szCs w:val="18"/>
              </w:rPr>
              <w:t>A1. Ensure necessary levels of long-term funding support for in situ networks, from observations to data delivery</w:t>
            </w:r>
          </w:p>
        </w:tc>
      </w:tr>
      <w:tr w:rsidR="00EC2C27" w:rsidRPr="004F292B" w14:paraId="515AC353" w14:textId="77777777" w:rsidTr="00545534">
        <w:trPr>
          <w:trHeight w:val="20"/>
        </w:trPr>
        <w:tc>
          <w:tcPr>
            <w:cnfStyle w:val="001000000000" w:firstRow="0" w:lastRow="0" w:firstColumn="1" w:lastColumn="0" w:oddVBand="0" w:evenVBand="0" w:oddHBand="0" w:evenHBand="0" w:firstRowFirstColumn="0" w:firstRowLastColumn="0" w:lastRowFirstColumn="0" w:lastRowLastColumn="0"/>
            <w:tcW w:w="1025" w:type="pct"/>
            <w:vMerge w:val="restart"/>
            <w:hideMark/>
          </w:tcPr>
          <w:p w14:paraId="1D79B6D1" w14:textId="77777777" w:rsidR="00EC2C27" w:rsidRPr="004F292B" w:rsidRDefault="00EC2C27" w:rsidP="00545534">
            <w:pPr>
              <w:rPr>
                <w:rFonts w:ascii="Verdana" w:eastAsia="Times New Roman" w:hAnsi="Verdana"/>
                <w:color w:val="FFFFFF"/>
                <w:sz w:val="18"/>
                <w:szCs w:val="18"/>
              </w:rPr>
            </w:pPr>
            <w:r w:rsidRPr="004F292B">
              <w:rPr>
                <w:rFonts w:ascii="Verdana" w:eastAsia="Times New Roman" w:hAnsi="Verdana"/>
                <w:color w:val="FFFFFF"/>
                <w:sz w:val="18"/>
                <w:szCs w:val="18"/>
              </w:rPr>
              <w:t>B: FILLING DATA GAPS</w:t>
            </w:r>
          </w:p>
        </w:tc>
        <w:tc>
          <w:tcPr>
            <w:tcW w:w="3975" w:type="pct"/>
            <w:hideMark/>
          </w:tcPr>
          <w:p w14:paraId="616741F8" w14:textId="77777777" w:rsidR="00EC2C27" w:rsidRPr="004F292B" w:rsidRDefault="00EC2C27" w:rsidP="0054553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18"/>
                <w:szCs w:val="18"/>
              </w:rPr>
            </w:pPr>
            <w:r w:rsidRPr="004F292B">
              <w:rPr>
                <w:rFonts w:ascii="Verdana" w:eastAsia="Times New Roman" w:hAnsi="Verdana"/>
                <w:color w:val="000000"/>
                <w:sz w:val="18"/>
                <w:szCs w:val="18"/>
              </w:rPr>
              <w:t>B2. Development and implementation of the Global Basic Observing Network (GBON)</w:t>
            </w:r>
          </w:p>
        </w:tc>
      </w:tr>
      <w:tr w:rsidR="00EC2C27" w:rsidRPr="004F292B" w14:paraId="7D7DE556" w14:textId="77777777" w:rsidTr="005455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5" w:type="pct"/>
            <w:vMerge/>
            <w:hideMark/>
          </w:tcPr>
          <w:p w14:paraId="22042723" w14:textId="77777777" w:rsidR="00EC2C27" w:rsidRPr="004F292B" w:rsidRDefault="00EC2C27" w:rsidP="00545534">
            <w:pPr>
              <w:rPr>
                <w:rFonts w:ascii="Verdana" w:eastAsia="Times New Roman" w:hAnsi="Verdana"/>
                <w:color w:val="FFFFFF"/>
                <w:sz w:val="18"/>
                <w:szCs w:val="18"/>
              </w:rPr>
            </w:pPr>
          </w:p>
        </w:tc>
        <w:tc>
          <w:tcPr>
            <w:tcW w:w="3975" w:type="pct"/>
            <w:hideMark/>
          </w:tcPr>
          <w:p w14:paraId="145E3758" w14:textId="77777777" w:rsidR="00EC2C27" w:rsidRPr="004F292B" w:rsidRDefault="00EC2C27" w:rsidP="0054553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8"/>
                <w:szCs w:val="18"/>
              </w:rPr>
            </w:pPr>
            <w:r w:rsidRPr="004F292B">
              <w:rPr>
                <w:rFonts w:ascii="Verdana" w:eastAsia="Times New Roman" w:hAnsi="Verdana"/>
                <w:color w:val="000000"/>
                <w:sz w:val="18"/>
                <w:szCs w:val="18"/>
              </w:rPr>
              <w:t>B6. Expand and build a fully integrated global ocean observing system</w:t>
            </w:r>
          </w:p>
        </w:tc>
      </w:tr>
      <w:tr w:rsidR="00EC2C27" w:rsidRPr="004F292B" w14:paraId="7ED43638" w14:textId="77777777" w:rsidTr="00545534">
        <w:trPr>
          <w:trHeight w:val="20"/>
        </w:trPr>
        <w:tc>
          <w:tcPr>
            <w:cnfStyle w:val="001000000000" w:firstRow="0" w:lastRow="0" w:firstColumn="1" w:lastColumn="0" w:oddVBand="0" w:evenVBand="0" w:oddHBand="0" w:evenHBand="0" w:firstRowFirstColumn="0" w:firstRowLastColumn="0" w:lastRowFirstColumn="0" w:lastRowLastColumn="0"/>
            <w:tcW w:w="1025" w:type="pct"/>
            <w:vMerge/>
            <w:hideMark/>
          </w:tcPr>
          <w:p w14:paraId="61D40130" w14:textId="77777777" w:rsidR="00EC2C27" w:rsidRPr="004F292B" w:rsidRDefault="00EC2C27" w:rsidP="00545534">
            <w:pPr>
              <w:rPr>
                <w:rFonts w:ascii="Verdana" w:eastAsia="Times New Roman" w:hAnsi="Verdana"/>
                <w:color w:val="FFFFFF"/>
                <w:sz w:val="18"/>
                <w:szCs w:val="18"/>
              </w:rPr>
            </w:pPr>
          </w:p>
        </w:tc>
        <w:tc>
          <w:tcPr>
            <w:tcW w:w="3975" w:type="pct"/>
            <w:hideMark/>
          </w:tcPr>
          <w:p w14:paraId="1D3E6C7A" w14:textId="77777777" w:rsidR="00EC2C27" w:rsidRPr="004F292B" w:rsidRDefault="00EC2C27" w:rsidP="0054553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18"/>
                <w:szCs w:val="18"/>
              </w:rPr>
            </w:pPr>
            <w:r w:rsidRPr="004F292B">
              <w:rPr>
                <w:rFonts w:ascii="Verdana" w:eastAsia="Times New Roman" w:hAnsi="Verdana"/>
                <w:color w:val="000000"/>
                <w:sz w:val="18"/>
                <w:szCs w:val="18"/>
              </w:rPr>
              <w:t>B7. Augmenting ship-based hydrography and fixed-point observations with biological and biogeochemical parameters</w:t>
            </w:r>
          </w:p>
        </w:tc>
      </w:tr>
      <w:tr w:rsidR="00EC2C27" w:rsidRPr="004F292B" w14:paraId="63CDFE32" w14:textId="77777777" w:rsidTr="005455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5" w:type="pct"/>
            <w:vMerge/>
            <w:hideMark/>
          </w:tcPr>
          <w:p w14:paraId="2E310180" w14:textId="77777777" w:rsidR="00EC2C27" w:rsidRPr="004F292B" w:rsidRDefault="00EC2C27" w:rsidP="00545534">
            <w:pPr>
              <w:rPr>
                <w:rFonts w:ascii="Verdana" w:eastAsia="Times New Roman" w:hAnsi="Verdana"/>
                <w:color w:val="FFFFFF"/>
                <w:sz w:val="18"/>
                <w:szCs w:val="18"/>
              </w:rPr>
            </w:pPr>
          </w:p>
        </w:tc>
        <w:tc>
          <w:tcPr>
            <w:tcW w:w="3975" w:type="pct"/>
            <w:hideMark/>
          </w:tcPr>
          <w:p w14:paraId="2913486B" w14:textId="77777777" w:rsidR="00EC2C27" w:rsidRPr="004F292B" w:rsidRDefault="00EC2C27" w:rsidP="0054553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8"/>
                <w:szCs w:val="18"/>
              </w:rPr>
            </w:pPr>
            <w:r w:rsidRPr="004F292B">
              <w:rPr>
                <w:rFonts w:ascii="Verdana" w:eastAsia="Times New Roman" w:hAnsi="Verdana"/>
                <w:color w:val="000000"/>
                <w:sz w:val="18"/>
                <w:szCs w:val="18"/>
              </w:rPr>
              <w:t>B8. Coordinate observations and data product development for ocean CO</w:t>
            </w:r>
            <w:r w:rsidRPr="004F292B">
              <w:rPr>
                <w:rFonts w:ascii="Verdana" w:eastAsia="Times New Roman" w:hAnsi="Verdana"/>
                <w:color w:val="000000"/>
                <w:sz w:val="18"/>
                <w:szCs w:val="18"/>
                <w:vertAlign w:val="subscript"/>
              </w:rPr>
              <w:t>2</w:t>
            </w:r>
            <w:r w:rsidRPr="004F292B">
              <w:rPr>
                <w:rFonts w:ascii="Verdana" w:eastAsia="Times New Roman" w:hAnsi="Verdana"/>
                <w:color w:val="000000"/>
                <w:sz w:val="18"/>
                <w:szCs w:val="18"/>
              </w:rPr>
              <w:t xml:space="preserve"> and N</w:t>
            </w:r>
            <w:r w:rsidRPr="004F292B">
              <w:rPr>
                <w:rFonts w:ascii="Verdana" w:eastAsia="Times New Roman" w:hAnsi="Verdana"/>
                <w:color w:val="000000"/>
                <w:sz w:val="18"/>
                <w:szCs w:val="18"/>
                <w:vertAlign w:val="subscript"/>
              </w:rPr>
              <w:t>2</w:t>
            </w:r>
            <w:r w:rsidRPr="004F292B">
              <w:rPr>
                <w:rFonts w:ascii="Verdana" w:eastAsia="Times New Roman" w:hAnsi="Verdana"/>
                <w:color w:val="000000"/>
                <w:sz w:val="18"/>
                <w:szCs w:val="18"/>
              </w:rPr>
              <w:t>O</w:t>
            </w:r>
          </w:p>
        </w:tc>
      </w:tr>
      <w:tr w:rsidR="00EC2C27" w:rsidRPr="004F292B" w14:paraId="76CB4F71" w14:textId="77777777" w:rsidTr="00545534">
        <w:trPr>
          <w:trHeight w:val="20"/>
        </w:trPr>
        <w:tc>
          <w:tcPr>
            <w:cnfStyle w:val="001000000000" w:firstRow="0" w:lastRow="0" w:firstColumn="1" w:lastColumn="0" w:oddVBand="0" w:evenVBand="0" w:oddHBand="0" w:evenHBand="0" w:firstRowFirstColumn="0" w:firstRowLastColumn="0" w:lastRowFirstColumn="0" w:lastRowLastColumn="0"/>
            <w:tcW w:w="1025" w:type="pct"/>
            <w:vMerge/>
            <w:hideMark/>
          </w:tcPr>
          <w:p w14:paraId="709DAF62" w14:textId="77777777" w:rsidR="00EC2C27" w:rsidRPr="004F292B" w:rsidRDefault="00EC2C27" w:rsidP="00545534">
            <w:pPr>
              <w:rPr>
                <w:rFonts w:ascii="Verdana" w:eastAsia="Times New Roman" w:hAnsi="Verdana"/>
                <w:color w:val="FFFFFF"/>
                <w:sz w:val="18"/>
                <w:szCs w:val="18"/>
              </w:rPr>
            </w:pPr>
          </w:p>
        </w:tc>
        <w:tc>
          <w:tcPr>
            <w:tcW w:w="3975" w:type="pct"/>
            <w:hideMark/>
          </w:tcPr>
          <w:p w14:paraId="6C5E4007" w14:textId="77777777" w:rsidR="00EC2C27" w:rsidRPr="004F292B" w:rsidRDefault="00EC2C27" w:rsidP="0054553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18"/>
                <w:szCs w:val="18"/>
              </w:rPr>
            </w:pPr>
            <w:r w:rsidRPr="004F292B">
              <w:rPr>
                <w:rFonts w:ascii="Verdana" w:eastAsia="Times New Roman" w:hAnsi="Verdana"/>
                <w:color w:val="000000"/>
                <w:sz w:val="18"/>
                <w:szCs w:val="18"/>
              </w:rPr>
              <w:t>B9. Improve estimates of latent and sensible heat fluxes and wind stress</w:t>
            </w:r>
          </w:p>
        </w:tc>
      </w:tr>
      <w:tr w:rsidR="00EC2C27" w:rsidRPr="004F292B" w14:paraId="168C8478" w14:textId="77777777" w:rsidTr="00545534">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1025" w:type="pct"/>
            <w:hideMark/>
          </w:tcPr>
          <w:p w14:paraId="70B3887A" w14:textId="77777777" w:rsidR="00EC2C27" w:rsidRPr="004F292B" w:rsidRDefault="00EC2C27" w:rsidP="00545534">
            <w:pPr>
              <w:keepNext/>
              <w:keepLines/>
              <w:spacing w:after="60"/>
              <w:rPr>
                <w:rFonts w:ascii="Verdana" w:eastAsia="Times New Roman" w:hAnsi="Verdana"/>
                <w:color w:val="FFFFFF"/>
                <w:sz w:val="18"/>
                <w:szCs w:val="18"/>
              </w:rPr>
            </w:pPr>
            <w:r w:rsidRPr="00C71FDA">
              <w:rPr>
                <w:rFonts w:ascii="Verdana" w:eastAsia="Times New Roman" w:hAnsi="Verdana"/>
                <w:color w:val="FFFFFF"/>
                <w:sz w:val="18"/>
                <w:szCs w:val="18"/>
              </w:rPr>
              <w:t>C: IMPROVING DATA QUALITY, AVAILABILITY AND UTILITY</w:t>
            </w:r>
          </w:p>
        </w:tc>
        <w:tc>
          <w:tcPr>
            <w:tcW w:w="3975" w:type="pct"/>
          </w:tcPr>
          <w:p w14:paraId="328795D9" w14:textId="77777777" w:rsidR="00EC2C27" w:rsidRPr="004F292B" w:rsidRDefault="00EC2C27" w:rsidP="00545534">
            <w:pPr>
              <w:keepNext/>
              <w:keepLines/>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8"/>
                <w:szCs w:val="18"/>
              </w:rPr>
            </w:pPr>
            <w:r w:rsidRPr="004F292B">
              <w:rPr>
                <w:rFonts w:ascii="Verdana" w:eastAsia="Times New Roman" w:hAnsi="Verdana"/>
                <w:color w:val="000000"/>
                <w:sz w:val="18"/>
                <w:szCs w:val="18"/>
              </w:rPr>
              <w:t xml:space="preserve">C1. Develop monitoring standards, </w:t>
            </w:r>
            <w:proofErr w:type="gramStart"/>
            <w:r w:rsidRPr="004F292B">
              <w:rPr>
                <w:rFonts w:ascii="Verdana" w:eastAsia="Times New Roman" w:hAnsi="Verdana"/>
                <w:color w:val="000000"/>
                <w:sz w:val="18"/>
                <w:szCs w:val="18"/>
              </w:rPr>
              <w:t>guidance</w:t>
            </w:r>
            <w:proofErr w:type="gramEnd"/>
            <w:r w:rsidRPr="004F292B">
              <w:rPr>
                <w:rFonts w:ascii="Verdana" w:eastAsia="Times New Roman" w:hAnsi="Verdana"/>
                <w:color w:val="000000"/>
                <w:sz w:val="18"/>
                <w:szCs w:val="18"/>
              </w:rPr>
              <w:t xml:space="preserve"> and best practices for each ECV</w:t>
            </w:r>
          </w:p>
        </w:tc>
      </w:tr>
      <w:tr w:rsidR="00EC2C27" w:rsidRPr="004F292B" w14:paraId="288226F0" w14:textId="77777777" w:rsidTr="00545534">
        <w:trPr>
          <w:trHeight w:val="266"/>
        </w:trPr>
        <w:tc>
          <w:tcPr>
            <w:cnfStyle w:val="001000000000" w:firstRow="0" w:lastRow="0" w:firstColumn="1" w:lastColumn="0" w:oddVBand="0" w:evenVBand="0" w:oddHBand="0" w:evenHBand="0" w:firstRowFirstColumn="0" w:firstRowLastColumn="0" w:lastRowFirstColumn="0" w:lastRowLastColumn="0"/>
            <w:tcW w:w="1025" w:type="pct"/>
            <w:hideMark/>
          </w:tcPr>
          <w:p w14:paraId="27C2B2E2" w14:textId="77777777" w:rsidR="00EC2C27" w:rsidRPr="004F292B" w:rsidRDefault="00EC2C27" w:rsidP="00545534">
            <w:pPr>
              <w:keepNext/>
              <w:keepLines/>
              <w:spacing w:after="60"/>
              <w:rPr>
                <w:rFonts w:ascii="Verdana" w:eastAsia="Times New Roman" w:hAnsi="Verdana"/>
                <w:color w:val="FFFFFF"/>
                <w:sz w:val="18"/>
                <w:szCs w:val="18"/>
              </w:rPr>
            </w:pPr>
            <w:r w:rsidRPr="004F292B">
              <w:rPr>
                <w:rFonts w:ascii="Verdana" w:eastAsia="Times New Roman" w:hAnsi="Verdana"/>
                <w:color w:val="FFFFFF"/>
                <w:sz w:val="18"/>
                <w:szCs w:val="18"/>
              </w:rPr>
              <w:t>D: MANAGING DATA</w:t>
            </w:r>
          </w:p>
        </w:tc>
        <w:tc>
          <w:tcPr>
            <w:tcW w:w="3975" w:type="pct"/>
            <w:hideMark/>
          </w:tcPr>
          <w:p w14:paraId="73553FEC" w14:textId="77777777" w:rsidR="00EC2C27" w:rsidRPr="004F292B" w:rsidRDefault="00EC2C27" w:rsidP="00545534">
            <w:pPr>
              <w:keepNext/>
              <w:keepLines/>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18"/>
                <w:szCs w:val="18"/>
              </w:rPr>
            </w:pPr>
            <w:r w:rsidRPr="004F292B">
              <w:rPr>
                <w:rFonts w:ascii="Verdana" w:eastAsia="Times New Roman" w:hAnsi="Verdana"/>
                <w:color w:val="000000"/>
                <w:sz w:val="18"/>
                <w:szCs w:val="18"/>
              </w:rPr>
              <w:t>D2. Ensure Global Data Centres exist for all in situ observations of ECVs</w:t>
            </w:r>
          </w:p>
        </w:tc>
      </w:tr>
      <w:tr w:rsidR="00EC2C27" w:rsidRPr="004F292B" w14:paraId="30D349EE" w14:textId="77777777" w:rsidTr="005455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5" w:type="pct"/>
            <w:hideMark/>
          </w:tcPr>
          <w:p w14:paraId="241C95BD" w14:textId="77777777" w:rsidR="00EC2C27" w:rsidRPr="004F292B" w:rsidRDefault="00EC2C27" w:rsidP="00545534">
            <w:pPr>
              <w:spacing w:after="60"/>
              <w:rPr>
                <w:rFonts w:ascii="Verdana" w:eastAsia="Times New Roman" w:hAnsi="Verdana"/>
                <w:color w:val="FFFFFF"/>
                <w:sz w:val="18"/>
                <w:szCs w:val="18"/>
              </w:rPr>
            </w:pPr>
            <w:r w:rsidRPr="004F292B">
              <w:rPr>
                <w:rFonts w:ascii="Verdana" w:eastAsia="Times New Roman" w:hAnsi="Verdana"/>
                <w:color w:val="FFFFFF"/>
                <w:sz w:val="18"/>
                <w:szCs w:val="18"/>
              </w:rPr>
              <w:t>E: ENGAGING WITH COUNTRIES</w:t>
            </w:r>
          </w:p>
        </w:tc>
        <w:tc>
          <w:tcPr>
            <w:tcW w:w="3975" w:type="pct"/>
          </w:tcPr>
          <w:p w14:paraId="77A93140" w14:textId="77777777" w:rsidR="00EC2C27" w:rsidRPr="004F292B" w:rsidRDefault="00EC2C27" w:rsidP="0054553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8"/>
                <w:szCs w:val="18"/>
              </w:rPr>
            </w:pPr>
            <w:r w:rsidRPr="004F292B">
              <w:rPr>
                <w:rFonts w:ascii="Verdana" w:eastAsia="Times New Roman" w:hAnsi="Verdana"/>
                <w:color w:val="000000"/>
                <w:sz w:val="18"/>
                <w:szCs w:val="18"/>
              </w:rPr>
              <w:t>E1. Foster regional engagement in GCOS</w:t>
            </w:r>
          </w:p>
        </w:tc>
      </w:tr>
      <w:tr w:rsidR="00EC2C27" w:rsidRPr="004F292B" w14:paraId="0B2453FB" w14:textId="77777777" w:rsidTr="00545534">
        <w:trPr>
          <w:trHeight w:val="20"/>
        </w:trPr>
        <w:tc>
          <w:tcPr>
            <w:cnfStyle w:val="001000000000" w:firstRow="0" w:lastRow="0" w:firstColumn="1" w:lastColumn="0" w:oddVBand="0" w:evenVBand="0" w:oddHBand="0" w:evenHBand="0" w:firstRowFirstColumn="0" w:firstRowLastColumn="0" w:lastRowFirstColumn="0" w:lastRowLastColumn="0"/>
            <w:tcW w:w="1025" w:type="pct"/>
            <w:hideMark/>
          </w:tcPr>
          <w:p w14:paraId="34C7F5AB" w14:textId="77777777" w:rsidR="00EC2C27" w:rsidRPr="004F292B" w:rsidRDefault="00EC2C27" w:rsidP="00545534">
            <w:pPr>
              <w:keepNext/>
              <w:keepLines/>
              <w:spacing w:after="60"/>
              <w:rPr>
                <w:rFonts w:ascii="Verdana" w:eastAsia="Times New Roman" w:hAnsi="Verdana"/>
                <w:color w:val="FFFFFF"/>
                <w:sz w:val="18"/>
                <w:szCs w:val="18"/>
              </w:rPr>
            </w:pPr>
            <w:r w:rsidRPr="004F292B">
              <w:rPr>
                <w:rFonts w:ascii="Verdana" w:eastAsia="Times New Roman" w:hAnsi="Verdana"/>
                <w:color w:val="FFFFFF"/>
                <w:sz w:val="18"/>
                <w:szCs w:val="18"/>
              </w:rPr>
              <w:t>F: OTHER EMERGING NEEDS</w:t>
            </w:r>
          </w:p>
        </w:tc>
        <w:tc>
          <w:tcPr>
            <w:tcW w:w="3975" w:type="pct"/>
          </w:tcPr>
          <w:p w14:paraId="76288286" w14:textId="77777777" w:rsidR="00EC2C27" w:rsidRPr="004F292B" w:rsidRDefault="00EC2C27" w:rsidP="00545534">
            <w:pPr>
              <w:keepNext/>
              <w:keepLines/>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18"/>
                <w:szCs w:val="18"/>
              </w:rPr>
            </w:pPr>
            <w:r w:rsidRPr="004F292B">
              <w:rPr>
                <w:rFonts w:ascii="Verdana" w:eastAsia="Times New Roman" w:hAnsi="Verdana"/>
                <w:color w:val="000000"/>
                <w:sz w:val="18"/>
                <w:szCs w:val="18"/>
              </w:rPr>
              <w:t>F3. Improve monitoring of coastal and Exclusive Economic Zones</w:t>
            </w:r>
          </w:p>
        </w:tc>
      </w:tr>
    </w:tbl>
    <w:p w14:paraId="7E41580B" w14:textId="7A1E6E0C" w:rsidR="00EC2C27" w:rsidRPr="00F524DB" w:rsidRDefault="00EC2C27" w:rsidP="00F524DB">
      <w:pPr>
        <w:spacing w:before="120" w:after="240"/>
        <w:ind w:left="426"/>
        <w:rPr>
          <w:sz w:val="20"/>
          <w:lang w:val="en-US"/>
        </w:rPr>
      </w:pPr>
      <w:r w:rsidRPr="00F524DB">
        <w:rPr>
          <w:sz w:val="20"/>
          <w:szCs w:val="22"/>
          <w:u w:val="single"/>
          <w:lang w:val="en-US"/>
        </w:rPr>
        <w:t>Table 1</w:t>
      </w:r>
      <w:r w:rsidRPr="00F524DB">
        <w:rPr>
          <w:sz w:val="20"/>
          <w:szCs w:val="22"/>
          <w:lang w:val="en-US"/>
        </w:rPr>
        <w:t>: Actions of interest for IOC Members under each of the GCOS Implementation Plan Themes</w:t>
      </w:r>
    </w:p>
    <w:p w14:paraId="3D755D2C" w14:textId="72443FFB" w:rsidR="00EC2C27" w:rsidRPr="00F524DB" w:rsidRDefault="00EC2C27" w:rsidP="00F524DB">
      <w:pPr>
        <w:pStyle w:val="Heading3"/>
      </w:pPr>
      <w:r w:rsidRPr="00F524DB">
        <w:t>Theme A: Ensuring Sustainability</w:t>
      </w:r>
    </w:p>
    <w:p w14:paraId="0BCFBF6E" w14:textId="1C1DBB56" w:rsidR="00E82853" w:rsidRPr="00E82853" w:rsidRDefault="00EC2C27" w:rsidP="00AA1D51">
      <w:pPr>
        <w:pStyle w:val="COI"/>
        <w:rPr>
          <w:rFonts w:ascii="Times New Roman" w:hAnsi="Times New Roman"/>
          <w:sz w:val="24"/>
          <w:szCs w:val="24"/>
        </w:rPr>
      </w:pPr>
      <w:r w:rsidRPr="00C71FDA">
        <w:t xml:space="preserve">Long-term, continuous, </w:t>
      </w:r>
      <w:r w:rsidRPr="00F524DB">
        <w:rPr>
          <w:i/>
          <w:iCs/>
        </w:rPr>
        <w:t>in</w:t>
      </w:r>
      <w:r w:rsidR="00AA1D51">
        <w:rPr>
          <w:i/>
          <w:iCs/>
        </w:rPr>
        <w:t> </w:t>
      </w:r>
      <w:r w:rsidRPr="00F524DB">
        <w:rPr>
          <w:i/>
          <w:iCs/>
        </w:rPr>
        <w:t>situ</w:t>
      </w:r>
      <w:r w:rsidRPr="00C71FDA">
        <w:t xml:space="preserve"> and satellite observations of the climate are necessary to understand and respond to the changing climate.</w:t>
      </w:r>
      <w:r w:rsidR="00AA1D51">
        <w:t xml:space="preserve"> </w:t>
      </w:r>
      <w:r w:rsidRPr="00C71FDA">
        <w:t xml:space="preserve">Sustained funding is essential to ensure the continuity and the expansion needed for many </w:t>
      </w:r>
      <w:r w:rsidRPr="00F524DB">
        <w:rPr>
          <w:i/>
          <w:iCs/>
        </w:rPr>
        <w:t>in situ</w:t>
      </w:r>
      <w:r w:rsidRPr="00C71FDA">
        <w:t xml:space="preserve"> observations of ECVs. While many atmospheric observations have sustained long-term funding, most ocean and terrestrial observations are supported through short-term funding, with a typical lifetime of a few years, leaving the development of long-term records extremely vulnerable. Since these observations are executed by a large range </w:t>
      </w:r>
      <w:r w:rsidRPr="00C71FDA">
        <w:lastRenderedPageBreak/>
        <w:t>of actors, an effective observing system may benefit from an improved international coordination across networks and program</w:t>
      </w:r>
      <w:r w:rsidR="00AA1D51">
        <w:t>me</w:t>
      </w:r>
      <w:r w:rsidRPr="00C71FDA">
        <w:t xml:space="preserve">s. Here the potential of “economy of scales” could make procurements of instruments less expensive. Sustainable networks need sustained funding and support that covers training, capacity building, equipment maintenance and replacement.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9"/>
        <w:gridCol w:w="8931"/>
      </w:tblGrid>
      <w:tr w:rsidR="00EC2C27" w:rsidRPr="00C71FDA" w14:paraId="13EDCEE7" w14:textId="77777777" w:rsidTr="00F524DB">
        <w:trPr>
          <w:trHeight w:val="300"/>
        </w:trPr>
        <w:tc>
          <w:tcPr>
            <w:tcW w:w="9490" w:type="dxa"/>
            <w:gridSpan w:val="2"/>
            <w:tcBorders>
              <w:top w:val="single" w:sz="6" w:space="0" w:color="000000"/>
              <w:left w:val="single" w:sz="6" w:space="0" w:color="000000"/>
              <w:bottom w:val="single" w:sz="6" w:space="0" w:color="000000"/>
              <w:right w:val="single" w:sz="6" w:space="0" w:color="000000"/>
            </w:tcBorders>
            <w:shd w:val="clear" w:color="auto" w:fill="DDF0C8"/>
            <w:hideMark/>
          </w:tcPr>
          <w:p w14:paraId="76180E69" w14:textId="77777777" w:rsidR="00EC2C27" w:rsidRPr="00C71FDA" w:rsidRDefault="00EC2C27" w:rsidP="00545534">
            <w:pPr>
              <w:spacing w:before="100" w:beforeAutospacing="1" w:after="100" w:afterAutospacing="1"/>
              <w:textAlignment w:val="baseline"/>
              <w:rPr>
                <w:rFonts w:ascii="Times New Roman" w:hAnsi="Times New Roman"/>
                <w:b/>
                <w:bCs/>
                <w:sz w:val="24"/>
              </w:rPr>
            </w:pPr>
            <w:r w:rsidRPr="00C71FDA">
              <w:rPr>
                <w:rFonts w:ascii="Verdana" w:hAnsi="Verdana"/>
                <w:b/>
                <w:bCs/>
                <w:sz w:val="18"/>
                <w:szCs w:val="18"/>
              </w:rPr>
              <w:t>Action A1: Ensure necessary levels of long-term funding support for in situ networks, from observations to data delivery </w:t>
            </w:r>
          </w:p>
        </w:tc>
      </w:tr>
      <w:tr w:rsidR="00EC2C27" w:rsidRPr="00C71FDA" w14:paraId="0CC2BEF2" w14:textId="77777777" w:rsidTr="00F524DB">
        <w:trPr>
          <w:cantSplit/>
          <w:trHeight w:val="1134"/>
        </w:trPr>
        <w:tc>
          <w:tcPr>
            <w:tcW w:w="559" w:type="dxa"/>
            <w:tcBorders>
              <w:top w:val="single" w:sz="6" w:space="0" w:color="000000"/>
              <w:left w:val="single" w:sz="6" w:space="0" w:color="000000"/>
              <w:bottom w:val="single" w:sz="6" w:space="0" w:color="000000"/>
              <w:right w:val="single" w:sz="6" w:space="0" w:color="000000"/>
            </w:tcBorders>
            <w:shd w:val="clear" w:color="auto" w:fill="auto"/>
            <w:textDirection w:val="btLr"/>
            <w:hideMark/>
          </w:tcPr>
          <w:p w14:paraId="25273808" w14:textId="77777777" w:rsidR="00EC2C27" w:rsidRPr="00C71FDA" w:rsidRDefault="00EC2C27" w:rsidP="00545534">
            <w:pPr>
              <w:spacing w:before="100" w:beforeAutospacing="1" w:after="100" w:afterAutospacing="1"/>
              <w:ind w:left="113" w:right="113"/>
              <w:jc w:val="center"/>
              <w:textAlignment w:val="baseline"/>
              <w:rPr>
                <w:rFonts w:ascii="Times New Roman" w:hAnsi="Times New Roman"/>
                <w:sz w:val="24"/>
              </w:rPr>
            </w:pPr>
            <w:r w:rsidRPr="00C71FDA">
              <w:rPr>
                <w:rFonts w:ascii="Verdana" w:hAnsi="Verdana"/>
                <w:b/>
                <w:bCs/>
                <w:sz w:val="18"/>
                <w:szCs w:val="18"/>
              </w:rPr>
              <w:t>Activities</w:t>
            </w:r>
          </w:p>
        </w:tc>
        <w:tc>
          <w:tcPr>
            <w:tcW w:w="8931" w:type="dxa"/>
            <w:tcBorders>
              <w:top w:val="single" w:sz="6" w:space="0" w:color="000000"/>
              <w:left w:val="single" w:sz="6" w:space="0" w:color="000000"/>
              <w:bottom w:val="single" w:sz="6" w:space="0" w:color="000000"/>
              <w:right w:val="single" w:sz="6" w:space="0" w:color="000000"/>
            </w:tcBorders>
            <w:shd w:val="clear" w:color="auto" w:fill="auto"/>
            <w:hideMark/>
          </w:tcPr>
          <w:p w14:paraId="6C9D42A7" w14:textId="77777777" w:rsidR="00EC2C27" w:rsidRPr="00C71FDA" w:rsidRDefault="00EC2C27" w:rsidP="00EC2C27">
            <w:pPr>
              <w:pStyle w:val="ActionTable"/>
              <w:numPr>
                <w:ilvl w:val="0"/>
                <w:numId w:val="8"/>
              </w:numPr>
              <w:spacing w:before="60" w:after="60"/>
              <w:jc w:val="left"/>
              <w:rPr>
                <w:sz w:val="18"/>
              </w:rPr>
            </w:pPr>
            <w:r w:rsidRPr="00C71FDA">
              <w:rPr>
                <w:sz w:val="18"/>
              </w:rPr>
              <w:t xml:space="preserve">Undertake an assessment of current levels of funding support for global in situ networks delivering relevant in situ ECV data, including </w:t>
            </w:r>
            <w:proofErr w:type="spellStart"/>
            <w:r w:rsidRPr="00C71FDA">
              <w:rPr>
                <w:sz w:val="18"/>
              </w:rPr>
              <w:t>cal</w:t>
            </w:r>
            <w:proofErr w:type="spellEnd"/>
            <w:r w:rsidRPr="00C71FDA">
              <w:rPr>
                <w:sz w:val="18"/>
              </w:rPr>
              <w:t>/</w:t>
            </w:r>
            <w:proofErr w:type="spellStart"/>
            <w:r w:rsidRPr="00C71FDA">
              <w:rPr>
                <w:sz w:val="18"/>
              </w:rPr>
              <w:t>val</w:t>
            </w:r>
            <w:proofErr w:type="spellEnd"/>
            <w:r w:rsidRPr="00C71FDA">
              <w:rPr>
                <w:sz w:val="18"/>
              </w:rPr>
              <w:t xml:space="preserve"> measurements, and identify those in situ networks with immediate or short-term problems around adequacy and sustainability of funding - by end of 2023. </w:t>
            </w:r>
          </w:p>
          <w:p w14:paraId="6812DFE6" w14:textId="77777777" w:rsidR="00EC2C27" w:rsidRPr="00C71FDA" w:rsidRDefault="00EC2C27" w:rsidP="00EC2C27">
            <w:pPr>
              <w:pStyle w:val="ActionTable"/>
              <w:numPr>
                <w:ilvl w:val="0"/>
                <w:numId w:val="8"/>
              </w:numPr>
              <w:spacing w:before="60" w:after="60"/>
              <w:jc w:val="left"/>
              <w:rPr>
                <w:sz w:val="18"/>
              </w:rPr>
            </w:pPr>
            <w:r w:rsidRPr="00C71FDA">
              <w:rPr>
                <w:sz w:val="18"/>
              </w:rPr>
              <w:t>Identify entities that can provide support for the networks identified as at risk in Activity 1. </w:t>
            </w:r>
          </w:p>
          <w:p w14:paraId="372475AA" w14:textId="77777777" w:rsidR="00EC2C27" w:rsidRPr="00C71FDA" w:rsidRDefault="00EC2C27" w:rsidP="00EC2C27">
            <w:pPr>
              <w:pStyle w:val="ActionTable"/>
              <w:numPr>
                <w:ilvl w:val="0"/>
                <w:numId w:val="8"/>
              </w:numPr>
              <w:spacing w:before="60" w:after="60"/>
              <w:ind w:left="261" w:hanging="284"/>
              <w:jc w:val="left"/>
              <w:rPr>
                <w:sz w:val="18"/>
              </w:rPr>
            </w:pPr>
            <w:r w:rsidRPr="00C71FDA">
              <w:rPr>
                <w:sz w:val="18"/>
              </w:rPr>
              <w:t>Advocate with funding agencies to support identified networks.   </w:t>
            </w:r>
          </w:p>
        </w:tc>
      </w:tr>
    </w:tbl>
    <w:p w14:paraId="26C42E7D" w14:textId="6CB8D02D" w:rsidR="00E82853" w:rsidRDefault="00E82853" w:rsidP="00AA1D51">
      <w:pPr>
        <w:pStyle w:val="COI"/>
        <w:rPr>
          <w:lang w:val="en-US"/>
        </w:rPr>
      </w:pPr>
      <w:r>
        <w:t xml:space="preserve">Details on the issues, benefits and means of assessing progress for these activities are in the </w:t>
      </w:r>
      <w:hyperlink r:id="rId15" w:history="1">
        <w:r w:rsidRPr="00AA1D51">
          <w:rPr>
            <w:rStyle w:val="Hyperlink"/>
            <w:rFonts w:cs="Arial"/>
            <w:sz w:val="20"/>
            <w:szCs w:val="20"/>
          </w:rPr>
          <w:t>GCOS-244</w:t>
        </w:r>
      </w:hyperlink>
      <w:r w:rsidR="00AA1D51">
        <w:rPr>
          <w:rFonts w:cs="Arial"/>
          <w:color w:val="000000"/>
          <w:sz w:val="20"/>
          <w:szCs w:val="20"/>
        </w:rPr>
        <w:t xml:space="preserve">. </w:t>
      </w:r>
    </w:p>
    <w:p w14:paraId="600A774A" w14:textId="4C352E87" w:rsidR="00EC2C27" w:rsidRPr="00F524DB" w:rsidRDefault="00EC2C27" w:rsidP="00F524DB">
      <w:pPr>
        <w:pStyle w:val="Heading3"/>
      </w:pPr>
      <w:r w:rsidRPr="00F524DB">
        <w:t>Theme B: Filling Data Gaps</w:t>
      </w:r>
    </w:p>
    <w:p w14:paraId="6D57E965" w14:textId="73F46052" w:rsidR="00EC2C27" w:rsidRPr="000C1A0E" w:rsidRDefault="00EC2C27" w:rsidP="00AA1D51">
      <w:pPr>
        <w:pStyle w:val="COI"/>
        <w:rPr>
          <w:lang w:val="en-US"/>
        </w:rPr>
      </w:pPr>
      <w:bookmarkStart w:id="0" w:name="_Hlk114751892"/>
      <w:r w:rsidRPr="00216A3B">
        <w:rPr>
          <w:lang w:val="en-US"/>
        </w:rPr>
        <w:t>This theme addresses gaps in the existing observing system identified in the 2021 GCOS Status Report (</w:t>
      </w:r>
      <w:bookmarkStart w:id="1" w:name="_Hlk114751703"/>
      <w:r w:rsidRPr="00216A3B">
        <w:fldChar w:fldCharType="begin"/>
      </w:r>
      <w:r w:rsidRPr="00216A3B">
        <w:rPr>
          <w:lang w:val="en-US"/>
        </w:rPr>
        <w:instrText xml:space="preserve"> HYPERLINK "https://library.wmo.int/doc_num.php?explnum_id=10784" </w:instrText>
      </w:r>
      <w:r w:rsidRPr="00216A3B">
        <w:fldChar w:fldCharType="separate"/>
      </w:r>
      <w:r w:rsidRPr="00216A3B">
        <w:rPr>
          <w:rStyle w:val="Hyperlink"/>
          <w:lang w:val="en-US"/>
        </w:rPr>
        <w:t>GCOS-240</w:t>
      </w:r>
      <w:r w:rsidRPr="00216A3B">
        <w:rPr>
          <w:rStyle w:val="Hyperlink"/>
          <w:lang w:val="en-US"/>
        </w:rPr>
        <w:fldChar w:fldCharType="end"/>
      </w:r>
      <w:bookmarkEnd w:id="1"/>
      <w:r w:rsidRPr="00216A3B">
        <w:rPr>
          <w:lang w:val="en-US"/>
        </w:rPr>
        <w:t>).</w:t>
      </w:r>
      <w:bookmarkEnd w:id="0"/>
      <w:r>
        <w:rPr>
          <w:lang w:val="en-US"/>
        </w:rPr>
        <w:t xml:space="preserve"> </w:t>
      </w:r>
      <w:r w:rsidRPr="000C1A0E">
        <w:rPr>
          <w:lang w:val="en-US"/>
        </w:rPr>
        <w:t xml:space="preserve">By and large the observations fulfil many requirements and provide the basis for the very useful sets of ECVs. However, </w:t>
      </w:r>
      <w:r w:rsidRPr="00F524DB">
        <w:rPr>
          <w:i/>
          <w:iCs/>
          <w:lang w:val="en-US"/>
        </w:rPr>
        <w:t>in situ</w:t>
      </w:r>
      <w:r w:rsidRPr="000C1A0E">
        <w:rPr>
          <w:lang w:val="en-US"/>
        </w:rPr>
        <w:t xml:space="preserve"> observations for almost all the ECVs are consistently deficient over certain </w:t>
      </w:r>
      <w:r>
        <w:t xml:space="preserve">continental </w:t>
      </w:r>
      <w:r w:rsidRPr="000C1A0E">
        <w:rPr>
          <w:lang w:val="en-US"/>
        </w:rPr>
        <w:t>regions, in the deep ocean and polar regions, a situation that has not improved since the 2015 GCOS Status Report (</w:t>
      </w:r>
      <w:bookmarkStart w:id="2" w:name="_Hlk114752042"/>
      <w:r w:rsidRPr="000C1A0E">
        <w:fldChar w:fldCharType="begin"/>
      </w:r>
      <w:r w:rsidRPr="000C1A0E">
        <w:rPr>
          <w:lang w:val="en-US"/>
        </w:rPr>
        <w:instrText xml:space="preserve"> HYPERLINK "https://library.wmo.int/doc_num.php?explnum_id=7213" </w:instrText>
      </w:r>
      <w:r w:rsidRPr="000C1A0E">
        <w:fldChar w:fldCharType="separate"/>
      </w:r>
      <w:r w:rsidRPr="000C1A0E">
        <w:rPr>
          <w:rStyle w:val="Hyperlink"/>
          <w:lang w:val="en-US"/>
        </w:rPr>
        <w:t>GCOS-195</w:t>
      </w:r>
      <w:r w:rsidRPr="000C1A0E">
        <w:rPr>
          <w:rStyle w:val="Hyperlink"/>
          <w:lang w:val="en-US"/>
        </w:rPr>
        <w:fldChar w:fldCharType="end"/>
      </w:r>
      <w:r w:rsidRPr="000C1A0E">
        <w:rPr>
          <w:lang w:val="en-US"/>
        </w:rPr>
        <w:t xml:space="preserve">). </w:t>
      </w:r>
      <w:bookmarkEnd w:id="2"/>
    </w:p>
    <w:p w14:paraId="60A1C6D8" w14:textId="2DD88DF5" w:rsidR="00EC2C27" w:rsidRDefault="00EC2C27" w:rsidP="00AA1D51">
      <w:pPr>
        <w:pStyle w:val="COI"/>
        <w:rPr>
          <w:lang w:val="en-US"/>
        </w:rPr>
      </w:pPr>
      <w:r w:rsidRPr="00216A3B">
        <w:rPr>
          <w:lang w:val="en-US"/>
        </w:rPr>
        <w:t>WMO has adopted the concept</w:t>
      </w:r>
      <w:r w:rsidR="00906FFE">
        <w:rPr>
          <w:lang w:val="en-US"/>
        </w:rPr>
        <w:t>s</w:t>
      </w:r>
      <w:r w:rsidRPr="00216A3B">
        <w:rPr>
          <w:lang w:val="en-US"/>
        </w:rPr>
        <w:t xml:space="preserve"> for a Global Basic Observing Network (GBON) and for the Systematic Observations Financing Facility (SOFF). If their implementation is successful, GBON will provide essential observations for global </w:t>
      </w:r>
      <w:bookmarkStart w:id="3" w:name="_Hlk114751788"/>
      <w:r w:rsidRPr="00216A3B">
        <w:rPr>
          <w:lang w:val="en-US"/>
        </w:rPr>
        <w:t xml:space="preserve">Numerical Weather Prediction </w:t>
      </w:r>
      <w:bookmarkEnd w:id="3"/>
      <w:r w:rsidRPr="00216A3B">
        <w:rPr>
          <w:lang w:val="en-US"/>
        </w:rPr>
        <w:t xml:space="preserve">(NWP) and </w:t>
      </w:r>
      <w:r w:rsidR="00AA1D51" w:rsidRPr="00216A3B">
        <w:rPr>
          <w:lang w:val="en-US"/>
        </w:rPr>
        <w:t>reanalysis</w:t>
      </w:r>
      <w:r w:rsidRPr="00216A3B">
        <w:rPr>
          <w:lang w:val="en-US"/>
        </w:rPr>
        <w:t xml:space="preserve">, covering some ECVs, and SOFF will provide targeted financial and technical support for the implementation and operation of GBON and will address some of the gaps identified in the 2021 GCOS Status Report. </w:t>
      </w:r>
      <w:r w:rsidRPr="00EC2C27">
        <w:rPr>
          <w:lang w:val="en-US"/>
        </w:rPr>
        <w:t>Action B2</w:t>
      </w:r>
      <w:r>
        <w:rPr>
          <w:lang w:val="en-US"/>
        </w:rPr>
        <w:t xml:space="preserve"> covers the d</w:t>
      </w:r>
      <w:r w:rsidRPr="00EC2C27">
        <w:rPr>
          <w:lang w:val="en-US"/>
        </w:rPr>
        <w:t>evelopment and implementation of the Global Basic Observing Network (GBON)</w:t>
      </w:r>
      <w:r>
        <w:rPr>
          <w:lang w:val="en-US"/>
        </w:rPr>
        <w: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400" w:firstRow="0" w:lastRow="0" w:firstColumn="0" w:lastColumn="0" w:noHBand="0" w:noVBand="1"/>
      </w:tblPr>
      <w:tblGrid>
        <w:gridCol w:w="1121"/>
        <w:gridCol w:w="8507"/>
      </w:tblGrid>
      <w:tr w:rsidR="00EC2C27" w:rsidRPr="003F22B4" w14:paraId="77EB6861" w14:textId="77777777" w:rsidTr="00545534">
        <w:tc>
          <w:tcPr>
            <w:tcW w:w="5000" w:type="pct"/>
            <w:gridSpan w:val="2"/>
            <w:shd w:val="clear" w:color="auto" w:fill="DDF0C8"/>
          </w:tcPr>
          <w:p w14:paraId="7FA4FF84" w14:textId="77777777" w:rsidR="00EC2C27" w:rsidRPr="003F22B4" w:rsidRDefault="00EC2C27" w:rsidP="00545534">
            <w:pPr>
              <w:pStyle w:val="TitleTable"/>
              <w:spacing w:before="60" w:after="60"/>
              <w:rPr>
                <w:b w:val="0"/>
                <w:szCs w:val="18"/>
              </w:rPr>
            </w:pPr>
            <w:r w:rsidRPr="003F22B4">
              <w:rPr>
                <w:szCs w:val="18"/>
              </w:rPr>
              <w:t xml:space="preserve">Action B6:  Expand and build a fully integrated global ocean observing system </w:t>
            </w:r>
          </w:p>
        </w:tc>
      </w:tr>
      <w:tr w:rsidR="00EC2C27" w:rsidRPr="0030095D" w14:paraId="0216969F" w14:textId="77777777" w:rsidTr="00545534">
        <w:tc>
          <w:tcPr>
            <w:tcW w:w="582" w:type="pct"/>
            <w:shd w:val="clear" w:color="auto" w:fill="auto"/>
            <w:textDirection w:val="btLr"/>
          </w:tcPr>
          <w:p w14:paraId="1D105424" w14:textId="77777777" w:rsidR="00EC2C27" w:rsidRPr="0030095D" w:rsidRDefault="00EC2C27" w:rsidP="00545534">
            <w:pPr>
              <w:pStyle w:val="ActionTable"/>
              <w:spacing w:before="60"/>
              <w:jc w:val="center"/>
              <w:rPr>
                <w:b/>
                <w:bCs/>
                <w:sz w:val="18"/>
              </w:rPr>
            </w:pPr>
            <w:r w:rsidRPr="00C71FDA">
              <w:rPr>
                <w:rFonts w:eastAsia="Times New Roman"/>
                <w:b/>
                <w:bCs/>
                <w:sz w:val="18"/>
              </w:rPr>
              <w:t>Activities</w:t>
            </w:r>
          </w:p>
        </w:tc>
        <w:tc>
          <w:tcPr>
            <w:tcW w:w="4418" w:type="pct"/>
            <w:shd w:val="clear" w:color="auto" w:fill="auto"/>
          </w:tcPr>
          <w:p w14:paraId="1678A925" w14:textId="77777777" w:rsidR="00EC2C27" w:rsidRPr="00C71FDA" w:rsidRDefault="00EC2C27" w:rsidP="00545534">
            <w:pPr>
              <w:pStyle w:val="ActionTable"/>
              <w:spacing w:before="60"/>
              <w:rPr>
                <w:sz w:val="18"/>
              </w:rPr>
            </w:pPr>
            <w:r w:rsidRPr="00C71FDA">
              <w:rPr>
                <w:sz w:val="18"/>
              </w:rPr>
              <w:t>Increase the measurements of ocean ECVs into the deep ocean, under the ice and marginal seas by improving:</w:t>
            </w:r>
          </w:p>
          <w:p w14:paraId="2DFDAF88" w14:textId="77777777" w:rsidR="00EC2C27" w:rsidRPr="00C71FDA" w:rsidRDefault="00EC2C27" w:rsidP="00EC2C27">
            <w:pPr>
              <w:pStyle w:val="ActionTable"/>
              <w:numPr>
                <w:ilvl w:val="0"/>
                <w:numId w:val="11"/>
              </w:numPr>
              <w:spacing w:before="60"/>
              <w:rPr>
                <w:sz w:val="18"/>
              </w:rPr>
            </w:pPr>
            <w:r w:rsidRPr="00C71FDA">
              <w:rPr>
                <w:sz w:val="18"/>
              </w:rPr>
              <w:t xml:space="preserve">The Core Argo (ensuring that the target density is met), biogeochemical (BGC) and Deep Argo to achieve the </w:t>
            </w:r>
            <w:proofErr w:type="spellStart"/>
            <w:r w:rsidRPr="00C71FDA">
              <w:rPr>
                <w:sz w:val="18"/>
              </w:rPr>
              <w:t>OneArgo</w:t>
            </w:r>
            <w:proofErr w:type="spellEnd"/>
            <w:r w:rsidRPr="00C71FDA">
              <w:rPr>
                <w:sz w:val="18"/>
              </w:rPr>
              <w:t xml:space="preserve"> design.</w:t>
            </w:r>
          </w:p>
          <w:p w14:paraId="7843CBFF" w14:textId="77777777" w:rsidR="00EC2C27" w:rsidRPr="00C71FDA" w:rsidRDefault="00EC2C27" w:rsidP="00EC2C27">
            <w:pPr>
              <w:pStyle w:val="ActionTable"/>
              <w:numPr>
                <w:ilvl w:val="0"/>
                <w:numId w:val="11"/>
              </w:numPr>
              <w:spacing w:before="60" w:after="60"/>
              <w:jc w:val="left"/>
              <w:rPr>
                <w:sz w:val="18"/>
              </w:rPr>
            </w:pPr>
            <w:r w:rsidRPr="00C71FDA">
              <w:rPr>
                <w:sz w:val="18"/>
              </w:rPr>
              <w:t>The ship-based hydrography, fixed-point observations, autonomous and uncrewed observations.</w:t>
            </w:r>
          </w:p>
          <w:p w14:paraId="5BF5DC70" w14:textId="77777777" w:rsidR="00EC2C27" w:rsidRPr="00C71FDA" w:rsidRDefault="00EC2C27" w:rsidP="00EC2C27">
            <w:pPr>
              <w:pStyle w:val="ActionTable"/>
              <w:numPr>
                <w:ilvl w:val="0"/>
                <w:numId w:val="11"/>
              </w:numPr>
              <w:spacing w:before="60" w:after="60"/>
              <w:jc w:val="left"/>
              <w:rPr>
                <w:sz w:val="18"/>
              </w:rPr>
            </w:pPr>
            <w:r w:rsidRPr="00C71FDA">
              <w:rPr>
                <w:sz w:val="18"/>
              </w:rPr>
              <w:t>The integration of observing networks to respond adequately to ECVs requirements.</w:t>
            </w:r>
          </w:p>
        </w:tc>
      </w:tr>
    </w:tbl>
    <w:p w14:paraId="734BB6FA" w14:textId="77777777" w:rsidR="00E82853" w:rsidRDefault="00E82853" w:rsidP="00F524DB">
      <w:pPr>
        <w:rPr>
          <w:lang w:val="en-US"/>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400" w:firstRow="0" w:lastRow="0" w:firstColumn="0" w:lastColumn="0" w:noHBand="0" w:noVBand="1"/>
      </w:tblPr>
      <w:tblGrid>
        <w:gridCol w:w="1747"/>
        <w:gridCol w:w="7881"/>
      </w:tblGrid>
      <w:tr w:rsidR="00EC2C27" w:rsidRPr="003F22B4" w14:paraId="2EE13C12" w14:textId="77777777" w:rsidTr="00545534">
        <w:tc>
          <w:tcPr>
            <w:tcW w:w="5000" w:type="pct"/>
            <w:gridSpan w:val="2"/>
            <w:shd w:val="clear" w:color="auto" w:fill="DDF0C8"/>
          </w:tcPr>
          <w:p w14:paraId="3EB48864" w14:textId="77777777" w:rsidR="00EC2C27" w:rsidRPr="003F22B4" w:rsidRDefault="00EC2C27" w:rsidP="00545534">
            <w:pPr>
              <w:pStyle w:val="TitleTable"/>
              <w:spacing w:before="60" w:after="60"/>
              <w:jc w:val="left"/>
              <w:rPr>
                <w:b w:val="0"/>
                <w:szCs w:val="18"/>
              </w:rPr>
            </w:pPr>
            <w:r w:rsidRPr="003F22B4">
              <w:rPr>
                <w:szCs w:val="18"/>
              </w:rPr>
              <w:t>Action B7: Augmenting ship-based hydrography and fixed-point observations with biological and biogeochemical parameters</w:t>
            </w:r>
          </w:p>
        </w:tc>
      </w:tr>
      <w:tr w:rsidR="00EC2C27" w:rsidRPr="0030095D" w14:paraId="1E3D44C4" w14:textId="77777777" w:rsidTr="00545534">
        <w:tc>
          <w:tcPr>
            <w:tcW w:w="907" w:type="pct"/>
            <w:shd w:val="clear" w:color="auto" w:fill="auto"/>
          </w:tcPr>
          <w:p w14:paraId="11CA4CEB" w14:textId="77777777" w:rsidR="00EC2C27" w:rsidRPr="0030095D" w:rsidRDefault="00EC2C27" w:rsidP="00545534">
            <w:pPr>
              <w:pStyle w:val="ActionTable"/>
              <w:spacing w:before="60"/>
              <w:jc w:val="left"/>
              <w:rPr>
                <w:b/>
                <w:bCs/>
                <w:sz w:val="18"/>
              </w:rPr>
            </w:pPr>
            <w:r w:rsidRPr="0030095D">
              <w:rPr>
                <w:b/>
                <w:bCs/>
                <w:sz w:val="18"/>
              </w:rPr>
              <w:t>Activities</w:t>
            </w:r>
          </w:p>
        </w:tc>
        <w:tc>
          <w:tcPr>
            <w:tcW w:w="4093" w:type="pct"/>
            <w:shd w:val="clear" w:color="auto" w:fill="auto"/>
          </w:tcPr>
          <w:p w14:paraId="18F586B3" w14:textId="77777777" w:rsidR="00EC2C27" w:rsidRPr="00C71FDA" w:rsidRDefault="00EC2C27" w:rsidP="00545534">
            <w:pPr>
              <w:pStyle w:val="ActionTable"/>
              <w:spacing w:before="60" w:after="60"/>
              <w:jc w:val="left"/>
              <w:rPr>
                <w:sz w:val="18"/>
              </w:rPr>
            </w:pPr>
            <w:r w:rsidRPr="00C71FDA">
              <w:rPr>
                <w:sz w:val="18"/>
              </w:rPr>
              <w:t>Add biological and enhanced biogeochemical sensors and field/laboratory measurements to the already existing ship-based hydrography and fixed-point observations to establish a baseline of plankton distributions and phenology (seasonal timing in phenotype and abundance).</w:t>
            </w:r>
          </w:p>
        </w:tc>
      </w:tr>
    </w:tbl>
    <w:p w14:paraId="2D350331" w14:textId="77777777" w:rsidR="00B5267D" w:rsidRDefault="00B5267D" w:rsidP="00F524DB">
      <w:pPr>
        <w:rPr>
          <w:lang w:val="en-US"/>
        </w:rPr>
      </w:pPr>
    </w:p>
    <w:p w14:paraId="69952649" w14:textId="77777777" w:rsidR="00AA1D51" w:rsidRDefault="00AA1D51">
      <w:r>
        <w:rPr>
          <w:b/>
        </w:rPr>
        <w:br w:type="page"/>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400" w:firstRow="0" w:lastRow="0" w:firstColumn="0" w:lastColumn="0" w:noHBand="0" w:noVBand="1"/>
      </w:tblPr>
      <w:tblGrid>
        <w:gridCol w:w="797"/>
        <w:gridCol w:w="8831"/>
      </w:tblGrid>
      <w:tr w:rsidR="00EC2C27" w:rsidRPr="003F22B4" w14:paraId="02CBB96F" w14:textId="77777777" w:rsidTr="00545534">
        <w:tc>
          <w:tcPr>
            <w:tcW w:w="5000" w:type="pct"/>
            <w:gridSpan w:val="2"/>
            <w:shd w:val="clear" w:color="auto" w:fill="DDF0C8"/>
          </w:tcPr>
          <w:p w14:paraId="2823DC6B" w14:textId="30ACA07A" w:rsidR="00EC2C27" w:rsidRPr="003F22B4" w:rsidRDefault="00EC2C27" w:rsidP="00545534">
            <w:pPr>
              <w:pStyle w:val="TitleTable"/>
              <w:spacing w:before="60" w:after="60"/>
              <w:rPr>
                <w:b w:val="0"/>
                <w:szCs w:val="18"/>
              </w:rPr>
            </w:pPr>
            <w:r w:rsidRPr="003F22B4">
              <w:rPr>
                <w:szCs w:val="18"/>
              </w:rPr>
              <w:lastRenderedPageBreak/>
              <w:t>Action B8: Coordinate observations and data product development for ocean CO</w:t>
            </w:r>
            <w:r w:rsidRPr="00E35655">
              <w:rPr>
                <w:szCs w:val="18"/>
                <w:vertAlign w:val="subscript"/>
              </w:rPr>
              <w:t>2</w:t>
            </w:r>
            <w:r w:rsidRPr="003F22B4">
              <w:rPr>
                <w:szCs w:val="18"/>
              </w:rPr>
              <w:t xml:space="preserve"> and N</w:t>
            </w:r>
            <w:r w:rsidRPr="00E35655">
              <w:rPr>
                <w:szCs w:val="18"/>
                <w:vertAlign w:val="subscript"/>
              </w:rPr>
              <w:t>2</w:t>
            </w:r>
            <w:r w:rsidRPr="003F22B4">
              <w:rPr>
                <w:szCs w:val="18"/>
              </w:rPr>
              <w:t>O</w:t>
            </w:r>
          </w:p>
        </w:tc>
      </w:tr>
      <w:tr w:rsidR="00EC2C27" w:rsidRPr="0030095D" w14:paraId="53A6D6DC" w14:textId="77777777" w:rsidTr="00545534">
        <w:tc>
          <w:tcPr>
            <w:tcW w:w="414" w:type="pct"/>
            <w:shd w:val="clear" w:color="auto" w:fill="auto"/>
            <w:textDirection w:val="btLr"/>
          </w:tcPr>
          <w:p w14:paraId="5C959284" w14:textId="77777777" w:rsidR="00EC2C27" w:rsidRPr="0030095D" w:rsidRDefault="00EC2C27" w:rsidP="00545534">
            <w:pPr>
              <w:pStyle w:val="ActionTable"/>
              <w:spacing w:before="60"/>
              <w:jc w:val="center"/>
              <w:rPr>
                <w:b/>
                <w:bCs/>
                <w:sz w:val="18"/>
              </w:rPr>
            </w:pPr>
            <w:r w:rsidRPr="00C71FDA">
              <w:rPr>
                <w:rFonts w:eastAsia="Times New Roman"/>
                <w:b/>
                <w:bCs/>
                <w:sz w:val="18"/>
              </w:rPr>
              <w:t>Activities</w:t>
            </w:r>
          </w:p>
        </w:tc>
        <w:tc>
          <w:tcPr>
            <w:tcW w:w="4586" w:type="pct"/>
            <w:shd w:val="clear" w:color="auto" w:fill="auto"/>
          </w:tcPr>
          <w:p w14:paraId="7122BED3" w14:textId="77777777" w:rsidR="00EC2C27" w:rsidRPr="00C71FDA" w:rsidRDefault="00EC2C27" w:rsidP="00EC2C27">
            <w:pPr>
              <w:pStyle w:val="ActionTable"/>
              <w:numPr>
                <w:ilvl w:val="0"/>
                <w:numId w:val="12"/>
              </w:numPr>
              <w:spacing w:before="60" w:after="60"/>
              <w:ind w:left="261" w:hanging="261"/>
              <w:jc w:val="left"/>
              <w:rPr>
                <w:sz w:val="18"/>
              </w:rPr>
            </w:pPr>
            <w:r w:rsidRPr="00C71FDA">
              <w:rPr>
                <w:sz w:val="18"/>
              </w:rPr>
              <w:t xml:space="preserve">Develop a strategy and implementation plan to operationalize the data production and delivery of surface ocean </w:t>
            </w:r>
            <w:r w:rsidRPr="00C71FDA">
              <w:rPr>
                <w:color w:val="000000"/>
                <w:sz w:val="18"/>
              </w:rPr>
              <w:t>CO</w:t>
            </w:r>
            <w:r w:rsidRPr="00C71FDA">
              <w:rPr>
                <w:color w:val="000000"/>
                <w:sz w:val="18"/>
                <w:vertAlign w:val="subscript"/>
              </w:rPr>
              <w:t>2</w:t>
            </w:r>
            <w:r w:rsidRPr="00C71FDA">
              <w:rPr>
                <w:sz w:val="18"/>
              </w:rPr>
              <w:t xml:space="preserve"> information.</w:t>
            </w:r>
          </w:p>
          <w:p w14:paraId="5CFF9292" w14:textId="77777777" w:rsidR="00EC2C27" w:rsidRPr="00C71FDA" w:rsidRDefault="00EC2C27" w:rsidP="00EC2C27">
            <w:pPr>
              <w:pStyle w:val="ActionTable"/>
              <w:numPr>
                <w:ilvl w:val="0"/>
                <w:numId w:val="12"/>
              </w:numPr>
              <w:spacing w:before="60" w:after="60"/>
              <w:ind w:left="261" w:hanging="261"/>
              <w:jc w:val="left"/>
              <w:rPr>
                <w:sz w:val="18"/>
              </w:rPr>
            </w:pPr>
            <w:r w:rsidRPr="00C71FDA">
              <w:rPr>
                <w:sz w:val="18"/>
              </w:rPr>
              <w:t>Coordinate the existing nitrous oxide (N</w:t>
            </w:r>
            <w:r w:rsidRPr="00C71FDA">
              <w:rPr>
                <w:sz w:val="18"/>
                <w:vertAlign w:val="subscript"/>
              </w:rPr>
              <w:t>2</w:t>
            </w:r>
            <w:r w:rsidRPr="00C71FDA">
              <w:rPr>
                <w:sz w:val="18"/>
              </w:rPr>
              <w:t>O) ocean observations into a harmonised network.</w:t>
            </w:r>
          </w:p>
        </w:tc>
      </w:tr>
    </w:tbl>
    <w:p w14:paraId="09347A71" w14:textId="194161C2" w:rsidR="00E82853" w:rsidRPr="005836C8" w:rsidRDefault="005836C8" w:rsidP="00AA1D51">
      <w:pPr>
        <w:pStyle w:val="COI"/>
        <w:rPr>
          <w:lang w:val="en-US"/>
        </w:rPr>
      </w:pPr>
      <w:r>
        <w:t xml:space="preserve">Details on the issues, benefits and means of assessing progress for these activities are in </w:t>
      </w:r>
      <w:hyperlink r:id="rId16" w:history="1">
        <w:r w:rsidR="00AA1D51" w:rsidRPr="00AA1D51">
          <w:rPr>
            <w:rStyle w:val="Hyperlink"/>
            <w:rFonts w:cs="Arial"/>
            <w:sz w:val="20"/>
            <w:szCs w:val="20"/>
          </w:rPr>
          <w:t>GCOS-244</w:t>
        </w:r>
      </w:hyperlink>
      <w:r>
        <w:rPr>
          <w:rFonts w:cs="Arial"/>
          <w:color w:val="000000"/>
          <w:sz w:val="20"/>
          <w:szCs w:val="20"/>
        </w:rPr>
        <w:t>.</w:t>
      </w:r>
    </w:p>
    <w:p w14:paraId="199C722C" w14:textId="69B96A6B" w:rsidR="00EC2C27" w:rsidRPr="00F524DB" w:rsidRDefault="00EC2C27" w:rsidP="00F524DB">
      <w:pPr>
        <w:pStyle w:val="Heading3"/>
      </w:pPr>
      <w:r w:rsidRPr="00F524DB">
        <w:t xml:space="preserve">Theme C: Improving data quality, availability and utility, including </w:t>
      </w:r>
      <w:proofErr w:type="gramStart"/>
      <w:r w:rsidRPr="00F524DB">
        <w:t>reprocessing</w:t>
      </w:r>
      <w:proofErr w:type="gramEnd"/>
    </w:p>
    <w:p w14:paraId="26E84CE2" w14:textId="77777777" w:rsidR="00EC2C27" w:rsidRPr="00AF56A7" w:rsidRDefault="00EC2C27" w:rsidP="00AA1D51">
      <w:pPr>
        <w:pStyle w:val="COI"/>
      </w:pPr>
      <w:r w:rsidRPr="00AF56A7">
        <w:t xml:space="preserve">This theme looks at how the original observational data is transformed into user-relevant information. Starting from climate monitoring, adopted standards are required to facilitate inter-comparisons, "mash-up-ability" and ensure the overall quality of the final information. Standards are also required through the other phases of the processing chain that transform observations into user-relevant products. These should address a comprehensive characterisation of uncertainty, the use of uniform metadata and quality attributes </w:t>
      </w:r>
      <w:proofErr w:type="gramStart"/>
      <w:r w:rsidRPr="00AF56A7">
        <w:t>and also</w:t>
      </w:r>
      <w:proofErr w:type="gramEnd"/>
      <w:r w:rsidRPr="00AF56A7">
        <w:t xml:space="preserve"> support the effort towards the generation of sensor-agnostic gridded datasets to facilitate intercomparison. Acknowledging the fact that the use of observational data is often mediated by other systems, a dedicated effort should also go toward ensuring the fitness for purpose of the data provided for its use in reanalysis. This includes a dedicated effort towards data reprocessing, bias characterisation and more generally a comprehensive characterisation of the uncertainty associated with both observations and modelling.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797"/>
        <w:gridCol w:w="8831"/>
      </w:tblGrid>
      <w:tr w:rsidR="00EC2C27" w:rsidRPr="003F22B4" w14:paraId="04C49286" w14:textId="77777777" w:rsidTr="00545534">
        <w:tc>
          <w:tcPr>
            <w:tcW w:w="5000" w:type="pct"/>
            <w:gridSpan w:val="2"/>
            <w:shd w:val="clear" w:color="auto" w:fill="DDF0C8"/>
          </w:tcPr>
          <w:p w14:paraId="75597AAF" w14:textId="77777777" w:rsidR="00EC2C27" w:rsidRPr="003F22B4" w:rsidRDefault="00EC2C27" w:rsidP="00545534">
            <w:pPr>
              <w:pStyle w:val="TitleTable"/>
              <w:spacing w:before="60" w:after="60"/>
              <w:rPr>
                <w:b w:val="0"/>
                <w:szCs w:val="18"/>
              </w:rPr>
            </w:pPr>
            <w:r w:rsidRPr="003F22B4">
              <w:rPr>
                <w:szCs w:val="18"/>
              </w:rPr>
              <w:t xml:space="preserve">Action C1: Develop monitoring standards, </w:t>
            </w:r>
            <w:proofErr w:type="gramStart"/>
            <w:r w:rsidRPr="003F22B4">
              <w:rPr>
                <w:szCs w:val="18"/>
              </w:rPr>
              <w:t>guidance</w:t>
            </w:r>
            <w:proofErr w:type="gramEnd"/>
            <w:r w:rsidRPr="003F22B4">
              <w:rPr>
                <w:szCs w:val="18"/>
              </w:rPr>
              <w:t xml:space="preserve"> and best practices for each ECV </w:t>
            </w:r>
          </w:p>
        </w:tc>
      </w:tr>
      <w:tr w:rsidR="00EC2C27" w:rsidRPr="003F22B4" w14:paraId="14AB2F91" w14:textId="77777777" w:rsidTr="00545534">
        <w:tc>
          <w:tcPr>
            <w:tcW w:w="414" w:type="pct"/>
            <w:shd w:val="clear" w:color="auto" w:fill="auto"/>
            <w:textDirection w:val="btLr"/>
          </w:tcPr>
          <w:p w14:paraId="0435D768" w14:textId="77777777" w:rsidR="00EC2C27" w:rsidRPr="007C1BE7" w:rsidRDefault="00EC2C27" w:rsidP="00545534">
            <w:pPr>
              <w:pStyle w:val="ActionTable"/>
              <w:spacing w:before="60"/>
              <w:jc w:val="center"/>
              <w:rPr>
                <w:b/>
                <w:bCs/>
                <w:sz w:val="18"/>
              </w:rPr>
            </w:pPr>
            <w:r w:rsidRPr="00C71FDA">
              <w:rPr>
                <w:rFonts w:eastAsia="Times New Roman"/>
                <w:b/>
                <w:bCs/>
                <w:sz w:val="18"/>
              </w:rPr>
              <w:t>Activities</w:t>
            </w:r>
          </w:p>
        </w:tc>
        <w:tc>
          <w:tcPr>
            <w:tcW w:w="4586" w:type="pct"/>
            <w:shd w:val="clear" w:color="auto" w:fill="auto"/>
          </w:tcPr>
          <w:p w14:paraId="20955127" w14:textId="77777777" w:rsidR="00EC2C27" w:rsidRPr="00C71FDA" w:rsidRDefault="00EC2C27" w:rsidP="00EC2C27">
            <w:pPr>
              <w:pStyle w:val="ActionTable"/>
              <w:numPr>
                <w:ilvl w:val="0"/>
                <w:numId w:val="15"/>
              </w:numPr>
              <w:spacing w:before="60" w:after="60"/>
              <w:ind w:left="261" w:hanging="261"/>
              <w:jc w:val="left"/>
              <w:rPr>
                <w:sz w:val="18"/>
              </w:rPr>
            </w:pPr>
            <w:r w:rsidRPr="00C71FDA">
              <w:rPr>
                <w:sz w:val="18"/>
              </w:rPr>
              <w:t xml:space="preserve">Review existing monitoring standards, </w:t>
            </w:r>
            <w:proofErr w:type="gramStart"/>
            <w:r w:rsidRPr="00C71FDA">
              <w:rPr>
                <w:sz w:val="18"/>
              </w:rPr>
              <w:t>guidance</w:t>
            </w:r>
            <w:proofErr w:type="gramEnd"/>
            <w:r w:rsidRPr="00C71FDA">
              <w:rPr>
                <w:sz w:val="18"/>
              </w:rPr>
              <w:t xml:space="preserve"> and best practices for each ECV, ensuring these reflect current state-of-the-art. Maintain a repository of this guidance for ECVs.</w:t>
            </w:r>
          </w:p>
          <w:p w14:paraId="1B570AA1" w14:textId="77777777" w:rsidR="00EC2C27" w:rsidRPr="00C71FDA" w:rsidRDefault="00EC2C27" w:rsidP="00EC2C27">
            <w:pPr>
              <w:pStyle w:val="ActionTable"/>
              <w:numPr>
                <w:ilvl w:val="0"/>
                <w:numId w:val="15"/>
              </w:numPr>
              <w:spacing w:before="60" w:after="60"/>
              <w:ind w:left="261" w:hanging="261"/>
              <w:jc w:val="left"/>
              <w:rPr>
                <w:sz w:val="18"/>
              </w:rPr>
            </w:pPr>
            <w:r w:rsidRPr="00C71FDA">
              <w:rPr>
                <w:sz w:val="18"/>
              </w:rPr>
              <w:t xml:space="preserve">Ensure the development of monitoring standards, </w:t>
            </w:r>
            <w:proofErr w:type="gramStart"/>
            <w:r w:rsidRPr="00C71FDA">
              <w:rPr>
                <w:sz w:val="18"/>
              </w:rPr>
              <w:t>guidance</w:t>
            </w:r>
            <w:proofErr w:type="gramEnd"/>
            <w:r w:rsidRPr="00C71FDA">
              <w:rPr>
                <w:sz w:val="18"/>
              </w:rPr>
              <w:t xml:space="preserve"> and best practices, including intercomparison procedures, for those ECVs where such guidance does not exist.</w:t>
            </w:r>
          </w:p>
          <w:p w14:paraId="753F8492" w14:textId="77777777" w:rsidR="00EC2C27" w:rsidRPr="00C71FDA" w:rsidRDefault="00EC2C27" w:rsidP="00EC2C27">
            <w:pPr>
              <w:pStyle w:val="ActionTable"/>
              <w:numPr>
                <w:ilvl w:val="0"/>
                <w:numId w:val="15"/>
              </w:numPr>
              <w:spacing w:before="60" w:after="60"/>
              <w:ind w:left="261" w:hanging="261"/>
              <w:jc w:val="left"/>
              <w:rPr>
                <w:sz w:val="18"/>
              </w:rPr>
            </w:pPr>
            <w:r w:rsidRPr="00C71FDA">
              <w:rPr>
                <w:sz w:val="18"/>
              </w:rPr>
              <w:t>Review and revise the climate monitoring guidance in the WIGOS manual to bring it in line with the updated guidance developed in this Action.</w:t>
            </w:r>
          </w:p>
          <w:p w14:paraId="20CDDD30" w14:textId="77777777" w:rsidR="00EC2C27" w:rsidRPr="00C71FDA" w:rsidRDefault="00EC2C27" w:rsidP="00EC2C27">
            <w:pPr>
              <w:pStyle w:val="ActionTable"/>
              <w:numPr>
                <w:ilvl w:val="0"/>
                <w:numId w:val="15"/>
              </w:numPr>
              <w:spacing w:before="60" w:after="60"/>
              <w:ind w:left="261" w:hanging="261"/>
              <w:jc w:val="left"/>
              <w:rPr>
                <w:sz w:val="18"/>
              </w:rPr>
            </w:pPr>
            <w:r w:rsidRPr="00C71FDA">
              <w:rPr>
                <w:sz w:val="18"/>
              </w:rPr>
              <w:t>Review the GCOS climate monitoring principles.</w:t>
            </w:r>
          </w:p>
        </w:tc>
      </w:tr>
    </w:tbl>
    <w:p w14:paraId="1FD9786E" w14:textId="38839E2B" w:rsidR="00E82853" w:rsidRPr="005836C8" w:rsidRDefault="00AA1D51" w:rsidP="00AA1D51">
      <w:pPr>
        <w:pStyle w:val="COI"/>
        <w:rPr>
          <w:lang w:val="en-US"/>
        </w:rPr>
      </w:pPr>
      <w:r>
        <w:t xml:space="preserve">Details on the issues, benefits and means of assessing progress for these activities are in </w:t>
      </w:r>
      <w:hyperlink r:id="rId17" w:history="1">
        <w:r w:rsidRPr="00AA1D51">
          <w:rPr>
            <w:rStyle w:val="Hyperlink"/>
            <w:rFonts w:cs="Arial"/>
            <w:sz w:val="20"/>
            <w:szCs w:val="20"/>
          </w:rPr>
          <w:t>GCOS-244</w:t>
        </w:r>
      </w:hyperlink>
      <w:r>
        <w:rPr>
          <w:rFonts w:cs="Arial"/>
          <w:color w:val="000000"/>
          <w:sz w:val="20"/>
          <w:szCs w:val="20"/>
        </w:rPr>
        <w:t>.</w:t>
      </w:r>
    </w:p>
    <w:p w14:paraId="7A10F8EB" w14:textId="2D1C6FEA" w:rsidR="00EC2C27" w:rsidRPr="00F524DB" w:rsidRDefault="00EC2C27" w:rsidP="00F524DB">
      <w:pPr>
        <w:pStyle w:val="Heading3"/>
      </w:pPr>
      <w:r w:rsidRPr="00F524DB">
        <w:t xml:space="preserve">Theme D: Managing </w:t>
      </w:r>
      <w:proofErr w:type="gramStart"/>
      <w:r w:rsidRPr="00F524DB">
        <w:t>data</w:t>
      </w:r>
      <w:proofErr w:type="gramEnd"/>
    </w:p>
    <w:p w14:paraId="0374DDDD" w14:textId="77777777" w:rsidR="00EC2C27" w:rsidRDefault="00EC2C27" w:rsidP="00AA1D51">
      <w:pPr>
        <w:pStyle w:val="COI"/>
        <w:rPr>
          <w:lang w:val="en-US"/>
        </w:rPr>
      </w:pPr>
      <w:r w:rsidRPr="00216A3B">
        <w:rPr>
          <w:lang w:val="en-US"/>
        </w:rPr>
        <w:t xml:space="preserve">To address and understand climate change, the longest possible time series need to be preserved in perpetuity. Every ECV needs to have a </w:t>
      </w:r>
      <w:r>
        <w:rPr>
          <w:lang w:val="en-US"/>
        </w:rPr>
        <w:t>recognized</w:t>
      </w:r>
      <w:r w:rsidRPr="00216A3B">
        <w:rPr>
          <w:lang w:val="en-US"/>
        </w:rPr>
        <w:t xml:space="preserve"> global data repository and where there is one, it should be complete, adequately supported and funded. Data should be stored in well-curated, </w:t>
      </w:r>
      <w:proofErr w:type="gramStart"/>
      <w:r w:rsidRPr="00216A3B">
        <w:rPr>
          <w:lang w:val="en-US"/>
        </w:rPr>
        <w:t>open</w:t>
      </w:r>
      <w:proofErr w:type="gramEnd"/>
      <w:r w:rsidRPr="00216A3B">
        <w:rPr>
          <w:lang w:val="en-US"/>
        </w:rPr>
        <w:t xml:space="preserve"> and freely available, sustainable archives with clear guidance for data centres and users. Clearly defined principles such as the TRUST Principles (Lin et al., 2020)</w:t>
      </w:r>
      <w:r w:rsidRPr="00216A3B">
        <w:rPr>
          <w:rStyle w:val="FootnoteReference"/>
          <w:lang w:val="en-US"/>
        </w:rPr>
        <w:footnoteReference w:id="1"/>
      </w:r>
      <w:r w:rsidRPr="00216A3B">
        <w:rPr>
          <w:lang w:val="en-US"/>
        </w:rPr>
        <w:t xml:space="preserve"> and FAIR Principles (Wilkinson et al., 2016</w:t>
      </w:r>
      <w:r w:rsidRPr="00216A3B">
        <w:rPr>
          <w:rStyle w:val="FootnoteReference"/>
          <w:lang w:val="en-US"/>
        </w:rPr>
        <w:footnoteReference w:id="2"/>
      </w:r>
      <w:r w:rsidRPr="00216A3B">
        <w:rPr>
          <w:lang w:val="en-US"/>
        </w:rPr>
        <w:t>) are needed. Data rescue from hard copy or archaic digital formats allows data series to be extended in the past and needs to be adequately planned and funded with the results openly and freely available. Sustained support to these activities is required. This theme aims at organizing more efficiently data rescue, data sharing, data curation and data provision.</w:t>
      </w:r>
    </w:p>
    <w:p w14:paraId="29F456C8" w14:textId="77777777" w:rsidR="00AA1D51" w:rsidRDefault="00AA1D51">
      <w:r>
        <w:rPr>
          <w:b/>
        </w:rPr>
        <w:br w:type="page"/>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400" w:firstRow="0" w:lastRow="0" w:firstColumn="0" w:lastColumn="0" w:noHBand="0" w:noVBand="1"/>
      </w:tblPr>
      <w:tblGrid>
        <w:gridCol w:w="797"/>
        <w:gridCol w:w="8831"/>
      </w:tblGrid>
      <w:tr w:rsidR="00EC2C27" w:rsidRPr="00216A3B" w14:paraId="17DB9A6C" w14:textId="77777777" w:rsidTr="00545534">
        <w:tc>
          <w:tcPr>
            <w:tcW w:w="5000" w:type="pct"/>
            <w:gridSpan w:val="2"/>
            <w:shd w:val="clear" w:color="auto" w:fill="DDF0C8"/>
          </w:tcPr>
          <w:p w14:paraId="38650E1F" w14:textId="2C0A809A" w:rsidR="00EC2C27" w:rsidRPr="00216A3B" w:rsidRDefault="00EC2C27" w:rsidP="00545534">
            <w:pPr>
              <w:pStyle w:val="TitleTable"/>
              <w:spacing w:before="60" w:after="60"/>
              <w:rPr>
                <w:lang w:val="en-US"/>
              </w:rPr>
            </w:pPr>
            <w:r w:rsidRPr="00216A3B">
              <w:rPr>
                <w:lang w:val="en-US"/>
              </w:rPr>
              <w:lastRenderedPageBreak/>
              <w:t xml:space="preserve">Action D2: Ensure Global Climate Data Centres exist for all in situ observations of ECVs </w:t>
            </w:r>
          </w:p>
        </w:tc>
      </w:tr>
      <w:tr w:rsidR="00EC2C27" w:rsidRPr="002354AA" w14:paraId="6A723A1F" w14:textId="77777777" w:rsidTr="00545534">
        <w:tc>
          <w:tcPr>
            <w:tcW w:w="414" w:type="pct"/>
            <w:shd w:val="clear" w:color="auto" w:fill="auto"/>
            <w:textDirection w:val="btLr"/>
          </w:tcPr>
          <w:p w14:paraId="5EBFEEEF" w14:textId="77777777" w:rsidR="00EC2C27" w:rsidRPr="002354AA" w:rsidRDefault="00EC2C27" w:rsidP="00545534">
            <w:pPr>
              <w:pStyle w:val="ActionTable"/>
              <w:spacing w:before="60"/>
              <w:jc w:val="center"/>
              <w:rPr>
                <w:b/>
                <w:bCs/>
                <w:sz w:val="18"/>
                <w:lang w:val="en-US"/>
              </w:rPr>
            </w:pPr>
            <w:r w:rsidRPr="00C71FDA">
              <w:rPr>
                <w:rFonts w:eastAsia="Times New Roman"/>
                <w:b/>
                <w:bCs/>
                <w:sz w:val="18"/>
              </w:rPr>
              <w:t>Activities</w:t>
            </w:r>
          </w:p>
        </w:tc>
        <w:tc>
          <w:tcPr>
            <w:tcW w:w="4586" w:type="pct"/>
            <w:shd w:val="clear" w:color="auto" w:fill="auto"/>
          </w:tcPr>
          <w:p w14:paraId="043E2E87" w14:textId="77777777" w:rsidR="00EC2C27" w:rsidRPr="00C71FDA" w:rsidRDefault="00EC2C27" w:rsidP="00EC2C27">
            <w:pPr>
              <w:pStyle w:val="ActionTable"/>
              <w:numPr>
                <w:ilvl w:val="0"/>
                <w:numId w:val="17"/>
              </w:numPr>
              <w:spacing w:before="60" w:after="60"/>
              <w:ind w:left="268" w:hanging="268"/>
              <w:jc w:val="left"/>
              <w:rPr>
                <w:sz w:val="18"/>
                <w:lang w:val="en-US"/>
              </w:rPr>
            </w:pPr>
            <w:r w:rsidRPr="00C71FDA">
              <w:rPr>
                <w:sz w:val="18"/>
                <w:lang w:val="en-US"/>
              </w:rPr>
              <w:t>Identify ECVs for which adequate global centres do not exist or are insufficiently supported and facilitate and support the creation or improvement of global data centres for these ECVs.</w:t>
            </w:r>
          </w:p>
          <w:p w14:paraId="608BB381" w14:textId="77777777" w:rsidR="00EC2C27" w:rsidRPr="00C71FDA" w:rsidRDefault="00EC2C27" w:rsidP="00EC2C27">
            <w:pPr>
              <w:pStyle w:val="ActionTable"/>
              <w:numPr>
                <w:ilvl w:val="0"/>
                <w:numId w:val="17"/>
              </w:numPr>
              <w:spacing w:before="60" w:after="60"/>
              <w:ind w:left="268" w:hanging="268"/>
              <w:jc w:val="left"/>
              <w:rPr>
                <w:color w:val="000000"/>
                <w:sz w:val="18"/>
                <w:lang w:val="en-US"/>
              </w:rPr>
            </w:pPr>
            <w:r w:rsidRPr="00C71FDA">
              <w:rPr>
                <w:sz w:val="18"/>
                <w:lang w:val="en-US"/>
              </w:rPr>
              <w:t>Promote regional data centres, their interoperability, where possible, synchronization of their data holdings, and the provision of data in their archives to global data centres.</w:t>
            </w:r>
          </w:p>
        </w:tc>
      </w:tr>
    </w:tbl>
    <w:p w14:paraId="52916886" w14:textId="589D7FB5" w:rsidR="00E82853" w:rsidRDefault="00AA1D51" w:rsidP="00AA1D51">
      <w:pPr>
        <w:pStyle w:val="COI"/>
        <w:rPr>
          <w:lang w:val="en-US"/>
        </w:rPr>
      </w:pPr>
      <w:r>
        <w:t xml:space="preserve">Details on the issues, benefits and means of assessing progress for these activities are in </w:t>
      </w:r>
      <w:hyperlink r:id="rId18" w:history="1">
        <w:r w:rsidRPr="00AA1D51">
          <w:rPr>
            <w:rStyle w:val="Hyperlink"/>
            <w:rFonts w:cs="Arial"/>
            <w:sz w:val="20"/>
            <w:szCs w:val="20"/>
          </w:rPr>
          <w:t>GCOS-244</w:t>
        </w:r>
      </w:hyperlink>
      <w:r>
        <w:rPr>
          <w:rFonts w:cs="Arial"/>
          <w:color w:val="000000"/>
          <w:sz w:val="20"/>
          <w:szCs w:val="20"/>
        </w:rPr>
        <w:t>.</w:t>
      </w:r>
    </w:p>
    <w:p w14:paraId="30DF8D4A" w14:textId="21E4847B" w:rsidR="00E82853" w:rsidRPr="00F524DB" w:rsidRDefault="005836C8" w:rsidP="00F524DB">
      <w:pPr>
        <w:pStyle w:val="Heading3"/>
      </w:pPr>
      <w:r w:rsidRPr="00F524DB">
        <w:t xml:space="preserve">Theme E: Engaging with </w:t>
      </w:r>
      <w:proofErr w:type="gramStart"/>
      <w:r w:rsidRPr="00F524DB">
        <w:t>countries</w:t>
      </w:r>
      <w:proofErr w:type="gramEnd"/>
    </w:p>
    <w:p w14:paraId="7549CBB7" w14:textId="77777777" w:rsidR="005836C8" w:rsidRDefault="005836C8" w:rsidP="00AA1D51">
      <w:pPr>
        <w:pStyle w:val="COI"/>
        <w:rPr>
          <w:lang w:val="en-US"/>
        </w:rPr>
      </w:pPr>
      <w:r w:rsidRPr="00216A3B">
        <w:rPr>
          <w:lang w:val="en-US"/>
        </w:rPr>
        <w:t xml:space="preserve">Many climate observations are made by national </w:t>
      </w:r>
      <w:proofErr w:type="gramStart"/>
      <w:r w:rsidRPr="00216A3B">
        <w:rPr>
          <w:lang w:val="en-US"/>
        </w:rPr>
        <w:t>bodies,</w:t>
      </w:r>
      <w:proofErr w:type="gramEnd"/>
      <w:r w:rsidRPr="00216A3B">
        <w:rPr>
          <w:lang w:val="en-US"/>
        </w:rPr>
        <w:t xml:space="preserve"> however these efforts need support and coordination. Some countries have national programmes that need to be connected regionally and globally to share and communicate issues and solutions. GCOS can help by linking these national efforts into the global system, providing information on observing needs, promoting needs for support and access to global information.</w:t>
      </w:r>
      <w:r>
        <w:rPr>
          <w:lang w:val="en-US"/>
        </w:rPr>
        <w:t xml:space="preserve"> </w:t>
      </w:r>
      <w:r w:rsidRPr="00216A3B">
        <w:rPr>
          <w:lang w:val="en-US"/>
        </w:rPr>
        <w:t>Some national GCOS systems can also fill gaps in the global system, for example by providing support for regional and global data centres.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1"/>
      </w:tblGrid>
      <w:tr w:rsidR="005836C8" w:rsidRPr="003F22B4" w14:paraId="3DD45944" w14:textId="77777777" w:rsidTr="00545534">
        <w:tc>
          <w:tcPr>
            <w:tcW w:w="5000" w:type="pct"/>
            <w:gridSpan w:val="2"/>
            <w:shd w:val="clear" w:color="auto" w:fill="DDF0C8"/>
          </w:tcPr>
          <w:p w14:paraId="08B90A7F" w14:textId="77777777" w:rsidR="005836C8" w:rsidRPr="003F22B4" w:rsidRDefault="005836C8" w:rsidP="00545534">
            <w:pPr>
              <w:pStyle w:val="TitleTable"/>
              <w:spacing w:before="60" w:after="60"/>
              <w:rPr>
                <w:szCs w:val="18"/>
              </w:rPr>
            </w:pPr>
            <w:r w:rsidRPr="003F22B4">
              <w:rPr>
                <w:szCs w:val="18"/>
              </w:rPr>
              <w:t>Action E1: Foster regional engagement in GCOS</w:t>
            </w:r>
          </w:p>
        </w:tc>
      </w:tr>
      <w:tr w:rsidR="005836C8" w:rsidRPr="00C71FDA" w14:paraId="1D7D339F" w14:textId="77777777" w:rsidTr="00545534">
        <w:tc>
          <w:tcPr>
            <w:tcW w:w="907" w:type="pct"/>
            <w:shd w:val="clear" w:color="auto" w:fill="auto"/>
          </w:tcPr>
          <w:p w14:paraId="16716936" w14:textId="77777777" w:rsidR="005836C8" w:rsidRPr="004C7E75" w:rsidRDefault="005836C8" w:rsidP="00545534">
            <w:pPr>
              <w:pStyle w:val="ActionTable"/>
              <w:spacing w:before="60"/>
              <w:jc w:val="left"/>
              <w:rPr>
                <w:b/>
                <w:bCs/>
                <w:sz w:val="18"/>
              </w:rPr>
            </w:pPr>
            <w:r w:rsidRPr="004C7E75">
              <w:rPr>
                <w:b/>
                <w:bCs/>
                <w:sz w:val="18"/>
              </w:rPr>
              <w:t>Activities</w:t>
            </w:r>
          </w:p>
        </w:tc>
        <w:tc>
          <w:tcPr>
            <w:tcW w:w="4093" w:type="pct"/>
            <w:shd w:val="clear" w:color="auto" w:fill="auto"/>
          </w:tcPr>
          <w:p w14:paraId="17DDF87D" w14:textId="77777777" w:rsidR="005836C8" w:rsidRPr="00C71FDA" w:rsidRDefault="005836C8" w:rsidP="005836C8">
            <w:pPr>
              <w:pStyle w:val="ActionTable"/>
              <w:numPr>
                <w:ilvl w:val="0"/>
                <w:numId w:val="20"/>
              </w:numPr>
              <w:spacing w:before="60" w:after="60"/>
              <w:ind w:left="268" w:hanging="268"/>
              <w:jc w:val="left"/>
              <w:rPr>
                <w:sz w:val="18"/>
              </w:rPr>
            </w:pPr>
            <w:r w:rsidRPr="00C71FDA">
              <w:rPr>
                <w:sz w:val="18"/>
              </w:rPr>
              <w:t>Undertake at least one regional GCOS Workshop each year.</w:t>
            </w:r>
          </w:p>
          <w:p w14:paraId="39928BE8" w14:textId="77777777" w:rsidR="005836C8" w:rsidRPr="00C71FDA" w:rsidRDefault="005836C8" w:rsidP="005836C8">
            <w:pPr>
              <w:pStyle w:val="ActionTable"/>
              <w:numPr>
                <w:ilvl w:val="0"/>
                <w:numId w:val="21"/>
              </w:numPr>
              <w:spacing w:before="60" w:after="60"/>
              <w:jc w:val="left"/>
              <w:rPr>
                <w:sz w:val="18"/>
              </w:rPr>
            </w:pPr>
            <w:r w:rsidRPr="00C71FDA">
              <w:rPr>
                <w:sz w:val="18"/>
              </w:rPr>
              <w:t xml:space="preserve">Promote the benefits of coordination of climate observations (in situ and satellite) and GCOS programs. </w:t>
            </w:r>
          </w:p>
          <w:p w14:paraId="460E1B79" w14:textId="77777777" w:rsidR="005836C8" w:rsidRPr="00C71FDA" w:rsidRDefault="005836C8" w:rsidP="005836C8">
            <w:pPr>
              <w:pStyle w:val="ActionTable"/>
              <w:numPr>
                <w:ilvl w:val="0"/>
                <w:numId w:val="21"/>
              </w:numPr>
              <w:spacing w:before="60" w:after="60"/>
              <w:jc w:val="left"/>
              <w:rPr>
                <w:sz w:val="18"/>
              </w:rPr>
            </w:pPr>
            <w:r w:rsidRPr="00C71FDA">
              <w:rPr>
                <w:sz w:val="18"/>
              </w:rPr>
              <w:t>Explore regional issues, gaps and needs and develop plans to address them.</w:t>
            </w:r>
          </w:p>
          <w:p w14:paraId="2640C2C8" w14:textId="77777777" w:rsidR="005836C8" w:rsidRPr="00C71FDA" w:rsidRDefault="005836C8" w:rsidP="005836C8">
            <w:pPr>
              <w:pStyle w:val="ActionTable"/>
              <w:numPr>
                <w:ilvl w:val="0"/>
                <w:numId w:val="20"/>
              </w:numPr>
              <w:spacing w:before="60" w:after="60"/>
              <w:ind w:left="268" w:hanging="268"/>
              <w:jc w:val="left"/>
              <w:rPr>
                <w:sz w:val="18"/>
              </w:rPr>
            </w:pPr>
            <w:r w:rsidRPr="00C71FDA">
              <w:rPr>
                <w:sz w:val="18"/>
              </w:rPr>
              <w:t>Report regional needs and issues to the UNFCCC, WMO and other relevant stakeholders.</w:t>
            </w:r>
          </w:p>
        </w:tc>
      </w:tr>
    </w:tbl>
    <w:p w14:paraId="04ECBA70" w14:textId="58907AC6" w:rsidR="005836C8" w:rsidRDefault="00AA1D51" w:rsidP="00AA1D51">
      <w:pPr>
        <w:pStyle w:val="COI"/>
        <w:rPr>
          <w:rFonts w:cs="Arial"/>
          <w:color w:val="000000"/>
        </w:rPr>
      </w:pPr>
      <w:r>
        <w:t xml:space="preserve">Details on the issues, benefits and means of assessing progress for these activities are in </w:t>
      </w:r>
      <w:hyperlink r:id="rId19" w:history="1">
        <w:r w:rsidRPr="00AA1D51">
          <w:rPr>
            <w:rStyle w:val="Hyperlink"/>
            <w:rFonts w:cs="Arial"/>
            <w:sz w:val="20"/>
            <w:szCs w:val="20"/>
          </w:rPr>
          <w:t>GCOS-244</w:t>
        </w:r>
      </w:hyperlink>
      <w:r>
        <w:rPr>
          <w:rFonts w:cs="Arial"/>
          <w:color w:val="000000"/>
          <w:sz w:val="20"/>
          <w:szCs w:val="20"/>
        </w:rPr>
        <w:t>.</w:t>
      </w:r>
    </w:p>
    <w:p w14:paraId="59BB81CC" w14:textId="2D226F12" w:rsidR="005836C8" w:rsidRPr="00F524DB" w:rsidRDefault="005836C8" w:rsidP="00F524DB">
      <w:pPr>
        <w:pStyle w:val="Heading3"/>
      </w:pPr>
      <w:r w:rsidRPr="005836C8">
        <w:t>Theme F: Other Emerging Needs</w:t>
      </w:r>
    </w:p>
    <w:p w14:paraId="2393D5CE" w14:textId="39C2DE4A" w:rsidR="005836C8" w:rsidRDefault="005836C8" w:rsidP="00AA1D51">
      <w:pPr>
        <w:pStyle w:val="COI"/>
        <w:rPr>
          <w:lang w:val="en-US" w:eastAsia="zh-CN"/>
        </w:rPr>
      </w:pPr>
      <w:r w:rsidRPr="00216A3B">
        <w:rPr>
          <w:lang w:val="en-US" w:eastAsia="zh-CN"/>
        </w:rPr>
        <w:t>As countries respond to the impacts of climate change</w:t>
      </w:r>
      <w:r>
        <w:rPr>
          <w:lang w:eastAsia="zh-CN"/>
        </w:rPr>
        <w:t>,</w:t>
      </w:r>
      <w:r w:rsidRPr="00216A3B">
        <w:rPr>
          <w:lang w:val="en-US" w:eastAsia="zh-CN"/>
        </w:rPr>
        <w:t xml:space="preserve"> they need data related to the specific areas impacting their countries. Many impacts are directly related to extremes, for example heatwaves, </w:t>
      </w:r>
      <w:proofErr w:type="gramStart"/>
      <w:r w:rsidRPr="00216A3B">
        <w:rPr>
          <w:lang w:val="en-US" w:eastAsia="zh-CN"/>
        </w:rPr>
        <w:t>flooding</w:t>
      </w:r>
      <w:proofErr w:type="gramEnd"/>
      <w:r w:rsidRPr="00216A3B">
        <w:rPr>
          <w:lang w:val="en-US" w:eastAsia="zh-CN"/>
        </w:rPr>
        <w:t xml:space="preserve"> and droughts. While work continues to identify how the global system can support these national and local needs, some requirements are already evident. Many users will not use the observed data directly, but rather use reanalysis products. Observing in areas of interest, at relevant resolutions will greatly improve reanalysis. This theme addresses some of these needs ranging from higher resolution data (both spatial and temporal) to monitor extremes, to monitoring of areas of specific concern where impacts on humans are at their greatest: coastal and urban areas. GCOS will continue to identify the needs of adaptation and supporting the Paris Agreement: this theme just addresses actions that have already been identified and can be started in the lifetime of this plan, 5</w:t>
      </w:r>
      <w:r w:rsidR="00AA1D51">
        <w:rPr>
          <w:lang w:val="en-US" w:eastAsia="zh-CN"/>
        </w:rPr>
        <w:t>–</w:t>
      </w:r>
      <w:r w:rsidRPr="00216A3B">
        <w:rPr>
          <w:lang w:val="en-US" w:eastAsia="zh-CN"/>
        </w:rPr>
        <w:t>10 years.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121"/>
        <w:gridCol w:w="8507"/>
      </w:tblGrid>
      <w:tr w:rsidR="005836C8" w:rsidRPr="003F22B4" w14:paraId="2F7C28B8" w14:textId="77777777" w:rsidTr="00545534">
        <w:tc>
          <w:tcPr>
            <w:tcW w:w="5000" w:type="pct"/>
            <w:gridSpan w:val="2"/>
            <w:shd w:val="clear" w:color="auto" w:fill="DDF0C8"/>
          </w:tcPr>
          <w:p w14:paraId="519DD834" w14:textId="77777777" w:rsidR="005836C8" w:rsidRPr="003F22B4" w:rsidRDefault="005836C8" w:rsidP="00545534">
            <w:pPr>
              <w:pStyle w:val="TitleTable"/>
              <w:spacing w:before="60" w:after="60"/>
              <w:rPr>
                <w:szCs w:val="18"/>
              </w:rPr>
            </w:pPr>
            <w:r w:rsidRPr="003F22B4">
              <w:rPr>
                <w:szCs w:val="18"/>
              </w:rPr>
              <w:t>Action F3: Improve monitoring of coastal and Exclusive Economic Zones</w:t>
            </w:r>
          </w:p>
        </w:tc>
      </w:tr>
      <w:tr w:rsidR="005836C8" w:rsidRPr="00C71FDA" w14:paraId="0468DF60" w14:textId="77777777" w:rsidTr="00545534">
        <w:tc>
          <w:tcPr>
            <w:tcW w:w="582" w:type="pct"/>
            <w:shd w:val="clear" w:color="auto" w:fill="auto"/>
            <w:textDirection w:val="btLr"/>
          </w:tcPr>
          <w:p w14:paraId="4932EEEA" w14:textId="77777777" w:rsidR="005836C8" w:rsidRPr="00A37E54" w:rsidRDefault="005836C8" w:rsidP="00545534">
            <w:pPr>
              <w:pStyle w:val="ActionTable"/>
              <w:spacing w:before="60"/>
              <w:jc w:val="center"/>
              <w:rPr>
                <w:b/>
                <w:bCs/>
                <w:sz w:val="18"/>
              </w:rPr>
            </w:pPr>
            <w:r w:rsidRPr="00C71FDA">
              <w:rPr>
                <w:rFonts w:eastAsia="Times New Roman"/>
                <w:b/>
                <w:bCs/>
                <w:sz w:val="18"/>
              </w:rPr>
              <w:t>Activities</w:t>
            </w:r>
          </w:p>
        </w:tc>
        <w:tc>
          <w:tcPr>
            <w:tcW w:w="4418" w:type="pct"/>
            <w:shd w:val="clear" w:color="auto" w:fill="auto"/>
          </w:tcPr>
          <w:p w14:paraId="42045934" w14:textId="77777777" w:rsidR="005836C8" w:rsidRPr="00C71FDA" w:rsidRDefault="005836C8" w:rsidP="005836C8">
            <w:pPr>
              <w:pStyle w:val="ActionTable"/>
              <w:numPr>
                <w:ilvl w:val="0"/>
                <w:numId w:val="22"/>
              </w:numPr>
              <w:spacing w:before="60" w:after="60"/>
              <w:ind w:left="268" w:hanging="284"/>
              <w:jc w:val="left"/>
              <w:rPr>
                <w:sz w:val="18"/>
              </w:rPr>
            </w:pPr>
            <w:r w:rsidRPr="00C71FDA">
              <w:rPr>
                <w:sz w:val="18"/>
              </w:rPr>
              <w:t>Expand global ocean climate in situ observations and satellite products into Exclusive Economic Zones (EEZs) and coastal zones.</w:t>
            </w:r>
          </w:p>
          <w:p w14:paraId="3BDF03B2" w14:textId="77777777" w:rsidR="005836C8" w:rsidRPr="00C71FDA" w:rsidRDefault="005836C8" w:rsidP="005836C8">
            <w:pPr>
              <w:pStyle w:val="ActionTable"/>
              <w:numPr>
                <w:ilvl w:val="0"/>
                <w:numId w:val="22"/>
              </w:numPr>
              <w:spacing w:before="60" w:after="60"/>
              <w:ind w:left="268" w:hanging="284"/>
              <w:jc w:val="left"/>
              <w:rPr>
                <w:sz w:val="18"/>
              </w:rPr>
            </w:pPr>
            <w:r w:rsidRPr="00C71FDA">
              <w:rPr>
                <w:sz w:val="18"/>
              </w:rPr>
              <w:t>Develop new satellite-based products for coastal biogeochemistry.</w:t>
            </w:r>
          </w:p>
          <w:p w14:paraId="759D9B67" w14:textId="77777777" w:rsidR="005836C8" w:rsidRPr="00C71FDA" w:rsidRDefault="005836C8" w:rsidP="005836C8">
            <w:pPr>
              <w:pStyle w:val="ActionTable"/>
              <w:numPr>
                <w:ilvl w:val="0"/>
                <w:numId w:val="22"/>
              </w:numPr>
              <w:spacing w:before="60" w:after="60"/>
              <w:ind w:left="268" w:hanging="284"/>
              <w:jc w:val="left"/>
              <w:rPr>
                <w:sz w:val="18"/>
              </w:rPr>
            </w:pPr>
            <w:r w:rsidRPr="00C71FDA">
              <w:rPr>
                <w:sz w:val="18"/>
              </w:rPr>
              <w:t>Produce land cover datasets in coastal areas without land surface masks and in near real time, including uncertainties.</w:t>
            </w:r>
          </w:p>
          <w:p w14:paraId="3A5FB328" w14:textId="77777777" w:rsidR="005836C8" w:rsidRPr="00C71FDA" w:rsidRDefault="005836C8" w:rsidP="005836C8">
            <w:pPr>
              <w:pStyle w:val="ActionTable"/>
              <w:numPr>
                <w:ilvl w:val="0"/>
                <w:numId w:val="22"/>
              </w:numPr>
              <w:spacing w:before="60" w:after="60"/>
              <w:ind w:left="268" w:hanging="284"/>
              <w:jc w:val="left"/>
              <w:rPr>
                <w:sz w:val="18"/>
              </w:rPr>
            </w:pPr>
            <w:r w:rsidRPr="00C71FDA">
              <w:rPr>
                <w:sz w:val="18"/>
              </w:rPr>
              <w:lastRenderedPageBreak/>
              <w:t>Improve national coastal and EEZ data collection, data processing, uncertainty evaluation and data curation by improving access to equipment and ensuring local practices are consistent with the global guidelines and best practices.</w:t>
            </w:r>
          </w:p>
        </w:tc>
      </w:tr>
    </w:tbl>
    <w:p w14:paraId="4E75DDC5" w14:textId="29556FE1" w:rsidR="005836C8" w:rsidRDefault="00AA1D51" w:rsidP="00AA1D51">
      <w:pPr>
        <w:pStyle w:val="COI"/>
        <w:rPr>
          <w:rFonts w:cs="Arial"/>
          <w:color w:val="000000"/>
        </w:rPr>
      </w:pPr>
      <w:r>
        <w:lastRenderedPageBreak/>
        <w:t xml:space="preserve">Details on the issues, benefits and means of assessing progress for these activities are in </w:t>
      </w:r>
      <w:hyperlink r:id="rId20" w:history="1">
        <w:r w:rsidRPr="00AA1D51">
          <w:rPr>
            <w:rStyle w:val="Hyperlink"/>
            <w:rFonts w:cs="Arial"/>
            <w:sz w:val="20"/>
            <w:szCs w:val="20"/>
          </w:rPr>
          <w:t>GCOS-244</w:t>
        </w:r>
      </w:hyperlink>
      <w:r>
        <w:rPr>
          <w:rFonts w:cs="Arial"/>
          <w:color w:val="000000"/>
          <w:sz w:val="20"/>
          <w:szCs w:val="20"/>
        </w:rPr>
        <w:t>.</w:t>
      </w:r>
    </w:p>
    <w:p w14:paraId="4A73BE4A" w14:textId="77777777" w:rsidR="00853565" w:rsidRPr="00853565" w:rsidRDefault="00853565" w:rsidP="00AA1D51">
      <w:pPr>
        <w:pStyle w:val="Heading3"/>
      </w:pPr>
      <w:r w:rsidRPr="009026D3">
        <w:t>Financial and administrative implications</w:t>
      </w:r>
    </w:p>
    <w:p w14:paraId="43F83DE3" w14:textId="0984B73D" w:rsidR="00C3684D" w:rsidRPr="005836C8" w:rsidRDefault="005836C8" w:rsidP="00AA1D51">
      <w:pPr>
        <w:pStyle w:val="COI"/>
        <w:rPr>
          <w:lang w:val="en-US"/>
        </w:rPr>
      </w:pPr>
      <w:r w:rsidRPr="00467E3F">
        <w:t>There are no financial and administrative implications</w:t>
      </w:r>
      <w:r>
        <w:rPr>
          <w:lang w:val="en-US"/>
        </w:rPr>
        <w:t>.</w:t>
      </w:r>
    </w:p>
    <w:sectPr w:rsidR="00C3684D" w:rsidRPr="005836C8" w:rsidSect="003F7186">
      <w:headerReference w:type="even" r:id="rId21"/>
      <w:headerReference w:type="default" r:id="rId22"/>
      <w:headerReference w:type="first" r:id="rId23"/>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2477" w14:textId="77777777" w:rsidR="00D51956" w:rsidRDefault="00D51956">
      <w:r>
        <w:separator/>
      </w:r>
    </w:p>
  </w:endnote>
  <w:endnote w:type="continuationSeparator" w:id="0">
    <w:p w14:paraId="29AE7D78" w14:textId="77777777" w:rsidR="00D51956" w:rsidRDefault="00D5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915D" w14:textId="77777777" w:rsidR="00D51956" w:rsidRDefault="00D51956">
      <w:r>
        <w:separator/>
      </w:r>
    </w:p>
  </w:footnote>
  <w:footnote w:type="continuationSeparator" w:id="0">
    <w:p w14:paraId="14819931" w14:textId="77777777" w:rsidR="00D51956" w:rsidRDefault="00D51956">
      <w:r>
        <w:continuationSeparator/>
      </w:r>
    </w:p>
  </w:footnote>
  <w:footnote w:id="1">
    <w:p w14:paraId="35702A32" w14:textId="77777777" w:rsidR="00EC2C27" w:rsidRPr="00EC2C27" w:rsidRDefault="00EC2C27" w:rsidP="00EC2C27">
      <w:pPr>
        <w:pStyle w:val="FootnoteText"/>
        <w:tabs>
          <w:tab w:val="left" w:pos="284"/>
        </w:tabs>
        <w:ind w:left="0" w:firstLine="0"/>
        <w:rPr>
          <w:rFonts w:cs="Arial"/>
        </w:rPr>
      </w:pPr>
      <w:r w:rsidRPr="00EC2C27">
        <w:rPr>
          <w:rStyle w:val="FootnoteReference"/>
          <w:rFonts w:eastAsia="Verdana" w:cs="Arial"/>
        </w:rPr>
        <w:footnoteRef/>
      </w:r>
      <w:r w:rsidRPr="00EC2C27">
        <w:rPr>
          <w:rFonts w:eastAsia="Verdana" w:cs="Arial"/>
        </w:rPr>
        <w:t xml:space="preserve"> </w:t>
      </w:r>
      <w:r w:rsidRPr="00EC2C27">
        <w:rPr>
          <w:rFonts w:cs="Arial"/>
        </w:rPr>
        <w:tab/>
      </w:r>
      <w:r w:rsidRPr="00EC2C27">
        <w:rPr>
          <w:rFonts w:eastAsia="Verdana" w:cs="Arial"/>
        </w:rPr>
        <w:t xml:space="preserve">Lin, D., J. Crabtree, I. </w:t>
      </w:r>
      <w:proofErr w:type="spellStart"/>
      <w:r w:rsidRPr="00EC2C27">
        <w:rPr>
          <w:rFonts w:eastAsia="Verdana" w:cs="Arial"/>
        </w:rPr>
        <w:t>Dillo</w:t>
      </w:r>
      <w:proofErr w:type="spellEnd"/>
      <w:r w:rsidRPr="00EC2C27">
        <w:rPr>
          <w:rFonts w:eastAsia="Verdana" w:cs="Arial"/>
        </w:rPr>
        <w:t>, et al., 2020: The TRUST Principles for digital repositories. Sci Data 7, 144, DOI:10.1038/s41597-020-0486-7</w:t>
      </w:r>
    </w:p>
  </w:footnote>
  <w:footnote w:id="2">
    <w:p w14:paraId="2B0FA1DF" w14:textId="77777777" w:rsidR="00EC2C27" w:rsidRPr="00E368AE" w:rsidRDefault="00EC2C27" w:rsidP="00EC2C27">
      <w:pPr>
        <w:pStyle w:val="FootnoteText"/>
        <w:tabs>
          <w:tab w:val="left" w:pos="284"/>
        </w:tabs>
        <w:ind w:left="0" w:firstLine="0"/>
        <w:rPr>
          <w:rFonts w:eastAsia="Verdana" w:cs="Verdana"/>
          <w:sz w:val="16"/>
          <w:szCs w:val="16"/>
        </w:rPr>
      </w:pPr>
      <w:r w:rsidRPr="00EC2C27">
        <w:rPr>
          <w:rStyle w:val="FootnoteReference"/>
          <w:rFonts w:eastAsia="Verdana" w:cs="Arial"/>
        </w:rPr>
        <w:footnoteRef/>
      </w:r>
      <w:r w:rsidRPr="00EC2C27">
        <w:rPr>
          <w:rFonts w:eastAsia="Verdana" w:cs="Arial"/>
        </w:rPr>
        <w:t xml:space="preserve"> </w:t>
      </w:r>
      <w:r w:rsidRPr="00EC2C27">
        <w:rPr>
          <w:rFonts w:cs="Arial"/>
        </w:rPr>
        <w:tab/>
      </w:r>
      <w:r w:rsidRPr="00EC2C27">
        <w:rPr>
          <w:rFonts w:eastAsia="Verdana" w:cs="Arial"/>
        </w:rPr>
        <w:t>Wilkinson, M.D., et al., 2016: The FAIR guiding principles for scientific data management and stewardship. Scientific Data, 3, DOI:10.1038/sdata.2016.18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C4C0" w14:textId="77777777" w:rsidR="00020AA1" w:rsidRPr="00C962F0" w:rsidRDefault="00020AA1">
    <w:pPr>
      <w:pStyle w:val="Header"/>
      <w:rPr>
        <w:szCs w:val="22"/>
      </w:rPr>
    </w:pPr>
    <w:r w:rsidRPr="00C962F0">
      <w:rPr>
        <w:szCs w:val="22"/>
      </w:rPr>
      <w:t>ICG/CARIBE-EWS II/WD </w:t>
    </w:r>
    <w:r w:rsidRPr="00C962F0">
      <w:rPr>
        <w:szCs w:val="22"/>
        <w:highlight w:val="cyan"/>
      </w:rPr>
      <w:t>__</w:t>
    </w:r>
  </w:p>
  <w:p w14:paraId="25ECBAB7" w14:textId="77777777" w:rsidR="00020AA1" w:rsidRPr="00C962F0" w:rsidRDefault="00020AA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D5BC" w14:textId="77777777" w:rsidR="00020AA1" w:rsidRPr="00746B89" w:rsidRDefault="00020AA1" w:rsidP="00DF2FB9">
    <w:pPr>
      <w:pStyle w:val="Header"/>
      <w:tabs>
        <w:tab w:val="clear" w:pos="8306"/>
      </w:tabs>
      <w:rPr>
        <w:szCs w:val="22"/>
      </w:rPr>
    </w:pPr>
    <w:r w:rsidRPr="00746B89">
      <w:rPr>
        <w:szCs w:val="22"/>
      </w:rPr>
      <w:t xml:space="preserve">IOC-XXIV/2 Annex </w:t>
    </w:r>
    <w:r w:rsidRPr="00746B89">
      <w:rPr>
        <w:szCs w:val="22"/>
        <w:highlight w:val="yellow"/>
      </w:rPr>
      <w:t>__</w:t>
    </w:r>
  </w:p>
  <w:p w14:paraId="4B98523B"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2D977F78"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2EB6" w14:textId="4274292C" w:rsidR="00B8392A" w:rsidRPr="007C710A" w:rsidRDefault="00B8392A" w:rsidP="00BE7722">
    <w:pPr>
      <w:pStyle w:val="Marge"/>
      <w:tabs>
        <w:tab w:val="left" w:pos="6237"/>
        <w:tab w:val="left" w:pos="7560"/>
      </w:tabs>
      <w:spacing w:after="0"/>
      <w:rPr>
        <w:rFonts w:cs="Arial"/>
        <w:b/>
        <w:szCs w:val="22"/>
      </w:rPr>
    </w:pPr>
    <w:r w:rsidRPr="007C710A">
      <w:rPr>
        <w:rFonts w:cs="Arial"/>
        <w:szCs w:val="22"/>
      </w:rPr>
      <w:t>Restricted Distribution</w:t>
    </w:r>
    <w:r w:rsidRPr="007C710A">
      <w:rPr>
        <w:rFonts w:cs="Arial"/>
        <w:szCs w:val="22"/>
      </w:rPr>
      <w:tab/>
    </w:r>
    <w:r w:rsidR="00BE7722" w:rsidRPr="00BE7722">
      <w:rPr>
        <w:rFonts w:cs="Arial"/>
        <w:b/>
        <w:sz w:val="36"/>
        <w:szCs w:val="36"/>
      </w:rPr>
      <w:t>IOC-32/4.</w:t>
    </w:r>
    <w:proofErr w:type="gramStart"/>
    <w:r w:rsidR="00BE7722" w:rsidRPr="00BE7722">
      <w:rPr>
        <w:rFonts w:cs="Arial"/>
        <w:b/>
        <w:sz w:val="36"/>
        <w:szCs w:val="36"/>
      </w:rPr>
      <w:t>10.Doc</w:t>
    </w:r>
    <w:proofErr w:type="gramEnd"/>
    <w:r w:rsidR="00BE7722" w:rsidRPr="00BE7722">
      <w:rPr>
        <w:rFonts w:cs="Arial"/>
        <w:b/>
        <w:sz w:val="36"/>
        <w:szCs w:val="36"/>
      </w:rPr>
      <w:t>(1)</w:t>
    </w:r>
  </w:p>
  <w:p w14:paraId="2DD4DF53" w14:textId="2E0443BC" w:rsidR="00B8392A" w:rsidRPr="007C710A" w:rsidRDefault="00B8392A" w:rsidP="00BE7722">
    <w:pPr>
      <w:tabs>
        <w:tab w:val="clear" w:pos="567"/>
        <w:tab w:val="left" w:pos="6237"/>
        <w:tab w:val="left" w:pos="7560"/>
      </w:tabs>
      <w:jc w:val="both"/>
      <w:rPr>
        <w:rFonts w:cs="Arial"/>
        <w:szCs w:val="22"/>
      </w:rPr>
    </w:pPr>
    <w:r>
      <w:rPr>
        <w:noProof/>
      </w:rPr>
      <w:drawing>
        <wp:anchor distT="0" distB="0" distL="114300" distR="114300" simplePos="0" relativeHeight="251659264" behindDoc="0" locked="0" layoutInCell="1" allowOverlap="1" wp14:anchorId="3CA45A40" wp14:editId="6A8F6CBD">
          <wp:simplePos x="0" y="0"/>
          <wp:positionH relativeFrom="column">
            <wp:posOffset>-124460</wp:posOffset>
          </wp:positionH>
          <wp:positionV relativeFrom="paragraph">
            <wp:posOffset>101600</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2"/>
      </w:rPr>
      <w:tab/>
    </w:r>
    <w:r w:rsidRPr="007C710A">
      <w:rPr>
        <w:rFonts w:cs="Arial"/>
        <w:szCs w:val="22"/>
      </w:rPr>
      <w:t xml:space="preserve">Paris, </w:t>
    </w:r>
    <w:r w:rsidR="00BE7722">
      <w:rPr>
        <w:rFonts w:cs="Arial"/>
        <w:szCs w:val="22"/>
      </w:rPr>
      <w:t>23 May</w:t>
    </w:r>
    <w:r>
      <w:rPr>
        <w:rFonts w:cs="Arial"/>
        <w:szCs w:val="22"/>
      </w:rPr>
      <w:t xml:space="preserve"> 2023</w:t>
    </w:r>
  </w:p>
  <w:p w14:paraId="5A883982" w14:textId="77777777" w:rsidR="00B8392A" w:rsidRPr="007C710A" w:rsidRDefault="00B8392A" w:rsidP="00BE7722">
    <w:pPr>
      <w:tabs>
        <w:tab w:val="clear" w:pos="567"/>
        <w:tab w:val="left" w:pos="6237"/>
        <w:tab w:val="left" w:pos="7560"/>
      </w:tabs>
      <w:jc w:val="both"/>
      <w:rPr>
        <w:rFonts w:cs="Arial"/>
        <w:szCs w:val="22"/>
      </w:rPr>
    </w:pPr>
    <w:r w:rsidRPr="007C710A">
      <w:rPr>
        <w:rFonts w:cs="Arial"/>
        <w:b/>
        <w:szCs w:val="22"/>
      </w:rPr>
      <w:tab/>
    </w:r>
    <w:r w:rsidRPr="007C710A">
      <w:rPr>
        <w:rFonts w:cs="Arial"/>
        <w:szCs w:val="22"/>
      </w:rPr>
      <w:t>Original: English</w:t>
    </w:r>
  </w:p>
  <w:p w14:paraId="37131F92" w14:textId="77777777" w:rsidR="00B8392A" w:rsidRPr="005E544C"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rPr>
    </w:pPr>
  </w:p>
  <w:p w14:paraId="73AEFABA"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1AD5B7D8"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13FAA021"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10DDD07B"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2893C4E5"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47F5403C"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r w:rsidRPr="00423BDE">
      <w:rPr>
        <w:rFonts w:cs="Arial"/>
        <w:b/>
        <w:szCs w:val="22"/>
      </w:rPr>
      <w:t>INTERGOVERNMENTAL OCEANOGRAPHIC COMMISSION</w:t>
    </w:r>
  </w:p>
  <w:p w14:paraId="26AE1CBC"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rPr>
    </w:pPr>
    <w:r w:rsidRPr="00423BDE">
      <w:rPr>
        <w:rFonts w:cs="Arial"/>
        <w:bCs/>
        <w:szCs w:val="22"/>
      </w:rPr>
      <w:t>(</w:t>
    </w:r>
    <w:proofErr w:type="gramStart"/>
    <w:r w:rsidRPr="00423BDE">
      <w:rPr>
        <w:rFonts w:cs="Arial"/>
        <w:bCs/>
        <w:szCs w:val="22"/>
      </w:rPr>
      <w:t>of</w:t>
    </w:r>
    <w:proofErr w:type="gramEnd"/>
    <w:r w:rsidRPr="00423BDE">
      <w:rPr>
        <w:rFonts w:cs="Arial"/>
        <w:bCs/>
        <w:szCs w:val="22"/>
      </w:rPr>
      <w:t xml:space="preserve"> UNESCO)</w:t>
    </w:r>
  </w:p>
  <w:p w14:paraId="00911119" w14:textId="77777777" w:rsidR="00B8392A" w:rsidRPr="00423BDE"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5849936B"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rPr>
    </w:pPr>
    <w:r w:rsidRPr="009F24D8">
      <w:rPr>
        <w:rFonts w:cs="Arial"/>
        <w:b/>
      </w:rPr>
      <w:t>Thirt</w:t>
    </w:r>
    <w:r>
      <w:rPr>
        <w:rFonts w:cs="Arial"/>
        <w:b/>
      </w:rPr>
      <w:t xml:space="preserve">y-second </w:t>
    </w:r>
    <w:r w:rsidRPr="009F24D8">
      <w:rPr>
        <w:rFonts w:cs="Arial"/>
        <w:b/>
      </w:rPr>
      <w:t>Session of the Assembly</w:t>
    </w:r>
  </w:p>
  <w:p w14:paraId="19A95793"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rPr>
    </w:pPr>
    <w:r w:rsidRPr="009F24D8">
      <w:rPr>
        <w:rFonts w:cs="Arial"/>
      </w:rPr>
      <w:t xml:space="preserve">UNESCO, </w:t>
    </w:r>
    <w:r>
      <w:rPr>
        <w:rFonts w:cs="Arial"/>
      </w:rPr>
      <w:t xml:space="preserve">21–30 </w:t>
    </w:r>
    <w:r w:rsidRPr="009F24D8">
      <w:rPr>
        <w:rFonts w:cs="Arial"/>
      </w:rPr>
      <w:t>June 20</w:t>
    </w:r>
    <w:r>
      <w:rPr>
        <w:rFonts w:cs="Arial"/>
      </w:rPr>
      <w:t>23</w:t>
    </w:r>
  </w:p>
  <w:p w14:paraId="10917055" w14:textId="77777777" w:rsidR="00B8392A" w:rsidRPr="00423BDE"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368F1CC2" w14:textId="77777777" w:rsidR="00B8392A" w:rsidRPr="00423BDE" w:rsidRDefault="00B8392A" w:rsidP="00B8392A">
    <w:pPr>
      <w:jc w:val="center"/>
      <w:rPr>
        <w:rFonts w:cs="Arial"/>
        <w:szCs w:val="22"/>
      </w:rPr>
    </w:pPr>
  </w:p>
  <w:p w14:paraId="2B4F1AF1" w14:textId="77777777" w:rsidR="00B8392A" w:rsidRDefault="00B8392A" w:rsidP="00B8392A">
    <w:pPr>
      <w:jc w:val="center"/>
      <w:rPr>
        <w:rFonts w:cs="Arial"/>
        <w:szCs w:val="22"/>
      </w:rPr>
    </w:pPr>
  </w:p>
  <w:p w14:paraId="14C94893" w14:textId="77777777" w:rsidR="00B8392A" w:rsidRDefault="00B8392A" w:rsidP="00B8392A">
    <w:pPr>
      <w:jc w:val="center"/>
      <w:rPr>
        <w:rFonts w:cs="Arial"/>
        <w:szCs w:val="22"/>
      </w:rPr>
    </w:pPr>
  </w:p>
  <w:p w14:paraId="08F1EBA6" w14:textId="77777777" w:rsidR="00B8392A" w:rsidRDefault="00B8392A" w:rsidP="00B8392A">
    <w:pPr>
      <w:jc w:val="center"/>
      <w:rPr>
        <w:rFonts w:cs="Arial"/>
        <w:szCs w:val="22"/>
      </w:rPr>
    </w:pPr>
  </w:p>
  <w:p w14:paraId="43E9F447" w14:textId="77777777" w:rsidR="00B8392A" w:rsidRPr="005E544C" w:rsidRDefault="00B8392A" w:rsidP="00B8392A">
    <w:pPr>
      <w:jc w:val="center"/>
      <w:rPr>
        <w:rFonts w:cs="Arial"/>
        <w:szCs w:val="22"/>
      </w:rPr>
    </w:pPr>
  </w:p>
  <w:p w14:paraId="014D31BF" w14:textId="265596CD" w:rsidR="00B8392A" w:rsidRPr="00BE7722" w:rsidRDefault="00B8392A" w:rsidP="00B8392A">
    <w:pPr>
      <w:pStyle w:val="Heading7"/>
      <w:tabs>
        <w:tab w:val="clear" w:pos="567"/>
        <w:tab w:val="right" w:pos="9540"/>
      </w:tabs>
      <w:rPr>
        <w:rFonts w:asciiTheme="minorBidi" w:hAnsiTheme="minorBidi" w:cstheme="minorBidi"/>
        <w:szCs w:val="22"/>
      </w:rPr>
    </w:pPr>
    <w:r w:rsidRPr="00BE7722">
      <w:rPr>
        <w:rFonts w:asciiTheme="minorBidi" w:hAnsiTheme="minorBidi" w:cstheme="minorBidi"/>
        <w:sz w:val="24"/>
      </w:rPr>
      <w:t xml:space="preserve">Item </w:t>
    </w:r>
    <w:r w:rsidR="00341B33" w:rsidRPr="00BE7722">
      <w:rPr>
        <w:rFonts w:asciiTheme="minorBidi" w:hAnsiTheme="minorBidi" w:cstheme="minorBidi"/>
        <w:b/>
        <w:bCs/>
        <w:sz w:val="24"/>
      </w:rPr>
      <w:t>4.10</w:t>
    </w:r>
    <w:r w:rsidRPr="00BE7722">
      <w:rPr>
        <w:rFonts w:asciiTheme="minorBidi" w:hAnsiTheme="minorBidi" w:cstheme="minorBidi"/>
        <w:sz w:val="24"/>
      </w:rPr>
      <w:t xml:space="preserve"> of the Provisional Agenda</w:t>
    </w:r>
  </w:p>
  <w:p w14:paraId="097A19B9" w14:textId="77777777" w:rsidR="00B8392A" w:rsidRPr="005E544C" w:rsidRDefault="00B8392A" w:rsidP="00B8392A">
    <w:pPr>
      <w:rPr>
        <w:rFonts w:cs="Arial"/>
        <w:szCs w:val="22"/>
      </w:rPr>
    </w:pPr>
  </w:p>
  <w:p w14:paraId="2C397D90" w14:textId="77777777" w:rsidR="00B8392A" w:rsidRPr="005E544C" w:rsidRDefault="00B8392A" w:rsidP="00B8392A">
    <w:pPr>
      <w:rPr>
        <w:rFonts w:cs="Arial"/>
        <w:szCs w:val="22"/>
      </w:rPr>
    </w:pPr>
  </w:p>
  <w:p w14:paraId="3492DADD" w14:textId="061C0C25" w:rsidR="00B8392A" w:rsidRPr="00BE7722" w:rsidRDefault="00341B33" w:rsidP="00B8392A">
    <w:pPr>
      <w:pStyle w:val="Docheading"/>
      <w:rPr>
        <w:sz w:val="32"/>
        <w:szCs w:val="32"/>
      </w:rPr>
    </w:pPr>
    <w:r w:rsidRPr="00BE7722">
      <w:rPr>
        <w:color w:val="000000"/>
      </w:rPr>
      <w:t xml:space="preserve">IOC Supplement to the Global Climate Observing System (GCOS) </w:t>
    </w:r>
    <w:r w:rsidR="00BE7722" w:rsidRPr="00BE7722">
      <w:rPr>
        <w:color w:val="000000"/>
      </w:rPr>
      <w:br/>
    </w:r>
    <w:r w:rsidRPr="00BE7722">
      <w:rPr>
        <w:color w:val="000000"/>
      </w:rPr>
      <w:t>Implementation Plan 2022</w:t>
    </w:r>
  </w:p>
  <w:p w14:paraId="00E30E71" w14:textId="77777777" w:rsidR="00020AA1" w:rsidRPr="00B8392A" w:rsidRDefault="00020AA1" w:rsidP="00B83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56CF" w14:textId="23F3A6B1" w:rsidR="00020AA1" w:rsidRPr="00BE7722" w:rsidRDefault="00BE7722" w:rsidP="00BE7722">
    <w:pPr>
      <w:pStyle w:val="Header"/>
      <w:tabs>
        <w:tab w:val="clear" w:pos="8306"/>
      </w:tabs>
      <w:rPr>
        <w:rFonts w:cs="Arial"/>
        <w:szCs w:val="22"/>
        <w:lang w:val="pt-PT"/>
      </w:rPr>
    </w:pPr>
    <w:r w:rsidRPr="00BE7722">
      <w:rPr>
        <w:rFonts w:cs="Arial"/>
        <w:szCs w:val="22"/>
        <w:lang w:val="pt-PT"/>
      </w:rPr>
      <w:t>IOC-32/4.</w:t>
    </w:r>
    <w:proofErr w:type="gramStart"/>
    <w:r w:rsidRPr="00BE7722">
      <w:rPr>
        <w:rFonts w:cs="Arial"/>
        <w:szCs w:val="22"/>
        <w:lang w:val="pt-PT"/>
      </w:rPr>
      <w:t>10.Doc</w:t>
    </w:r>
    <w:proofErr w:type="gramEnd"/>
    <w:r w:rsidRPr="00BE7722">
      <w:rPr>
        <w:rFonts w:cs="Arial"/>
        <w:szCs w:val="22"/>
        <w:lang w:val="pt-PT"/>
      </w:rPr>
      <w:t xml:space="preserve">(1) – </w:t>
    </w:r>
    <w:proofErr w:type="spellStart"/>
    <w:r w:rsidR="00003B31" w:rsidRPr="00BE7722">
      <w:rPr>
        <w:rFonts w:cs="Arial"/>
        <w:szCs w:val="22"/>
        <w:lang w:val="pt-PT"/>
      </w:rPr>
      <w:t>p</w:t>
    </w:r>
    <w:r w:rsidR="00020AA1" w:rsidRPr="00BE7722">
      <w:rPr>
        <w:rFonts w:cs="Arial"/>
        <w:szCs w:val="22"/>
        <w:lang w:val="pt-PT"/>
      </w:rPr>
      <w:t>age</w:t>
    </w:r>
    <w:proofErr w:type="spellEnd"/>
    <w:r w:rsidR="00020AA1" w:rsidRPr="00BE7722">
      <w:rPr>
        <w:rFonts w:cs="Arial"/>
        <w:szCs w:val="22"/>
        <w:lang w:val="pt-PT"/>
      </w:rPr>
      <w:t> </w:t>
    </w:r>
    <w:r w:rsidR="00020AA1" w:rsidRPr="00BE7722">
      <w:rPr>
        <w:rStyle w:val="PageNumber"/>
        <w:rFonts w:cs="Arial"/>
        <w:szCs w:val="22"/>
      </w:rPr>
      <w:fldChar w:fldCharType="begin"/>
    </w:r>
    <w:r w:rsidR="00020AA1" w:rsidRPr="00BE7722">
      <w:rPr>
        <w:rStyle w:val="PageNumber"/>
        <w:rFonts w:cs="Arial"/>
        <w:szCs w:val="22"/>
        <w:lang w:val="pt-PT"/>
      </w:rPr>
      <w:instrText xml:space="preserve"> PAGE </w:instrText>
    </w:r>
    <w:r w:rsidR="00020AA1" w:rsidRPr="00BE7722">
      <w:rPr>
        <w:rStyle w:val="PageNumber"/>
        <w:rFonts w:cs="Arial"/>
        <w:szCs w:val="22"/>
      </w:rPr>
      <w:fldChar w:fldCharType="separate"/>
    </w:r>
    <w:r w:rsidR="00056F67" w:rsidRPr="00BE7722">
      <w:rPr>
        <w:rStyle w:val="PageNumber"/>
        <w:rFonts w:cs="Arial"/>
        <w:noProof/>
        <w:szCs w:val="22"/>
        <w:lang w:val="pt-PT"/>
      </w:rPr>
      <w:t>2</w:t>
    </w:r>
    <w:r w:rsidR="00020AA1" w:rsidRPr="00BE7722">
      <w:rPr>
        <w:rStyle w:val="PageNumber"/>
        <w:rFonts w:cs="Arial"/>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E36C" w14:textId="4ED076EA" w:rsidR="00020AA1" w:rsidRPr="00BE7722" w:rsidRDefault="00BE7722" w:rsidP="007F1D1B">
    <w:pPr>
      <w:pStyle w:val="Header"/>
      <w:tabs>
        <w:tab w:val="clear" w:pos="8306"/>
      </w:tabs>
      <w:jc w:val="right"/>
      <w:rPr>
        <w:rFonts w:cs="Arial"/>
        <w:szCs w:val="22"/>
        <w:lang w:val="fr-FR"/>
      </w:rPr>
    </w:pPr>
    <w:r w:rsidRPr="00BE7722">
      <w:rPr>
        <w:rFonts w:cs="Arial"/>
        <w:szCs w:val="22"/>
        <w:lang w:val="pt-PT"/>
      </w:rPr>
      <w:t>IOC-32/4.</w:t>
    </w:r>
    <w:proofErr w:type="gramStart"/>
    <w:r w:rsidRPr="00BE7722">
      <w:rPr>
        <w:rFonts w:cs="Arial"/>
        <w:szCs w:val="22"/>
        <w:lang w:val="pt-PT"/>
      </w:rPr>
      <w:t>10.Doc</w:t>
    </w:r>
    <w:proofErr w:type="gramEnd"/>
    <w:r w:rsidRPr="00BE7722">
      <w:rPr>
        <w:rFonts w:cs="Arial"/>
        <w:szCs w:val="22"/>
        <w:lang w:val="pt-PT"/>
      </w:rPr>
      <w:t xml:space="preserve">(1) – </w:t>
    </w:r>
    <w:r w:rsidR="00003B31" w:rsidRPr="00BE7722">
      <w:rPr>
        <w:rFonts w:cs="Arial"/>
        <w:szCs w:val="22"/>
        <w:lang w:val="fr-FR"/>
      </w:rPr>
      <w:t>p</w:t>
    </w:r>
    <w:r w:rsidR="00020AA1" w:rsidRPr="00BE7722">
      <w:rPr>
        <w:rFonts w:cs="Arial"/>
        <w:szCs w:val="22"/>
        <w:lang w:val="fr-FR"/>
      </w:rPr>
      <w:t>age </w:t>
    </w:r>
    <w:r w:rsidR="00020AA1" w:rsidRPr="00BE7722">
      <w:rPr>
        <w:rStyle w:val="PageNumber"/>
        <w:rFonts w:cs="Arial"/>
        <w:szCs w:val="22"/>
      </w:rPr>
      <w:fldChar w:fldCharType="begin"/>
    </w:r>
    <w:r w:rsidR="00020AA1" w:rsidRPr="00BE7722">
      <w:rPr>
        <w:rStyle w:val="PageNumber"/>
        <w:rFonts w:cs="Arial"/>
        <w:szCs w:val="22"/>
        <w:lang w:val="fr-FR"/>
      </w:rPr>
      <w:instrText xml:space="preserve"> PAGE </w:instrText>
    </w:r>
    <w:r w:rsidR="00020AA1" w:rsidRPr="00BE7722">
      <w:rPr>
        <w:rStyle w:val="PageNumber"/>
        <w:rFonts w:cs="Arial"/>
        <w:szCs w:val="22"/>
      </w:rPr>
      <w:fldChar w:fldCharType="separate"/>
    </w:r>
    <w:r w:rsidR="00056F67" w:rsidRPr="00BE7722">
      <w:rPr>
        <w:rStyle w:val="PageNumber"/>
        <w:rFonts w:cs="Arial"/>
        <w:noProof/>
        <w:szCs w:val="22"/>
        <w:lang w:val="fr-FR"/>
      </w:rPr>
      <w:t>3</w:t>
    </w:r>
    <w:r w:rsidR="00020AA1" w:rsidRPr="00BE7722">
      <w:rPr>
        <w:rStyle w:val="PageNumber"/>
        <w:rFonts w:cs="Arial"/>
        <w:szCs w:val="22"/>
      </w:rPr>
      <w:fldChar w:fldCharType="end"/>
    </w:r>
  </w:p>
  <w:p w14:paraId="18E38E16" w14:textId="77777777" w:rsidR="00020AA1" w:rsidRPr="00003B31" w:rsidRDefault="00020AA1" w:rsidP="00BE7722">
    <w:pPr>
      <w:pStyle w:val="Header"/>
      <w:rPr>
        <w:rFonts w:cs="Arial"/>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7C58" w14:textId="56C6850F" w:rsidR="00020AA1" w:rsidRPr="007F1D1B" w:rsidRDefault="00020AA1" w:rsidP="00294AD5">
    <w:pPr>
      <w:pStyle w:val="Header"/>
      <w:jc w:val="right"/>
      <w:rPr>
        <w:rFonts w:cs="Arial"/>
        <w:szCs w:val="22"/>
        <w:lang w:val="pt-PT"/>
      </w:rPr>
    </w:pPr>
    <w:r w:rsidRPr="007F1D1B">
      <w:rPr>
        <w:rFonts w:cs="Arial"/>
        <w:szCs w:val="22"/>
        <w:lang w:val="pt-PT"/>
      </w:rPr>
      <w:t>IOC</w:t>
    </w:r>
    <w:r w:rsidR="00B8392A" w:rsidRPr="007F1D1B">
      <w:rPr>
        <w:rFonts w:cs="Arial"/>
        <w:szCs w:val="22"/>
        <w:lang w:val="pt-PT"/>
      </w:rPr>
      <w:t>-32</w:t>
    </w:r>
    <w:r w:rsidR="00003B31" w:rsidRPr="007F1D1B">
      <w:rPr>
        <w:rFonts w:cs="Arial"/>
        <w:szCs w:val="22"/>
        <w:lang w:val="pt-PT"/>
      </w:rPr>
      <w:t>/</w:t>
    </w:r>
    <w:r w:rsidR="00341B33" w:rsidRPr="007F1D1B">
      <w:rPr>
        <w:rFonts w:cs="Arial"/>
        <w:szCs w:val="22"/>
        <w:lang w:val="pt-PT"/>
      </w:rPr>
      <w:t>4.</w:t>
    </w:r>
    <w:proofErr w:type="gramStart"/>
    <w:r w:rsidR="00341B33" w:rsidRPr="007F1D1B">
      <w:rPr>
        <w:rFonts w:cs="Arial"/>
        <w:szCs w:val="22"/>
        <w:lang w:val="pt-PT"/>
      </w:rPr>
      <w:t>10.</w:t>
    </w:r>
    <w:r w:rsidR="00B8392A" w:rsidRPr="007F1D1B">
      <w:rPr>
        <w:rFonts w:cs="Arial"/>
        <w:szCs w:val="22"/>
        <w:lang w:val="pt-PT"/>
      </w:rPr>
      <w:t>Doc</w:t>
    </w:r>
    <w:proofErr w:type="gramEnd"/>
    <w:r w:rsidR="00B8392A" w:rsidRPr="007F1D1B">
      <w:rPr>
        <w:rFonts w:cs="Arial"/>
        <w:szCs w:val="22"/>
        <w:lang w:val="pt-PT"/>
      </w:rPr>
      <w:t>(</w:t>
    </w:r>
    <w:r w:rsidR="00341B33" w:rsidRPr="007F1D1B">
      <w:rPr>
        <w:rFonts w:cs="Arial"/>
        <w:szCs w:val="22"/>
        <w:lang w:val="pt-PT"/>
      </w:rPr>
      <w:t>1</w:t>
    </w:r>
    <w:r w:rsidR="00B8392A" w:rsidRPr="007F1D1B">
      <w:rPr>
        <w:rFonts w:cs="Arial"/>
        <w:szCs w:val="22"/>
        <w:lang w:val="pt-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0AB517C"/>
    <w:multiLevelType w:val="hybridMultilevel"/>
    <w:tmpl w:val="90E885F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9244979"/>
    <w:multiLevelType w:val="hybridMultilevel"/>
    <w:tmpl w:val="E5B63DF0"/>
    <w:lvl w:ilvl="0" w:tplc="2000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FD6D4F"/>
    <w:multiLevelType w:val="hybridMultilevel"/>
    <w:tmpl w:val="E01061C0"/>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61F7B"/>
    <w:multiLevelType w:val="hybridMultilevel"/>
    <w:tmpl w:val="8DCE92B4"/>
    <w:lvl w:ilvl="0" w:tplc="AA46B7E2">
      <w:start w:val="1"/>
      <w:numFmt w:val="decimal"/>
      <w:pStyle w:val="COI"/>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23704B30"/>
    <w:multiLevelType w:val="hybridMultilevel"/>
    <w:tmpl w:val="70469058"/>
    <w:lvl w:ilvl="0" w:tplc="FFFFFFFF">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82B36B5"/>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72A4E"/>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412770"/>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83341D"/>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3" w15:restartNumberingAfterBreak="0">
    <w:nsid w:val="34D91986"/>
    <w:multiLevelType w:val="hybridMultilevel"/>
    <w:tmpl w:val="DCCE686A"/>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37D6B"/>
    <w:multiLevelType w:val="hybridMultilevel"/>
    <w:tmpl w:val="8264CC3E"/>
    <w:lvl w:ilvl="0" w:tplc="D1728D3A">
      <w:start w:val="1"/>
      <w:numFmt w:val="decimal"/>
      <w:lvlText w:val="%1."/>
      <w:lvlJc w:val="left"/>
      <w:pPr>
        <w:ind w:left="-131" w:hanging="360"/>
      </w:pPr>
      <w:rPr>
        <w:rFonts w:ascii="Arial" w:hAnsi="Arial" w:hint="default"/>
        <w:b w:val="0"/>
        <w:i/>
        <w:sz w:val="20"/>
        <w:szCs w:val="22"/>
      </w:rPr>
    </w:lvl>
    <w:lvl w:ilvl="1" w:tplc="15F4ACEE">
      <w:start w:val="1"/>
      <w:numFmt w:val="decimal"/>
      <w:lvlText w:val="%2."/>
      <w:lvlJc w:val="left"/>
      <w:pPr>
        <w:ind w:left="1099" w:hanging="870"/>
      </w:pPr>
      <w:rPr>
        <w:rFonts w:hint="default"/>
      </w:r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15" w15:restartNumberingAfterBreak="0">
    <w:nsid w:val="3D1D4E4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204C64"/>
    <w:multiLevelType w:val="hybridMultilevel"/>
    <w:tmpl w:val="BE2E72B4"/>
    <w:lvl w:ilvl="0" w:tplc="BCA6AA70">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9A1410"/>
    <w:multiLevelType w:val="hybridMultilevel"/>
    <w:tmpl w:val="BD6A0B26"/>
    <w:lvl w:ilvl="0" w:tplc="70D66022">
      <w:start w:val="1"/>
      <w:numFmt w:val="decimal"/>
      <w:lvlText w:val="%1."/>
      <w:lvlJc w:val="left"/>
      <w:pPr>
        <w:ind w:left="360" w:hanging="360"/>
      </w:pPr>
      <w:rPr>
        <w:rFonts w:hint="default"/>
        <w:b w:val="0"/>
        <w:bCs w:val="0"/>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997C3E"/>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C939B9"/>
    <w:multiLevelType w:val="hybridMultilevel"/>
    <w:tmpl w:val="F6E08AEA"/>
    <w:lvl w:ilvl="0" w:tplc="05A8803A">
      <w:start w:val="1"/>
      <w:numFmt w:val="decimal"/>
      <w:lvlText w:val="%1."/>
      <w:lvlJc w:val="left"/>
      <w:pPr>
        <w:ind w:left="360" w:hanging="360"/>
      </w:pPr>
      <w:rPr>
        <w:rFonts w:hint="default"/>
        <w:b w:val="0"/>
        <w:bCs w:val="0"/>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F132B2"/>
    <w:multiLevelType w:val="hybridMultilevel"/>
    <w:tmpl w:val="958EDBC6"/>
    <w:lvl w:ilvl="0" w:tplc="B48873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B444BC"/>
    <w:multiLevelType w:val="hybridMultilevel"/>
    <w:tmpl w:val="239EE350"/>
    <w:lvl w:ilvl="0" w:tplc="2000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558438412">
    <w:abstractNumId w:val="12"/>
  </w:num>
  <w:num w:numId="2" w16cid:durableId="869492952">
    <w:abstractNumId w:val="16"/>
  </w:num>
  <w:num w:numId="3" w16cid:durableId="1143883895">
    <w:abstractNumId w:val="0"/>
  </w:num>
  <w:num w:numId="4" w16cid:durableId="642007286">
    <w:abstractNumId w:val="4"/>
  </w:num>
  <w:num w:numId="5" w16cid:durableId="2062553786">
    <w:abstractNumId w:val="6"/>
  </w:num>
  <w:num w:numId="6" w16cid:durableId="866673125">
    <w:abstractNumId w:val="16"/>
  </w:num>
  <w:num w:numId="7" w16cid:durableId="1746295248">
    <w:abstractNumId w:val="16"/>
  </w:num>
  <w:num w:numId="8" w16cid:durableId="1895308931">
    <w:abstractNumId w:val="17"/>
  </w:num>
  <w:num w:numId="9" w16cid:durableId="1750418733">
    <w:abstractNumId w:val="19"/>
  </w:num>
  <w:num w:numId="10" w16cid:durableId="1771664105">
    <w:abstractNumId w:val="11"/>
  </w:num>
  <w:num w:numId="11" w16cid:durableId="842088730">
    <w:abstractNumId w:val="1"/>
  </w:num>
  <w:num w:numId="12" w16cid:durableId="137767665">
    <w:abstractNumId w:val="9"/>
  </w:num>
  <w:num w:numId="13" w16cid:durableId="876240751">
    <w:abstractNumId w:val="10"/>
  </w:num>
  <w:num w:numId="14" w16cid:durableId="1245993269">
    <w:abstractNumId w:val="21"/>
  </w:num>
  <w:num w:numId="15" w16cid:durableId="1583298856">
    <w:abstractNumId w:val="13"/>
  </w:num>
  <w:num w:numId="16" w16cid:durableId="1660039065">
    <w:abstractNumId w:val="3"/>
  </w:num>
  <w:num w:numId="17" w16cid:durableId="427237389">
    <w:abstractNumId w:val="15"/>
  </w:num>
  <w:num w:numId="18" w16cid:durableId="1944454530">
    <w:abstractNumId w:val="8"/>
  </w:num>
  <w:num w:numId="19" w16cid:durableId="256601227">
    <w:abstractNumId w:val="7"/>
  </w:num>
  <w:num w:numId="20" w16cid:durableId="2026899355">
    <w:abstractNumId w:val="20"/>
  </w:num>
  <w:num w:numId="21" w16cid:durableId="1968393602">
    <w:abstractNumId w:val="2"/>
  </w:num>
  <w:num w:numId="22" w16cid:durableId="568884959">
    <w:abstractNumId w:val="18"/>
  </w:num>
  <w:num w:numId="23" w16cid:durableId="1079904250">
    <w:abstractNumId w:val="14"/>
  </w:num>
  <w:num w:numId="24" w16cid:durableId="17269029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33"/>
    <w:rsid w:val="00003B31"/>
    <w:rsid w:val="00010BBB"/>
    <w:rsid w:val="00020AA1"/>
    <w:rsid w:val="00056F67"/>
    <w:rsid w:val="00085D6A"/>
    <w:rsid w:val="000C1A0E"/>
    <w:rsid w:val="000F0254"/>
    <w:rsid w:val="00123719"/>
    <w:rsid w:val="001241D7"/>
    <w:rsid w:val="00137E97"/>
    <w:rsid w:val="001448C4"/>
    <w:rsid w:val="00155393"/>
    <w:rsid w:val="001572C7"/>
    <w:rsid w:val="00167158"/>
    <w:rsid w:val="00196052"/>
    <w:rsid w:val="001B3B24"/>
    <w:rsid w:val="001C6455"/>
    <w:rsid w:val="001D3BBA"/>
    <w:rsid w:val="0021210D"/>
    <w:rsid w:val="00294AD5"/>
    <w:rsid w:val="002C7DE3"/>
    <w:rsid w:val="002E0859"/>
    <w:rsid w:val="0034156B"/>
    <w:rsid w:val="00341B33"/>
    <w:rsid w:val="003561BE"/>
    <w:rsid w:val="003805F5"/>
    <w:rsid w:val="003A7860"/>
    <w:rsid w:val="003D3711"/>
    <w:rsid w:val="003F55CF"/>
    <w:rsid w:val="003F7186"/>
    <w:rsid w:val="004031FB"/>
    <w:rsid w:val="00413F17"/>
    <w:rsid w:val="00424DE6"/>
    <w:rsid w:val="004529B8"/>
    <w:rsid w:val="00467E3F"/>
    <w:rsid w:val="004A135F"/>
    <w:rsid w:val="004C1625"/>
    <w:rsid w:val="004F7D6C"/>
    <w:rsid w:val="00576270"/>
    <w:rsid w:val="005836C8"/>
    <w:rsid w:val="005C7A36"/>
    <w:rsid w:val="005C7D76"/>
    <w:rsid w:val="005D4621"/>
    <w:rsid w:val="005E544C"/>
    <w:rsid w:val="006110DA"/>
    <w:rsid w:val="00633EA5"/>
    <w:rsid w:val="006842FA"/>
    <w:rsid w:val="0068682C"/>
    <w:rsid w:val="00690A0C"/>
    <w:rsid w:val="00690FD2"/>
    <w:rsid w:val="00693199"/>
    <w:rsid w:val="006B4B95"/>
    <w:rsid w:val="006C18D9"/>
    <w:rsid w:val="006C6449"/>
    <w:rsid w:val="00737A18"/>
    <w:rsid w:val="00746B89"/>
    <w:rsid w:val="0079212B"/>
    <w:rsid w:val="007A0F46"/>
    <w:rsid w:val="007F1D1B"/>
    <w:rsid w:val="008048D2"/>
    <w:rsid w:val="0081004E"/>
    <w:rsid w:val="00846B8C"/>
    <w:rsid w:val="00853565"/>
    <w:rsid w:val="008A6E5C"/>
    <w:rsid w:val="008B384B"/>
    <w:rsid w:val="008D2398"/>
    <w:rsid w:val="008F6942"/>
    <w:rsid w:val="009026D3"/>
    <w:rsid w:val="00906FFE"/>
    <w:rsid w:val="00993CA4"/>
    <w:rsid w:val="009B63AB"/>
    <w:rsid w:val="009C0A89"/>
    <w:rsid w:val="009C15B1"/>
    <w:rsid w:val="009E6A03"/>
    <w:rsid w:val="009F3A67"/>
    <w:rsid w:val="009F7769"/>
    <w:rsid w:val="00A11697"/>
    <w:rsid w:val="00A25BC8"/>
    <w:rsid w:val="00AA1D51"/>
    <w:rsid w:val="00AD3D55"/>
    <w:rsid w:val="00B5267D"/>
    <w:rsid w:val="00B722DE"/>
    <w:rsid w:val="00B83068"/>
    <w:rsid w:val="00B8392A"/>
    <w:rsid w:val="00BD6603"/>
    <w:rsid w:val="00BE7722"/>
    <w:rsid w:val="00BF069C"/>
    <w:rsid w:val="00BF3835"/>
    <w:rsid w:val="00C1002D"/>
    <w:rsid w:val="00C2635E"/>
    <w:rsid w:val="00C3684D"/>
    <w:rsid w:val="00C4032B"/>
    <w:rsid w:val="00C6486C"/>
    <w:rsid w:val="00C648D3"/>
    <w:rsid w:val="00C75B02"/>
    <w:rsid w:val="00C962F0"/>
    <w:rsid w:val="00D013ED"/>
    <w:rsid w:val="00D36BDC"/>
    <w:rsid w:val="00D5049E"/>
    <w:rsid w:val="00D51956"/>
    <w:rsid w:val="00D55FEC"/>
    <w:rsid w:val="00DB60BB"/>
    <w:rsid w:val="00DF2FB9"/>
    <w:rsid w:val="00E63DEF"/>
    <w:rsid w:val="00E64936"/>
    <w:rsid w:val="00E82853"/>
    <w:rsid w:val="00EC2C27"/>
    <w:rsid w:val="00EE0542"/>
    <w:rsid w:val="00F463F2"/>
    <w:rsid w:val="00F524DB"/>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3DD4F9"/>
  <w15:docId w15:val="{72345450-BF99-4C45-B5E1-FE2287E9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AA1D51"/>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qFormat/>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qFormat/>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AA1D51"/>
    <w:pPr>
      <w:numPr>
        <w:numId w:val="24"/>
      </w:numPr>
      <w:tabs>
        <w:tab w:val="clear" w:pos="567"/>
        <w:tab w:val="left" w:pos="709"/>
      </w:tabs>
      <w:spacing w:before="240"/>
      <w:ind w:left="0" w:firstLine="0"/>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AA1D51"/>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character" w:styleId="UnresolvedMention">
    <w:name w:val="Unresolved Mention"/>
    <w:basedOn w:val="DefaultParagraphFont"/>
    <w:uiPriority w:val="99"/>
    <w:semiHidden/>
    <w:unhideWhenUsed/>
    <w:rsid w:val="00EC2C27"/>
    <w:rPr>
      <w:color w:val="605E5C"/>
      <w:shd w:val="clear" w:color="auto" w:fill="E1DFDD"/>
    </w:rPr>
  </w:style>
  <w:style w:type="table" w:styleId="GridTable5Dark-Accent1">
    <w:name w:val="Grid Table 5 Dark Accent 1"/>
    <w:basedOn w:val="TableNormal"/>
    <w:uiPriority w:val="50"/>
    <w:rsid w:val="00EC2C27"/>
    <w:rPr>
      <w:rFonts w:asciiTheme="minorHAnsi" w:eastAsiaTheme="minorEastAsia" w:hAnsiTheme="minorHAnsi" w:cstheme="minorBidi"/>
      <w:sz w:val="24"/>
      <w:szCs w:val="24"/>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GCOSReportBodyText">
    <w:name w:val="GCOS_Report_BodyText"/>
    <w:basedOn w:val="Normal"/>
    <w:link w:val="GCOSReportBodyTextChar"/>
    <w:qFormat/>
    <w:rsid w:val="00EC2C27"/>
    <w:pPr>
      <w:tabs>
        <w:tab w:val="clear" w:pos="567"/>
      </w:tabs>
      <w:snapToGrid/>
      <w:spacing w:before="120" w:line="276" w:lineRule="auto"/>
      <w:jc w:val="both"/>
    </w:pPr>
    <w:rPr>
      <w:rFonts w:ascii="Verdana" w:eastAsia="MS Mincho" w:hAnsi="Verdana"/>
      <w:snapToGrid/>
      <w:sz w:val="18"/>
      <w:szCs w:val="20"/>
    </w:rPr>
  </w:style>
  <w:style w:type="character" w:customStyle="1" w:styleId="GCOSReportBodyTextChar">
    <w:name w:val="GCOS_Report_BodyText Char"/>
    <w:basedOn w:val="DefaultParagraphFont"/>
    <w:link w:val="GCOSReportBodyText"/>
    <w:rsid w:val="00EC2C27"/>
    <w:rPr>
      <w:rFonts w:ascii="Verdana" w:eastAsia="MS Mincho" w:hAnsi="Verdana"/>
      <w:sz w:val="18"/>
      <w:lang w:val="en-GB" w:eastAsia="en-US"/>
    </w:rPr>
  </w:style>
  <w:style w:type="paragraph" w:customStyle="1" w:styleId="ActionTable">
    <w:name w:val="ActionTable"/>
    <w:basedOn w:val="GCOSReportBodyText"/>
    <w:link w:val="ActionTableChar"/>
    <w:qFormat/>
    <w:rsid w:val="00EC2C27"/>
    <w:rPr>
      <w:sz w:val="16"/>
      <w:szCs w:val="18"/>
    </w:rPr>
  </w:style>
  <w:style w:type="character" w:customStyle="1" w:styleId="ActionTableChar">
    <w:name w:val="ActionTable Char"/>
    <w:basedOn w:val="GCOSReportBodyTextChar"/>
    <w:link w:val="ActionTable"/>
    <w:rsid w:val="00EC2C27"/>
    <w:rPr>
      <w:rFonts w:ascii="Verdana" w:eastAsia="MS Mincho" w:hAnsi="Verdana"/>
      <w:sz w:val="16"/>
      <w:szCs w:val="18"/>
      <w:lang w:val="en-GB" w:eastAsia="en-US"/>
    </w:rPr>
  </w:style>
  <w:style w:type="paragraph" w:customStyle="1" w:styleId="TitleTable">
    <w:name w:val="TitleTable"/>
    <w:basedOn w:val="ActionTable"/>
    <w:rsid w:val="00EC2C27"/>
    <w:rPr>
      <w:b/>
      <w:sz w:val="18"/>
      <w:szCs w:val="20"/>
    </w:rPr>
  </w:style>
  <w:style w:type="character" w:customStyle="1" w:styleId="FootnoteTextChar">
    <w:name w:val="Footnote Text Char"/>
    <w:basedOn w:val="DefaultParagraphFont"/>
    <w:link w:val="FootnoteText"/>
    <w:uiPriority w:val="99"/>
    <w:qFormat/>
    <w:rsid w:val="00EC2C27"/>
    <w:rPr>
      <w:rFonts w:ascii="Arial" w:hAnsi="Arial"/>
      <w:snapToGrid w:val="0"/>
      <w:lang w:val="en-GB" w:eastAsia="en-US"/>
    </w:rPr>
  </w:style>
  <w:style w:type="paragraph" w:styleId="Revision">
    <w:name w:val="Revision"/>
    <w:hidden/>
    <w:uiPriority w:val="99"/>
    <w:semiHidden/>
    <w:rsid w:val="00BE7722"/>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brary.wmo.int/doc_num.php?explnum_id=11317" TargetMode="External"/><Relationship Id="rId13" Type="http://schemas.openxmlformats.org/officeDocument/2006/relationships/hyperlink" Target="https://library.wmo.int/doc_num.php?explnum_id=11318" TargetMode="External"/><Relationship Id="rId18" Type="http://schemas.openxmlformats.org/officeDocument/2006/relationships/hyperlink" Target="https://www.goosocean.org/index.php?option=com_oe&amp;task=viewDocumentRecord&amp;docID=30251"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library.wmo.int/doc_num.php?explnum_id=11317" TargetMode="External"/><Relationship Id="rId17" Type="http://schemas.openxmlformats.org/officeDocument/2006/relationships/hyperlink" Target="https://www.goosocean.org/index.php?option=com_oe&amp;task=viewDocumentRecord&amp;docID=302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socean.org/index.php?option=com_oe&amp;task=viewDocumentRecord&amp;docID=30251" TargetMode="External"/><Relationship Id="rId20" Type="http://schemas.openxmlformats.org/officeDocument/2006/relationships/hyperlink" Target="https://www.goosocean.org/index.php?option=com_oe&amp;task=viewDocumentRecord&amp;docID=302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socean.org/index.php?option=com_oe&amp;task=viewDocumentRecord&amp;docID=30251"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www.goosocean.org/index.php?option=com_oe&amp;task=viewDocumentRecord&amp;docID=3025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ibrary.wmo.int/doc_num.php?explnum_id=11317" TargetMode="Externa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72739-0038-7148-BF06-A785213C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2128</Words>
  <Characters>13145</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Microsoft Office User</dc:creator>
  <cp:lastModifiedBy>Boned, Patrice</cp:lastModifiedBy>
  <cp:revision>3</cp:revision>
  <cp:lastPrinted>2002-06-12T09:28:00Z</cp:lastPrinted>
  <dcterms:created xsi:type="dcterms:W3CDTF">2023-05-24T10:44:00Z</dcterms:created>
  <dcterms:modified xsi:type="dcterms:W3CDTF">2023-05-24T10:45:00Z</dcterms:modified>
</cp:coreProperties>
</file>