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11228E69" w14:textId="77777777">
        <w:trPr>
          <w:jc w:val="center"/>
        </w:trPr>
        <w:tc>
          <w:tcPr>
            <w:tcW w:w="7654" w:type="dxa"/>
            <w:tcMar>
              <w:top w:w="170" w:type="dxa"/>
              <w:left w:w="170" w:type="dxa"/>
              <w:bottom w:w="170" w:type="dxa"/>
              <w:right w:w="170" w:type="dxa"/>
            </w:tcMar>
          </w:tcPr>
          <w:p w14:paraId="0E23E4B9" w14:textId="579FBC67" w:rsidR="008A60C9" w:rsidRPr="00A57DE5" w:rsidRDefault="00B83068" w:rsidP="00A57DE5">
            <w:pPr>
              <w:pStyle w:val="Marge"/>
              <w:jc w:val="center"/>
              <w:rPr>
                <w:rFonts w:cs="Arial"/>
                <w:szCs w:val="22"/>
              </w:rPr>
            </w:pPr>
            <w:r w:rsidRPr="006842FA">
              <w:rPr>
                <w:rFonts w:cs="Arial"/>
                <w:szCs w:val="22"/>
                <w:u w:val="single"/>
              </w:rPr>
              <w:t>Summary</w:t>
            </w:r>
          </w:p>
          <w:p w14:paraId="335FAADA" w14:textId="44485CED" w:rsidR="008A60C9" w:rsidRDefault="002A4F4F" w:rsidP="00433D21">
            <w:pPr>
              <w:jc w:val="both"/>
              <w:rPr>
                <w:rFonts w:cs="Arial"/>
                <w:iCs/>
                <w:szCs w:val="22"/>
                <w:lang w:val="en-AU"/>
              </w:rPr>
            </w:pPr>
            <w:r>
              <w:rPr>
                <w:rFonts w:cs="Arial"/>
                <w:szCs w:val="22"/>
              </w:rPr>
              <w:t>The IOC Assembly at its 29</w:t>
            </w:r>
            <w:r w:rsidRPr="00433D21">
              <w:rPr>
                <w:rFonts w:cs="Arial"/>
                <w:szCs w:val="22"/>
                <w:vertAlign w:val="superscript"/>
              </w:rPr>
              <w:t>th</w:t>
            </w:r>
            <w:r>
              <w:rPr>
                <w:rFonts w:cs="Arial"/>
                <w:szCs w:val="22"/>
              </w:rPr>
              <w:t xml:space="preserve"> session in 2017 </w:t>
            </w:r>
            <w:r w:rsidR="00E67A69" w:rsidRPr="00976D89">
              <w:rPr>
                <w:lang w:val="en-US"/>
              </w:rPr>
              <w:t>adopted the IOC Strategic Plan for Oceanographic Data and Information Management (2017–2021) and agreed that the Plan should be regularly reviewed</w:t>
            </w:r>
            <w:r w:rsidR="00E67A69">
              <w:rPr>
                <w:lang w:val="en-US"/>
              </w:rPr>
              <w:t>. T</w:t>
            </w:r>
            <w:r w:rsidR="00E67A69" w:rsidRPr="00976D89">
              <w:rPr>
                <w:lang w:val="en-US"/>
              </w:rPr>
              <w:t xml:space="preserve">he </w:t>
            </w:r>
            <w:r w:rsidR="008C7F43">
              <w:rPr>
                <w:lang w:val="en-US"/>
              </w:rPr>
              <w:t>i</w:t>
            </w:r>
            <w:r w:rsidR="00E67A69" w:rsidRPr="00976D89">
              <w:rPr>
                <w:lang w:val="en-US"/>
              </w:rPr>
              <w:t>nter-sessional working group to revise the IOC strategic plan for oceanographic data and information exchange</w:t>
            </w:r>
            <w:r w:rsidR="00E67A69">
              <w:rPr>
                <w:lang w:val="en-US"/>
              </w:rPr>
              <w:t xml:space="preserve"> established through </w:t>
            </w:r>
            <w:hyperlink r:id="rId8" w:anchor="D63" w:history="1">
              <w:r w:rsidR="00704456">
                <w:rPr>
                  <w:rStyle w:val="Hyperlink"/>
                  <w:lang w:val="en-US"/>
                </w:rPr>
                <w:t>Decision</w:t>
              </w:r>
              <w:r w:rsidRPr="00976D89">
                <w:rPr>
                  <w:rStyle w:val="Hyperlink"/>
                  <w:lang w:val="en-US"/>
                </w:rPr>
                <w:t xml:space="preserve"> IODE-XXVI.6.3</w:t>
              </w:r>
            </w:hyperlink>
            <w:r>
              <w:rPr>
                <w:rStyle w:val="Hyperlink"/>
                <w:u w:val="none"/>
                <w:lang w:val="en-US"/>
              </w:rPr>
              <w:t xml:space="preserve"> </w:t>
            </w:r>
            <w:r w:rsidRPr="00433D21">
              <w:rPr>
                <w:rFonts w:cs="Arial"/>
                <w:iCs/>
                <w:szCs w:val="22"/>
                <w:lang w:val="en-AU"/>
              </w:rPr>
              <w:t>(2021)</w:t>
            </w:r>
            <w:r>
              <w:rPr>
                <w:rStyle w:val="Hyperlink"/>
                <w:u w:val="none"/>
                <w:lang w:val="en-US"/>
              </w:rPr>
              <w:t xml:space="preserve"> </w:t>
            </w:r>
            <w:r w:rsidR="00E67A69" w:rsidRPr="00E67A69">
              <w:rPr>
                <w:rFonts w:cs="Arial"/>
                <w:iCs/>
                <w:szCs w:val="22"/>
                <w:lang w:val="en-AU"/>
              </w:rPr>
              <w:t>prepared</w:t>
            </w:r>
            <w:r w:rsidR="00E67A69">
              <w:rPr>
                <w:rFonts w:cs="Arial"/>
                <w:iCs/>
                <w:szCs w:val="22"/>
                <w:lang w:val="en-AU"/>
              </w:rPr>
              <w:t xml:space="preserve"> a revision of the strategic plan.</w:t>
            </w:r>
            <w:r w:rsidR="00704456">
              <w:rPr>
                <w:rFonts w:cs="Arial"/>
                <w:iCs/>
                <w:szCs w:val="22"/>
                <w:lang w:val="en-AU"/>
              </w:rPr>
              <w:t xml:space="preserve"> The </w:t>
            </w:r>
            <w:r w:rsidR="00704456" w:rsidRPr="00704456">
              <w:rPr>
                <w:rFonts w:cs="Arial"/>
                <w:iCs/>
                <w:szCs w:val="22"/>
                <w:lang w:val="en-AU"/>
              </w:rPr>
              <w:t>IOC Committee on International Oceanographic Data and Information Exchange</w:t>
            </w:r>
            <w:r w:rsidR="00704456">
              <w:rPr>
                <w:rFonts w:cs="Arial"/>
                <w:iCs/>
                <w:szCs w:val="22"/>
                <w:lang w:val="en-AU"/>
              </w:rPr>
              <w:t xml:space="preserve"> </w:t>
            </w:r>
            <w:r w:rsidR="00F4476E">
              <w:rPr>
                <w:rFonts w:cs="Arial"/>
                <w:iCs/>
                <w:szCs w:val="22"/>
                <w:lang w:val="en-AU"/>
              </w:rPr>
              <w:t xml:space="preserve">(IODE) </w:t>
            </w:r>
            <w:r w:rsidR="00704456">
              <w:rPr>
                <w:rFonts w:cs="Arial"/>
                <w:iCs/>
                <w:szCs w:val="22"/>
                <w:lang w:val="en-AU"/>
              </w:rPr>
              <w:t>at its 27</w:t>
            </w:r>
            <w:r w:rsidR="00704456" w:rsidRPr="00433D21">
              <w:rPr>
                <w:rFonts w:cs="Arial"/>
                <w:iCs/>
                <w:szCs w:val="22"/>
                <w:vertAlign w:val="superscript"/>
                <w:lang w:val="en-AU"/>
              </w:rPr>
              <w:t>th</w:t>
            </w:r>
            <w:r w:rsidR="00704456">
              <w:rPr>
                <w:rFonts w:cs="Arial"/>
                <w:iCs/>
                <w:szCs w:val="22"/>
                <w:lang w:val="en-AU"/>
              </w:rPr>
              <w:t xml:space="preserve"> session in 2023</w:t>
            </w:r>
            <w:r w:rsidR="00E67A69">
              <w:rPr>
                <w:rFonts w:cs="Arial"/>
                <w:iCs/>
                <w:szCs w:val="22"/>
                <w:lang w:val="en-AU"/>
              </w:rPr>
              <w:t xml:space="preserve"> adopted </w:t>
            </w:r>
            <w:hyperlink r:id="rId9" w:anchor="rec1" w:history="1">
              <w:r w:rsidR="00E67A69" w:rsidRPr="00976D89">
                <w:rPr>
                  <w:rStyle w:val="Hyperlink"/>
                  <w:lang w:val="en-US"/>
                </w:rPr>
                <w:t>Recommendation IODE-XXVII.6.2</w:t>
              </w:r>
            </w:hyperlink>
            <w:r w:rsidR="00E67A69">
              <w:t xml:space="preserve"> submitting the revised strategic plan to </w:t>
            </w:r>
            <w:r w:rsidR="00704456">
              <w:t>this Assembly</w:t>
            </w:r>
            <w:r w:rsidR="00E67A69">
              <w:t>.</w:t>
            </w:r>
            <w:r w:rsidR="00BD2E24">
              <w:t xml:space="preserve"> The full Strategic Plan is available as Draft IOC Manuals and Guides, </w:t>
            </w:r>
            <w:hyperlink r:id="rId10" w:history="1">
              <w:r w:rsidR="00BD2E24" w:rsidRPr="00BD2E24">
                <w:rPr>
                  <w:rStyle w:val="Hyperlink"/>
                </w:rPr>
                <w:t>92</w:t>
              </w:r>
            </w:hyperlink>
            <w:r w:rsidR="00BD2E24">
              <w:t xml:space="preserve">. </w:t>
            </w:r>
          </w:p>
          <w:p w14:paraId="7C5F6A8A" w14:textId="77777777" w:rsidR="00E67A69" w:rsidRPr="00E67A69" w:rsidRDefault="00E67A69" w:rsidP="00E67A69">
            <w:pPr>
              <w:rPr>
                <w:rFonts w:cs="Arial"/>
                <w:iCs/>
                <w:lang w:val="en-AU"/>
              </w:rPr>
            </w:pPr>
          </w:p>
          <w:p w14:paraId="7993A226" w14:textId="3B11000E" w:rsidR="00467E3F" w:rsidRPr="00467E3F" w:rsidRDefault="00467E3F" w:rsidP="00467E3F">
            <w:pPr>
              <w:pStyle w:val="Marge"/>
              <w:spacing w:after="120"/>
              <w:rPr>
                <w:rFonts w:cs="Arial"/>
                <w:szCs w:val="22"/>
              </w:rPr>
            </w:pPr>
            <w:r w:rsidRPr="00467E3F">
              <w:rPr>
                <w:rFonts w:cs="Arial"/>
                <w:szCs w:val="22"/>
                <w:u w:val="single"/>
              </w:rPr>
              <w:t>Financial and administrative implications</w:t>
            </w:r>
            <w:r w:rsidR="008A60C9">
              <w:rPr>
                <w:rFonts w:cs="Arial"/>
                <w:szCs w:val="22"/>
              </w:rPr>
              <w:t xml:space="preserve">: </w:t>
            </w:r>
            <w:r w:rsidR="008A60C9" w:rsidRPr="00467E3F">
              <w:rPr>
                <w:rFonts w:cs="Arial"/>
                <w:szCs w:val="22"/>
              </w:rPr>
              <w:t>There are no financial and administrative implications</w:t>
            </w:r>
          </w:p>
          <w:p w14:paraId="7FC3AF21" w14:textId="25EEB9D8" w:rsidR="00737A18" w:rsidRPr="00467E3F" w:rsidRDefault="00413F17" w:rsidP="002A4F4F">
            <w:pPr>
              <w:pStyle w:val="Marge"/>
              <w:spacing w:after="120"/>
              <w:rPr>
                <w:rFonts w:cs="Arial"/>
                <w:szCs w:val="22"/>
              </w:rPr>
            </w:pPr>
            <w:r>
              <w:rPr>
                <w:rFonts w:cs="Arial"/>
                <w:szCs w:val="22"/>
                <w:u w:val="single"/>
              </w:rPr>
              <w:t>The proposed decision</w:t>
            </w:r>
            <w:r w:rsidR="00467E3F" w:rsidRPr="00467E3F">
              <w:rPr>
                <w:rFonts w:cs="Arial"/>
                <w:szCs w:val="22"/>
              </w:rPr>
              <w:t xml:space="preserve"> </w:t>
            </w:r>
            <w:r w:rsidR="00853565">
              <w:rPr>
                <w:rFonts w:cs="Arial"/>
                <w:szCs w:val="22"/>
              </w:rPr>
              <w:t xml:space="preserve">is referenced </w:t>
            </w:r>
            <w:r w:rsidR="002A4F4F">
              <w:rPr>
                <w:rFonts w:cs="Arial"/>
                <w:szCs w:val="22"/>
              </w:rPr>
              <w:t xml:space="preserve">Dec. </w:t>
            </w:r>
            <w:r w:rsidR="00FC2521">
              <w:rPr>
                <w:rFonts w:cs="Arial"/>
                <w:szCs w:val="22"/>
              </w:rPr>
              <w:t>IOC-</w:t>
            </w:r>
            <w:r w:rsidR="00BC79D5">
              <w:rPr>
                <w:rFonts w:cs="Arial"/>
                <w:szCs w:val="22"/>
              </w:rPr>
              <w:t>32</w:t>
            </w:r>
            <w:r w:rsidR="00003B31">
              <w:rPr>
                <w:lang w:val="en-US"/>
              </w:rPr>
              <w:t>/</w:t>
            </w:r>
            <w:r w:rsidR="00041E70">
              <w:rPr>
                <w:lang w:val="en-US"/>
              </w:rPr>
              <w:t>3.4.2</w:t>
            </w:r>
            <w:r w:rsidR="008A60C9">
              <w:rPr>
                <w:lang w:val="en-US"/>
              </w:rPr>
              <w:t xml:space="preserve"> </w:t>
            </w:r>
            <w:r w:rsidR="00467E3F" w:rsidRPr="00467E3F">
              <w:rPr>
                <w:rFonts w:cs="Arial"/>
                <w:szCs w:val="22"/>
              </w:rPr>
              <w:t xml:space="preserve">in </w:t>
            </w:r>
            <w:r w:rsidR="00853565">
              <w:rPr>
                <w:rFonts w:cs="Arial"/>
                <w:szCs w:val="22"/>
              </w:rPr>
              <w:t xml:space="preserve">the </w:t>
            </w:r>
            <w:r w:rsidR="00C4032B">
              <w:rPr>
                <w:rFonts w:cs="Arial"/>
                <w:szCs w:val="22"/>
              </w:rPr>
              <w:t>Action Paper</w:t>
            </w:r>
            <w:r w:rsidR="00853565">
              <w:rPr>
                <w:rFonts w:cs="Arial"/>
                <w:szCs w:val="22"/>
              </w:rPr>
              <w:t xml:space="preserve"> (document IOC</w:t>
            </w:r>
            <w:r w:rsidR="00FC2521">
              <w:rPr>
                <w:rFonts w:cs="Arial"/>
                <w:szCs w:val="22"/>
              </w:rPr>
              <w:t>-</w:t>
            </w:r>
            <w:r w:rsidR="00BC79D5">
              <w:rPr>
                <w:rFonts w:cs="Arial"/>
                <w:szCs w:val="22"/>
              </w:rPr>
              <w:t>32</w:t>
            </w:r>
            <w:r w:rsidR="00853565">
              <w:rPr>
                <w:rFonts w:cs="Arial"/>
                <w:szCs w:val="22"/>
              </w:rPr>
              <w:t>/2 Prov.)</w:t>
            </w:r>
          </w:p>
        </w:tc>
      </w:tr>
    </w:tbl>
    <w:p w14:paraId="75BE0AB6" w14:textId="77777777" w:rsidR="00746B89" w:rsidRPr="006842FA" w:rsidRDefault="00746B89" w:rsidP="005C7A36">
      <w:pPr>
        <w:pStyle w:val="Heading3"/>
        <w:sectPr w:rsidR="00746B89" w:rsidRPr="006842FA" w:rsidSect="003F7186">
          <w:headerReference w:type="even" r:id="rId11"/>
          <w:headerReference w:type="default" r:id="rId12"/>
          <w:headerReference w:type="first" r:id="rId13"/>
          <w:type w:val="continuous"/>
          <w:pgSz w:w="11906" w:h="16838" w:code="9"/>
          <w:pgMar w:top="1418" w:right="1134" w:bottom="1134" w:left="1134" w:header="709" w:footer="680" w:gutter="0"/>
          <w:pgNumType w:start="1"/>
          <w:cols w:space="708"/>
          <w:titlePg/>
          <w:docGrid w:linePitch="360"/>
        </w:sectPr>
      </w:pPr>
    </w:p>
    <w:p w14:paraId="18ED463B" w14:textId="42F275DE" w:rsidR="00BC79D5" w:rsidRPr="00433D21" w:rsidRDefault="00BC79D5" w:rsidP="00433D21">
      <w:pPr>
        <w:spacing w:after="240"/>
        <w:rPr>
          <w:b/>
          <w:bCs/>
          <w:lang w:val="en-US"/>
        </w:rPr>
      </w:pPr>
      <w:r w:rsidRPr="00433D21">
        <w:rPr>
          <w:b/>
          <w:bCs/>
        </w:rPr>
        <w:lastRenderedPageBreak/>
        <w:t>Background</w:t>
      </w:r>
    </w:p>
    <w:p w14:paraId="3A04DF72" w14:textId="7F3081D8" w:rsidR="00F4476E" w:rsidRDefault="00F4476E" w:rsidP="00433D21">
      <w:pPr>
        <w:pStyle w:val="paranumbered"/>
        <w:spacing w:before="0" w:after="120" w:line="240" w:lineRule="auto"/>
        <w:rPr>
          <w:lang w:val="en-US"/>
        </w:rPr>
      </w:pPr>
      <w:r>
        <w:rPr>
          <w:lang w:val="en-US"/>
        </w:rPr>
        <w:t>According to</w:t>
      </w:r>
      <w:r w:rsidR="00704456" w:rsidRPr="00F4476E">
        <w:rPr>
          <w:lang w:val="en-US"/>
        </w:rPr>
        <w:t xml:space="preserve"> </w:t>
      </w:r>
      <w:hyperlink r:id="rId14" w:anchor="D63" w:history="1">
        <w:r w:rsidRPr="00F4476E">
          <w:rPr>
            <w:rStyle w:val="Hyperlink"/>
            <w:lang w:val="en-US"/>
          </w:rPr>
          <w:t>Decision IODE-XXVI.6.3</w:t>
        </w:r>
      </w:hyperlink>
      <w:r w:rsidR="00704456" w:rsidRPr="00F4476E">
        <w:rPr>
          <w:lang w:val="en-US"/>
        </w:rPr>
        <w:t xml:space="preserve"> that established</w:t>
      </w:r>
      <w:r w:rsidRPr="00F4476E">
        <w:rPr>
          <w:lang w:val="en-US"/>
        </w:rPr>
        <w:t xml:space="preserve"> the Inter-sessional Working Group to revise the IOC Strategic Plan for Oceanographic Data and Information Management in 2021, </w:t>
      </w:r>
      <w:r>
        <w:rPr>
          <w:lang w:val="en-US"/>
        </w:rPr>
        <w:t>t</w:t>
      </w:r>
      <w:r w:rsidR="00976D89" w:rsidRPr="00F4476E">
        <w:rPr>
          <w:lang w:val="en-US"/>
        </w:rPr>
        <w:t xml:space="preserve">he systems </w:t>
      </w:r>
      <w:r>
        <w:rPr>
          <w:lang w:val="en-US"/>
        </w:rPr>
        <w:t>resulting from</w:t>
      </w:r>
      <w:r w:rsidRPr="00F4476E">
        <w:rPr>
          <w:lang w:val="en-US"/>
        </w:rPr>
        <w:t xml:space="preserve"> </w:t>
      </w:r>
      <w:r w:rsidR="00976D89" w:rsidRPr="00F4476E">
        <w:rPr>
          <w:lang w:val="en-US"/>
        </w:rPr>
        <w:t xml:space="preserve">the </w:t>
      </w:r>
      <w:r w:rsidR="008C7F43" w:rsidRPr="00F4476E">
        <w:rPr>
          <w:lang w:val="en-US"/>
        </w:rPr>
        <w:t xml:space="preserve">revised Strategic Plan </w:t>
      </w:r>
      <w:r>
        <w:rPr>
          <w:lang w:val="en-US"/>
        </w:rPr>
        <w:t>is</w:t>
      </w:r>
      <w:r w:rsidR="00976D89" w:rsidRPr="00F4476E">
        <w:rPr>
          <w:lang w:val="en-US"/>
        </w:rPr>
        <w:t xml:space="preserve"> expected to deliver: </w:t>
      </w:r>
    </w:p>
    <w:p w14:paraId="33970454" w14:textId="1E1F7A9D" w:rsidR="00F4476E" w:rsidRDefault="00976D89" w:rsidP="00433D21">
      <w:pPr>
        <w:pStyle w:val="paranumbered"/>
        <w:numPr>
          <w:ilvl w:val="2"/>
          <w:numId w:val="5"/>
        </w:numPr>
        <w:spacing w:before="0" w:after="120" w:line="240" w:lineRule="auto"/>
        <w:ind w:left="1418" w:hanging="718"/>
        <w:rPr>
          <w:lang w:val="en-US"/>
        </w:rPr>
      </w:pPr>
      <w:r w:rsidRPr="00F4476E">
        <w:rPr>
          <w:lang w:val="en-US"/>
        </w:rPr>
        <w:t>interoperable, quality-controlled data on a diverse range of variables, generated according to scientifically and operationally sound methods and persistently archived in well-documented, globally applicable standards and formats</w:t>
      </w:r>
      <w:r w:rsidR="00F4476E">
        <w:rPr>
          <w:lang w:val="en-US"/>
        </w:rPr>
        <w:t>;</w:t>
      </w:r>
      <w:r w:rsidRPr="00F4476E">
        <w:rPr>
          <w:lang w:val="en-US"/>
        </w:rPr>
        <w:t xml:space="preserve"> </w:t>
      </w:r>
    </w:p>
    <w:p w14:paraId="1222D12F" w14:textId="4554853B" w:rsidR="00F4476E" w:rsidRDefault="00976D89" w:rsidP="00433D21">
      <w:pPr>
        <w:pStyle w:val="paranumbered"/>
        <w:numPr>
          <w:ilvl w:val="2"/>
          <w:numId w:val="5"/>
        </w:numPr>
        <w:spacing w:before="0" w:after="120" w:line="240" w:lineRule="auto"/>
        <w:ind w:left="1418" w:hanging="718"/>
        <w:rPr>
          <w:lang w:val="en-US"/>
        </w:rPr>
      </w:pPr>
      <w:r w:rsidRPr="00F4476E">
        <w:rPr>
          <w:lang w:val="en-US"/>
        </w:rPr>
        <w:t>timely dissemination of data on a diverse range of variables (generated from observations and model outputs) both in real-time and delayed modes depending on the needs of user groups and their technical capabilities ("on demand" as well as automatically scheduled)</w:t>
      </w:r>
      <w:r w:rsidR="00F4476E">
        <w:rPr>
          <w:lang w:val="en-US"/>
        </w:rPr>
        <w:t>;</w:t>
      </w:r>
      <w:r w:rsidRPr="00F4476E">
        <w:rPr>
          <w:lang w:val="en-US"/>
        </w:rPr>
        <w:t xml:space="preserve"> and </w:t>
      </w:r>
    </w:p>
    <w:p w14:paraId="0CFD2555" w14:textId="56880532" w:rsidR="00976D89" w:rsidRPr="00F4476E" w:rsidRDefault="00976D89" w:rsidP="00433D21">
      <w:pPr>
        <w:pStyle w:val="paranumbered"/>
        <w:numPr>
          <w:ilvl w:val="2"/>
          <w:numId w:val="5"/>
        </w:numPr>
        <w:spacing w:before="0" w:after="240" w:line="240" w:lineRule="auto"/>
        <w:ind w:left="1418" w:hanging="718"/>
        <w:rPr>
          <w:lang w:val="en-US"/>
        </w:rPr>
      </w:pPr>
      <w:r w:rsidRPr="00F4476E">
        <w:rPr>
          <w:lang w:val="en-US"/>
        </w:rPr>
        <w:t xml:space="preserve">easy discovery and access to data and information about a diverse range of variables and derived products (including forecasts, </w:t>
      </w:r>
      <w:proofErr w:type="gramStart"/>
      <w:r w:rsidRPr="00F4476E">
        <w:rPr>
          <w:lang w:val="en-US"/>
        </w:rPr>
        <w:t>alerts</w:t>
      </w:r>
      <w:proofErr w:type="gramEnd"/>
      <w:r w:rsidRPr="00F4476E">
        <w:rPr>
          <w:lang w:val="en-US"/>
        </w:rPr>
        <w:t xml:space="preserve"> and warnings) by users who have a broad range of capabilities.</w:t>
      </w:r>
      <w:r w:rsidR="00D9076C" w:rsidRPr="00F4476E">
        <w:rPr>
          <w:lang w:val="en-US"/>
        </w:rPr>
        <w:t xml:space="preserve"> </w:t>
      </w:r>
      <w:r w:rsidRPr="00F4476E">
        <w:rPr>
          <w:lang w:val="en-US"/>
        </w:rPr>
        <w:t xml:space="preserve">The working group, through the terms of reference defined by IODE-XXVI was given a list of 16 elements that would need to be taken into consideration. </w:t>
      </w:r>
    </w:p>
    <w:p w14:paraId="668DE2A0" w14:textId="3419A950" w:rsidR="00976D89" w:rsidRDefault="00976D89" w:rsidP="00433D21">
      <w:pPr>
        <w:pStyle w:val="paranumbered"/>
        <w:spacing w:before="0" w:after="240" w:line="240" w:lineRule="auto"/>
        <w:rPr>
          <w:lang w:val="en-US"/>
        </w:rPr>
      </w:pPr>
      <w:r>
        <w:rPr>
          <w:lang w:val="en-US"/>
        </w:rPr>
        <w:t>The working group</w:t>
      </w:r>
      <w:r w:rsidR="008C7F43">
        <w:rPr>
          <w:lang w:val="en-US"/>
        </w:rPr>
        <w:t xml:space="preserve">, after several online drafting sessions and consultation with the IODE </w:t>
      </w:r>
      <w:r w:rsidR="00550523">
        <w:rPr>
          <w:lang w:val="en-US"/>
        </w:rPr>
        <w:t>M</w:t>
      </w:r>
      <w:r w:rsidR="008C7F43">
        <w:rPr>
          <w:lang w:val="en-US"/>
        </w:rPr>
        <w:t xml:space="preserve">anagement </w:t>
      </w:r>
      <w:r w:rsidR="00550523">
        <w:rPr>
          <w:lang w:val="en-US"/>
        </w:rPr>
        <w:t>G</w:t>
      </w:r>
      <w:r w:rsidR="008C7F43">
        <w:rPr>
          <w:lang w:val="en-US"/>
        </w:rPr>
        <w:t xml:space="preserve">roup and other IOC </w:t>
      </w:r>
      <w:proofErr w:type="spellStart"/>
      <w:r w:rsidR="008C7F43">
        <w:rPr>
          <w:lang w:val="en-US"/>
        </w:rPr>
        <w:t>programmes</w:t>
      </w:r>
      <w:proofErr w:type="spellEnd"/>
      <w:r w:rsidR="008C7F43">
        <w:rPr>
          <w:lang w:val="en-US"/>
        </w:rPr>
        <w:t>,</w:t>
      </w:r>
      <w:r>
        <w:rPr>
          <w:lang w:val="en-US"/>
        </w:rPr>
        <w:t xml:space="preserve"> submitted its work to </w:t>
      </w:r>
      <w:r w:rsidR="00F4476E">
        <w:rPr>
          <w:lang w:val="en-US"/>
        </w:rPr>
        <w:t>the 27</w:t>
      </w:r>
      <w:r w:rsidR="00F4476E" w:rsidRPr="00433D21">
        <w:rPr>
          <w:vertAlign w:val="superscript"/>
          <w:lang w:val="en-US"/>
        </w:rPr>
        <w:t>th</w:t>
      </w:r>
      <w:r w:rsidR="00F4476E">
        <w:rPr>
          <w:lang w:val="en-US"/>
        </w:rPr>
        <w:t xml:space="preserve"> session of </w:t>
      </w:r>
      <w:r>
        <w:rPr>
          <w:lang w:val="en-US"/>
        </w:rPr>
        <w:t>IODE (Paris, 22</w:t>
      </w:r>
      <w:r w:rsidR="00F4476E">
        <w:rPr>
          <w:lang w:val="en-US"/>
        </w:rPr>
        <w:t>–</w:t>
      </w:r>
      <w:r>
        <w:rPr>
          <w:lang w:val="en-US"/>
        </w:rPr>
        <w:t xml:space="preserve">23 March 2023) </w:t>
      </w:r>
      <w:r w:rsidR="00F4476E">
        <w:rPr>
          <w:lang w:val="en-US"/>
        </w:rPr>
        <w:t>which recommended the revised strategic plan</w:t>
      </w:r>
      <w:r w:rsidR="00BB2CED">
        <w:rPr>
          <w:lang w:val="en-US"/>
        </w:rPr>
        <w:t xml:space="preserve"> for the endorsement of the IOC Assembly at this session</w:t>
      </w:r>
      <w:r w:rsidR="00BD2E24">
        <w:rPr>
          <w:lang w:val="en-US"/>
        </w:rPr>
        <w:t xml:space="preserve"> as given </w:t>
      </w:r>
      <w:r w:rsidR="00BD2E24" w:rsidRPr="00BD2E24">
        <w:rPr>
          <w:lang w:val="en-US"/>
        </w:rPr>
        <w:t>in IOC Manuals and Guide</w:t>
      </w:r>
      <w:r w:rsidR="00BD2E24">
        <w:rPr>
          <w:lang w:val="en-US"/>
        </w:rPr>
        <w:t>s,</w:t>
      </w:r>
      <w:r w:rsidR="00BD2E24" w:rsidRPr="00BD2E24">
        <w:rPr>
          <w:lang w:val="en-US"/>
        </w:rPr>
        <w:t xml:space="preserve"> </w:t>
      </w:r>
      <w:hyperlink r:id="rId15" w:history="1">
        <w:r w:rsidR="00BD2E24" w:rsidRPr="00BD2E24">
          <w:rPr>
            <w:rStyle w:val="Hyperlink"/>
            <w:lang w:val="en-US"/>
          </w:rPr>
          <w:t>92</w:t>
        </w:r>
      </w:hyperlink>
      <w:r w:rsidR="00BD2E24" w:rsidRPr="00BD2E24">
        <w:rPr>
          <w:lang w:val="en-US"/>
        </w:rPr>
        <w:t>.</w:t>
      </w:r>
    </w:p>
    <w:p w14:paraId="71F2735E" w14:textId="578126EC" w:rsidR="00976D89" w:rsidRPr="00433D21" w:rsidRDefault="00BD2E24" w:rsidP="00433D21">
      <w:pPr>
        <w:pStyle w:val="COI"/>
        <w:numPr>
          <w:ilvl w:val="0"/>
          <w:numId w:val="0"/>
        </w:numPr>
        <w:rPr>
          <w:b/>
          <w:bCs/>
        </w:rPr>
      </w:pPr>
      <w:r>
        <w:rPr>
          <w:b/>
          <w:bCs/>
        </w:rPr>
        <w:t>Outline of the</w:t>
      </w:r>
      <w:r w:rsidR="00976D89" w:rsidRPr="00433D21">
        <w:rPr>
          <w:b/>
          <w:bCs/>
        </w:rPr>
        <w:t xml:space="preserve"> </w:t>
      </w:r>
      <w:r w:rsidR="008C7F43" w:rsidRPr="00433D21">
        <w:rPr>
          <w:b/>
          <w:bCs/>
        </w:rPr>
        <w:t>revised</w:t>
      </w:r>
      <w:r w:rsidR="00976D89" w:rsidRPr="00433D21">
        <w:rPr>
          <w:b/>
          <w:bCs/>
        </w:rPr>
        <w:t xml:space="preserve"> strategic plan</w:t>
      </w:r>
    </w:p>
    <w:p w14:paraId="547276E7" w14:textId="51003CA4" w:rsidR="00976D89" w:rsidRDefault="00976D89" w:rsidP="00433D21">
      <w:pPr>
        <w:pStyle w:val="paranumbered"/>
        <w:spacing w:before="0" w:after="120" w:line="240" w:lineRule="auto"/>
      </w:pPr>
      <w:r>
        <w:t xml:space="preserve">The </w:t>
      </w:r>
      <w:r>
        <w:rPr>
          <w:b/>
        </w:rPr>
        <w:t>vision</w:t>
      </w:r>
      <w:r>
        <w:t xml:space="preserve"> of the IOC Strategic Plan for </w:t>
      </w:r>
      <w:r w:rsidR="008C7F43">
        <w:t xml:space="preserve">Ocean </w:t>
      </w:r>
      <w:r>
        <w:t>Data and Information Management (2023–2029) is to achieve:</w:t>
      </w:r>
    </w:p>
    <w:p w14:paraId="46485F7F" w14:textId="77777777" w:rsidR="00976D89" w:rsidRPr="005F50A1" w:rsidRDefault="00976D89" w:rsidP="00433D21">
      <w:pPr>
        <w:pStyle w:val="paranumbered"/>
        <w:numPr>
          <w:ilvl w:val="0"/>
          <w:numId w:val="0"/>
        </w:numPr>
        <w:spacing w:before="0" w:after="240" w:line="240" w:lineRule="auto"/>
        <w:ind w:left="720"/>
      </w:pPr>
      <w:r w:rsidRPr="005F50A1">
        <w:t>“</w:t>
      </w:r>
      <w:r w:rsidRPr="008C7F43">
        <w:rPr>
          <w:i/>
          <w:iCs/>
        </w:rPr>
        <w:t>A comprehensive and integrated ocean data and information system, serving the broad and diverse needs of IOC Member States, for management, policy-making and scientific use</w:t>
      </w:r>
      <w:r w:rsidRPr="005F50A1">
        <w:t>”.</w:t>
      </w:r>
    </w:p>
    <w:p w14:paraId="61847456" w14:textId="77777777" w:rsidR="00976D89" w:rsidRDefault="00976D89" w:rsidP="00433D21">
      <w:pPr>
        <w:pStyle w:val="paranumbered"/>
        <w:spacing w:before="0" w:after="120" w:line="240" w:lineRule="auto"/>
      </w:pPr>
      <w:r>
        <w:t xml:space="preserve">This will contribute both to the mission and vision of the IOC. The latter is: </w:t>
      </w:r>
    </w:p>
    <w:p w14:paraId="316FE1FB" w14:textId="77777777" w:rsidR="00976D89" w:rsidRPr="005F50A1" w:rsidRDefault="00976D89" w:rsidP="00433D21">
      <w:pPr>
        <w:pStyle w:val="paranumbered"/>
        <w:numPr>
          <w:ilvl w:val="0"/>
          <w:numId w:val="0"/>
        </w:numPr>
        <w:spacing w:before="0" w:after="240" w:line="240" w:lineRule="auto"/>
        <w:ind w:left="720"/>
        <w:rPr>
          <w:strike/>
          <w:color w:val="231F20"/>
        </w:rPr>
      </w:pPr>
      <w:r w:rsidRPr="005F50A1">
        <w:t>“</w:t>
      </w:r>
      <w:r w:rsidRPr="008C7F43">
        <w:rPr>
          <w:i/>
          <w:iCs/>
        </w:rPr>
        <w:t>To bring together governments and the science community in achieving the ‘Ocean We Need for the Future We Want.</w:t>
      </w:r>
      <w:r w:rsidRPr="005F50A1">
        <w:t>”</w:t>
      </w:r>
    </w:p>
    <w:p w14:paraId="42D0BE0D" w14:textId="4C726476" w:rsidR="00976D89" w:rsidRPr="00976D89" w:rsidRDefault="00976D89" w:rsidP="00433D21">
      <w:pPr>
        <w:pStyle w:val="paranumbered"/>
        <w:spacing w:before="0" w:after="240" w:line="240" w:lineRule="auto"/>
        <w:rPr>
          <w:color w:val="231F20"/>
        </w:rPr>
      </w:pPr>
      <w:r>
        <w:t xml:space="preserve">The IOC Strategic Plan for Ocean Data and Information Management describes the implementation of functional and interoperable data and information management practices and frameworks to ensure data and information availability. It guides IOC Programmes to effectively share and manage their data and information in a coordinated way and based on widely agreed practices </w:t>
      </w:r>
      <w:proofErr w:type="gramStart"/>
      <w:r>
        <w:t>so as to</w:t>
      </w:r>
      <w:proofErr w:type="gramEnd"/>
      <w:r>
        <w:t xml:space="preserve"> assist in fulfilling not only IOC’s objectives but also those of the Ocean Decade.</w:t>
      </w:r>
    </w:p>
    <w:p w14:paraId="5D17CB71" w14:textId="10BF02CE" w:rsidR="00976D89" w:rsidRDefault="00976D89" w:rsidP="00433D21">
      <w:pPr>
        <w:pStyle w:val="paranumbered"/>
        <w:spacing w:before="0" w:after="240" w:line="240" w:lineRule="auto"/>
      </w:pPr>
      <w:r>
        <w:t xml:space="preserve">The </w:t>
      </w:r>
      <w:r>
        <w:rPr>
          <w:b/>
        </w:rPr>
        <w:t>scope</w:t>
      </w:r>
      <w:r>
        <w:t xml:space="preserve"> of the IOC Strategic Plan for Ocean Data and Information Management is therefore intended to be </w:t>
      </w:r>
      <w:r>
        <w:rPr>
          <w:b/>
        </w:rPr>
        <w:t>comprehensive and cover all disciplines within the mandate of IOC</w:t>
      </w:r>
      <w:r>
        <w:t xml:space="preserve">. All types of data and </w:t>
      </w:r>
      <w:r w:rsidR="00433D21">
        <w:t xml:space="preserve">all </w:t>
      </w:r>
      <w:r>
        <w:t xml:space="preserve"> </w:t>
      </w:r>
      <w:r w:rsidR="00433D21">
        <w:t>time</w:t>
      </w:r>
      <w:r>
        <w:t>scales</w:t>
      </w:r>
      <w:r>
        <w:rPr>
          <w:b/>
        </w:rPr>
        <w:t xml:space="preserve"> </w:t>
      </w:r>
      <w:r>
        <w:t>for data delivery (</w:t>
      </w:r>
      <w:r w:rsidR="00433D21">
        <w:t>e.g.,</w:t>
      </w:r>
      <w:r>
        <w:t xml:space="preserve"> real-time </w:t>
      </w:r>
      <w:r w:rsidRPr="008F74D3">
        <w:rPr>
          <w:i/>
          <w:iCs/>
        </w:rPr>
        <w:t>versus</w:t>
      </w:r>
      <w:r>
        <w:t xml:space="preserve"> delayed mode) as well as synthesis products and model output are included. Different strategies might be employed to satisfy global, </w:t>
      </w:r>
      <w:r w:rsidR="008C7F43">
        <w:t>regional,</w:t>
      </w:r>
      <w:r>
        <w:t xml:space="preserve"> and local requirements, and to meet timeliness needs. We must move towards a coherent ocean data and information management communications strategy to enable us to integrate the wide variety of complex marine environmental measurements and observations across disciplines, institutions, and temporal and spatial scales.</w:t>
      </w:r>
    </w:p>
    <w:p w14:paraId="6B4B8547" w14:textId="77777777" w:rsidR="00D9076C" w:rsidRDefault="00D9076C" w:rsidP="00433D21">
      <w:pPr>
        <w:pStyle w:val="paranumbered"/>
        <w:spacing w:before="0" w:after="240" w:line="240" w:lineRule="auto"/>
      </w:pPr>
      <w:r w:rsidRPr="00D9076C">
        <w:t>The</w:t>
      </w:r>
      <w:r>
        <w:t xml:space="preserve"> </w:t>
      </w:r>
      <w:r>
        <w:rPr>
          <w:b/>
        </w:rPr>
        <w:t>aim</w:t>
      </w:r>
      <w:r>
        <w:t xml:space="preserve"> is to ensure the establishment of </w:t>
      </w:r>
      <w:r>
        <w:rPr>
          <w:b/>
          <w:i/>
        </w:rPr>
        <w:t>a comprehensive and integrated ocean data and information ecosystem</w:t>
      </w:r>
      <w:r>
        <w:t xml:space="preserve"> for all ocean activities. It is essential that the existing and operational national, regional, and international systems can connect to the integrated global system.</w:t>
      </w:r>
    </w:p>
    <w:p w14:paraId="4B44EE1A" w14:textId="77777777" w:rsidR="00D9076C" w:rsidRDefault="00D9076C" w:rsidP="00433D21">
      <w:pPr>
        <w:pStyle w:val="paranumbered"/>
        <w:spacing w:before="0" w:after="120" w:line="240" w:lineRule="auto"/>
      </w:pPr>
      <w:r w:rsidRPr="00D9076C">
        <w:t>The</w:t>
      </w:r>
      <w:r>
        <w:t xml:space="preserve"> </w:t>
      </w:r>
      <w:r>
        <w:rPr>
          <w:b/>
        </w:rPr>
        <w:t>objectives</w:t>
      </w:r>
      <w:r>
        <w:t xml:space="preserve"> of the Strategic Plan are to deliver:</w:t>
      </w:r>
    </w:p>
    <w:p w14:paraId="2E6F3848" w14:textId="77777777" w:rsidR="00D9076C" w:rsidRDefault="00D9076C" w:rsidP="00433D21">
      <w:pPr>
        <w:pStyle w:val="ListParagraph"/>
        <w:numPr>
          <w:ilvl w:val="0"/>
          <w:numId w:val="7"/>
        </w:numPr>
        <w:tabs>
          <w:tab w:val="clear" w:pos="567"/>
        </w:tabs>
        <w:spacing w:after="120"/>
        <w:ind w:left="1276" w:hanging="567"/>
        <w:contextualSpacing w:val="0"/>
        <w:jc w:val="both"/>
      </w:pPr>
      <w:r>
        <w:lastRenderedPageBreak/>
        <w:t xml:space="preserve">interoperable, quality-controlled data on a diverse range of variables: (i) generated according to scientifically and operationally sound methods; and (ii) persistently archived in well-documented, globally applicable standards and </w:t>
      </w:r>
      <w:proofErr w:type="gramStart"/>
      <w:r>
        <w:t>formats;</w:t>
      </w:r>
      <w:proofErr w:type="gramEnd"/>
    </w:p>
    <w:p w14:paraId="7BCEFE04" w14:textId="77777777" w:rsidR="00D9076C" w:rsidRDefault="00D9076C" w:rsidP="00433D21">
      <w:pPr>
        <w:pStyle w:val="ListParagraph"/>
        <w:numPr>
          <w:ilvl w:val="0"/>
          <w:numId w:val="7"/>
        </w:numPr>
        <w:tabs>
          <w:tab w:val="clear" w:pos="567"/>
        </w:tabs>
        <w:spacing w:after="120"/>
        <w:ind w:left="1276" w:hanging="567"/>
        <w:contextualSpacing w:val="0"/>
        <w:jc w:val="both"/>
      </w:pPr>
      <w:r>
        <w:t xml:space="preserve">timely dissemination of data on a diverse range of variables (generated from observations and model outputs) both in real-time and delayed modes depending on the needs of user groups and their technical capabilities (“on demand” as well as automatically scheduled); and </w:t>
      </w:r>
    </w:p>
    <w:p w14:paraId="4EF3D3D1" w14:textId="77777777" w:rsidR="00D9076C" w:rsidRDefault="00D9076C" w:rsidP="00433D21">
      <w:pPr>
        <w:pStyle w:val="ListParagraph"/>
        <w:numPr>
          <w:ilvl w:val="0"/>
          <w:numId w:val="7"/>
        </w:numPr>
        <w:tabs>
          <w:tab w:val="clear" w:pos="567"/>
        </w:tabs>
        <w:snapToGrid/>
        <w:spacing w:after="240"/>
        <w:ind w:left="1276" w:hanging="567"/>
        <w:contextualSpacing w:val="0"/>
        <w:jc w:val="both"/>
      </w:pPr>
      <w:r>
        <w:t xml:space="preserve">easy discovery and access to data and information about a diverse range of variables and derived products (including forecasts, </w:t>
      </w:r>
      <w:proofErr w:type="gramStart"/>
      <w:r>
        <w:t>alerts</w:t>
      </w:r>
      <w:proofErr w:type="gramEnd"/>
      <w:r>
        <w:t xml:space="preserve"> and warnings) in a way that is user friendly for a wide variety of users.</w:t>
      </w:r>
    </w:p>
    <w:p w14:paraId="7B11D635" w14:textId="77777777" w:rsidR="00D9076C" w:rsidRDefault="00D9076C" w:rsidP="00433D21">
      <w:pPr>
        <w:pStyle w:val="paranumbered"/>
        <w:spacing w:before="0" w:after="120" w:line="240" w:lineRule="auto"/>
      </w:pPr>
      <w:r>
        <w:t xml:space="preserve">The implementation of the </w:t>
      </w:r>
      <w:r w:rsidRPr="00D9076C">
        <w:t>Strategic</w:t>
      </w:r>
      <w:r>
        <w:t xml:space="preserve"> Plan should </w:t>
      </w:r>
      <w:proofErr w:type="gramStart"/>
      <w:r>
        <w:t>take into account</w:t>
      </w:r>
      <w:proofErr w:type="gramEnd"/>
      <w:r>
        <w:t>:</w:t>
      </w:r>
    </w:p>
    <w:p w14:paraId="7653B4EC" w14:textId="512C8A3C" w:rsidR="00D9076C" w:rsidRPr="00791FB1" w:rsidRDefault="00D9076C" w:rsidP="00433D21">
      <w:pPr>
        <w:pStyle w:val="ListParagraph"/>
        <w:numPr>
          <w:ilvl w:val="0"/>
          <w:numId w:val="6"/>
        </w:numPr>
        <w:tabs>
          <w:tab w:val="clear" w:pos="567"/>
        </w:tabs>
        <w:snapToGrid/>
        <w:spacing w:after="120"/>
        <w:ind w:left="1276" w:hanging="567"/>
        <w:contextualSpacing w:val="0"/>
        <w:jc w:val="both"/>
        <w:rPr>
          <w:szCs w:val="22"/>
        </w:rPr>
      </w:pPr>
      <w:r w:rsidRPr="00791FB1">
        <w:rPr>
          <w:szCs w:val="22"/>
        </w:rPr>
        <w:t xml:space="preserve">Developments within the IOC/IODE Ocean Data and Information System (ODIS) and the </w:t>
      </w:r>
      <w:proofErr w:type="spellStart"/>
      <w:r w:rsidRPr="00791FB1">
        <w:rPr>
          <w:szCs w:val="22"/>
        </w:rPr>
        <w:t>ODIScat</w:t>
      </w:r>
      <w:proofErr w:type="spellEnd"/>
      <w:r w:rsidRPr="00791FB1">
        <w:rPr>
          <w:szCs w:val="22"/>
        </w:rPr>
        <w:t xml:space="preserve"> catalogue of online data and information services as an interoperability framework to interlink international, regional and national digital </w:t>
      </w:r>
      <w:proofErr w:type="gramStart"/>
      <w:r w:rsidRPr="00791FB1">
        <w:rPr>
          <w:szCs w:val="22"/>
        </w:rPr>
        <w:t>resources;</w:t>
      </w:r>
      <w:proofErr w:type="gramEnd"/>
    </w:p>
    <w:p w14:paraId="0450C3BD" w14:textId="77777777" w:rsidR="00D9076C" w:rsidRPr="00791FB1" w:rsidRDefault="00D9076C" w:rsidP="00433D21">
      <w:pPr>
        <w:pStyle w:val="ListParagraph"/>
        <w:numPr>
          <w:ilvl w:val="0"/>
          <w:numId w:val="6"/>
        </w:numPr>
        <w:tabs>
          <w:tab w:val="clear" w:pos="567"/>
        </w:tabs>
        <w:snapToGrid/>
        <w:spacing w:after="120"/>
        <w:ind w:left="1276" w:hanging="567"/>
        <w:contextualSpacing w:val="0"/>
        <w:jc w:val="both"/>
        <w:rPr>
          <w:szCs w:val="22"/>
        </w:rPr>
      </w:pPr>
      <w:r w:rsidRPr="00791FB1">
        <w:rPr>
          <w:szCs w:val="22"/>
        </w:rPr>
        <w:t xml:space="preserve">Developments within the IOC/GOOS Observations Coordination Group (OCG) to map the data flows of the global </w:t>
      </w:r>
      <w:r w:rsidRPr="00433D21">
        <w:rPr>
          <w:i/>
          <w:iCs/>
          <w:szCs w:val="22"/>
        </w:rPr>
        <w:t>in situ</w:t>
      </w:r>
      <w:r w:rsidRPr="00791FB1">
        <w:rPr>
          <w:szCs w:val="22"/>
        </w:rPr>
        <w:t xml:space="preserve"> networks and develop a data implementation </w:t>
      </w:r>
      <w:proofErr w:type="gramStart"/>
      <w:r w:rsidRPr="00791FB1">
        <w:rPr>
          <w:szCs w:val="22"/>
        </w:rPr>
        <w:t>plan;</w:t>
      </w:r>
      <w:proofErr w:type="gramEnd"/>
      <w:r w:rsidRPr="00791FB1">
        <w:rPr>
          <w:szCs w:val="22"/>
        </w:rPr>
        <w:t xml:space="preserve"> </w:t>
      </w:r>
    </w:p>
    <w:p w14:paraId="2971E2D5" w14:textId="77777777" w:rsidR="00D9076C" w:rsidRPr="00791FB1" w:rsidRDefault="00D9076C" w:rsidP="00433D21">
      <w:pPr>
        <w:pStyle w:val="ListParagraph"/>
        <w:numPr>
          <w:ilvl w:val="0"/>
          <w:numId w:val="6"/>
        </w:numPr>
        <w:tabs>
          <w:tab w:val="clear" w:pos="567"/>
        </w:tabs>
        <w:snapToGrid/>
        <w:spacing w:after="120"/>
        <w:ind w:left="1276" w:hanging="567"/>
        <w:contextualSpacing w:val="0"/>
        <w:jc w:val="both"/>
        <w:rPr>
          <w:szCs w:val="22"/>
        </w:rPr>
      </w:pPr>
      <w:r w:rsidRPr="00791FB1">
        <w:rPr>
          <w:szCs w:val="22"/>
        </w:rPr>
        <w:t xml:space="preserve">Developments within the IODE/GOOS Ocean Best Practices System (OBPS), noting that currently not all methods and best practices relevant to the IOC Strategic Plan for </w:t>
      </w:r>
      <w:r>
        <w:rPr>
          <w:szCs w:val="22"/>
        </w:rPr>
        <w:t xml:space="preserve">Ocean </w:t>
      </w:r>
      <w:r w:rsidRPr="00791FB1">
        <w:rPr>
          <w:szCs w:val="22"/>
        </w:rPr>
        <w:t xml:space="preserve">Data and Information Management are </w:t>
      </w:r>
      <w:proofErr w:type="gramStart"/>
      <w:r w:rsidRPr="00791FB1">
        <w:rPr>
          <w:szCs w:val="22"/>
        </w:rPr>
        <w:t>included;</w:t>
      </w:r>
      <w:proofErr w:type="gramEnd"/>
    </w:p>
    <w:p w14:paraId="1117CF90" w14:textId="77777777" w:rsidR="00D9076C" w:rsidRPr="00791FB1" w:rsidRDefault="00D9076C" w:rsidP="00433D21">
      <w:pPr>
        <w:pStyle w:val="ListParagraph"/>
        <w:numPr>
          <w:ilvl w:val="0"/>
          <w:numId w:val="6"/>
        </w:numPr>
        <w:tabs>
          <w:tab w:val="clear" w:pos="567"/>
        </w:tabs>
        <w:snapToGrid/>
        <w:spacing w:after="120"/>
        <w:ind w:left="1276" w:hanging="567"/>
        <w:contextualSpacing w:val="0"/>
        <w:jc w:val="both"/>
        <w:rPr>
          <w:szCs w:val="22"/>
        </w:rPr>
      </w:pPr>
      <w:r w:rsidRPr="00791FB1">
        <w:rPr>
          <w:szCs w:val="22"/>
        </w:rPr>
        <w:t>The IOC Capacity Development Strategy (2023) and IOC Data Policy and Terms of Use (2023</w:t>
      </w:r>
      <w:proofErr w:type="gramStart"/>
      <w:r w:rsidRPr="00791FB1">
        <w:rPr>
          <w:szCs w:val="22"/>
        </w:rPr>
        <w:t>);</w:t>
      </w:r>
      <w:proofErr w:type="gramEnd"/>
    </w:p>
    <w:p w14:paraId="5982740B" w14:textId="77777777" w:rsidR="00D9076C" w:rsidRPr="00791FB1" w:rsidRDefault="00D9076C" w:rsidP="00433D21">
      <w:pPr>
        <w:pStyle w:val="ListParagraph"/>
        <w:numPr>
          <w:ilvl w:val="0"/>
          <w:numId w:val="6"/>
        </w:numPr>
        <w:tabs>
          <w:tab w:val="clear" w:pos="567"/>
        </w:tabs>
        <w:snapToGrid/>
        <w:spacing w:after="120"/>
        <w:ind w:left="1276" w:hanging="567"/>
        <w:contextualSpacing w:val="0"/>
        <w:jc w:val="both"/>
        <w:rPr>
          <w:szCs w:val="22"/>
        </w:rPr>
      </w:pPr>
      <w:r w:rsidRPr="00791FB1">
        <w:rPr>
          <w:szCs w:val="22"/>
        </w:rPr>
        <w:t xml:space="preserve">The need to support the data and information requirements for marine services, transportation, ocean forecasts, climate change and variability studies and scientific </w:t>
      </w:r>
      <w:proofErr w:type="gramStart"/>
      <w:r w:rsidRPr="00791FB1">
        <w:rPr>
          <w:szCs w:val="22"/>
        </w:rPr>
        <w:t>research;</w:t>
      </w:r>
      <w:proofErr w:type="gramEnd"/>
    </w:p>
    <w:p w14:paraId="7CAAB4B1" w14:textId="67060BE0" w:rsidR="00D9076C" w:rsidRPr="00791FB1" w:rsidRDefault="00D9076C" w:rsidP="00433D21">
      <w:pPr>
        <w:pStyle w:val="ListParagraph"/>
        <w:numPr>
          <w:ilvl w:val="0"/>
          <w:numId w:val="6"/>
        </w:numPr>
        <w:tabs>
          <w:tab w:val="clear" w:pos="567"/>
        </w:tabs>
        <w:snapToGrid/>
        <w:spacing w:after="120"/>
        <w:ind w:left="1276" w:hanging="567"/>
        <w:contextualSpacing w:val="0"/>
        <w:jc w:val="both"/>
        <w:rPr>
          <w:szCs w:val="22"/>
        </w:rPr>
      </w:pPr>
      <w:r w:rsidRPr="00791FB1">
        <w:rPr>
          <w:szCs w:val="22"/>
        </w:rPr>
        <w:t>The need to support IOC’s efforts related to its custodian responsibility for indicators for SDG target 14.3</w:t>
      </w:r>
      <w:r w:rsidR="00550523">
        <w:rPr>
          <w:szCs w:val="22"/>
        </w:rPr>
        <w:t>.1</w:t>
      </w:r>
      <w:r w:rsidRPr="00791FB1">
        <w:rPr>
          <w:szCs w:val="22"/>
        </w:rPr>
        <w:t xml:space="preserve"> on ocean acidification and SDG target 14.</w:t>
      </w:r>
      <w:proofErr w:type="spellStart"/>
      <w:r w:rsidRPr="00791FB1">
        <w:rPr>
          <w:szCs w:val="22"/>
        </w:rPr>
        <w:t>a</w:t>
      </w:r>
      <w:proofErr w:type="spellEnd"/>
      <w:r w:rsidRPr="00791FB1">
        <w:rPr>
          <w:szCs w:val="22"/>
        </w:rPr>
        <w:t xml:space="preserve"> on marine scientific </w:t>
      </w:r>
      <w:proofErr w:type="gramStart"/>
      <w:r w:rsidRPr="00791FB1">
        <w:rPr>
          <w:szCs w:val="22"/>
        </w:rPr>
        <w:t>research;</w:t>
      </w:r>
      <w:proofErr w:type="gramEnd"/>
    </w:p>
    <w:p w14:paraId="3BE2DD51" w14:textId="77777777" w:rsidR="00D9076C" w:rsidRPr="00791FB1" w:rsidRDefault="00D9076C" w:rsidP="00433D21">
      <w:pPr>
        <w:pStyle w:val="ListParagraph"/>
        <w:numPr>
          <w:ilvl w:val="0"/>
          <w:numId w:val="6"/>
        </w:numPr>
        <w:tabs>
          <w:tab w:val="clear" w:pos="567"/>
        </w:tabs>
        <w:snapToGrid/>
        <w:spacing w:after="120"/>
        <w:ind w:left="1276" w:hanging="567"/>
        <w:contextualSpacing w:val="0"/>
        <w:jc w:val="both"/>
        <w:rPr>
          <w:szCs w:val="22"/>
        </w:rPr>
      </w:pPr>
      <w:r w:rsidRPr="00791FB1">
        <w:rPr>
          <w:szCs w:val="22"/>
        </w:rPr>
        <w:t xml:space="preserve">The recognition and inclusion of Indigenous and Local Knowledge (ILK) to ensure this knowledge is appropriately </w:t>
      </w:r>
      <w:proofErr w:type="gramStart"/>
      <w:r w:rsidRPr="00791FB1">
        <w:rPr>
          <w:szCs w:val="22"/>
        </w:rPr>
        <w:t>integrated;</w:t>
      </w:r>
      <w:proofErr w:type="gramEnd"/>
    </w:p>
    <w:p w14:paraId="09513F60" w14:textId="77777777" w:rsidR="00D9076C" w:rsidRPr="00791FB1" w:rsidRDefault="00D9076C" w:rsidP="00433D21">
      <w:pPr>
        <w:pStyle w:val="ListParagraph"/>
        <w:numPr>
          <w:ilvl w:val="0"/>
          <w:numId w:val="6"/>
        </w:numPr>
        <w:tabs>
          <w:tab w:val="clear" w:pos="567"/>
        </w:tabs>
        <w:snapToGrid/>
        <w:spacing w:after="120"/>
        <w:ind w:left="1276" w:hanging="567"/>
        <w:contextualSpacing w:val="0"/>
        <w:jc w:val="both"/>
        <w:rPr>
          <w:szCs w:val="22"/>
        </w:rPr>
      </w:pPr>
      <w:r w:rsidRPr="00791FB1">
        <w:rPr>
          <w:szCs w:val="22"/>
        </w:rPr>
        <w:t xml:space="preserve">The support of community data principles such as FAIR (Findable, Accessible, Interoperable and Reusable), CARE (Collective benefit, Authority to control, Responsibility, Ethics), and TRUST (Transparency, Responsibility, User Focus, Sustainability, Technology); and ‘Trusted Repository’ </w:t>
      </w:r>
      <w:proofErr w:type="gramStart"/>
      <w:r w:rsidRPr="00791FB1">
        <w:rPr>
          <w:szCs w:val="22"/>
        </w:rPr>
        <w:t>protocols;</w:t>
      </w:r>
      <w:proofErr w:type="gramEnd"/>
    </w:p>
    <w:p w14:paraId="0CF8FC47" w14:textId="77777777" w:rsidR="00D9076C" w:rsidRPr="00791FB1" w:rsidRDefault="00D9076C" w:rsidP="00433D21">
      <w:pPr>
        <w:pStyle w:val="ListParagraph"/>
        <w:numPr>
          <w:ilvl w:val="0"/>
          <w:numId w:val="6"/>
        </w:numPr>
        <w:tabs>
          <w:tab w:val="clear" w:pos="567"/>
        </w:tabs>
        <w:snapToGrid/>
        <w:spacing w:after="120"/>
        <w:ind w:left="1276" w:hanging="567"/>
        <w:contextualSpacing w:val="0"/>
        <w:jc w:val="both"/>
        <w:rPr>
          <w:szCs w:val="22"/>
        </w:rPr>
      </w:pPr>
      <w:r w:rsidRPr="00791FB1">
        <w:rPr>
          <w:szCs w:val="22"/>
        </w:rPr>
        <w:t>The need to undertake marine assessments and routinely provide indices on the “health” of the marine environment, such as assessments under the UN Regular Process (World Ocean Assessment) and the Intergovernmental Platform on Biodiversity and Ecosystem Services (IPBES</w:t>
      </w:r>
      <w:proofErr w:type="gramStart"/>
      <w:r w:rsidRPr="00791FB1">
        <w:rPr>
          <w:szCs w:val="22"/>
        </w:rPr>
        <w:t>);</w:t>
      </w:r>
      <w:proofErr w:type="gramEnd"/>
    </w:p>
    <w:p w14:paraId="46F2DE53" w14:textId="77777777" w:rsidR="00D9076C" w:rsidRPr="00451C4E" w:rsidRDefault="00D9076C" w:rsidP="00433D21">
      <w:pPr>
        <w:pStyle w:val="ListParagraph"/>
        <w:numPr>
          <w:ilvl w:val="0"/>
          <w:numId w:val="6"/>
        </w:numPr>
        <w:tabs>
          <w:tab w:val="clear" w:pos="567"/>
        </w:tabs>
        <w:snapToGrid/>
        <w:spacing w:after="240"/>
        <w:ind w:left="1276" w:hanging="567"/>
        <w:contextualSpacing w:val="0"/>
        <w:jc w:val="both"/>
        <w:rPr>
          <w:szCs w:val="22"/>
        </w:rPr>
      </w:pPr>
      <w:r w:rsidRPr="00451C4E">
        <w:rPr>
          <w:szCs w:val="22"/>
        </w:rPr>
        <w:t>The call from the Convention on Biological Diversity (CBD) to IOC and its OBIS to provide data and information for the identification of Ecologically or Biologically Significant Areas (EBSAs), and to support the CBD’s post-2020 Global Biodiversity Framework through GOOS and OBIS.</w:t>
      </w:r>
    </w:p>
    <w:p w14:paraId="0A1D5443" w14:textId="77777777" w:rsidR="00D9076C" w:rsidRDefault="00D9076C" w:rsidP="00433D21">
      <w:pPr>
        <w:pStyle w:val="paranumbered"/>
        <w:spacing w:before="0" w:after="240" w:line="240" w:lineRule="auto"/>
      </w:pPr>
      <w:r>
        <w:t xml:space="preserve">The expected outcome of the IOC Strategic Plan for Data and Information Management is to achieve significant enhancement of infrastructure, common approaches in ocean data and information management that enable interoperable data sharing and stewardship, and enhanced collaboration between data providers and users. </w:t>
      </w:r>
    </w:p>
    <w:p w14:paraId="223632FB" w14:textId="77777777" w:rsidR="00D9076C" w:rsidRDefault="00D9076C" w:rsidP="00433D21">
      <w:pPr>
        <w:pStyle w:val="paranumbered"/>
        <w:spacing w:before="0" w:after="240" w:line="240" w:lineRule="auto"/>
      </w:pPr>
      <w:r w:rsidRPr="00D9076C">
        <w:t xml:space="preserve">It will implement a </w:t>
      </w:r>
      <w:r w:rsidRPr="00D9076C">
        <w:rPr>
          <w:b/>
        </w:rPr>
        <w:t xml:space="preserve">“digital ocean ecosystem” </w:t>
      </w:r>
      <w:r w:rsidRPr="00D9076C">
        <w:t xml:space="preserve">as a dynamic and continuous process, incorporating established approaches and technologies as well as those that are only just emerging. </w:t>
      </w:r>
      <w:r w:rsidRPr="00D9076C">
        <w:lastRenderedPageBreak/>
        <w:t>In close cooperation with the UN Decade of Ocean Science for Sustainable Development it will aim at representing the socio-ecological dimensions of the ocean through digital means.</w:t>
      </w:r>
    </w:p>
    <w:p w14:paraId="74F5E559" w14:textId="0ADB4EDD" w:rsidR="00D9076C" w:rsidRPr="00BC79D5" w:rsidRDefault="00D9076C" w:rsidP="00433D21">
      <w:pPr>
        <w:pStyle w:val="paranumbered"/>
        <w:spacing w:before="0" w:after="240" w:line="240" w:lineRule="auto"/>
        <w:rPr>
          <w:lang w:val="en-US"/>
        </w:rPr>
      </w:pPr>
      <w:r>
        <w:t xml:space="preserve">If endorsed then the </w:t>
      </w:r>
      <w:r w:rsidRPr="00041E70">
        <w:rPr>
          <w:b/>
          <w:bCs/>
          <w:lang w:val="en-US"/>
        </w:rPr>
        <w:t>I</w:t>
      </w:r>
      <w:r w:rsidRPr="00D9076C">
        <w:rPr>
          <w:lang w:val="en-US"/>
        </w:rPr>
        <w:t>OC Strategic Plan for Ocean Data and Information Management (2023–2029) will be published as IOC Manuals and Guides</w:t>
      </w:r>
      <w:r w:rsidR="00717FD5">
        <w:rPr>
          <w:lang w:val="en-US"/>
        </w:rPr>
        <w:t xml:space="preserve">; </w:t>
      </w:r>
      <w:hyperlink r:id="rId16" w:history="1">
        <w:r w:rsidRPr="00717FD5">
          <w:rPr>
            <w:rStyle w:val="Hyperlink"/>
            <w:lang w:val="en-US"/>
          </w:rPr>
          <w:t>92</w:t>
        </w:r>
      </w:hyperlink>
      <w:r>
        <w:rPr>
          <w:lang w:val="en-US"/>
        </w:rPr>
        <w:t xml:space="preserve">, in replacement of IOC Manuals and Guides No. </w:t>
      </w:r>
      <w:hyperlink r:id="rId17" w:history="1">
        <w:r w:rsidRPr="00BD2E24">
          <w:rPr>
            <w:rStyle w:val="Hyperlink"/>
            <w:lang w:val="en-US"/>
          </w:rPr>
          <w:t>77</w:t>
        </w:r>
      </w:hyperlink>
      <w:r>
        <w:rPr>
          <w:lang w:val="en-US"/>
        </w:rPr>
        <w:t>.</w:t>
      </w:r>
    </w:p>
    <w:p w14:paraId="6B52F161" w14:textId="77777777" w:rsidR="00BC79D5" w:rsidRPr="00433D21" w:rsidRDefault="00AD06D8" w:rsidP="00704456">
      <w:pPr>
        <w:pStyle w:val="COI"/>
        <w:numPr>
          <w:ilvl w:val="0"/>
          <w:numId w:val="0"/>
        </w:numPr>
        <w:rPr>
          <w:b/>
          <w:bCs/>
        </w:rPr>
      </w:pPr>
      <w:r w:rsidRPr="00433D21">
        <w:rPr>
          <w:b/>
          <w:bCs/>
        </w:rPr>
        <w:t>Proposed decision</w:t>
      </w:r>
    </w:p>
    <w:p w14:paraId="10C1C20E" w14:textId="42613DF6" w:rsidR="00AD06D8" w:rsidRPr="00BC79D5" w:rsidRDefault="00AD06D8" w:rsidP="00433D21">
      <w:pPr>
        <w:pStyle w:val="paranumbered"/>
        <w:spacing w:before="0" w:after="240" w:line="240" w:lineRule="auto"/>
        <w:rPr>
          <w:u w:val="single"/>
        </w:rPr>
      </w:pPr>
      <w:proofErr w:type="gramStart"/>
      <w:r w:rsidRPr="00003B31">
        <w:t xml:space="preserve">In </w:t>
      </w:r>
      <w:r w:rsidRPr="00AD06D8">
        <w:t>light</w:t>
      </w:r>
      <w:r w:rsidRPr="00003B31">
        <w:t xml:space="preserve"> of</w:t>
      </w:r>
      <w:proofErr w:type="gramEnd"/>
      <w:r w:rsidRPr="00003B31">
        <w:t xml:space="preserve"> the foregoing, the IOC </w:t>
      </w:r>
      <w:r>
        <w:t>Assembly</w:t>
      </w:r>
      <w:r w:rsidRPr="00003B31">
        <w:t xml:space="preserve"> may wish to consider</w:t>
      </w:r>
      <w:r w:rsidR="00BD2E24">
        <w:t xml:space="preserve"> Dec.</w:t>
      </w:r>
      <w:r w:rsidRPr="00003B31">
        <w:t xml:space="preserve"> </w:t>
      </w:r>
      <w:r>
        <w:rPr>
          <w:lang w:val="en-US"/>
        </w:rPr>
        <w:t>IOC-</w:t>
      </w:r>
      <w:r w:rsidR="00BC79D5">
        <w:rPr>
          <w:lang w:val="en-US"/>
        </w:rPr>
        <w:t>32</w:t>
      </w:r>
      <w:r>
        <w:rPr>
          <w:b/>
        </w:rPr>
        <w:t>/</w:t>
      </w:r>
      <w:r w:rsidR="00976D89">
        <w:t>3.</w:t>
      </w:r>
      <w:r>
        <w:t>4</w:t>
      </w:r>
      <w:r w:rsidR="00976D89">
        <w:t>.2</w:t>
      </w:r>
      <w:r w:rsidR="00BD2E24">
        <w:t xml:space="preserve"> (Part </w:t>
      </w:r>
      <w:r w:rsidR="00D9076C">
        <w:t>II</w:t>
      </w:r>
      <w:r w:rsidR="00BD2E24">
        <w:t>)</w:t>
      </w:r>
      <w:r>
        <w:t xml:space="preserve"> proposed in the Action Paper (IOC-</w:t>
      </w:r>
      <w:r w:rsidR="00BC79D5">
        <w:t>32</w:t>
      </w:r>
      <w:r>
        <w:t>/2 Prov.)</w:t>
      </w:r>
      <w:r w:rsidR="00BD2E24">
        <w:t>.</w:t>
      </w:r>
    </w:p>
    <w:p w14:paraId="7B4BBF5C" w14:textId="77777777" w:rsidR="00AD06D8" w:rsidRDefault="00AD06D8" w:rsidP="00853565">
      <w:pPr>
        <w:pStyle w:val="COI"/>
        <w:numPr>
          <w:ilvl w:val="0"/>
          <w:numId w:val="0"/>
        </w:numPr>
      </w:pPr>
    </w:p>
    <w:sectPr w:rsidR="00AD06D8" w:rsidSect="003F7186">
      <w:headerReference w:type="even" r:id="rId18"/>
      <w:headerReference w:type="default" r:id="rId19"/>
      <w:headerReference w:type="first" r:id="rId20"/>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161B2" w14:textId="77777777" w:rsidR="00BB0DC7" w:rsidRDefault="00BB0DC7">
      <w:r>
        <w:separator/>
      </w:r>
    </w:p>
  </w:endnote>
  <w:endnote w:type="continuationSeparator" w:id="0">
    <w:p w14:paraId="7E304E3B" w14:textId="77777777" w:rsidR="00BB0DC7" w:rsidRDefault="00BB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0F660" w14:textId="77777777" w:rsidR="00BB0DC7" w:rsidRDefault="00BB0DC7">
      <w:r>
        <w:separator/>
      </w:r>
    </w:p>
  </w:footnote>
  <w:footnote w:type="continuationSeparator" w:id="0">
    <w:p w14:paraId="0FACEAB9" w14:textId="77777777" w:rsidR="00BB0DC7" w:rsidRDefault="00BB0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5CDC" w14:textId="77777777" w:rsidR="00020AA1" w:rsidRPr="00C962F0" w:rsidRDefault="00020AA1">
    <w:pPr>
      <w:pStyle w:val="Header"/>
      <w:rPr>
        <w:szCs w:val="22"/>
      </w:rPr>
    </w:pPr>
    <w:r w:rsidRPr="00C962F0">
      <w:rPr>
        <w:szCs w:val="22"/>
      </w:rPr>
      <w:t>ICG/CARIBE-EWS II/WD </w:t>
    </w:r>
    <w:r w:rsidRPr="00C962F0">
      <w:rPr>
        <w:szCs w:val="22"/>
        <w:highlight w:val="cyan"/>
      </w:rPr>
      <w:t>__</w:t>
    </w:r>
  </w:p>
  <w:p w14:paraId="48634EFF" w14:textId="77777777" w:rsidR="00020AA1" w:rsidRPr="00C962F0" w:rsidRDefault="00020AA1">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24D4" w14:textId="77777777" w:rsidR="00020AA1" w:rsidRPr="00746B89" w:rsidRDefault="00020AA1" w:rsidP="00DF2FB9">
    <w:pPr>
      <w:pStyle w:val="Header"/>
      <w:tabs>
        <w:tab w:val="clear" w:pos="8306"/>
      </w:tabs>
      <w:rPr>
        <w:szCs w:val="22"/>
      </w:rPr>
    </w:pPr>
    <w:r w:rsidRPr="00746B89">
      <w:rPr>
        <w:szCs w:val="22"/>
      </w:rPr>
      <w:t xml:space="preserve">IOC-XXIV/2 Annex </w:t>
    </w:r>
    <w:r w:rsidRPr="00746B89">
      <w:rPr>
        <w:szCs w:val="22"/>
        <w:highlight w:val="yellow"/>
      </w:rPr>
      <w:t>__</w:t>
    </w:r>
  </w:p>
  <w:p w14:paraId="4AA6D70B" w14:textId="77777777" w:rsidR="00020AA1" w:rsidRPr="00746B89" w:rsidRDefault="00020AA1"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7D94AEC3"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23D0" w14:textId="60AEF8B3" w:rsidR="00020AA1" w:rsidRPr="005E544C" w:rsidRDefault="00020AA1" w:rsidP="005742D0">
    <w:pPr>
      <w:pStyle w:val="Marge"/>
      <w:tabs>
        <w:tab w:val="left" w:pos="6096"/>
      </w:tabs>
      <w:spacing w:after="0"/>
      <w:rPr>
        <w:rFonts w:cs="Arial"/>
        <w:b/>
        <w:szCs w:val="22"/>
      </w:rPr>
    </w:pPr>
    <w:r w:rsidRPr="005E544C">
      <w:rPr>
        <w:rFonts w:cs="Arial"/>
        <w:szCs w:val="22"/>
      </w:rPr>
      <w:t>Restricted Distribution</w:t>
    </w:r>
    <w:r w:rsidRPr="005E544C">
      <w:rPr>
        <w:rFonts w:cs="Arial"/>
        <w:szCs w:val="22"/>
      </w:rPr>
      <w:tab/>
    </w:r>
    <w:r w:rsidRPr="008A6E5C">
      <w:rPr>
        <w:rFonts w:cs="Arial"/>
        <w:b/>
        <w:sz w:val="36"/>
        <w:szCs w:val="36"/>
      </w:rPr>
      <w:t>IOC</w:t>
    </w:r>
    <w:r w:rsidR="00FC2521">
      <w:rPr>
        <w:rFonts w:cs="Arial"/>
        <w:b/>
        <w:sz w:val="36"/>
        <w:szCs w:val="36"/>
      </w:rPr>
      <w:t>-</w:t>
    </w:r>
    <w:r w:rsidR="005742D0">
      <w:rPr>
        <w:rFonts w:cs="Arial"/>
        <w:b/>
        <w:sz w:val="36"/>
        <w:szCs w:val="36"/>
      </w:rPr>
      <w:t>3</w:t>
    </w:r>
    <w:r w:rsidR="00BC79D5">
      <w:rPr>
        <w:rFonts w:cs="Arial"/>
        <w:b/>
        <w:sz w:val="36"/>
        <w:szCs w:val="36"/>
      </w:rPr>
      <w:t>2</w:t>
    </w:r>
    <w:r>
      <w:rPr>
        <w:rFonts w:cs="Arial"/>
        <w:b/>
        <w:sz w:val="36"/>
        <w:szCs w:val="36"/>
      </w:rPr>
      <w:t>/</w:t>
    </w:r>
    <w:r w:rsidR="009F1991">
      <w:rPr>
        <w:rFonts w:cs="Arial"/>
        <w:b/>
        <w:sz w:val="36"/>
        <w:szCs w:val="36"/>
      </w:rPr>
      <w:t>3.4.</w:t>
    </w:r>
    <w:proofErr w:type="gramStart"/>
    <w:r w:rsidR="002A4F4F">
      <w:rPr>
        <w:rFonts w:cs="Arial"/>
        <w:b/>
        <w:sz w:val="36"/>
        <w:szCs w:val="36"/>
      </w:rPr>
      <w:t>2.</w:t>
    </w:r>
    <w:r w:rsidR="005742D0">
      <w:rPr>
        <w:rFonts w:cs="Arial"/>
        <w:b/>
        <w:sz w:val="36"/>
        <w:szCs w:val="36"/>
      </w:rPr>
      <w:t>Doc</w:t>
    </w:r>
    <w:proofErr w:type="gramEnd"/>
    <w:r w:rsidR="002A4F4F">
      <w:rPr>
        <w:rFonts w:cs="Arial"/>
        <w:b/>
        <w:sz w:val="36"/>
        <w:szCs w:val="36"/>
      </w:rPr>
      <w:t>(</w:t>
    </w:r>
    <w:r w:rsidR="00041E70">
      <w:rPr>
        <w:rFonts w:cs="Arial"/>
        <w:b/>
        <w:sz w:val="36"/>
        <w:szCs w:val="36"/>
      </w:rPr>
      <w:t>1</w:t>
    </w:r>
    <w:r w:rsidR="002A4F4F">
      <w:rPr>
        <w:rFonts w:cs="Arial"/>
        <w:b/>
        <w:sz w:val="36"/>
        <w:szCs w:val="36"/>
      </w:rPr>
      <w:t>)</w:t>
    </w:r>
  </w:p>
  <w:p w14:paraId="29D299B7" w14:textId="09892993" w:rsidR="00020AA1" w:rsidRPr="005E544C" w:rsidRDefault="002A4F4F" w:rsidP="005742D0">
    <w:pPr>
      <w:tabs>
        <w:tab w:val="clear" w:pos="567"/>
        <w:tab w:val="left" w:pos="6096"/>
      </w:tabs>
      <w:jc w:val="both"/>
      <w:rPr>
        <w:rFonts w:cs="Arial"/>
        <w:szCs w:val="22"/>
      </w:rPr>
    </w:pPr>
    <w:r>
      <w:rPr>
        <w:noProof/>
      </w:rPr>
      <w:drawing>
        <wp:anchor distT="0" distB="0" distL="114300" distR="114300" simplePos="0" relativeHeight="251659264" behindDoc="0" locked="0" layoutInCell="1" allowOverlap="1" wp14:anchorId="229452C8" wp14:editId="244CF9E2">
          <wp:simplePos x="0" y="0"/>
          <wp:positionH relativeFrom="column">
            <wp:posOffset>-114300</wp:posOffset>
          </wp:positionH>
          <wp:positionV relativeFrom="paragraph">
            <wp:posOffset>151130</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020AA1" w:rsidRPr="005E544C">
      <w:rPr>
        <w:rFonts w:cs="Arial"/>
        <w:b/>
        <w:szCs w:val="22"/>
      </w:rPr>
      <w:tab/>
    </w:r>
    <w:r w:rsidR="00020AA1" w:rsidRPr="005E544C">
      <w:rPr>
        <w:rFonts w:cs="Arial"/>
        <w:szCs w:val="22"/>
      </w:rPr>
      <w:t xml:space="preserve">Paris, </w:t>
    </w:r>
    <w:r w:rsidR="00BC79D5">
      <w:rPr>
        <w:rFonts w:cs="Arial"/>
        <w:szCs w:val="22"/>
      </w:rPr>
      <w:t>1</w:t>
    </w:r>
    <w:r w:rsidR="00550523">
      <w:rPr>
        <w:rFonts w:cs="Arial"/>
        <w:szCs w:val="22"/>
      </w:rPr>
      <w:t>7</w:t>
    </w:r>
    <w:r w:rsidR="00BC79D5">
      <w:rPr>
        <w:rFonts w:cs="Arial"/>
        <w:szCs w:val="22"/>
      </w:rPr>
      <w:t xml:space="preserve"> April 2023</w:t>
    </w:r>
  </w:p>
  <w:p w14:paraId="0F5FBA0E" w14:textId="381B1185" w:rsidR="00020AA1" w:rsidRDefault="00020AA1" w:rsidP="005742D0">
    <w:pPr>
      <w:tabs>
        <w:tab w:val="clear" w:pos="567"/>
        <w:tab w:val="left" w:pos="6096"/>
      </w:tabs>
      <w:jc w:val="both"/>
      <w:rPr>
        <w:rFonts w:cs="Arial"/>
        <w:szCs w:val="22"/>
      </w:rPr>
    </w:pPr>
    <w:r w:rsidRPr="005E544C">
      <w:rPr>
        <w:rFonts w:cs="Arial"/>
        <w:b/>
        <w:szCs w:val="22"/>
      </w:rPr>
      <w:tab/>
    </w:r>
    <w:r w:rsidRPr="005E544C">
      <w:rPr>
        <w:rFonts w:cs="Arial"/>
        <w:szCs w:val="22"/>
      </w:rPr>
      <w:t>Original: English</w:t>
    </w:r>
  </w:p>
  <w:p w14:paraId="017BDA8F" w14:textId="077C5F1E" w:rsidR="002A4F4F" w:rsidRDefault="002A4F4F" w:rsidP="005742D0">
    <w:pPr>
      <w:tabs>
        <w:tab w:val="clear" w:pos="567"/>
        <w:tab w:val="left" w:pos="6096"/>
      </w:tabs>
      <w:jc w:val="both"/>
      <w:rPr>
        <w:rFonts w:cs="Arial"/>
        <w:szCs w:val="22"/>
      </w:rPr>
    </w:pPr>
  </w:p>
  <w:p w14:paraId="4959BA18" w14:textId="124518E7" w:rsidR="002A4F4F" w:rsidRDefault="002A4F4F" w:rsidP="005742D0">
    <w:pPr>
      <w:tabs>
        <w:tab w:val="clear" w:pos="567"/>
        <w:tab w:val="left" w:pos="6096"/>
      </w:tabs>
      <w:jc w:val="both"/>
      <w:rPr>
        <w:rFonts w:cs="Arial"/>
        <w:szCs w:val="22"/>
      </w:rPr>
    </w:pPr>
  </w:p>
  <w:p w14:paraId="7FD9208B" w14:textId="47C27167" w:rsidR="002A4F4F" w:rsidRDefault="002A4F4F" w:rsidP="005742D0">
    <w:pPr>
      <w:tabs>
        <w:tab w:val="clear" w:pos="567"/>
        <w:tab w:val="left" w:pos="6096"/>
      </w:tabs>
      <w:jc w:val="both"/>
      <w:rPr>
        <w:rFonts w:cs="Arial"/>
        <w:szCs w:val="22"/>
      </w:rPr>
    </w:pPr>
  </w:p>
  <w:p w14:paraId="09854E78" w14:textId="5A200119" w:rsidR="002A4F4F" w:rsidRDefault="002A4F4F" w:rsidP="005742D0">
    <w:pPr>
      <w:tabs>
        <w:tab w:val="clear" w:pos="567"/>
        <w:tab w:val="left" w:pos="6096"/>
      </w:tabs>
      <w:jc w:val="both"/>
      <w:rPr>
        <w:rFonts w:cs="Arial"/>
        <w:szCs w:val="22"/>
      </w:rPr>
    </w:pPr>
  </w:p>
  <w:p w14:paraId="18D6FC11" w14:textId="0A90E5CE" w:rsidR="002A4F4F" w:rsidRDefault="002A4F4F" w:rsidP="005742D0">
    <w:pPr>
      <w:tabs>
        <w:tab w:val="clear" w:pos="567"/>
        <w:tab w:val="left" w:pos="6096"/>
      </w:tabs>
      <w:jc w:val="both"/>
      <w:rPr>
        <w:rFonts w:cs="Arial"/>
        <w:szCs w:val="22"/>
      </w:rPr>
    </w:pPr>
  </w:p>
  <w:p w14:paraId="73CCCA34" w14:textId="127619D7" w:rsidR="002A4F4F" w:rsidRDefault="002A4F4F" w:rsidP="005742D0">
    <w:pPr>
      <w:tabs>
        <w:tab w:val="clear" w:pos="567"/>
        <w:tab w:val="left" w:pos="6096"/>
      </w:tabs>
      <w:jc w:val="both"/>
      <w:rPr>
        <w:rFonts w:cs="Arial"/>
        <w:szCs w:val="22"/>
      </w:rPr>
    </w:pPr>
  </w:p>
  <w:p w14:paraId="57CA04C7" w14:textId="77777777" w:rsidR="002A4F4F" w:rsidRPr="005E544C" w:rsidRDefault="002A4F4F" w:rsidP="005742D0">
    <w:pPr>
      <w:tabs>
        <w:tab w:val="clear" w:pos="567"/>
        <w:tab w:val="left" w:pos="6096"/>
      </w:tabs>
      <w:jc w:val="both"/>
      <w:rPr>
        <w:rFonts w:cs="Arial"/>
        <w:szCs w:val="22"/>
      </w:rPr>
    </w:pPr>
  </w:p>
  <w:p w14:paraId="6A9F7A2C" w14:textId="3C38C098" w:rsidR="00020AA1" w:rsidRPr="005742D0" w:rsidRDefault="00020AA1" w:rsidP="002A4F4F">
    <w:pPr>
      <w:tabs>
        <w:tab w:val="left" w:pos="-1440"/>
        <w:tab w:val="left" w:pos="-720"/>
        <w:tab w:val="left" w:pos="720"/>
        <w:tab w:val="left" w:pos="2160"/>
        <w:tab w:val="left" w:pos="3600"/>
        <w:tab w:val="left" w:pos="4320"/>
        <w:tab w:val="left" w:pos="5040"/>
        <w:tab w:val="left" w:pos="5523"/>
        <w:tab w:val="left" w:pos="6480"/>
      </w:tabs>
      <w:jc w:val="center"/>
      <w:rPr>
        <w:rFonts w:cs="Arial"/>
        <w:b/>
        <w:sz w:val="24"/>
      </w:rPr>
    </w:pPr>
    <w:r w:rsidRPr="005742D0">
      <w:rPr>
        <w:rFonts w:cs="Arial"/>
        <w:b/>
        <w:sz w:val="24"/>
      </w:rPr>
      <w:t>INTERGOVERNMENTAL OCEANOGRAPHIC COMMISSION</w:t>
    </w:r>
  </w:p>
  <w:p w14:paraId="031ED2D0" w14:textId="77777777" w:rsidR="00020AA1" w:rsidRPr="005742D0" w:rsidRDefault="00020AA1" w:rsidP="002A4F4F">
    <w:pPr>
      <w:tabs>
        <w:tab w:val="left" w:pos="-1440"/>
        <w:tab w:val="left" w:pos="-720"/>
        <w:tab w:val="left" w:pos="720"/>
        <w:tab w:val="left" w:pos="2160"/>
        <w:tab w:val="left" w:pos="3600"/>
        <w:tab w:val="left" w:pos="4320"/>
        <w:tab w:val="left" w:pos="5040"/>
        <w:tab w:val="left" w:pos="5523"/>
        <w:tab w:val="left" w:pos="6480"/>
      </w:tabs>
      <w:jc w:val="center"/>
      <w:rPr>
        <w:rFonts w:cs="Arial"/>
        <w:sz w:val="24"/>
      </w:rPr>
    </w:pPr>
    <w:r w:rsidRPr="005742D0">
      <w:rPr>
        <w:rFonts w:cs="Arial"/>
        <w:sz w:val="24"/>
      </w:rPr>
      <w:t>(of UNESCO)</w:t>
    </w:r>
  </w:p>
  <w:p w14:paraId="508A2D75" w14:textId="77777777" w:rsidR="00020AA1" w:rsidRPr="005742D0" w:rsidRDefault="00020AA1" w:rsidP="002A4F4F">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 w:val="24"/>
      </w:rPr>
    </w:pPr>
  </w:p>
  <w:p w14:paraId="5FFECEAD" w14:textId="74E63D59" w:rsidR="005742D0" w:rsidRPr="005742D0" w:rsidRDefault="005742D0" w:rsidP="002A4F4F">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sz w:val="24"/>
      </w:rPr>
    </w:pPr>
    <w:r w:rsidRPr="005742D0">
      <w:rPr>
        <w:rFonts w:cs="Arial"/>
        <w:b/>
        <w:sz w:val="24"/>
      </w:rPr>
      <w:t>Thirty-</w:t>
    </w:r>
    <w:r w:rsidR="00C32EF0">
      <w:rPr>
        <w:rFonts w:cs="Arial"/>
        <w:b/>
        <w:sz w:val="24"/>
      </w:rPr>
      <w:t>second</w:t>
    </w:r>
    <w:r w:rsidRPr="005742D0">
      <w:rPr>
        <w:rFonts w:cs="Arial"/>
        <w:b/>
        <w:sz w:val="24"/>
      </w:rPr>
      <w:t xml:space="preserve"> Session of the Assembly</w:t>
    </w:r>
  </w:p>
  <w:p w14:paraId="4D4BA647" w14:textId="5D6F2CBD" w:rsidR="00020AA1" w:rsidRPr="005742D0" w:rsidRDefault="005742D0" w:rsidP="002A4F4F">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 w:val="24"/>
      </w:rPr>
    </w:pPr>
    <w:r w:rsidRPr="005742D0">
      <w:rPr>
        <w:rFonts w:cs="Arial"/>
        <w:sz w:val="24"/>
      </w:rPr>
      <w:t xml:space="preserve">UNESCO, </w:t>
    </w:r>
    <w:r w:rsidR="00BC79D5">
      <w:rPr>
        <w:rFonts w:cs="Arial"/>
        <w:sz w:val="24"/>
      </w:rPr>
      <w:t>20</w:t>
    </w:r>
    <w:r w:rsidR="002A4F4F">
      <w:rPr>
        <w:rFonts w:cs="Arial"/>
        <w:sz w:val="24"/>
      </w:rPr>
      <w:t>–</w:t>
    </w:r>
    <w:r w:rsidR="00BC79D5">
      <w:rPr>
        <w:rFonts w:cs="Arial"/>
        <w:sz w:val="24"/>
      </w:rPr>
      <w:t>30</w:t>
    </w:r>
    <w:r w:rsidRPr="005742D0">
      <w:rPr>
        <w:rFonts w:cs="Arial"/>
        <w:sz w:val="24"/>
      </w:rPr>
      <w:t xml:space="preserve"> June 202</w:t>
    </w:r>
    <w:r w:rsidR="00BC79D5">
      <w:rPr>
        <w:rFonts w:cs="Arial"/>
        <w:sz w:val="24"/>
      </w:rPr>
      <w:t>3</w:t>
    </w:r>
  </w:p>
  <w:p w14:paraId="6A36CD0E" w14:textId="77777777" w:rsidR="00020AA1" w:rsidRPr="005E544C" w:rsidRDefault="00020AA1"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53657511" w14:textId="77777777" w:rsidR="00020AA1" w:rsidRPr="005E544C" w:rsidRDefault="00020AA1" w:rsidP="00DF2FB9">
    <w:pPr>
      <w:jc w:val="center"/>
      <w:rPr>
        <w:rFonts w:cs="Arial"/>
        <w:szCs w:val="22"/>
      </w:rPr>
    </w:pPr>
  </w:p>
  <w:p w14:paraId="7648E4FD" w14:textId="77777777" w:rsidR="00020AA1" w:rsidRDefault="00020AA1" w:rsidP="00DF2FB9">
    <w:pPr>
      <w:jc w:val="center"/>
      <w:rPr>
        <w:rFonts w:cs="Arial"/>
        <w:szCs w:val="22"/>
      </w:rPr>
    </w:pPr>
  </w:p>
  <w:p w14:paraId="562EB80A" w14:textId="0D1431F2" w:rsidR="00020AA1" w:rsidRDefault="00041E70" w:rsidP="002A4F4F">
    <w:pPr>
      <w:tabs>
        <w:tab w:val="left" w:pos="8608"/>
      </w:tabs>
      <w:rPr>
        <w:rFonts w:cs="Arial"/>
        <w:szCs w:val="22"/>
      </w:rPr>
    </w:pPr>
    <w:r>
      <w:rPr>
        <w:rFonts w:cs="Arial"/>
        <w:szCs w:val="22"/>
      </w:rPr>
      <w:tab/>
    </w:r>
    <w:r>
      <w:rPr>
        <w:rFonts w:cs="Arial"/>
        <w:szCs w:val="22"/>
      </w:rPr>
      <w:tab/>
    </w:r>
  </w:p>
  <w:p w14:paraId="59574913" w14:textId="77777777" w:rsidR="00020AA1" w:rsidRPr="005E544C" w:rsidRDefault="00020AA1" w:rsidP="00DF2FB9">
    <w:pPr>
      <w:jc w:val="center"/>
      <w:rPr>
        <w:rFonts w:cs="Arial"/>
        <w:szCs w:val="22"/>
      </w:rPr>
    </w:pPr>
  </w:p>
  <w:p w14:paraId="049B37E5" w14:textId="77777777" w:rsidR="00020AA1" w:rsidRPr="005E544C" w:rsidRDefault="00020AA1" w:rsidP="00DF2FB9">
    <w:pPr>
      <w:jc w:val="center"/>
      <w:rPr>
        <w:rFonts w:cs="Arial"/>
        <w:szCs w:val="22"/>
      </w:rPr>
    </w:pPr>
  </w:p>
  <w:p w14:paraId="51BC0570" w14:textId="244E1700" w:rsidR="00020AA1" w:rsidRPr="008D2398" w:rsidRDefault="00020AA1" w:rsidP="00DF2FB9">
    <w:pPr>
      <w:pStyle w:val="Heading7"/>
      <w:tabs>
        <w:tab w:val="right" w:pos="9540"/>
      </w:tabs>
      <w:rPr>
        <w:rFonts w:cs="Arial"/>
        <w:sz w:val="24"/>
        <w:u w:val="none"/>
      </w:rPr>
    </w:pPr>
    <w:r w:rsidRPr="00413F17">
      <w:rPr>
        <w:rFonts w:cs="Arial"/>
        <w:sz w:val="24"/>
      </w:rPr>
      <w:t>I</w:t>
    </w:r>
    <w:r w:rsidRPr="008D2398">
      <w:rPr>
        <w:rFonts w:cs="Arial"/>
        <w:sz w:val="24"/>
      </w:rPr>
      <w:t xml:space="preserve">tem </w:t>
    </w:r>
    <w:r w:rsidR="00041E70" w:rsidRPr="00041E70">
      <w:rPr>
        <w:rFonts w:cs="Arial"/>
        <w:b/>
        <w:bCs/>
        <w:sz w:val="24"/>
      </w:rPr>
      <w:t>3.</w:t>
    </w:r>
    <w:r w:rsidR="00BC79D5">
      <w:rPr>
        <w:rFonts w:cs="Arial"/>
        <w:b/>
        <w:sz w:val="24"/>
      </w:rPr>
      <w:t>4</w:t>
    </w:r>
    <w:r w:rsidR="002C6394">
      <w:rPr>
        <w:rFonts w:cs="Arial"/>
        <w:b/>
        <w:sz w:val="24"/>
      </w:rPr>
      <w:t>.</w:t>
    </w:r>
    <w:r w:rsidR="00041E70">
      <w:rPr>
        <w:rFonts w:cs="Arial"/>
        <w:b/>
        <w:sz w:val="24"/>
      </w:rPr>
      <w:t>2</w:t>
    </w:r>
    <w:r w:rsidR="00BC79D5">
      <w:rPr>
        <w:rFonts w:cs="Arial"/>
        <w:b/>
        <w:sz w:val="24"/>
      </w:rPr>
      <w:t xml:space="preserve"> </w:t>
    </w:r>
    <w:r w:rsidRPr="008D2398">
      <w:rPr>
        <w:rFonts w:cs="Arial"/>
        <w:sz w:val="24"/>
      </w:rPr>
      <w:t>of the Provisional Agenda</w:t>
    </w:r>
  </w:p>
  <w:p w14:paraId="35296AD6" w14:textId="77777777" w:rsidR="00020AA1" w:rsidRPr="005E544C" w:rsidRDefault="00020AA1" w:rsidP="00DF2FB9">
    <w:pPr>
      <w:rPr>
        <w:rFonts w:cs="Arial"/>
        <w:szCs w:val="22"/>
      </w:rPr>
    </w:pPr>
  </w:p>
  <w:p w14:paraId="10F462B8" w14:textId="77777777" w:rsidR="00020AA1" w:rsidRPr="005E544C" w:rsidRDefault="00020AA1" w:rsidP="00DF2FB9">
    <w:pPr>
      <w:rPr>
        <w:rFonts w:cs="Arial"/>
        <w:szCs w:val="22"/>
      </w:rPr>
    </w:pPr>
  </w:p>
  <w:p w14:paraId="4FEE9DB7" w14:textId="31485DB1" w:rsidR="00020AA1" w:rsidRPr="005E544C" w:rsidRDefault="001E54B7" w:rsidP="00041E70">
    <w:pPr>
      <w:pStyle w:val="Header"/>
      <w:jc w:val="center"/>
      <w:rPr>
        <w:rFonts w:cs="Arial"/>
        <w:szCs w:val="22"/>
      </w:rPr>
    </w:pPr>
    <w:r>
      <w:rPr>
        <w:rFonts w:cs="Arial"/>
        <w:b/>
        <w:bCs/>
        <w:caps/>
        <w:sz w:val="24"/>
      </w:rPr>
      <w:t xml:space="preserve">Draft </w:t>
    </w:r>
    <w:r w:rsidR="00041E70" w:rsidRPr="00041E70">
      <w:rPr>
        <w:rFonts w:cs="Arial"/>
        <w:b/>
        <w:bCs/>
        <w:caps/>
        <w:sz w:val="24"/>
      </w:rPr>
      <w:t>IOC Strategic Plan for Ocean Data and Information Management (2023–2029)</w:t>
    </w:r>
    <w:r>
      <w:rPr>
        <w:rFonts w:cs="Arial"/>
        <w:b/>
        <w:bCs/>
        <w:caps/>
        <w:sz w:val="24"/>
      </w:rPr>
      <w:t xml:space="preserve"> – outlines</w:t>
    </w:r>
  </w:p>
  <w:p w14:paraId="10255A1D" w14:textId="77777777" w:rsidR="00020AA1" w:rsidRPr="005E544C" w:rsidRDefault="00020AA1">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B8F4" w14:textId="4DC41745" w:rsidR="00EE10D0" w:rsidRPr="00EE10D0" w:rsidRDefault="00EE10D0" w:rsidP="00EE10D0">
    <w:pPr>
      <w:pStyle w:val="Header"/>
      <w:rPr>
        <w:rFonts w:cs="Arial"/>
        <w:color w:val="000000" w:themeColor="text1"/>
        <w:sz w:val="20"/>
        <w:szCs w:val="20"/>
      </w:rPr>
    </w:pPr>
    <w:r w:rsidRPr="00EE10D0">
      <w:rPr>
        <w:rFonts w:cs="Arial"/>
        <w:color w:val="000000" w:themeColor="text1"/>
        <w:sz w:val="20"/>
        <w:szCs w:val="20"/>
      </w:rPr>
      <w:t>IOC-3</w:t>
    </w:r>
    <w:r w:rsidR="00BC79D5">
      <w:rPr>
        <w:rFonts w:cs="Arial"/>
        <w:color w:val="000000" w:themeColor="text1"/>
        <w:sz w:val="20"/>
        <w:szCs w:val="20"/>
      </w:rPr>
      <w:t>2</w:t>
    </w:r>
    <w:r w:rsidRPr="00EE10D0">
      <w:rPr>
        <w:rFonts w:cs="Arial"/>
        <w:color w:val="000000" w:themeColor="text1"/>
        <w:sz w:val="20"/>
        <w:szCs w:val="20"/>
      </w:rPr>
      <w:t>/</w:t>
    </w:r>
    <w:r w:rsidR="00041E70">
      <w:rPr>
        <w:rFonts w:cs="Arial"/>
        <w:color w:val="000000" w:themeColor="text1"/>
        <w:sz w:val="20"/>
        <w:szCs w:val="20"/>
      </w:rPr>
      <w:t>3.</w:t>
    </w:r>
    <w:r w:rsidR="00BC79D5">
      <w:rPr>
        <w:rFonts w:cs="Arial"/>
        <w:color w:val="000000" w:themeColor="text1"/>
        <w:sz w:val="20"/>
        <w:szCs w:val="20"/>
      </w:rPr>
      <w:t>4</w:t>
    </w:r>
    <w:r w:rsidRPr="00EE10D0">
      <w:rPr>
        <w:rFonts w:cs="Arial"/>
        <w:color w:val="000000" w:themeColor="text1"/>
        <w:sz w:val="20"/>
        <w:szCs w:val="20"/>
      </w:rPr>
      <w:t>.</w:t>
    </w:r>
    <w:proofErr w:type="gramStart"/>
    <w:r w:rsidR="00041E70">
      <w:rPr>
        <w:rFonts w:cs="Arial"/>
        <w:color w:val="000000" w:themeColor="text1"/>
        <w:sz w:val="20"/>
        <w:szCs w:val="20"/>
      </w:rPr>
      <w:t>2</w:t>
    </w:r>
    <w:r w:rsidRPr="00EE10D0">
      <w:rPr>
        <w:rFonts w:cs="Arial"/>
        <w:color w:val="000000" w:themeColor="text1"/>
        <w:sz w:val="20"/>
        <w:szCs w:val="20"/>
      </w:rPr>
      <w:t>.Doc</w:t>
    </w:r>
    <w:proofErr w:type="gramEnd"/>
    <w:r w:rsidR="00BD2E24">
      <w:rPr>
        <w:rFonts w:cs="Arial"/>
        <w:color w:val="000000" w:themeColor="text1"/>
        <w:sz w:val="20"/>
        <w:szCs w:val="20"/>
      </w:rPr>
      <w:t>(</w:t>
    </w:r>
    <w:r w:rsidR="00041E70">
      <w:rPr>
        <w:rFonts w:cs="Arial"/>
        <w:color w:val="000000" w:themeColor="text1"/>
        <w:sz w:val="20"/>
        <w:szCs w:val="20"/>
      </w:rPr>
      <w:t>1</w:t>
    </w:r>
    <w:r w:rsidR="00BD2E24">
      <w:rPr>
        <w:rFonts w:cs="Arial"/>
        <w:color w:val="000000" w:themeColor="text1"/>
        <w:sz w:val="20"/>
        <w:szCs w:val="20"/>
      </w:rPr>
      <w:t>)</w:t>
    </w:r>
  </w:p>
  <w:p w14:paraId="6062F566" w14:textId="77777777" w:rsidR="00020AA1" w:rsidRPr="006842FA" w:rsidRDefault="00003B31" w:rsidP="00746B89">
    <w:pPr>
      <w:pStyle w:val="Header"/>
      <w:tabs>
        <w:tab w:val="clear" w:pos="8306"/>
      </w:tabs>
      <w:rPr>
        <w:rFonts w:cs="Arial"/>
        <w:sz w:val="20"/>
        <w:szCs w:val="20"/>
      </w:rPr>
    </w:pPr>
    <w:r>
      <w:rPr>
        <w:rFonts w:cs="Arial"/>
        <w:sz w:val="20"/>
        <w:szCs w:val="20"/>
      </w:rPr>
      <w:t>p</w:t>
    </w:r>
    <w:r w:rsidR="00020AA1" w:rsidRPr="006842FA">
      <w:rPr>
        <w:rFonts w:cs="Arial"/>
        <w:sz w:val="20"/>
        <w:szCs w:val="20"/>
      </w:rPr>
      <w:t>age </w:t>
    </w:r>
    <w:r w:rsidR="00020AA1" w:rsidRPr="006842FA">
      <w:rPr>
        <w:rStyle w:val="PageNumber"/>
        <w:rFonts w:cs="Arial"/>
        <w:sz w:val="20"/>
        <w:szCs w:val="20"/>
      </w:rPr>
      <w:fldChar w:fldCharType="begin"/>
    </w:r>
    <w:r w:rsidR="00020AA1" w:rsidRPr="006842FA">
      <w:rPr>
        <w:rStyle w:val="PageNumber"/>
        <w:rFonts w:cs="Arial"/>
        <w:sz w:val="20"/>
        <w:szCs w:val="20"/>
      </w:rPr>
      <w:instrText xml:space="preserve"> PAGE </w:instrText>
    </w:r>
    <w:r w:rsidR="00020AA1" w:rsidRPr="006842FA">
      <w:rPr>
        <w:rStyle w:val="PageNumber"/>
        <w:rFonts w:cs="Arial"/>
        <w:sz w:val="20"/>
        <w:szCs w:val="20"/>
      </w:rPr>
      <w:fldChar w:fldCharType="separate"/>
    </w:r>
    <w:r w:rsidR="00355412">
      <w:rPr>
        <w:rStyle w:val="PageNumber"/>
        <w:rFonts w:cs="Arial"/>
        <w:noProof/>
        <w:sz w:val="20"/>
        <w:szCs w:val="20"/>
      </w:rPr>
      <w:t>2</w:t>
    </w:r>
    <w:r w:rsidR="00020AA1" w:rsidRPr="006842FA">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1FEF" w14:textId="76BD9CC3" w:rsidR="00EE10D0" w:rsidRPr="00EE10D0" w:rsidRDefault="00EE10D0" w:rsidP="00433D21">
    <w:pPr>
      <w:pStyle w:val="Header"/>
      <w:ind w:left="7797"/>
      <w:jc w:val="right"/>
      <w:rPr>
        <w:rFonts w:cs="Arial"/>
        <w:color w:val="000000" w:themeColor="text1"/>
        <w:sz w:val="20"/>
        <w:szCs w:val="20"/>
      </w:rPr>
    </w:pPr>
    <w:r w:rsidRPr="00EE10D0">
      <w:rPr>
        <w:rFonts w:cs="Arial"/>
        <w:color w:val="000000" w:themeColor="text1"/>
        <w:sz w:val="20"/>
        <w:szCs w:val="20"/>
      </w:rPr>
      <w:t>IOC-3</w:t>
    </w:r>
    <w:r w:rsidR="00BC79D5">
      <w:rPr>
        <w:rFonts w:cs="Arial"/>
        <w:color w:val="000000" w:themeColor="text1"/>
        <w:sz w:val="20"/>
        <w:szCs w:val="20"/>
      </w:rPr>
      <w:t>2</w:t>
    </w:r>
    <w:r w:rsidRPr="00EE10D0">
      <w:rPr>
        <w:rFonts w:cs="Arial"/>
        <w:color w:val="000000" w:themeColor="text1"/>
        <w:sz w:val="20"/>
        <w:szCs w:val="20"/>
      </w:rPr>
      <w:t>/</w:t>
    </w:r>
    <w:r w:rsidR="00041E70">
      <w:rPr>
        <w:rFonts w:cs="Arial"/>
        <w:color w:val="000000" w:themeColor="text1"/>
        <w:sz w:val="20"/>
        <w:szCs w:val="20"/>
      </w:rPr>
      <w:t>3.</w:t>
    </w:r>
    <w:r w:rsidR="00BC79D5">
      <w:rPr>
        <w:rFonts w:cs="Arial"/>
        <w:color w:val="000000" w:themeColor="text1"/>
        <w:sz w:val="20"/>
        <w:szCs w:val="20"/>
      </w:rPr>
      <w:t>4</w:t>
    </w:r>
    <w:r w:rsidRPr="00EE10D0">
      <w:rPr>
        <w:rFonts w:cs="Arial"/>
        <w:color w:val="000000" w:themeColor="text1"/>
        <w:sz w:val="20"/>
        <w:szCs w:val="20"/>
      </w:rPr>
      <w:t>.</w:t>
    </w:r>
    <w:proofErr w:type="gramStart"/>
    <w:r w:rsidR="00041E70">
      <w:rPr>
        <w:rFonts w:cs="Arial"/>
        <w:color w:val="000000" w:themeColor="text1"/>
        <w:sz w:val="20"/>
        <w:szCs w:val="20"/>
      </w:rPr>
      <w:t>2</w:t>
    </w:r>
    <w:r w:rsidRPr="00EE10D0">
      <w:rPr>
        <w:rFonts w:cs="Arial"/>
        <w:color w:val="000000" w:themeColor="text1"/>
        <w:sz w:val="20"/>
        <w:szCs w:val="20"/>
      </w:rPr>
      <w:t>.Doc</w:t>
    </w:r>
    <w:proofErr w:type="gramEnd"/>
    <w:r w:rsidR="00BD2E24">
      <w:rPr>
        <w:rFonts w:cs="Arial"/>
        <w:color w:val="000000" w:themeColor="text1"/>
        <w:sz w:val="20"/>
        <w:szCs w:val="20"/>
      </w:rPr>
      <w:t>(</w:t>
    </w:r>
    <w:r w:rsidR="00BC79D5">
      <w:rPr>
        <w:rFonts w:cs="Arial"/>
        <w:color w:val="000000" w:themeColor="text1"/>
        <w:sz w:val="20"/>
        <w:szCs w:val="20"/>
      </w:rPr>
      <w:t>1</w:t>
    </w:r>
    <w:r w:rsidR="00BD2E24">
      <w:rPr>
        <w:rFonts w:cs="Arial"/>
        <w:color w:val="000000" w:themeColor="text1"/>
        <w:sz w:val="20"/>
        <w:szCs w:val="20"/>
      </w:rPr>
      <w:t>)</w:t>
    </w:r>
  </w:p>
  <w:p w14:paraId="59307D7E" w14:textId="56ECBF81" w:rsidR="00020AA1" w:rsidRPr="00FC2521" w:rsidRDefault="00BD2E24" w:rsidP="00433D21">
    <w:pPr>
      <w:pStyle w:val="Header"/>
      <w:tabs>
        <w:tab w:val="clear" w:pos="8306"/>
      </w:tabs>
      <w:ind w:left="7797"/>
      <w:rPr>
        <w:rFonts w:cs="Arial"/>
        <w:sz w:val="20"/>
        <w:szCs w:val="22"/>
        <w:lang w:val="fr-FR"/>
      </w:rPr>
    </w:pPr>
    <w:r>
      <w:rPr>
        <w:rFonts w:cs="Arial"/>
        <w:sz w:val="20"/>
        <w:szCs w:val="22"/>
        <w:lang w:val="fr-FR"/>
      </w:rPr>
      <w:t xml:space="preserve"> </w:t>
    </w:r>
    <w:proofErr w:type="gramStart"/>
    <w:r w:rsidR="00003B31" w:rsidRPr="00FC2521">
      <w:rPr>
        <w:rFonts w:cs="Arial"/>
        <w:sz w:val="20"/>
        <w:szCs w:val="22"/>
        <w:lang w:val="fr-FR"/>
      </w:rPr>
      <w:t>p</w:t>
    </w:r>
    <w:r w:rsidR="00020AA1" w:rsidRPr="00FC2521">
      <w:rPr>
        <w:rFonts w:cs="Arial"/>
        <w:sz w:val="20"/>
        <w:szCs w:val="22"/>
        <w:lang w:val="fr-FR"/>
      </w:rPr>
      <w:t>age</w:t>
    </w:r>
    <w:proofErr w:type="gramEnd"/>
    <w:r w:rsidR="00020AA1" w:rsidRPr="00FC2521">
      <w:rPr>
        <w:rFonts w:cs="Arial"/>
        <w:sz w:val="20"/>
        <w:szCs w:val="22"/>
        <w:lang w:val="fr-FR"/>
      </w:rPr>
      <w:t> </w:t>
    </w:r>
    <w:r w:rsidR="00020AA1" w:rsidRPr="00FC2521">
      <w:rPr>
        <w:rStyle w:val="PageNumber"/>
        <w:rFonts w:cs="Arial"/>
        <w:sz w:val="20"/>
        <w:szCs w:val="22"/>
      </w:rPr>
      <w:fldChar w:fldCharType="begin"/>
    </w:r>
    <w:r w:rsidR="00020AA1" w:rsidRPr="00FC2521">
      <w:rPr>
        <w:rStyle w:val="PageNumber"/>
        <w:rFonts w:cs="Arial"/>
        <w:sz w:val="20"/>
        <w:szCs w:val="22"/>
        <w:lang w:val="fr-FR"/>
      </w:rPr>
      <w:instrText xml:space="preserve"> PAGE </w:instrText>
    </w:r>
    <w:r w:rsidR="00020AA1" w:rsidRPr="00FC2521">
      <w:rPr>
        <w:rStyle w:val="PageNumber"/>
        <w:rFonts w:cs="Arial"/>
        <w:sz w:val="20"/>
        <w:szCs w:val="22"/>
      </w:rPr>
      <w:fldChar w:fldCharType="separate"/>
    </w:r>
    <w:r w:rsidR="00355412">
      <w:rPr>
        <w:rStyle w:val="PageNumber"/>
        <w:rFonts w:cs="Arial"/>
        <w:noProof/>
        <w:sz w:val="20"/>
        <w:szCs w:val="22"/>
        <w:lang w:val="fr-FR"/>
      </w:rPr>
      <w:t>3</w:t>
    </w:r>
    <w:r w:rsidR="00020AA1" w:rsidRPr="00FC2521">
      <w:rPr>
        <w:rStyle w:val="PageNumber"/>
        <w:rFonts w:cs="Arial"/>
        <w:sz w:val="20"/>
        <w:szCs w:val="22"/>
      </w:rPr>
      <w:fldChar w:fldCharType="end"/>
    </w:r>
  </w:p>
  <w:p w14:paraId="344B420F" w14:textId="38C03B22" w:rsidR="00020AA1" w:rsidRPr="00FC2521" w:rsidRDefault="00BD2E24" w:rsidP="00433D21">
    <w:pPr>
      <w:pStyle w:val="Header"/>
      <w:ind w:left="7797"/>
      <w:rPr>
        <w:rFonts w:cs="Arial"/>
        <w:sz w:val="20"/>
        <w:szCs w:val="22"/>
        <w:lang w:val="fr-FR"/>
      </w:rPr>
    </w:pPr>
    <w:r>
      <w:rPr>
        <w:rFonts w:cs="Arial"/>
        <w:sz w:val="20"/>
        <w:szCs w:val="22"/>
        <w:lang w:val="fr-FR"/>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C42D" w14:textId="537B94A0" w:rsidR="00020AA1" w:rsidRPr="00EE10D0" w:rsidRDefault="005742D0" w:rsidP="00294AD5">
    <w:pPr>
      <w:pStyle w:val="Header"/>
      <w:jc w:val="right"/>
      <w:rPr>
        <w:rFonts w:cs="Arial"/>
        <w:color w:val="000000" w:themeColor="text1"/>
        <w:sz w:val="20"/>
        <w:szCs w:val="20"/>
      </w:rPr>
    </w:pPr>
    <w:r w:rsidRPr="00EE10D0">
      <w:rPr>
        <w:rFonts w:cs="Arial"/>
        <w:color w:val="000000" w:themeColor="text1"/>
        <w:sz w:val="20"/>
        <w:szCs w:val="20"/>
      </w:rPr>
      <w:t>IOC-3</w:t>
    </w:r>
    <w:r w:rsidR="00BC79D5">
      <w:rPr>
        <w:rFonts w:cs="Arial"/>
        <w:color w:val="000000" w:themeColor="text1"/>
        <w:sz w:val="20"/>
        <w:szCs w:val="20"/>
      </w:rPr>
      <w:t>2</w:t>
    </w:r>
    <w:r w:rsidRPr="00EE10D0">
      <w:rPr>
        <w:rFonts w:cs="Arial"/>
        <w:color w:val="000000" w:themeColor="text1"/>
        <w:sz w:val="20"/>
        <w:szCs w:val="20"/>
      </w:rPr>
      <w:t>/</w:t>
    </w:r>
    <w:r w:rsidR="00041E70">
      <w:rPr>
        <w:rFonts w:cs="Arial"/>
        <w:color w:val="000000" w:themeColor="text1"/>
        <w:sz w:val="20"/>
        <w:szCs w:val="20"/>
      </w:rPr>
      <w:t>3.</w:t>
    </w:r>
    <w:r w:rsidR="00BC79D5">
      <w:rPr>
        <w:rFonts w:cs="Arial"/>
        <w:color w:val="000000" w:themeColor="text1"/>
        <w:sz w:val="20"/>
        <w:szCs w:val="20"/>
      </w:rPr>
      <w:t>4</w:t>
    </w:r>
    <w:r w:rsidR="00EE10D0" w:rsidRPr="00EE10D0">
      <w:rPr>
        <w:rFonts w:cs="Arial"/>
        <w:color w:val="000000" w:themeColor="text1"/>
        <w:sz w:val="20"/>
        <w:szCs w:val="20"/>
      </w:rPr>
      <w:t>.</w:t>
    </w:r>
    <w:proofErr w:type="gramStart"/>
    <w:r w:rsidR="00041E70">
      <w:rPr>
        <w:rFonts w:cs="Arial"/>
        <w:color w:val="000000" w:themeColor="text1"/>
        <w:sz w:val="20"/>
        <w:szCs w:val="20"/>
      </w:rPr>
      <w:t>2</w:t>
    </w:r>
    <w:r w:rsidR="00EE10D0" w:rsidRPr="00EE10D0">
      <w:rPr>
        <w:rFonts w:cs="Arial"/>
        <w:color w:val="000000" w:themeColor="text1"/>
        <w:sz w:val="20"/>
        <w:szCs w:val="20"/>
      </w:rPr>
      <w:t>.</w:t>
    </w:r>
    <w:r w:rsidRPr="00EE10D0">
      <w:rPr>
        <w:rFonts w:cs="Arial"/>
        <w:color w:val="000000" w:themeColor="text1"/>
        <w:sz w:val="20"/>
        <w:szCs w:val="20"/>
      </w:rPr>
      <w:t>Doc</w:t>
    </w:r>
    <w:proofErr w:type="gramEnd"/>
    <w:r w:rsidR="00BD2E24">
      <w:rPr>
        <w:rFonts w:cs="Arial"/>
        <w:color w:val="000000" w:themeColor="text1"/>
        <w:sz w:val="20"/>
        <w:szCs w:val="20"/>
      </w:rPr>
      <w:t>(</w:t>
    </w:r>
    <w:r w:rsidR="00041E70">
      <w:rPr>
        <w:rFonts w:cs="Arial"/>
        <w:color w:val="000000" w:themeColor="text1"/>
        <w:sz w:val="20"/>
        <w:szCs w:val="20"/>
      </w:rPr>
      <w:t>1</w:t>
    </w:r>
    <w:r w:rsidR="00BD2E24">
      <w:rPr>
        <w:rFonts w:cs="Arial"/>
        <w:color w:val="000000" w:themeColor="text1"/>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3" w15:restartNumberingAfterBreak="0">
    <w:nsid w:val="4B204C64"/>
    <w:multiLevelType w:val="hybridMultilevel"/>
    <w:tmpl w:val="C114D6EC"/>
    <w:lvl w:ilvl="0" w:tplc="D72441DE">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8B64C0"/>
    <w:multiLevelType w:val="hybridMultilevel"/>
    <w:tmpl w:val="4002E85A"/>
    <w:lvl w:ilvl="0" w:tplc="0F8AA590">
      <w:start w:val="1"/>
      <w:numFmt w:val="lowerRoman"/>
      <w:lvlText w:val="(%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BCC7617"/>
    <w:multiLevelType w:val="hybridMultilevel"/>
    <w:tmpl w:val="5E5EB96E"/>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F70DA7"/>
    <w:multiLevelType w:val="hybridMultilevel"/>
    <w:tmpl w:val="6F42927E"/>
    <w:lvl w:ilvl="0" w:tplc="040C000F">
      <w:start w:val="1"/>
      <w:numFmt w:val="decimal"/>
      <w:pStyle w:val="paranumbered"/>
      <w:lvlText w:val="%1."/>
      <w:lvlJc w:val="left"/>
      <w:pPr>
        <w:ind w:left="0" w:firstLine="0"/>
      </w:pPr>
      <w:rPr>
        <w:rFonts w:hint="default"/>
        <w:b w:val="0"/>
        <w:i w:val="0"/>
        <w:iCs/>
        <w:sz w:val="22"/>
      </w:rPr>
    </w:lvl>
    <w:lvl w:ilvl="1" w:tplc="08090019">
      <w:start w:val="1"/>
      <w:numFmt w:val="lowerLetter"/>
      <w:lvlText w:val="%2."/>
      <w:lvlJc w:val="left"/>
      <w:pPr>
        <w:ind w:left="1440" w:hanging="360"/>
      </w:pPr>
    </w:lvl>
    <w:lvl w:ilvl="2" w:tplc="012C41A6">
      <w:start w:val="1"/>
      <w:numFmt w:val="lowerRoman"/>
      <w:lvlText w:val="(%3)"/>
      <w:lvlJc w:val="left"/>
      <w:pPr>
        <w:ind w:left="2840" w:hanging="8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8875488">
    <w:abstractNumId w:val="2"/>
  </w:num>
  <w:num w:numId="2" w16cid:durableId="1215119910">
    <w:abstractNumId w:val="3"/>
  </w:num>
  <w:num w:numId="3" w16cid:durableId="2024698023">
    <w:abstractNumId w:val="0"/>
  </w:num>
  <w:num w:numId="4" w16cid:durableId="1719745718">
    <w:abstractNumId w:val="1"/>
  </w:num>
  <w:num w:numId="5" w16cid:durableId="1875651770">
    <w:abstractNumId w:val="6"/>
  </w:num>
  <w:num w:numId="6" w16cid:durableId="2111125630">
    <w:abstractNumId w:val="4"/>
  </w:num>
  <w:num w:numId="7" w16cid:durableId="1905606997">
    <w:abstractNumId w:val="5"/>
  </w:num>
  <w:num w:numId="8" w16cid:durableId="92349131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94"/>
    <w:rsid w:val="00003B31"/>
    <w:rsid w:val="00010BBB"/>
    <w:rsid w:val="00020AA1"/>
    <w:rsid w:val="00041E70"/>
    <w:rsid w:val="00085D6A"/>
    <w:rsid w:val="000F0254"/>
    <w:rsid w:val="00123719"/>
    <w:rsid w:val="001241D7"/>
    <w:rsid w:val="00137E97"/>
    <w:rsid w:val="001448C4"/>
    <w:rsid w:val="00155393"/>
    <w:rsid w:val="00167158"/>
    <w:rsid w:val="00196052"/>
    <w:rsid w:val="001B3B24"/>
    <w:rsid w:val="001C6455"/>
    <w:rsid w:val="001E54B7"/>
    <w:rsid w:val="0021210D"/>
    <w:rsid w:val="00294AD5"/>
    <w:rsid w:val="002A4F4F"/>
    <w:rsid w:val="002C6394"/>
    <w:rsid w:val="002C7DE3"/>
    <w:rsid w:val="002E0859"/>
    <w:rsid w:val="0034156B"/>
    <w:rsid w:val="00355412"/>
    <w:rsid w:val="003561BE"/>
    <w:rsid w:val="003805F5"/>
    <w:rsid w:val="003A7860"/>
    <w:rsid w:val="003D3711"/>
    <w:rsid w:val="003F55CF"/>
    <w:rsid w:val="003F7186"/>
    <w:rsid w:val="004031FB"/>
    <w:rsid w:val="00413F17"/>
    <w:rsid w:val="00424DE6"/>
    <w:rsid w:val="00433D21"/>
    <w:rsid w:val="004529B8"/>
    <w:rsid w:val="00467E3F"/>
    <w:rsid w:val="004A135F"/>
    <w:rsid w:val="004C1625"/>
    <w:rsid w:val="004F7D6C"/>
    <w:rsid w:val="00550523"/>
    <w:rsid w:val="005742D0"/>
    <w:rsid w:val="005C7A36"/>
    <w:rsid w:val="005C7D76"/>
    <w:rsid w:val="005E544C"/>
    <w:rsid w:val="006110DA"/>
    <w:rsid w:val="0062687D"/>
    <w:rsid w:val="00633EA5"/>
    <w:rsid w:val="00654C89"/>
    <w:rsid w:val="00682613"/>
    <w:rsid w:val="006842FA"/>
    <w:rsid w:val="0068682C"/>
    <w:rsid w:val="00690A0C"/>
    <w:rsid w:val="00690FD2"/>
    <w:rsid w:val="00693199"/>
    <w:rsid w:val="006B4B95"/>
    <w:rsid w:val="006C18D9"/>
    <w:rsid w:val="006C6449"/>
    <w:rsid w:val="00704456"/>
    <w:rsid w:val="00717FD5"/>
    <w:rsid w:val="00737A18"/>
    <w:rsid w:val="00746B89"/>
    <w:rsid w:val="00760AFC"/>
    <w:rsid w:val="0079212B"/>
    <w:rsid w:val="007B5516"/>
    <w:rsid w:val="008048D2"/>
    <w:rsid w:val="0081004E"/>
    <w:rsid w:val="008338A6"/>
    <w:rsid w:val="00853565"/>
    <w:rsid w:val="008A60C9"/>
    <w:rsid w:val="008A6E5C"/>
    <w:rsid w:val="008B384B"/>
    <w:rsid w:val="008C7F43"/>
    <w:rsid w:val="008D2398"/>
    <w:rsid w:val="008F6942"/>
    <w:rsid w:val="009026D3"/>
    <w:rsid w:val="00976D89"/>
    <w:rsid w:val="00993CA4"/>
    <w:rsid w:val="009B63AB"/>
    <w:rsid w:val="009C0A89"/>
    <w:rsid w:val="009C15B1"/>
    <w:rsid w:val="009E1606"/>
    <w:rsid w:val="009E6A03"/>
    <w:rsid w:val="009F1991"/>
    <w:rsid w:val="009F3A67"/>
    <w:rsid w:val="009F7769"/>
    <w:rsid w:val="00A11697"/>
    <w:rsid w:val="00A25BC8"/>
    <w:rsid w:val="00A57DE5"/>
    <w:rsid w:val="00A75EC4"/>
    <w:rsid w:val="00AD06D8"/>
    <w:rsid w:val="00AD3D55"/>
    <w:rsid w:val="00B63A3E"/>
    <w:rsid w:val="00B722DE"/>
    <w:rsid w:val="00B83068"/>
    <w:rsid w:val="00BB0DC7"/>
    <w:rsid w:val="00BB2CED"/>
    <w:rsid w:val="00BC79D5"/>
    <w:rsid w:val="00BD2E24"/>
    <w:rsid w:val="00BD6603"/>
    <w:rsid w:val="00BF069C"/>
    <w:rsid w:val="00BF3835"/>
    <w:rsid w:val="00C1002D"/>
    <w:rsid w:val="00C2439D"/>
    <w:rsid w:val="00C2635E"/>
    <w:rsid w:val="00C32EF0"/>
    <w:rsid w:val="00C3684D"/>
    <w:rsid w:val="00C4032B"/>
    <w:rsid w:val="00C6486C"/>
    <w:rsid w:val="00C648D3"/>
    <w:rsid w:val="00C75B02"/>
    <w:rsid w:val="00C962F0"/>
    <w:rsid w:val="00D013ED"/>
    <w:rsid w:val="00D36BDC"/>
    <w:rsid w:val="00D5049E"/>
    <w:rsid w:val="00D55FEC"/>
    <w:rsid w:val="00D9076C"/>
    <w:rsid w:val="00DC3B52"/>
    <w:rsid w:val="00DD0880"/>
    <w:rsid w:val="00DF2FB9"/>
    <w:rsid w:val="00E63DEF"/>
    <w:rsid w:val="00E64936"/>
    <w:rsid w:val="00E66B85"/>
    <w:rsid w:val="00E67A69"/>
    <w:rsid w:val="00EB640C"/>
    <w:rsid w:val="00EE0542"/>
    <w:rsid w:val="00EE10D0"/>
    <w:rsid w:val="00F105E8"/>
    <w:rsid w:val="00F4476E"/>
    <w:rsid w:val="00F463F2"/>
    <w:rsid w:val="00F66CC5"/>
    <w:rsid w:val="00F8186D"/>
    <w:rsid w:val="00FC252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309B5"/>
  <w15:docId w15:val="{3788035D-DE4E-944E-A67A-1C90C57D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rsid w:val="00F66CC5"/>
    <w:pPr>
      <w:numPr>
        <w:numId w:val="2"/>
      </w:num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F66CC5"/>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UnresolvedMention">
    <w:name w:val="Unresolved Mention"/>
    <w:basedOn w:val="DefaultParagraphFont"/>
    <w:uiPriority w:val="99"/>
    <w:semiHidden/>
    <w:unhideWhenUsed/>
    <w:rsid w:val="005742D0"/>
    <w:rPr>
      <w:color w:val="605E5C"/>
      <w:shd w:val="clear" w:color="auto" w:fill="E1DFDD"/>
    </w:rPr>
  </w:style>
  <w:style w:type="paragraph" w:customStyle="1" w:styleId="paranumbered">
    <w:name w:val="paranumbered"/>
    <w:basedOn w:val="Normal"/>
    <w:next w:val="Normal"/>
    <w:qFormat/>
    <w:rsid w:val="00EE10D0"/>
    <w:pPr>
      <w:numPr>
        <w:numId w:val="5"/>
      </w:numPr>
      <w:tabs>
        <w:tab w:val="clear" w:pos="567"/>
      </w:tabs>
      <w:snapToGrid/>
      <w:spacing w:before="120" w:line="276" w:lineRule="auto"/>
      <w:jc w:val="both"/>
    </w:pPr>
    <w:rPr>
      <w:rFonts w:eastAsia="Arial" w:cs="Arial"/>
      <w:snapToGrid/>
      <w:szCs w:val="22"/>
      <w:lang w:eastAsia="en-GB"/>
    </w:rPr>
  </w:style>
  <w:style w:type="paragraph" w:styleId="ListParagraph">
    <w:name w:val="List Paragraph"/>
    <w:basedOn w:val="Normal"/>
    <w:uiPriority w:val="34"/>
    <w:qFormat/>
    <w:rsid w:val="00654C89"/>
    <w:pPr>
      <w:ind w:left="720"/>
      <w:contextualSpacing/>
    </w:pPr>
  </w:style>
  <w:style w:type="character" w:customStyle="1" w:styleId="FootnoteTextChar">
    <w:name w:val="Footnote Text Char"/>
    <w:basedOn w:val="DefaultParagraphFont"/>
    <w:link w:val="FootnoteText"/>
    <w:uiPriority w:val="99"/>
    <w:semiHidden/>
    <w:rsid w:val="00BC79D5"/>
    <w:rPr>
      <w:rFonts w:ascii="Arial" w:hAnsi="Arial"/>
      <w:snapToGrid w:val="0"/>
      <w:lang w:val="en-GB" w:eastAsia="en-US"/>
    </w:rPr>
  </w:style>
  <w:style w:type="paragraph" w:customStyle="1" w:styleId="ListParagraph1">
    <w:name w:val="List Paragraph1"/>
    <w:basedOn w:val="Normal"/>
    <w:qFormat/>
    <w:rsid w:val="00BC79D5"/>
    <w:pPr>
      <w:widowControl w:val="0"/>
      <w:tabs>
        <w:tab w:val="clear" w:pos="567"/>
      </w:tabs>
      <w:autoSpaceDE w:val="0"/>
      <w:autoSpaceDN w:val="0"/>
      <w:adjustRightInd w:val="0"/>
      <w:snapToGrid/>
      <w:ind w:left="720"/>
      <w:contextualSpacing/>
      <w:jc w:val="both"/>
    </w:pPr>
    <w:rPr>
      <w:rFonts w:ascii="Times New Roman" w:hAnsi="Times New Roman"/>
      <w:snapToGrid/>
      <w:sz w:val="24"/>
    </w:rPr>
  </w:style>
  <w:style w:type="paragraph" w:styleId="Revision">
    <w:name w:val="Revision"/>
    <w:hidden/>
    <w:uiPriority w:val="99"/>
    <w:semiHidden/>
    <w:rsid w:val="002A4F4F"/>
    <w:rPr>
      <w:rFonts w:ascii="Arial" w:hAnsi="Arial"/>
      <w:snapToGrid w:val="0"/>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ode.org/index.php?option=com_content&amp;view=article&amp;id=651&amp;Itemid=100419"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nesdoc.unesco.org/ark:/48223/pf0000256553.locale=en" TargetMode="External"/><Relationship Id="rId2" Type="http://schemas.openxmlformats.org/officeDocument/2006/relationships/numbering" Target="numbering.xml"/><Relationship Id="rId16" Type="http://schemas.openxmlformats.org/officeDocument/2006/relationships/hyperlink" Target="https://oceanexpert.org/document/31325"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oceanexpert.org/document/31325" TargetMode="External"/><Relationship Id="rId10" Type="http://schemas.openxmlformats.org/officeDocument/2006/relationships/hyperlink" Target="https://oceanexpert.org/document/31325"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iode.org/index.php?option=com_content&amp;view=article&amp;id=747&amp;Itemid=100437" TargetMode="External"/><Relationship Id="rId14" Type="http://schemas.openxmlformats.org/officeDocument/2006/relationships/hyperlink" Target="https://iode.org/index.php?option=com_content&amp;view=article&amp;id=651&amp;Itemid=100419"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D4D9A-09E7-4243-94EC-0B84122A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1239</Words>
  <Characters>7571</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Peter Pissierssens</dc:creator>
  <cp:lastModifiedBy>Boned, Patrice</cp:lastModifiedBy>
  <cp:revision>2</cp:revision>
  <cp:lastPrinted>2002-06-12T09:28:00Z</cp:lastPrinted>
  <dcterms:created xsi:type="dcterms:W3CDTF">2023-05-17T15:11:00Z</dcterms:created>
  <dcterms:modified xsi:type="dcterms:W3CDTF">2023-05-17T15:11:00Z</dcterms:modified>
</cp:coreProperties>
</file>