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3EAC" w14:textId="23C8ED1D" w:rsidR="00884580" w:rsidRPr="00C3584C" w:rsidRDefault="00884580" w:rsidP="00884580">
      <w:pPr>
        <w:tabs>
          <w:tab w:val="left" w:pos="-1417"/>
          <w:tab w:val="left" w:pos="-708"/>
        </w:tabs>
        <w:ind w:right="-1394"/>
        <w:rPr>
          <w:rFonts w:ascii="Times New Roman" w:hAnsi="Times New Roman" w:cs="Times New Roman"/>
          <w:b/>
        </w:rPr>
      </w:pPr>
      <w:r w:rsidRPr="00C3584C">
        <w:rPr>
          <w:rFonts w:ascii="Times New Roman" w:hAnsi="Times New Roman" w:cs="Times New Roman"/>
          <w:b/>
        </w:rPr>
        <w:t>Restricted distribution</w:t>
      </w:r>
      <w:r>
        <w:rPr>
          <w:rFonts w:ascii="Times New Roman" w:hAnsi="Times New Roman" w:cs="Times New Roman"/>
          <w:b/>
        </w:rPr>
        <w:t xml:space="preserve"> </w:t>
      </w:r>
      <w:r>
        <w:rPr>
          <w:rFonts w:ascii="Times New Roman" w:hAnsi="Times New Roman" w:cs="Times New Roman"/>
          <w:b/>
        </w:rPr>
        <w:tab/>
        <w:t xml:space="preserve">                                                                    </w:t>
      </w:r>
      <w:r w:rsidRPr="008B7C81">
        <w:rPr>
          <w:rFonts w:ascii="Times New Roman" w:hAnsi="Times New Roman" w:cs="Times New Roman"/>
          <w:b/>
        </w:rPr>
        <w:t>IOC-FAO/IPHAB-XV</w:t>
      </w:r>
      <w:r>
        <w:rPr>
          <w:rFonts w:ascii="Times New Roman" w:hAnsi="Times New Roman" w:cs="Times New Roman"/>
          <w:b/>
        </w:rPr>
        <w:t>I</w:t>
      </w:r>
      <w:r w:rsidRPr="008B7C81">
        <w:rPr>
          <w:rFonts w:ascii="Times New Roman" w:hAnsi="Times New Roman" w:cs="Times New Roman"/>
          <w:b/>
        </w:rPr>
        <w:t>/Inf.</w:t>
      </w:r>
      <w:r w:rsidR="004F6301">
        <w:rPr>
          <w:rFonts w:ascii="Times New Roman" w:hAnsi="Times New Roman" w:cs="Times New Roman"/>
          <w:b/>
        </w:rPr>
        <w:t>14</w:t>
      </w:r>
    </w:p>
    <w:p w14:paraId="5AB0250C" w14:textId="10D489FB" w:rsidR="00884580" w:rsidRDefault="00884580" w:rsidP="0088458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sz w:val="20"/>
          <w:szCs w:val="20"/>
        </w:rPr>
      </w:pPr>
      <w:r w:rsidRPr="008B7C81">
        <w:rPr>
          <w:rFonts w:ascii="Times New Roman" w:hAnsi="Times New Roman" w:cs="Times New Roman"/>
          <w:sz w:val="20"/>
          <w:szCs w:val="20"/>
        </w:rPr>
        <w:t xml:space="preserve">Paris, </w:t>
      </w:r>
      <w:r w:rsidR="004F6301">
        <w:rPr>
          <w:rFonts w:ascii="Times New Roman" w:hAnsi="Times New Roman" w:cs="Times New Roman"/>
          <w:sz w:val="20"/>
          <w:szCs w:val="20"/>
        </w:rPr>
        <w:t>22</w:t>
      </w:r>
      <w:r w:rsidRPr="008B7C81">
        <w:rPr>
          <w:rFonts w:ascii="Times New Roman" w:hAnsi="Times New Roman" w:cs="Times New Roman"/>
          <w:sz w:val="20"/>
          <w:szCs w:val="20"/>
        </w:rPr>
        <w:t xml:space="preserve"> March 2023</w:t>
      </w:r>
    </w:p>
    <w:p w14:paraId="328A3206" w14:textId="77777777" w:rsidR="00884580" w:rsidRPr="00C3584C" w:rsidRDefault="00884580" w:rsidP="0088458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rPr>
      </w:pPr>
      <w:r>
        <w:rPr>
          <w:rFonts w:ascii="Times New Roman" w:hAnsi="Times New Roman" w:cs="Times New Roman"/>
          <w:sz w:val="20"/>
          <w:szCs w:val="20"/>
        </w:rPr>
        <w:t>English only</w:t>
      </w:r>
    </w:p>
    <w:p w14:paraId="7AADE2E6" w14:textId="77777777" w:rsidR="00884580" w:rsidRDefault="00884580" w:rsidP="0088458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7BE67FC5" w14:textId="77777777" w:rsidR="00884580" w:rsidRDefault="00884580" w:rsidP="0088458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54C0B043" w14:textId="77777777" w:rsidR="00884580" w:rsidRPr="00C3584C" w:rsidRDefault="00884580" w:rsidP="0088458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7F36D261" w14:textId="77777777" w:rsidR="00884580" w:rsidRPr="00F552A9" w:rsidRDefault="00884580" w:rsidP="00884580">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Sixteenth Session of the IOC-FAO Intergovernmental Panel</w:t>
      </w:r>
    </w:p>
    <w:p w14:paraId="7531BD7C" w14:textId="77777777" w:rsidR="00884580" w:rsidRPr="00F552A9" w:rsidRDefault="00884580" w:rsidP="00884580">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103F2DC5" w14:textId="77777777" w:rsidR="00884580" w:rsidRPr="00F552A9" w:rsidRDefault="00884580" w:rsidP="00884580">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Rome, 27-29 March 2023</w:t>
      </w:r>
    </w:p>
    <w:p w14:paraId="62CB8B72" w14:textId="77777777" w:rsidR="00884580" w:rsidRPr="00AF7E39" w:rsidRDefault="00884580" w:rsidP="00884580">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35B18D0D" w14:textId="667852B3" w:rsidR="00884580" w:rsidRPr="00AF7E39" w:rsidRDefault="00884580" w:rsidP="00884580">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Item 4.</w:t>
      </w:r>
      <w:r w:rsidR="00C7747E">
        <w:rPr>
          <w:rFonts w:ascii="Times New Roman" w:hAnsi="Times New Roman" w:cs="Times New Roman"/>
          <w:szCs w:val="24"/>
          <w:u w:val="single"/>
        </w:rPr>
        <w:t>7</w:t>
      </w:r>
      <w:r w:rsidRPr="00AF7E39">
        <w:rPr>
          <w:rFonts w:ascii="Times New Roman" w:hAnsi="Times New Roman" w:cs="Times New Roman"/>
          <w:szCs w:val="24"/>
          <w:u w:val="single"/>
        </w:rPr>
        <w:t>.</w:t>
      </w:r>
      <w:r w:rsidR="00C7747E">
        <w:rPr>
          <w:rFonts w:ascii="Times New Roman" w:hAnsi="Times New Roman" w:cs="Times New Roman"/>
          <w:szCs w:val="24"/>
          <w:u w:val="single"/>
        </w:rPr>
        <w:t>5</w:t>
      </w:r>
      <w:r w:rsidRPr="00AF7E39">
        <w:rPr>
          <w:rFonts w:ascii="Times New Roman" w:hAnsi="Times New Roman" w:cs="Times New Roman"/>
          <w:szCs w:val="24"/>
          <w:u w:val="single"/>
        </w:rPr>
        <w:t xml:space="preserve"> of the Provisional Agenda </w:t>
      </w:r>
    </w:p>
    <w:p w14:paraId="777CF021" w14:textId="77777777" w:rsidR="00884580" w:rsidRDefault="00884580" w:rsidP="00884580">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0F151BFA" w14:textId="77777777" w:rsidR="00884580" w:rsidRDefault="00884580" w:rsidP="00884580">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37DEEE35" w14:textId="77777777" w:rsidR="00884580" w:rsidRDefault="00884580" w:rsidP="00884580">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7E653D6B" w14:textId="77777777" w:rsidR="00884580" w:rsidRPr="00E91F56" w:rsidRDefault="00884580" w:rsidP="00884580">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685ECE94" w14:textId="54CE69B5" w:rsidR="00884580" w:rsidRDefault="00590EE1" w:rsidP="00620CF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center"/>
        <w:rPr>
          <w:rFonts w:ascii="Times New Roman" w:hAnsi="Times New Roman" w:cs="Times New Roman"/>
          <w:b/>
          <w:sz w:val="24"/>
          <w:szCs w:val="24"/>
        </w:rPr>
      </w:pPr>
      <w:r w:rsidRPr="00620CFE">
        <w:rPr>
          <w:rFonts w:ascii="Times New Roman" w:eastAsia="Times New Roman" w:hAnsi="Times New Roman" w:cs="Times New Roman"/>
          <w:b/>
          <w:sz w:val="28"/>
          <w:szCs w:val="28"/>
        </w:rPr>
        <w:t xml:space="preserve">REPORT OF THE </w:t>
      </w:r>
      <w:r w:rsidR="00620CFE" w:rsidRPr="00620CFE">
        <w:rPr>
          <w:rFonts w:ascii="Times New Roman" w:eastAsia="Times New Roman" w:hAnsi="Times New Roman" w:cs="Times New Roman"/>
          <w:b/>
          <w:sz w:val="28"/>
          <w:szCs w:val="28"/>
        </w:rPr>
        <w:t>IPHAB TASK TEAM ON BIOTOXIN MONITORING, MANAGEMENT AND REGULATIONS</w:t>
      </w:r>
    </w:p>
    <w:p w14:paraId="4EEB7845" w14:textId="77777777" w:rsidR="00884580" w:rsidRDefault="00884580">
      <w:pPr>
        <w:rPr>
          <w:rFonts w:ascii="Times New Roman" w:hAnsi="Times New Roman" w:cs="Times New Roman"/>
          <w:b/>
          <w:sz w:val="24"/>
          <w:szCs w:val="24"/>
        </w:rPr>
      </w:pPr>
      <w:r>
        <w:rPr>
          <w:rFonts w:ascii="Times New Roman" w:hAnsi="Times New Roman" w:cs="Times New Roman"/>
          <w:b/>
          <w:sz w:val="24"/>
          <w:szCs w:val="24"/>
        </w:rPr>
        <w:br w:type="page"/>
      </w:r>
    </w:p>
    <w:p w14:paraId="49A6162C" w14:textId="6DB7EE12" w:rsidR="00814204" w:rsidRPr="0000286C" w:rsidRDefault="003C50AF" w:rsidP="0071402F">
      <w:pPr>
        <w:spacing w:before="240" w:after="0" w:line="276" w:lineRule="auto"/>
        <w:jc w:val="both"/>
        <w:rPr>
          <w:rFonts w:ascii="Times New Roman" w:eastAsia="Times New Roman" w:hAnsi="Times New Roman" w:cs="Times New Roman"/>
          <w:b/>
          <w:sz w:val="24"/>
          <w:szCs w:val="24"/>
        </w:rPr>
      </w:pPr>
      <w:r w:rsidRPr="0000286C">
        <w:rPr>
          <w:rFonts w:ascii="Times New Roman" w:eastAsia="Times New Roman" w:hAnsi="Times New Roman" w:cs="Times New Roman"/>
          <w:b/>
          <w:sz w:val="24"/>
          <w:szCs w:val="24"/>
        </w:rPr>
        <w:lastRenderedPageBreak/>
        <w:t xml:space="preserve">The report is structured according to the decision </w:t>
      </w:r>
      <w:r w:rsidR="00F151E0" w:rsidRPr="0000286C">
        <w:rPr>
          <w:rFonts w:ascii="Times New Roman" w:eastAsia="Times New Roman" w:hAnsi="Times New Roman" w:cs="Times New Roman"/>
          <w:b/>
          <w:sz w:val="24"/>
          <w:szCs w:val="24"/>
        </w:rPr>
        <w:t>IPHAB-X</w:t>
      </w:r>
      <w:r w:rsidR="0071402F" w:rsidRPr="0000286C">
        <w:rPr>
          <w:rFonts w:ascii="Times New Roman" w:eastAsia="Times New Roman" w:hAnsi="Times New Roman" w:cs="Times New Roman"/>
          <w:b/>
          <w:sz w:val="24"/>
          <w:szCs w:val="24"/>
        </w:rPr>
        <w:t>I</w:t>
      </w:r>
      <w:r w:rsidR="00F151E0" w:rsidRPr="0000286C">
        <w:rPr>
          <w:rFonts w:ascii="Times New Roman" w:eastAsia="Times New Roman" w:hAnsi="Times New Roman" w:cs="Times New Roman"/>
          <w:b/>
          <w:sz w:val="24"/>
          <w:szCs w:val="24"/>
        </w:rPr>
        <w:t xml:space="preserve">V.6 </w:t>
      </w:r>
      <w:r w:rsidRPr="0000286C">
        <w:rPr>
          <w:rFonts w:ascii="Times New Roman" w:eastAsia="Times New Roman" w:hAnsi="Times New Roman" w:cs="Times New Roman"/>
          <w:b/>
          <w:sz w:val="24"/>
          <w:szCs w:val="24"/>
        </w:rPr>
        <w:t>taken in 20</w:t>
      </w:r>
      <w:r w:rsidR="00BA4B83" w:rsidRPr="0000286C">
        <w:rPr>
          <w:rFonts w:ascii="Times New Roman" w:eastAsia="Times New Roman" w:hAnsi="Times New Roman" w:cs="Times New Roman"/>
          <w:b/>
          <w:sz w:val="24"/>
          <w:szCs w:val="24"/>
        </w:rPr>
        <w:t>21</w:t>
      </w:r>
      <w:r w:rsidRPr="0000286C">
        <w:rPr>
          <w:rFonts w:ascii="Times New Roman" w:eastAsia="Times New Roman" w:hAnsi="Times New Roman" w:cs="Times New Roman"/>
          <w:b/>
          <w:sz w:val="24"/>
          <w:szCs w:val="24"/>
        </w:rPr>
        <w:t>, reproduced below:</w:t>
      </w:r>
    </w:p>
    <w:p w14:paraId="22B1932A" w14:textId="409D0623" w:rsidR="00F151E0" w:rsidRPr="0000286C" w:rsidRDefault="00F151E0" w:rsidP="00F151E0">
      <w:pPr>
        <w:jc w:val="both"/>
        <w:rPr>
          <w:rFonts w:ascii="Times New Roman" w:hAnsi="Times New Roman" w:cs="Times New Roman"/>
          <w:color w:val="808080" w:themeColor="background1" w:themeShade="80"/>
          <w:sz w:val="24"/>
          <w:szCs w:val="24"/>
        </w:rPr>
      </w:pPr>
      <w:bookmarkStart w:id="0" w:name="_heading=h.9tsw0pd7pfjy" w:colFirst="0" w:colLast="0"/>
      <w:bookmarkEnd w:id="0"/>
      <w:r w:rsidRPr="0000286C">
        <w:rPr>
          <w:rFonts w:ascii="Times New Roman" w:hAnsi="Times New Roman" w:cs="Times New Roman"/>
          <w:color w:val="808080" w:themeColor="background1" w:themeShade="80"/>
          <w:sz w:val="24"/>
          <w:szCs w:val="24"/>
        </w:rPr>
        <w:t>The IOC Intergovernmental Panel on Harmful Algal Blooms,</w:t>
      </w:r>
      <w:r w:rsidR="0071402F" w:rsidRPr="0000286C">
        <w:rPr>
          <w:rFonts w:ascii="Times New Roman" w:hAnsi="Times New Roman" w:cs="Times New Roman"/>
          <w:color w:val="808080" w:themeColor="background1" w:themeShade="80"/>
          <w:sz w:val="24"/>
          <w:szCs w:val="24"/>
        </w:rPr>
        <w:t xml:space="preserve"> d</w:t>
      </w:r>
      <w:r w:rsidRPr="0000286C">
        <w:rPr>
          <w:rFonts w:ascii="Times New Roman" w:hAnsi="Times New Roman" w:cs="Times New Roman"/>
          <w:color w:val="808080" w:themeColor="background1" w:themeShade="80"/>
          <w:sz w:val="24"/>
          <w:szCs w:val="24"/>
        </w:rPr>
        <w:t>ecides to continue with the Task Team on Biotoxin Monitoring Management and Regulation with the following terms of reference</w:t>
      </w:r>
      <w:r w:rsidR="0071402F" w:rsidRPr="0000286C">
        <w:rPr>
          <w:rFonts w:ascii="Times New Roman" w:hAnsi="Times New Roman" w:cs="Times New Roman"/>
          <w:color w:val="808080" w:themeColor="background1" w:themeShade="80"/>
          <w:sz w:val="24"/>
          <w:szCs w:val="24"/>
        </w:rPr>
        <w:t xml:space="preserve"> (</w:t>
      </w:r>
      <w:r w:rsidR="0071402F" w:rsidRPr="0000286C">
        <w:rPr>
          <w:rFonts w:ascii="Times New Roman" w:hAnsi="Times New Roman" w:cs="Times New Roman"/>
          <w:b/>
          <w:color w:val="808080" w:themeColor="background1" w:themeShade="80"/>
          <w:sz w:val="24"/>
          <w:szCs w:val="24"/>
        </w:rPr>
        <w:t>in bold those addressed during the intersessional period</w:t>
      </w:r>
      <w:r w:rsidR="0071402F" w:rsidRPr="0000286C">
        <w:rPr>
          <w:rFonts w:ascii="Times New Roman" w:hAnsi="Times New Roman" w:cs="Times New Roman"/>
          <w:color w:val="808080" w:themeColor="background1" w:themeShade="80"/>
          <w:sz w:val="24"/>
          <w:szCs w:val="24"/>
        </w:rPr>
        <w:t>)</w:t>
      </w:r>
      <w:r w:rsidRPr="0000286C">
        <w:rPr>
          <w:rFonts w:ascii="Times New Roman" w:hAnsi="Times New Roman" w:cs="Times New Roman"/>
          <w:color w:val="808080" w:themeColor="background1" w:themeShade="80"/>
          <w:sz w:val="24"/>
          <w:szCs w:val="24"/>
        </w:rPr>
        <w:t>:</w:t>
      </w:r>
    </w:p>
    <w:p w14:paraId="11677D44" w14:textId="77777777" w:rsidR="00F151E0" w:rsidRPr="0000286C" w:rsidRDefault="00F151E0" w:rsidP="0071402F">
      <w:pPr>
        <w:pStyle w:val="ListParagraph"/>
        <w:numPr>
          <w:ilvl w:val="0"/>
          <w:numId w:val="20"/>
        </w:numPr>
        <w:jc w:val="both"/>
        <w:rPr>
          <w:rFonts w:ascii="Times New Roman" w:hAnsi="Times New Roman" w:cs="Times New Roman"/>
          <w:color w:val="808080" w:themeColor="background1" w:themeShade="80"/>
          <w:sz w:val="24"/>
          <w:szCs w:val="24"/>
        </w:rPr>
      </w:pPr>
      <w:r w:rsidRPr="0000286C">
        <w:rPr>
          <w:rFonts w:ascii="Times New Roman" w:hAnsi="Times New Roman" w:cs="Times New Roman"/>
          <w:color w:val="808080" w:themeColor="background1" w:themeShade="80"/>
          <w:sz w:val="24"/>
          <w:szCs w:val="24"/>
        </w:rPr>
        <w:t>Establish and maintain regular contact with FAO, IAEA, WHO, and other regulatory or advisory bodies; follow-up on finalization of methodological annex of Codex standard 292-2008, in particular with reference to toxicity equivalency factors (TEF) to clarify regulatory status of individual toxin analogs,</w:t>
      </w:r>
    </w:p>
    <w:p w14:paraId="4A3D465C"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Establish and maintain regular contact with leading scientists and scientific organizations to ensure that the latest and most robust science is available to the Task Team in discharging its responsibilities,</w:t>
      </w:r>
    </w:p>
    <w:p w14:paraId="2BC11B27" w14:textId="77777777" w:rsidR="00F151E0" w:rsidRPr="0000286C" w:rsidRDefault="00F151E0" w:rsidP="0071402F">
      <w:pPr>
        <w:pStyle w:val="ListParagraph"/>
        <w:numPr>
          <w:ilvl w:val="0"/>
          <w:numId w:val="20"/>
        </w:numPr>
        <w:jc w:val="both"/>
        <w:rPr>
          <w:rFonts w:ascii="Times New Roman" w:hAnsi="Times New Roman" w:cs="Times New Roman"/>
          <w:color w:val="808080" w:themeColor="background1" w:themeShade="80"/>
          <w:sz w:val="24"/>
          <w:szCs w:val="24"/>
        </w:rPr>
      </w:pPr>
      <w:r w:rsidRPr="0000286C">
        <w:rPr>
          <w:rFonts w:ascii="Times New Roman" w:hAnsi="Times New Roman" w:cs="Times New Roman"/>
          <w:color w:val="808080" w:themeColor="background1" w:themeShade="80"/>
          <w:sz w:val="24"/>
          <w:szCs w:val="24"/>
        </w:rPr>
        <w:t>Establish contact with national, regional and global risk evaluation agencies to evaluate the risk of freshwater cyanobacterial toxins in seafood,</w:t>
      </w:r>
    </w:p>
    <w:p w14:paraId="2A3B77F1"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Advise other IPHAB Task Teams on aspects of toxinology, including emerging toxins,</w:t>
      </w:r>
    </w:p>
    <w:p w14:paraId="46752B0C" w14:textId="77777777" w:rsidR="00F151E0" w:rsidRPr="0000286C" w:rsidRDefault="00F151E0" w:rsidP="0071402F">
      <w:pPr>
        <w:pStyle w:val="ListParagraph"/>
        <w:numPr>
          <w:ilvl w:val="0"/>
          <w:numId w:val="20"/>
        </w:numPr>
        <w:jc w:val="both"/>
        <w:rPr>
          <w:rFonts w:ascii="Times New Roman" w:hAnsi="Times New Roman" w:cs="Times New Roman"/>
          <w:color w:val="808080" w:themeColor="background1" w:themeShade="80"/>
          <w:sz w:val="24"/>
          <w:szCs w:val="24"/>
        </w:rPr>
      </w:pPr>
      <w:r w:rsidRPr="0000286C">
        <w:rPr>
          <w:rFonts w:ascii="Times New Roman" w:hAnsi="Times New Roman" w:cs="Times New Roman"/>
          <w:color w:val="808080" w:themeColor="background1" w:themeShade="80"/>
          <w:sz w:val="24"/>
          <w:szCs w:val="24"/>
        </w:rPr>
        <w:t>Communicate and disseminate information on training workshops and participate (as requested) in the organization of training workshops for toxin detection, monitoring and management,</w:t>
      </w:r>
    </w:p>
    <w:p w14:paraId="180144AD"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Continue development on the IOC/IODE database of algal toxins which will also serve other Task Teams as a web-based tool for crosslinking knowledge on HAB organisms and toxins;</w:t>
      </w:r>
    </w:p>
    <w:p w14:paraId="03B4681C"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Develop a concerted (inter-agency) effort and seek opportunities to get this effort funded on drafting guidance on mitigation (EWS, safeguarding shellfish during HAB-events, HAB-destruction and shellfish detoxification),</w:t>
      </w:r>
    </w:p>
    <w:p w14:paraId="3B0AA3AF"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Report to IPHAB-XVI on international activities in marine biotoxin monitoring, management and regulation during the inter-sessional period,</w:t>
      </w:r>
    </w:p>
    <w:p w14:paraId="22363C2E" w14:textId="77777777"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Recommend to IPHAB-XVI on revised priorities for research, capacity development and engagement with regulatory bodies to address the most pressing issues and threats posed by HAB toxins in the marine environment;</w:t>
      </w:r>
    </w:p>
    <w:p w14:paraId="15AF6EC1" w14:textId="097BCEC4" w:rsidR="00F151E0" w:rsidRPr="0000286C" w:rsidRDefault="00F151E0" w:rsidP="0071402F">
      <w:pPr>
        <w:pStyle w:val="ListParagraph"/>
        <w:numPr>
          <w:ilvl w:val="0"/>
          <w:numId w:val="20"/>
        </w:num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In 6 months develop a succinct list of challenges, objectives and actions with respect to the Task Team topic that will address the UN Decade of Ocean Science for Sustainable Development objectives and challenges and to present these at an IPHAB intersessional on-line consultation September 2021 with a view to formulate an IPHAB strategic framework for UN Decade initiatives;</w:t>
      </w:r>
    </w:p>
    <w:p w14:paraId="0638A4E1" w14:textId="77777777" w:rsidR="00F151E0" w:rsidRPr="0000286C" w:rsidRDefault="00F151E0" w:rsidP="00F151E0">
      <w:p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Encourages relevant organizations to invite the IPHAB Task Team to participate as observer at the principal meetings of their respective groups to facilitate international compatibility of applied methodology and legislation with respect to HAB toxins,</w:t>
      </w:r>
    </w:p>
    <w:p w14:paraId="4619F925" w14:textId="466713C6" w:rsidR="00F151E0" w:rsidRPr="0000286C" w:rsidRDefault="00F151E0" w:rsidP="00F151E0">
      <w:pPr>
        <w:jc w:val="both"/>
        <w:rPr>
          <w:rFonts w:ascii="Times New Roman" w:hAnsi="Times New Roman" w:cs="Times New Roman"/>
          <w:b/>
          <w:color w:val="808080" w:themeColor="background1" w:themeShade="80"/>
          <w:sz w:val="24"/>
          <w:szCs w:val="24"/>
        </w:rPr>
      </w:pPr>
      <w:r w:rsidRPr="0000286C">
        <w:rPr>
          <w:rFonts w:ascii="Times New Roman" w:hAnsi="Times New Roman" w:cs="Times New Roman"/>
          <w:b/>
          <w:color w:val="808080" w:themeColor="background1" w:themeShade="80"/>
          <w:sz w:val="24"/>
          <w:szCs w:val="24"/>
        </w:rPr>
        <w:t xml:space="preserve">Decides that the Task Team will be chaired by P. Hess (FR) and comprising Beatriz Reguera (ES); M. Broadwater (USA) and T. Suzuki, (Japan). The Task Team is supplemented by international advisors and experts J. Ramsdell (USA); M. Burford (Australia); A. Gago, (EURL/ES); M. João Botelho (Portugal); E. Hamelin (USA), W. Huang (USA), R. Kudela </w:t>
      </w:r>
      <w:r w:rsidRPr="0000286C">
        <w:rPr>
          <w:rFonts w:ascii="Times New Roman" w:hAnsi="Times New Roman" w:cs="Times New Roman"/>
          <w:b/>
          <w:color w:val="808080" w:themeColor="background1" w:themeShade="80"/>
          <w:sz w:val="24"/>
          <w:szCs w:val="24"/>
        </w:rPr>
        <w:lastRenderedPageBreak/>
        <w:t>(USA); H. Mazur (Poland); C. O. Miles, (CA); Gonzalo Alvarez Vergara (CL) and may be expanded as required to fulfill its Terms of Reference,</w:t>
      </w:r>
    </w:p>
    <w:p w14:paraId="6D77DD20" w14:textId="77777777" w:rsidR="00F151E0" w:rsidRPr="0000286C" w:rsidRDefault="00F151E0" w:rsidP="00F151E0">
      <w:pPr>
        <w:jc w:val="both"/>
        <w:rPr>
          <w:rFonts w:ascii="Times New Roman" w:hAnsi="Times New Roman" w:cs="Times New Roman"/>
          <w:color w:val="808080" w:themeColor="background1" w:themeShade="80"/>
          <w:sz w:val="24"/>
          <w:szCs w:val="24"/>
        </w:rPr>
      </w:pPr>
      <w:r w:rsidRPr="0000286C">
        <w:rPr>
          <w:rFonts w:ascii="Times New Roman" w:hAnsi="Times New Roman" w:cs="Times New Roman"/>
          <w:color w:val="808080" w:themeColor="background1" w:themeShade="80"/>
          <w:sz w:val="24"/>
          <w:szCs w:val="24"/>
        </w:rPr>
        <w:t>Invites FAO, IAEA and WHO to be members of the Task Team,</w:t>
      </w:r>
    </w:p>
    <w:p w14:paraId="2A6B08EA" w14:textId="0A0B53F6" w:rsidR="00F151E0" w:rsidRPr="0000286C" w:rsidRDefault="00F151E0" w:rsidP="00F151E0">
      <w:pPr>
        <w:jc w:val="both"/>
        <w:rPr>
          <w:rFonts w:ascii="Times New Roman" w:hAnsi="Times New Roman" w:cs="Times New Roman"/>
          <w:color w:val="808080" w:themeColor="background1" w:themeShade="80"/>
          <w:sz w:val="24"/>
          <w:szCs w:val="24"/>
        </w:rPr>
      </w:pPr>
      <w:r w:rsidRPr="0000286C">
        <w:rPr>
          <w:rFonts w:ascii="Times New Roman" w:hAnsi="Times New Roman" w:cs="Times New Roman"/>
          <w:color w:val="808080" w:themeColor="background1" w:themeShade="80"/>
          <w:sz w:val="24"/>
          <w:szCs w:val="24"/>
        </w:rPr>
        <w:t>Notes that the Task Team is established until otherwise decided by the Panel and that it will work by correspondence and/or meet on an opportunistic basis, and provide a progress report for the inter-sessional period to the Chair of IPHAB prior to IPHAB-XVI.</w:t>
      </w:r>
    </w:p>
    <w:p w14:paraId="6FA0B584" w14:textId="03608F27" w:rsidR="007D7EF1" w:rsidRPr="0000286C" w:rsidRDefault="007D7EF1" w:rsidP="00F151E0">
      <w:pPr>
        <w:jc w:val="both"/>
        <w:rPr>
          <w:rFonts w:ascii="Times New Roman" w:hAnsi="Times New Roman" w:cs="Times New Roman"/>
          <w:sz w:val="24"/>
          <w:szCs w:val="24"/>
        </w:rPr>
      </w:pPr>
    </w:p>
    <w:p w14:paraId="18BD6303" w14:textId="348C1EB1" w:rsidR="00D81BDB" w:rsidRPr="0000286C" w:rsidRDefault="0047710D" w:rsidP="00F151E0">
      <w:pPr>
        <w:jc w:val="both"/>
        <w:rPr>
          <w:rFonts w:ascii="Times New Roman" w:hAnsi="Times New Roman" w:cs="Times New Roman"/>
          <w:b/>
          <w:sz w:val="24"/>
          <w:szCs w:val="24"/>
          <w:u w:val="single"/>
        </w:rPr>
      </w:pPr>
      <w:r w:rsidRPr="0000286C">
        <w:rPr>
          <w:rFonts w:ascii="Times New Roman" w:hAnsi="Times New Roman" w:cs="Times New Roman"/>
          <w:b/>
          <w:sz w:val="24"/>
          <w:szCs w:val="24"/>
          <w:u w:val="single"/>
        </w:rPr>
        <w:t>Activities during the intersessional period:</w:t>
      </w:r>
    </w:p>
    <w:p w14:paraId="25047E96" w14:textId="71A7C729" w:rsidR="00D81BDB" w:rsidRDefault="0000286C" w:rsidP="00F151E0">
      <w:pPr>
        <w:jc w:val="both"/>
        <w:rPr>
          <w:rFonts w:ascii="Times New Roman" w:hAnsi="Times New Roman" w:cs="Times New Roman"/>
          <w:sz w:val="24"/>
          <w:szCs w:val="24"/>
        </w:rPr>
      </w:pPr>
      <w:r w:rsidRPr="0000286C">
        <w:rPr>
          <w:rFonts w:ascii="Times New Roman" w:hAnsi="Times New Roman" w:cs="Times New Roman"/>
          <w:sz w:val="24"/>
          <w:szCs w:val="24"/>
        </w:rPr>
        <w:t>The task team has been enlarged from the initial team mentioned above to a larger group to facilitate editing of the toxins database</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ppint</w:t>
      </w:r>
      <w:proofErr w:type="spellEnd"/>
      <w:r>
        <w:rPr>
          <w:rFonts w:ascii="Times New Roman" w:hAnsi="Times New Roman" w:cs="Times New Roman"/>
          <w:sz w:val="24"/>
          <w:szCs w:val="24"/>
        </w:rPr>
        <w:t xml:space="preserve"> 3 of the below activity report</w:t>
      </w:r>
      <w:r w:rsidRPr="0000286C">
        <w:rPr>
          <w:rFonts w:ascii="Times New Roman" w:hAnsi="Times New Roman" w:cs="Times New Roman"/>
          <w:sz w:val="24"/>
          <w:szCs w:val="24"/>
        </w:rPr>
        <w:t xml:space="preserve"> (Aifeng Li, Ana Gago, Arjen Gerssen, Beatriz Reguera, Bernd Krock, Beth Mudge, Chris Miles, Elizabeth Hamelin, Fabienne </w:t>
      </w:r>
      <w:proofErr w:type="spellStart"/>
      <w:r w:rsidRPr="0000286C">
        <w:rPr>
          <w:rFonts w:ascii="Times New Roman" w:hAnsi="Times New Roman" w:cs="Times New Roman"/>
          <w:sz w:val="24"/>
          <w:szCs w:val="24"/>
        </w:rPr>
        <w:t>Hervé</w:t>
      </w:r>
      <w:proofErr w:type="spellEnd"/>
      <w:r w:rsidRPr="0000286C">
        <w:rPr>
          <w:rFonts w:ascii="Times New Roman" w:hAnsi="Times New Roman" w:cs="Times New Roman"/>
          <w:sz w:val="24"/>
          <w:szCs w:val="24"/>
        </w:rPr>
        <w:t>, Gonzalo Alvarez, John Ramsdell, Manoëlla Sibat, Maria Botelho, Michele Burford, Naomasa Oshiro, Philipp Hess, Tim Harwood, Toshiyuki Suzuki, Wade Huang, Zhihong Wang).</w:t>
      </w:r>
    </w:p>
    <w:p w14:paraId="4C9071BF" w14:textId="77777777" w:rsidR="0000286C" w:rsidRPr="0000286C" w:rsidRDefault="0000286C" w:rsidP="00F151E0">
      <w:pPr>
        <w:jc w:val="both"/>
        <w:rPr>
          <w:rFonts w:ascii="Times New Roman" w:hAnsi="Times New Roman" w:cs="Times New Roman"/>
          <w:sz w:val="24"/>
          <w:szCs w:val="24"/>
        </w:rPr>
      </w:pPr>
    </w:p>
    <w:p w14:paraId="43AEA87A" w14:textId="1D75D90A"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Establish and maintain regular contact with leading scientists and scientific organizations to ensure that the latest and most robust science is available to the Task Team in discharging its responsibilities</w:t>
      </w:r>
    </w:p>
    <w:p w14:paraId="4D142149" w14:textId="77816F14" w:rsidR="007D7EF1" w:rsidRPr="0000286C" w:rsidRDefault="007D7EF1" w:rsidP="007D7EF1">
      <w:pPr>
        <w:jc w:val="both"/>
        <w:rPr>
          <w:rFonts w:ascii="Times New Roman" w:hAnsi="Times New Roman" w:cs="Times New Roman"/>
          <w:sz w:val="24"/>
          <w:szCs w:val="24"/>
        </w:rPr>
      </w:pPr>
      <w:r w:rsidRPr="0000286C">
        <w:rPr>
          <w:rFonts w:ascii="Times New Roman" w:hAnsi="Times New Roman" w:cs="Times New Roman"/>
          <w:sz w:val="24"/>
          <w:szCs w:val="24"/>
        </w:rPr>
        <w:t>Task team members contributed to the review of abstracts on algal and cyanobacterial toxins at the ICHA 2021 virtual conference in Mexico.</w:t>
      </w:r>
    </w:p>
    <w:p w14:paraId="6D3BB24D" w14:textId="61A4FACF" w:rsidR="00B66831" w:rsidRPr="0000286C" w:rsidRDefault="00B66831" w:rsidP="00B66831">
      <w:pPr>
        <w:jc w:val="both"/>
        <w:rPr>
          <w:rFonts w:ascii="Times New Roman" w:hAnsi="Times New Roman" w:cs="Times New Roman"/>
          <w:sz w:val="24"/>
          <w:szCs w:val="24"/>
        </w:rPr>
      </w:pPr>
      <w:r w:rsidRPr="0000286C">
        <w:rPr>
          <w:rFonts w:ascii="Times New Roman" w:hAnsi="Times New Roman" w:cs="Times New Roman"/>
          <w:sz w:val="24"/>
          <w:szCs w:val="24"/>
        </w:rPr>
        <w:t xml:space="preserve">The task team chair participated in the kick-off meeting of </w:t>
      </w:r>
      <w:proofErr w:type="spellStart"/>
      <w:r w:rsidRPr="0000286C">
        <w:rPr>
          <w:rFonts w:ascii="Times New Roman" w:hAnsi="Times New Roman" w:cs="Times New Roman"/>
          <w:sz w:val="24"/>
          <w:szCs w:val="24"/>
        </w:rPr>
        <w:t>EuroCigua</w:t>
      </w:r>
      <w:proofErr w:type="spellEnd"/>
      <w:r w:rsidRPr="0000286C">
        <w:rPr>
          <w:rFonts w:ascii="Times New Roman" w:hAnsi="Times New Roman" w:cs="Times New Roman"/>
          <w:sz w:val="24"/>
          <w:szCs w:val="24"/>
        </w:rPr>
        <w:t xml:space="preserve"> 2 – project (26-27/10/2022).</w:t>
      </w:r>
    </w:p>
    <w:p w14:paraId="69A87D5D" w14:textId="77777777" w:rsidR="007D7EF1" w:rsidRPr="0000286C" w:rsidRDefault="007D7EF1" w:rsidP="007D7EF1">
      <w:pPr>
        <w:jc w:val="both"/>
        <w:rPr>
          <w:rFonts w:ascii="Times New Roman" w:hAnsi="Times New Roman" w:cs="Times New Roman"/>
          <w:b/>
          <w:sz w:val="24"/>
          <w:szCs w:val="24"/>
        </w:rPr>
      </w:pPr>
    </w:p>
    <w:p w14:paraId="0469E39F" w14:textId="0319A5D4"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Advise other IPHAB Task Teams on aspects of toxinology, including emerging toxins</w:t>
      </w:r>
    </w:p>
    <w:p w14:paraId="257DF056" w14:textId="4E504E4C" w:rsidR="007D7EF1" w:rsidRPr="0000286C" w:rsidRDefault="007D7EF1" w:rsidP="007D7EF1">
      <w:pPr>
        <w:jc w:val="both"/>
        <w:rPr>
          <w:rFonts w:ascii="Times New Roman" w:hAnsi="Times New Roman" w:cs="Times New Roman"/>
          <w:sz w:val="24"/>
          <w:szCs w:val="24"/>
        </w:rPr>
      </w:pPr>
      <w:r w:rsidRPr="0000286C">
        <w:rPr>
          <w:rFonts w:ascii="Times New Roman" w:hAnsi="Times New Roman" w:cs="Times New Roman"/>
          <w:sz w:val="24"/>
          <w:szCs w:val="24"/>
        </w:rPr>
        <w:t xml:space="preserve">The task team chair referred to a French expert on fish killing toxins for activities on these during the intersessional period. </w:t>
      </w:r>
    </w:p>
    <w:p w14:paraId="7A26A258" w14:textId="1C75CBB2" w:rsidR="007D7EF1" w:rsidRPr="0000286C" w:rsidRDefault="007D7EF1" w:rsidP="007D7EF1">
      <w:pPr>
        <w:jc w:val="both"/>
        <w:rPr>
          <w:rFonts w:ascii="Times New Roman" w:hAnsi="Times New Roman" w:cs="Times New Roman"/>
          <w:sz w:val="24"/>
          <w:szCs w:val="24"/>
        </w:rPr>
      </w:pPr>
      <w:r w:rsidRPr="0000286C">
        <w:rPr>
          <w:rFonts w:ascii="Times New Roman" w:hAnsi="Times New Roman" w:cs="Times New Roman"/>
          <w:sz w:val="24"/>
          <w:szCs w:val="24"/>
        </w:rPr>
        <w:t xml:space="preserve">The task team chair gave a webinar on emerging toxins of </w:t>
      </w:r>
      <w:r w:rsidRPr="0000286C">
        <w:rPr>
          <w:rFonts w:ascii="Times New Roman" w:hAnsi="Times New Roman" w:cs="Times New Roman"/>
          <w:i/>
          <w:sz w:val="24"/>
          <w:szCs w:val="24"/>
        </w:rPr>
        <w:t>Vulcanodinium rugosum</w:t>
      </w:r>
      <w:r w:rsidRPr="0000286C">
        <w:rPr>
          <w:rFonts w:ascii="Times New Roman" w:hAnsi="Times New Roman" w:cs="Times New Roman"/>
          <w:sz w:val="24"/>
          <w:szCs w:val="24"/>
        </w:rPr>
        <w:t xml:space="preserve"> and their effects in bathing communities and fishermen as part of the Dinophyte seminar series (available on request, P. Hess, 8/6/2022).</w:t>
      </w:r>
    </w:p>
    <w:p w14:paraId="14207C45" w14:textId="53F5820B" w:rsidR="0047710D" w:rsidRPr="0000286C" w:rsidRDefault="0047710D" w:rsidP="007D7EF1">
      <w:pPr>
        <w:jc w:val="both"/>
        <w:rPr>
          <w:rFonts w:ascii="Times New Roman" w:hAnsi="Times New Roman" w:cs="Times New Roman"/>
          <w:sz w:val="24"/>
          <w:szCs w:val="24"/>
        </w:rPr>
      </w:pPr>
      <w:r w:rsidRPr="0000286C">
        <w:rPr>
          <w:rFonts w:ascii="Times New Roman" w:hAnsi="Times New Roman" w:cs="Times New Roman"/>
          <w:sz w:val="24"/>
          <w:szCs w:val="24"/>
        </w:rPr>
        <w:t xml:space="preserve">The chair of the task team participated in the EU-Working Group on Emerging Toxins held in Vigo, 19/10/2022 at which WG members presented findings on emerging toxins in Belgium, Croatia, France, Germany, Greece, Portugal and Spain (presentations available on request from WG members). </w:t>
      </w:r>
    </w:p>
    <w:p w14:paraId="2D7C00C2" w14:textId="36A885ED" w:rsidR="007D7EF1" w:rsidRPr="0000286C" w:rsidRDefault="007D7EF1" w:rsidP="007D7EF1">
      <w:pPr>
        <w:jc w:val="both"/>
        <w:rPr>
          <w:rFonts w:ascii="Times New Roman" w:hAnsi="Times New Roman" w:cs="Times New Roman"/>
          <w:sz w:val="24"/>
          <w:szCs w:val="24"/>
        </w:rPr>
      </w:pPr>
      <w:r w:rsidRPr="0000286C">
        <w:rPr>
          <w:rFonts w:ascii="Times New Roman" w:hAnsi="Times New Roman" w:cs="Times New Roman"/>
          <w:sz w:val="24"/>
          <w:szCs w:val="24"/>
        </w:rPr>
        <w:t xml:space="preserve"> </w:t>
      </w:r>
    </w:p>
    <w:p w14:paraId="61BDD73F" w14:textId="76F5CB0A"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Continue development on the IOC/IODE database of algal toxins which will also serve other Task Teams as a web-based tool for crosslinking knowledge on HAB organisms and toxins;</w:t>
      </w:r>
    </w:p>
    <w:p w14:paraId="39ACAD41" w14:textId="74034270" w:rsidR="00190978" w:rsidRDefault="00B91A09" w:rsidP="005A3AA3">
      <w:pPr>
        <w:jc w:val="both"/>
        <w:rPr>
          <w:rFonts w:ascii="Times New Roman" w:hAnsi="Times New Roman" w:cs="Times New Roman"/>
          <w:sz w:val="24"/>
          <w:szCs w:val="24"/>
        </w:rPr>
      </w:pPr>
      <w:r w:rsidRPr="0000286C">
        <w:rPr>
          <w:rFonts w:ascii="Times New Roman" w:hAnsi="Times New Roman" w:cs="Times New Roman"/>
          <w:sz w:val="24"/>
          <w:szCs w:val="24"/>
        </w:rPr>
        <w:lastRenderedPageBreak/>
        <w:t>Several meetings were organized by John Ramsdell</w:t>
      </w:r>
      <w:r w:rsidR="003616EB" w:rsidRPr="0000286C">
        <w:rPr>
          <w:rFonts w:ascii="Times New Roman" w:hAnsi="Times New Roman" w:cs="Times New Roman"/>
          <w:sz w:val="24"/>
          <w:szCs w:val="24"/>
        </w:rPr>
        <w:t>/Philipp Hess</w:t>
      </w:r>
      <w:r w:rsidRPr="0000286C">
        <w:rPr>
          <w:rFonts w:ascii="Times New Roman" w:hAnsi="Times New Roman" w:cs="Times New Roman"/>
          <w:sz w:val="24"/>
          <w:szCs w:val="24"/>
        </w:rPr>
        <w:t xml:space="preserve"> </w:t>
      </w:r>
      <w:r w:rsidR="003616EB" w:rsidRPr="0000286C">
        <w:rPr>
          <w:rFonts w:ascii="Times New Roman" w:hAnsi="Times New Roman" w:cs="Times New Roman"/>
          <w:sz w:val="24"/>
          <w:szCs w:val="24"/>
        </w:rPr>
        <w:t xml:space="preserve">since the </w:t>
      </w:r>
      <w:proofErr w:type="spellStart"/>
      <w:r w:rsidR="003616EB" w:rsidRPr="0000286C">
        <w:rPr>
          <w:rFonts w:ascii="Times New Roman" w:hAnsi="Times New Roman" w:cs="Times New Roman"/>
          <w:sz w:val="24"/>
          <w:szCs w:val="24"/>
        </w:rPr>
        <w:t>XIVth</w:t>
      </w:r>
      <w:proofErr w:type="spellEnd"/>
      <w:r w:rsidR="003616EB" w:rsidRPr="0000286C">
        <w:rPr>
          <w:rFonts w:ascii="Times New Roman" w:hAnsi="Times New Roman" w:cs="Times New Roman"/>
          <w:sz w:val="24"/>
          <w:szCs w:val="24"/>
        </w:rPr>
        <w:t xml:space="preserve"> IPHAB meeting </w:t>
      </w:r>
      <w:r w:rsidRPr="0000286C">
        <w:rPr>
          <w:rFonts w:ascii="Times New Roman" w:hAnsi="Times New Roman" w:cs="Times New Roman"/>
          <w:sz w:val="24"/>
          <w:szCs w:val="24"/>
        </w:rPr>
        <w:t>to progress the design of the database of algal toxins, in particular as a web-based tool for cross-linking knowledge on HAB organisms and toxins</w:t>
      </w:r>
      <w:r w:rsidR="003616EB" w:rsidRPr="0000286C">
        <w:rPr>
          <w:rFonts w:ascii="Times New Roman" w:hAnsi="Times New Roman" w:cs="Times New Roman"/>
          <w:sz w:val="24"/>
          <w:szCs w:val="24"/>
        </w:rPr>
        <w:t>. The initial meetings were aimed at defining the requirements of the database. Subsequently, the fields were defined with the subcontractor and several team members</w:t>
      </w:r>
      <w:r w:rsidR="005A3AA3" w:rsidRPr="0000286C">
        <w:rPr>
          <w:rFonts w:ascii="Times New Roman" w:hAnsi="Times New Roman" w:cs="Times New Roman"/>
          <w:sz w:val="24"/>
          <w:szCs w:val="24"/>
        </w:rPr>
        <w:t xml:space="preserve">. Several meetings followed for testing and refining the design. Finally, </w:t>
      </w:r>
      <w:r w:rsidR="003616EB" w:rsidRPr="0000286C">
        <w:rPr>
          <w:rFonts w:ascii="Times New Roman" w:hAnsi="Times New Roman" w:cs="Times New Roman"/>
          <w:sz w:val="24"/>
          <w:szCs w:val="24"/>
        </w:rPr>
        <w:t>several meetings were held with</w:t>
      </w:r>
      <w:r w:rsidRPr="0000286C">
        <w:rPr>
          <w:rFonts w:ascii="Times New Roman" w:hAnsi="Times New Roman" w:cs="Times New Roman"/>
          <w:sz w:val="24"/>
          <w:szCs w:val="24"/>
        </w:rPr>
        <w:t xml:space="preserve"> all</w:t>
      </w:r>
      <w:r w:rsidR="003616EB" w:rsidRPr="0000286C">
        <w:rPr>
          <w:rFonts w:ascii="Times New Roman" w:hAnsi="Times New Roman" w:cs="Times New Roman"/>
          <w:sz w:val="24"/>
          <w:szCs w:val="24"/>
        </w:rPr>
        <w:t xml:space="preserve"> available task team members to distribute toxin groups to populate the database. Currently, a guide on how to enter data into the database is being developed (first input by Chris Miles</w:t>
      </w:r>
      <w:r w:rsidR="005A3AA3" w:rsidRPr="0000286C">
        <w:rPr>
          <w:rFonts w:ascii="Times New Roman" w:hAnsi="Times New Roman" w:cs="Times New Roman"/>
          <w:sz w:val="24"/>
          <w:szCs w:val="24"/>
        </w:rPr>
        <w:t xml:space="preserve"> to ensure data quality of entries</w:t>
      </w:r>
      <w:r w:rsidR="003616EB" w:rsidRPr="0000286C">
        <w:rPr>
          <w:rFonts w:ascii="Times New Roman" w:hAnsi="Times New Roman" w:cs="Times New Roman"/>
          <w:sz w:val="24"/>
          <w:szCs w:val="24"/>
        </w:rPr>
        <w:t>)</w:t>
      </w:r>
      <w:r w:rsidRPr="0000286C">
        <w:rPr>
          <w:rFonts w:ascii="Times New Roman" w:hAnsi="Times New Roman" w:cs="Times New Roman"/>
          <w:sz w:val="24"/>
          <w:szCs w:val="24"/>
        </w:rPr>
        <w:t xml:space="preserve">. </w:t>
      </w:r>
      <w:r w:rsidR="005A3AA3" w:rsidRPr="0000286C">
        <w:rPr>
          <w:rFonts w:ascii="Times New Roman" w:hAnsi="Times New Roman" w:cs="Times New Roman"/>
          <w:sz w:val="24"/>
          <w:szCs w:val="24"/>
        </w:rPr>
        <w:t>Currently 28 groups of toxins are listed to be included</w:t>
      </w:r>
      <w:r w:rsidR="00B66831" w:rsidRPr="0000286C">
        <w:rPr>
          <w:rFonts w:ascii="Times New Roman" w:hAnsi="Times New Roman" w:cs="Times New Roman"/>
          <w:sz w:val="24"/>
          <w:szCs w:val="24"/>
        </w:rPr>
        <w:t xml:space="preserve">, Codex </w:t>
      </w:r>
      <w:proofErr w:type="spellStart"/>
      <w:r w:rsidR="00B66831" w:rsidRPr="0000286C">
        <w:rPr>
          <w:rFonts w:ascii="Times New Roman" w:hAnsi="Times New Roman" w:cs="Times New Roman"/>
          <w:sz w:val="24"/>
          <w:szCs w:val="24"/>
        </w:rPr>
        <w:t>alimentarius</w:t>
      </w:r>
      <w:proofErr w:type="spellEnd"/>
      <w:r w:rsidR="00B66831" w:rsidRPr="0000286C">
        <w:rPr>
          <w:rFonts w:ascii="Times New Roman" w:hAnsi="Times New Roman" w:cs="Times New Roman"/>
          <w:sz w:val="24"/>
          <w:szCs w:val="24"/>
        </w:rPr>
        <w:t>-regulated groups in bold</w:t>
      </w:r>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a</w:t>
      </w:r>
      <w:r w:rsidR="005A3AA3" w:rsidRPr="0000286C">
        <w:rPr>
          <w:rFonts w:ascii="Times New Roman" w:hAnsi="Times New Roman" w:cs="Times New Roman"/>
          <w:sz w:val="24"/>
          <w:szCs w:val="24"/>
        </w:rPr>
        <w:t>mphidinol</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a</w:t>
      </w:r>
      <w:r w:rsidR="005A3AA3" w:rsidRPr="0000286C">
        <w:rPr>
          <w:rFonts w:ascii="Times New Roman" w:hAnsi="Times New Roman" w:cs="Times New Roman"/>
          <w:sz w:val="24"/>
          <w:szCs w:val="24"/>
        </w:rPr>
        <w:t xml:space="preserve">natoxin, </w:t>
      </w:r>
      <w:proofErr w:type="spellStart"/>
      <w:r w:rsidR="00B66831" w:rsidRPr="0000286C">
        <w:rPr>
          <w:rFonts w:ascii="Times New Roman" w:hAnsi="Times New Roman" w:cs="Times New Roman"/>
          <w:b/>
          <w:sz w:val="24"/>
          <w:szCs w:val="24"/>
        </w:rPr>
        <w:t>a</w:t>
      </w:r>
      <w:r w:rsidR="005A3AA3" w:rsidRPr="0000286C">
        <w:rPr>
          <w:rFonts w:ascii="Times New Roman" w:hAnsi="Times New Roman" w:cs="Times New Roman"/>
          <w:b/>
          <w:sz w:val="24"/>
          <w:szCs w:val="24"/>
        </w:rPr>
        <w:t>zaspiracid</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b</w:t>
      </w:r>
      <w:r w:rsidR="005A3AA3" w:rsidRPr="0000286C">
        <w:rPr>
          <w:rFonts w:ascii="Times New Roman" w:hAnsi="Times New Roman" w:cs="Times New Roman"/>
          <w:sz w:val="24"/>
          <w:szCs w:val="24"/>
        </w:rPr>
        <w:t>eta-N-methylamino-l-</w:t>
      </w:r>
      <w:proofErr w:type="spellStart"/>
      <w:r w:rsidR="005A3AA3" w:rsidRPr="0000286C">
        <w:rPr>
          <w:rFonts w:ascii="Times New Roman" w:hAnsi="Times New Roman" w:cs="Times New Roman"/>
          <w:sz w:val="24"/>
          <w:szCs w:val="24"/>
        </w:rPr>
        <w:t>alanin</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b/>
          <w:sz w:val="24"/>
          <w:szCs w:val="24"/>
        </w:rPr>
        <w:t>b</w:t>
      </w:r>
      <w:r w:rsidR="005A3AA3" w:rsidRPr="0000286C">
        <w:rPr>
          <w:rFonts w:ascii="Times New Roman" w:hAnsi="Times New Roman" w:cs="Times New Roman"/>
          <w:b/>
          <w:sz w:val="24"/>
          <w:szCs w:val="24"/>
        </w:rPr>
        <w:t>revetoxin</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c</w:t>
      </w:r>
      <w:r w:rsidR="005A3AA3" w:rsidRPr="0000286C">
        <w:rPr>
          <w:rFonts w:ascii="Times New Roman" w:hAnsi="Times New Roman" w:cs="Times New Roman"/>
          <w:sz w:val="24"/>
          <w:szCs w:val="24"/>
        </w:rPr>
        <w:t xml:space="preserve">iguatoxin, </w:t>
      </w:r>
      <w:proofErr w:type="spellStart"/>
      <w:r w:rsidR="00B66831" w:rsidRPr="0000286C">
        <w:rPr>
          <w:rFonts w:ascii="Times New Roman" w:hAnsi="Times New Roman" w:cs="Times New Roman"/>
          <w:sz w:val="24"/>
          <w:szCs w:val="24"/>
        </w:rPr>
        <w:t>c</w:t>
      </w:r>
      <w:r w:rsidR="005A3AA3" w:rsidRPr="0000286C">
        <w:rPr>
          <w:rFonts w:ascii="Times New Roman" w:hAnsi="Times New Roman" w:cs="Times New Roman"/>
          <w:sz w:val="24"/>
          <w:szCs w:val="24"/>
        </w:rPr>
        <w:t>ylindrospermopsin</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b/>
          <w:sz w:val="24"/>
          <w:szCs w:val="24"/>
        </w:rPr>
        <w:t>d</w:t>
      </w:r>
      <w:r w:rsidR="005A3AA3" w:rsidRPr="0000286C">
        <w:rPr>
          <w:rFonts w:ascii="Times New Roman" w:hAnsi="Times New Roman" w:cs="Times New Roman"/>
          <w:b/>
          <w:sz w:val="24"/>
          <w:szCs w:val="24"/>
        </w:rPr>
        <w:t xml:space="preserve">omoic </w:t>
      </w:r>
      <w:r w:rsidR="00B66831" w:rsidRPr="0000286C">
        <w:rPr>
          <w:rFonts w:ascii="Times New Roman" w:hAnsi="Times New Roman" w:cs="Times New Roman"/>
          <w:b/>
          <w:sz w:val="24"/>
          <w:szCs w:val="24"/>
        </w:rPr>
        <w:t>a</w:t>
      </w:r>
      <w:r w:rsidR="005A3AA3" w:rsidRPr="0000286C">
        <w:rPr>
          <w:rFonts w:ascii="Times New Roman" w:hAnsi="Times New Roman" w:cs="Times New Roman"/>
          <w:b/>
          <w:sz w:val="24"/>
          <w:szCs w:val="24"/>
        </w:rPr>
        <w:t>cid</w:t>
      </w:r>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g</w:t>
      </w:r>
      <w:r w:rsidR="005A3AA3" w:rsidRPr="0000286C">
        <w:rPr>
          <w:rFonts w:ascii="Times New Roman" w:hAnsi="Times New Roman" w:cs="Times New Roman"/>
          <w:sz w:val="24"/>
          <w:szCs w:val="24"/>
        </w:rPr>
        <w:t>oniodomin</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g</w:t>
      </w:r>
      <w:r w:rsidR="005A3AA3" w:rsidRPr="0000286C">
        <w:rPr>
          <w:rFonts w:ascii="Times New Roman" w:hAnsi="Times New Roman" w:cs="Times New Roman"/>
          <w:sz w:val="24"/>
          <w:szCs w:val="24"/>
        </w:rPr>
        <w:t>ymnocin</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g</w:t>
      </w:r>
      <w:r w:rsidR="005A3AA3" w:rsidRPr="0000286C">
        <w:rPr>
          <w:rFonts w:ascii="Times New Roman" w:hAnsi="Times New Roman" w:cs="Times New Roman"/>
          <w:sz w:val="24"/>
          <w:szCs w:val="24"/>
        </w:rPr>
        <w:t>ymnodimine</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K</w:t>
      </w:r>
      <w:r w:rsidR="005A3AA3" w:rsidRPr="0000286C">
        <w:rPr>
          <w:rFonts w:ascii="Times New Roman" w:hAnsi="Times New Roman" w:cs="Times New Roman"/>
          <w:sz w:val="24"/>
          <w:szCs w:val="24"/>
        </w:rPr>
        <w:t>arenia</w:t>
      </w:r>
      <w:proofErr w:type="spellEnd"/>
      <w:r w:rsidR="005A3AA3" w:rsidRPr="0000286C">
        <w:rPr>
          <w:rFonts w:ascii="Times New Roman" w:hAnsi="Times New Roman" w:cs="Times New Roman"/>
          <w:sz w:val="24"/>
          <w:szCs w:val="24"/>
        </w:rPr>
        <w:t xml:space="preserve"> </w:t>
      </w:r>
      <w:proofErr w:type="spellStart"/>
      <w:r w:rsidR="005A3AA3" w:rsidRPr="0000286C">
        <w:rPr>
          <w:rFonts w:ascii="Times New Roman" w:hAnsi="Times New Roman" w:cs="Times New Roman"/>
          <w:sz w:val="24"/>
          <w:szCs w:val="24"/>
        </w:rPr>
        <w:t>brevisulcata</w:t>
      </w:r>
      <w:proofErr w:type="spellEnd"/>
      <w:r w:rsidR="005A3AA3" w:rsidRPr="0000286C">
        <w:rPr>
          <w:rFonts w:ascii="Times New Roman" w:hAnsi="Times New Roman" w:cs="Times New Roman"/>
          <w:sz w:val="24"/>
          <w:szCs w:val="24"/>
        </w:rPr>
        <w:t xml:space="preserve"> toxin, </w:t>
      </w:r>
      <w:r w:rsidR="00B66831" w:rsidRPr="0000286C">
        <w:rPr>
          <w:rFonts w:ascii="Times New Roman" w:hAnsi="Times New Roman" w:cs="Times New Roman"/>
          <w:sz w:val="24"/>
          <w:szCs w:val="24"/>
        </w:rPr>
        <w:t>k</w:t>
      </w:r>
      <w:r w:rsidR="005A3AA3" w:rsidRPr="0000286C">
        <w:rPr>
          <w:rFonts w:ascii="Times New Roman" w:hAnsi="Times New Roman" w:cs="Times New Roman"/>
          <w:sz w:val="24"/>
          <w:szCs w:val="24"/>
        </w:rPr>
        <w:t xml:space="preserve">arlotoxin, </w:t>
      </w:r>
      <w:proofErr w:type="spellStart"/>
      <w:r w:rsidR="00B66831" w:rsidRPr="0000286C">
        <w:rPr>
          <w:rFonts w:ascii="Times New Roman" w:hAnsi="Times New Roman" w:cs="Times New Roman"/>
          <w:sz w:val="24"/>
          <w:szCs w:val="24"/>
        </w:rPr>
        <w:t>l</w:t>
      </w:r>
      <w:r w:rsidR="005A3AA3" w:rsidRPr="0000286C">
        <w:rPr>
          <w:rFonts w:ascii="Times New Roman" w:hAnsi="Times New Roman" w:cs="Times New Roman"/>
          <w:sz w:val="24"/>
          <w:szCs w:val="24"/>
        </w:rPr>
        <w:t>yngbyatoxin</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m</w:t>
      </w:r>
      <w:r w:rsidR="005A3AA3" w:rsidRPr="0000286C">
        <w:rPr>
          <w:rFonts w:ascii="Times New Roman" w:hAnsi="Times New Roman" w:cs="Times New Roman"/>
          <w:sz w:val="24"/>
          <w:szCs w:val="24"/>
        </w:rPr>
        <w:t>aitotoxin</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m</w:t>
      </w:r>
      <w:r w:rsidR="005A3AA3" w:rsidRPr="0000286C">
        <w:rPr>
          <w:rFonts w:ascii="Times New Roman" w:hAnsi="Times New Roman" w:cs="Times New Roman"/>
          <w:sz w:val="24"/>
          <w:szCs w:val="24"/>
        </w:rPr>
        <w:t xml:space="preserve">icrocystin, </w:t>
      </w:r>
      <w:r w:rsidR="00B66831" w:rsidRPr="0000286C">
        <w:rPr>
          <w:rFonts w:ascii="Times New Roman" w:hAnsi="Times New Roman" w:cs="Times New Roman"/>
          <w:sz w:val="24"/>
          <w:szCs w:val="24"/>
        </w:rPr>
        <w:t>n</w:t>
      </w:r>
      <w:r w:rsidR="005A3AA3" w:rsidRPr="0000286C">
        <w:rPr>
          <w:rFonts w:ascii="Times New Roman" w:hAnsi="Times New Roman" w:cs="Times New Roman"/>
          <w:sz w:val="24"/>
          <w:szCs w:val="24"/>
        </w:rPr>
        <w:t xml:space="preserve">odularin, </w:t>
      </w:r>
      <w:r w:rsidR="00B66831" w:rsidRPr="0000286C">
        <w:rPr>
          <w:rFonts w:ascii="Times New Roman" w:hAnsi="Times New Roman" w:cs="Times New Roman"/>
          <w:b/>
          <w:sz w:val="24"/>
          <w:szCs w:val="24"/>
        </w:rPr>
        <w:t>o</w:t>
      </w:r>
      <w:r w:rsidR="005A3AA3" w:rsidRPr="0000286C">
        <w:rPr>
          <w:rFonts w:ascii="Times New Roman" w:hAnsi="Times New Roman" w:cs="Times New Roman"/>
          <w:b/>
          <w:sz w:val="24"/>
          <w:szCs w:val="24"/>
        </w:rPr>
        <w:t>kadaic acid</w:t>
      </w:r>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 xml:space="preserve">alytoxin, </w:t>
      </w:r>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 xml:space="preserve">ectenotoxin, </w:t>
      </w:r>
      <w:proofErr w:type="spellStart"/>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innatoxin</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olycavernosides</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ortimine</w:t>
      </w:r>
      <w:proofErr w:type="spellEnd"/>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p</w:t>
      </w:r>
      <w:r w:rsidR="005A3AA3" w:rsidRPr="0000286C">
        <w:rPr>
          <w:rFonts w:ascii="Times New Roman" w:hAnsi="Times New Roman" w:cs="Times New Roman"/>
          <w:sz w:val="24"/>
          <w:szCs w:val="24"/>
        </w:rPr>
        <w:t>rymnesin</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b/>
          <w:sz w:val="24"/>
          <w:szCs w:val="24"/>
        </w:rPr>
        <w:t>s</w:t>
      </w:r>
      <w:r w:rsidR="005A3AA3" w:rsidRPr="0000286C">
        <w:rPr>
          <w:rFonts w:ascii="Times New Roman" w:hAnsi="Times New Roman" w:cs="Times New Roman"/>
          <w:b/>
          <w:sz w:val="24"/>
          <w:szCs w:val="24"/>
        </w:rPr>
        <w:t>axitoxin</w:t>
      </w:r>
      <w:r w:rsidR="005A3AA3" w:rsidRPr="0000286C">
        <w:rPr>
          <w:rFonts w:ascii="Times New Roman" w:hAnsi="Times New Roman" w:cs="Times New Roman"/>
          <w:sz w:val="24"/>
          <w:szCs w:val="24"/>
        </w:rPr>
        <w:t xml:space="preserve">, </w:t>
      </w:r>
      <w:proofErr w:type="spellStart"/>
      <w:r w:rsidR="00B66831" w:rsidRPr="0000286C">
        <w:rPr>
          <w:rFonts w:ascii="Times New Roman" w:hAnsi="Times New Roman" w:cs="Times New Roman"/>
          <w:sz w:val="24"/>
          <w:szCs w:val="24"/>
        </w:rPr>
        <w:t>s</w:t>
      </w:r>
      <w:r w:rsidR="005A3AA3" w:rsidRPr="0000286C">
        <w:rPr>
          <w:rFonts w:ascii="Times New Roman" w:hAnsi="Times New Roman" w:cs="Times New Roman"/>
          <w:sz w:val="24"/>
          <w:szCs w:val="24"/>
        </w:rPr>
        <w:t>pirolide</w:t>
      </w:r>
      <w:proofErr w:type="spellEnd"/>
      <w:r w:rsidR="005A3AA3" w:rsidRPr="0000286C">
        <w:rPr>
          <w:rFonts w:ascii="Times New Roman" w:hAnsi="Times New Roman" w:cs="Times New Roman"/>
          <w:sz w:val="24"/>
          <w:szCs w:val="24"/>
        </w:rPr>
        <w:t xml:space="preserve">, </w:t>
      </w:r>
      <w:r w:rsidR="00B66831" w:rsidRPr="0000286C">
        <w:rPr>
          <w:rFonts w:ascii="Times New Roman" w:hAnsi="Times New Roman" w:cs="Times New Roman"/>
          <w:sz w:val="24"/>
          <w:szCs w:val="24"/>
        </w:rPr>
        <w:t>t</w:t>
      </w:r>
      <w:r w:rsidR="005A3AA3" w:rsidRPr="0000286C">
        <w:rPr>
          <w:rFonts w:ascii="Times New Roman" w:hAnsi="Times New Roman" w:cs="Times New Roman"/>
          <w:sz w:val="24"/>
          <w:szCs w:val="24"/>
        </w:rPr>
        <w:t xml:space="preserve">etrodotoxins, </w:t>
      </w:r>
      <w:proofErr w:type="spellStart"/>
      <w:r w:rsidR="00B66831" w:rsidRPr="0000286C">
        <w:rPr>
          <w:rFonts w:ascii="Times New Roman" w:hAnsi="Times New Roman" w:cs="Times New Roman"/>
          <w:sz w:val="24"/>
          <w:szCs w:val="24"/>
        </w:rPr>
        <w:t>y</w:t>
      </w:r>
      <w:r w:rsidR="005A3AA3" w:rsidRPr="0000286C">
        <w:rPr>
          <w:rFonts w:ascii="Times New Roman" w:hAnsi="Times New Roman" w:cs="Times New Roman"/>
          <w:sz w:val="24"/>
          <w:szCs w:val="24"/>
        </w:rPr>
        <w:t>essotoxin</w:t>
      </w:r>
      <w:proofErr w:type="spellEnd"/>
      <w:r w:rsidR="005A3AA3" w:rsidRPr="0000286C">
        <w:rPr>
          <w:rFonts w:ascii="Times New Roman" w:hAnsi="Times New Roman" w:cs="Times New Roman"/>
          <w:sz w:val="24"/>
          <w:szCs w:val="24"/>
        </w:rPr>
        <w:t>)</w:t>
      </w:r>
      <w:r w:rsidR="00B66831" w:rsidRPr="0000286C">
        <w:rPr>
          <w:rFonts w:ascii="Times New Roman" w:hAnsi="Times New Roman" w:cs="Times New Roman"/>
          <w:sz w:val="24"/>
          <w:szCs w:val="24"/>
        </w:rPr>
        <w:t xml:space="preserve">. The toxin database may be viewed </w:t>
      </w:r>
      <w:hyperlink r:id="rId8" w:history="1">
        <w:r w:rsidR="00B66831" w:rsidRPr="0000286C">
          <w:rPr>
            <w:rStyle w:val="Hyperlink"/>
            <w:rFonts w:ascii="Times New Roman" w:hAnsi="Times New Roman" w:cs="Times New Roman"/>
            <w:sz w:val="24"/>
            <w:szCs w:val="24"/>
          </w:rPr>
          <w:t>here</w:t>
        </w:r>
      </w:hyperlink>
      <w:r w:rsidR="00B66831" w:rsidRPr="0000286C">
        <w:rPr>
          <w:rFonts w:ascii="Times New Roman" w:hAnsi="Times New Roman" w:cs="Times New Roman"/>
          <w:sz w:val="24"/>
          <w:szCs w:val="24"/>
        </w:rPr>
        <w:t xml:space="preserve"> but is not currently populated (aside from a couple of examples to view toxin – species relationship). </w:t>
      </w:r>
    </w:p>
    <w:p w14:paraId="1ACEAF9D" w14:textId="77777777" w:rsidR="0000286C" w:rsidRPr="0000286C" w:rsidRDefault="0000286C" w:rsidP="0000286C">
      <w:pPr>
        <w:jc w:val="both"/>
        <w:rPr>
          <w:rFonts w:ascii="Times New Roman" w:hAnsi="Times New Roman" w:cs="Times New Roman"/>
          <w:sz w:val="24"/>
          <w:szCs w:val="24"/>
        </w:rPr>
      </w:pPr>
      <w:r w:rsidRPr="0000286C">
        <w:rPr>
          <w:rFonts w:ascii="Times New Roman" w:hAnsi="Times New Roman" w:cs="Times New Roman"/>
          <w:sz w:val="24"/>
          <w:szCs w:val="24"/>
        </w:rPr>
        <w:t>Each toxin is presented in 10 sections, including naming (recommended name, synonyms, acronym, abbreviation), progenitor and vector species, chemical information and information on reference materials, detection methods, regulatory status, bioactivity, notes, references and contributors.</w:t>
      </w:r>
    </w:p>
    <w:p w14:paraId="00AC37CD" w14:textId="77777777" w:rsidR="0000286C" w:rsidRPr="0000286C" w:rsidRDefault="0000286C" w:rsidP="0000286C">
      <w:pPr>
        <w:jc w:val="both"/>
        <w:rPr>
          <w:rFonts w:ascii="Times New Roman" w:hAnsi="Times New Roman" w:cs="Times New Roman"/>
          <w:sz w:val="24"/>
          <w:szCs w:val="24"/>
        </w:rPr>
      </w:pPr>
      <w:r w:rsidRPr="0000286C">
        <w:rPr>
          <w:rFonts w:ascii="Times New Roman" w:hAnsi="Times New Roman" w:cs="Times New Roman"/>
          <w:sz w:val="24"/>
          <w:szCs w:val="24"/>
        </w:rPr>
        <w:t xml:space="preserve">The editorial team of the database comprises 20 volunteers. Several volunteers offered to edit several groups also allowing for having a primary editor and a verifying editor (denoted by a ‘P’ and a ‘V’ in the </w:t>
      </w:r>
      <w:hyperlink r:id="rId9" w:anchor="gid=1374666870" w:history="1">
        <w:r w:rsidRPr="0000286C">
          <w:rPr>
            <w:rStyle w:val="Hyperlink"/>
            <w:rFonts w:ascii="Times New Roman" w:hAnsi="Times New Roman" w:cs="Times New Roman"/>
            <w:sz w:val="24"/>
            <w:szCs w:val="24"/>
          </w:rPr>
          <w:t>distribution-of-tasks spreadsheet</w:t>
        </w:r>
      </w:hyperlink>
      <w:r w:rsidRPr="0000286C">
        <w:rPr>
          <w:rFonts w:ascii="Times New Roman" w:hAnsi="Times New Roman" w:cs="Times New Roman"/>
          <w:sz w:val="24"/>
          <w:szCs w:val="24"/>
        </w:rPr>
        <w:t>).</w:t>
      </w:r>
    </w:p>
    <w:p w14:paraId="3C18B46E" w14:textId="77777777" w:rsidR="0000286C" w:rsidRPr="0000286C" w:rsidRDefault="0000286C" w:rsidP="005A3AA3">
      <w:pPr>
        <w:jc w:val="both"/>
        <w:rPr>
          <w:rFonts w:ascii="Times New Roman" w:hAnsi="Times New Roman" w:cs="Times New Roman"/>
          <w:sz w:val="24"/>
          <w:szCs w:val="24"/>
        </w:rPr>
      </w:pPr>
    </w:p>
    <w:p w14:paraId="233DCCFF" w14:textId="14A53E40" w:rsidR="00190978" w:rsidRPr="0000286C" w:rsidRDefault="00190978" w:rsidP="005A3AA3">
      <w:pPr>
        <w:jc w:val="both"/>
        <w:rPr>
          <w:rFonts w:ascii="Times New Roman" w:hAnsi="Times New Roman" w:cs="Times New Roman"/>
          <w:sz w:val="24"/>
          <w:szCs w:val="24"/>
        </w:rPr>
      </w:pPr>
      <w:r w:rsidRPr="0000286C">
        <w:rPr>
          <w:noProof/>
          <w:sz w:val="24"/>
          <w:szCs w:val="24"/>
        </w:rPr>
        <w:drawing>
          <wp:inline distT="0" distB="0" distL="0" distR="0" wp14:anchorId="2251D18D" wp14:editId="2CA26C91">
            <wp:extent cx="5972395" cy="24970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399" b="9274"/>
                    <a:stretch/>
                  </pic:blipFill>
                  <pic:spPr bwMode="auto">
                    <a:xfrm>
                      <a:off x="0" y="0"/>
                      <a:ext cx="5972810" cy="2497189"/>
                    </a:xfrm>
                    <a:prstGeom prst="rect">
                      <a:avLst/>
                    </a:prstGeom>
                    <a:ln>
                      <a:noFill/>
                    </a:ln>
                    <a:extLst>
                      <a:ext uri="{53640926-AAD7-44D8-BBD7-CCE9431645EC}">
                        <a14:shadowObscured xmlns:a14="http://schemas.microsoft.com/office/drawing/2010/main"/>
                      </a:ext>
                    </a:extLst>
                  </pic:spPr>
                </pic:pic>
              </a:graphicData>
            </a:graphic>
          </wp:inline>
        </w:drawing>
      </w:r>
    </w:p>
    <w:p w14:paraId="227AE329" w14:textId="55C75DCE" w:rsidR="00F73B6E" w:rsidRPr="0000286C" w:rsidRDefault="00F73B6E" w:rsidP="005A3AA3">
      <w:pPr>
        <w:jc w:val="both"/>
        <w:rPr>
          <w:rFonts w:ascii="Times New Roman" w:hAnsi="Times New Roman" w:cs="Times New Roman"/>
          <w:sz w:val="24"/>
          <w:szCs w:val="24"/>
        </w:rPr>
      </w:pPr>
    </w:p>
    <w:p w14:paraId="14E13714" w14:textId="7DEF74D1" w:rsidR="00F73B6E" w:rsidRPr="0000286C" w:rsidRDefault="00F73B6E" w:rsidP="005A3AA3">
      <w:pPr>
        <w:jc w:val="both"/>
        <w:rPr>
          <w:rFonts w:ascii="Times New Roman" w:hAnsi="Times New Roman" w:cs="Times New Roman"/>
          <w:sz w:val="24"/>
          <w:szCs w:val="24"/>
        </w:rPr>
      </w:pPr>
      <w:r w:rsidRPr="0000286C">
        <w:rPr>
          <w:noProof/>
          <w:sz w:val="24"/>
          <w:szCs w:val="24"/>
        </w:rPr>
        <w:lastRenderedPageBreak/>
        <w:drawing>
          <wp:inline distT="0" distB="0" distL="0" distR="0" wp14:anchorId="6661603F" wp14:editId="40AE25A3">
            <wp:extent cx="5971774" cy="252046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6051" b="8918"/>
                    <a:stretch/>
                  </pic:blipFill>
                  <pic:spPr bwMode="auto">
                    <a:xfrm>
                      <a:off x="0" y="0"/>
                      <a:ext cx="5972810" cy="2520898"/>
                    </a:xfrm>
                    <a:prstGeom prst="rect">
                      <a:avLst/>
                    </a:prstGeom>
                    <a:ln>
                      <a:noFill/>
                    </a:ln>
                    <a:extLst>
                      <a:ext uri="{53640926-AAD7-44D8-BBD7-CCE9431645EC}">
                        <a14:shadowObscured xmlns:a14="http://schemas.microsoft.com/office/drawing/2010/main"/>
                      </a:ext>
                    </a:extLst>
                  </pic:spPr>
                </pic:pic>
              </a:graphicData>
            </a:graphic>
          </wp:inline>
        </w:drawing>
      </w:r>
    </w:p>
    <w:p w14:paraId="14AA42A3" w14:textId="0C8AB1AC" w:rsidR="00B91A09" w:rsidRDefault="00B91A09" w:rsidP="00B91A09">
      <w:pPr>
        <w:jc w:val="both"/>
        <w:rPr>
          <w:rFonts w:ascii="Times New Roman" w:hAnsi="Times New Roman" w:cs="Times New Roman"/>
          <w:sz w:val="24"/>
          <w:szCs w:val="24"/>
        </w:rPr>
      </w:pPr>
    </w:p>
    <w:p w14:paraId="3FCED1FA" w14:textId="77777777" w:rsidR="0000286C" w:rsidRPr="0000286C" w:rsidRDefault="0000286C" w:rsidP="00B91A09">
      <w:pPr>
        <w:jc w:val="both"/>
        <w:rPr>
          <w:rFonts w:ascii="Times New Roman" w:hAnsi="Times New Roman" w:cs="Times New Roman"/>
          <w:sz w:val="24"/>
          <w:szCs w:val="24"/>
        </w:rPr>
      </w:pPr>
    </w:p>
    <w:p w14:paraId="4AF78319" w14:textId="5BC38C6A"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Develop a concerted (inter-agency) effort and seek opportunities to get this effort funded on drafting guidance on mitigation (EWS, safeguarding shellfish during HAB-events, HAB-destruction and shellfish detoxification)</w:t>
      </w:r>
    </w:p>
    <w:p w14:paraId="77EE9DD0" w14:textId="4657A3CF" w:rsidR="0047710D" w:rsidRPr="0000286C" w:rsidRDefault="00B66831" w:rsidP="00F20D9A">
      <w:pPr>
        <w:jc w:val="both"/>
        <w:rPr>
          <w:rFonts w:ascii="Times New Roman" w:hAnsi="Times New Roman" w:cs="Times New Roman"/>
          <w:sz w:val="24"/>
          <w:szCs w:val="24"/>
        </w:rPr>
      </w:pPr>
      <w:r w:rsidRPr="0000286C">
        <w:rPr>
          <w:rFonts w:ascii="Times New Roman" w:hAnsi="Times New Roman" w:cs="Times New Roman"/>
          <w:sz w:val="24"/>
          <w:szCs w:val="24"/>
        </w:rPr>
        <w:t xml:space="preserve">See report on EWS-WG, </w:t>
      </w:r>
      <w:hyperlink r:id="rId12" w:history="1">
        <w:r w:rsidRPr="0000286C">
          <w:rPr>
            <w:rStyle w:val="Hyperlink"/>
            <w:rFonts w:ascii="Times New Roman" w:hAnsi="Times New Roman" w:cs="Times New Roman"/>
            <w:sz w:val="24"/>
            <w:szCs w:val="24"/>
          </w:rPr>
          <w:t>FAO report published March 2023</w:t>
        </w:r>
      </w:hyperlink>
      <w:r w:rsidRPr="0000286C">
        <w:rPr>
          <w:rFonts w:ascii="Times New Roman" w:hAnsi="Times New Roman" w:cs="Times New Roman"/>
          <w:sz w:val="24"/>
          <w:szCs w:val="24"/>
        </w:rPr>
        <w:t>. Task team chair and several task team members contributed to this FAO-report</w:t>
      </w:r>
      <w:r w:rsidR="00F20D9A" w:rsidRPr="0000286C">
        <w:rPr>
          <w:rFonts w:ascii="Times New Roman" w:hAnsi="Times New Roman" w:cs="Times New Roman"/>
          <w:sz w:val="24"/>
          <w:szCs w:val="24"/>
        </w:rPr>
        <w:t xml:space="preserve"> (Maggie Broadwater, Philipp Hess, Ana Gago-Martínez, Maria João Botelho)</w:t>
      </w:r>
      <w:r w:rsidRPr="0000286C">
        <w:rPr>
          <w:rFonts w:ascii="Times New Roman" w:hAnsi="Times New Roman" w:cs="Times New Roman"/>
          <w:sz w:val="24"/>
          <w:szCs w:val="24"/>
        </w:rPr>
        <w:t>.</w:t>
      </w:r>
    </w:p>
    <w:p w14:paraId="566D25C5" w14:textId="77777777" w:rsidR="00B66831" w:rsidRPr="0000286C" w:rsidRDefault="00B66831" w:rsidP="0047710D">
      <w:pPr>
        <w:jc w:val="both"/>
        <w:rPr>
          <w:rFonts w:ascii="Times New Roman" w:hAnsi="Times New Roman" w:cs="Times New Roman"/>
          <w:sz w:val="24"/>
          <w:szCs w:val="24"/>
        </w:rPr>
      </w:pPr>
    </w:p>
    <w:p w14:paraId="146D2F8D" w14:textId="61373A7E"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Report to IPHAB-XVI on international activities in marine biotoxin monitoring, management and regulation during the inter-sessional period</w:t>
      </w:r>
    </w:p>
    <w:p w14:paraId="1ECBE0A6" w14:textId="0E40044A" w:rsidR="00B66831" w:rsidRPr="0000286C" w:rsidRDefault="00B66831" w:rsidP="00B66831">
      <w:pPr>
        <w:jc w:val="both"/>
        <w:rPr>
          <w:rFonts w:ascii="Times New Roman" w:hAnsi="Times New Roman" w:cs="Times New Roman"/>
          <w:sz w:val="24"/>
          <w:szCs w:val="24"/>
        </w:rPr>
      </w:pPr>
      <w:r w:rsidRPr="0000286C">
        <w:rPr>
          <w:rFonts w:ascii="Times New Roman" w:hAnsi="Times New Roman" w:cs="Times New Roman"/>
          <w:sz w:val="24"/>
          <w:szCs w:val="24"/>
        </w:rPr>
        <w:t xml:space="preserve">The present report. </w:t>
      </w:r>
    </w:p>
    <w:p w14:paraId="322910D4" w14:textId="77777777" w:rsidR="00B66831" w:rsidRPr="0000286C" w:rsidRDefault="00B66831" w:rsidP="00B66831">
      <w:pPr>
        <w:jc w:val="both"/>
        <w:rPr>
          <w:rFonts w:ascii="Times New Roman" w:hAnsi="Times New Roman" w:cs="Times New Roman"/>
          <w:sz w:val="24"/>
          <w:szCs w:val="24"/>
        </w:rPr>
      </w:pPr>
    </w:p>
    <w:p w14:paraId="3BC5E30E" w14:textId="6D6D3900"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Recommend to IPHAB-XVI on revised priorities for research, capacity development and engagement with regulatory bodies to address the most pressing issues and threats posed by HAB toxins in the marine environment</w:t>
      </w:r>
    </w:p>
    <w:p w14:paraId="1230A938" w14:textId="28CD5E04" w:rsidR="00B66831" w:rsidRPr="0000286C" w:rsidRDefault="00917208" w:rsidP="00B66831">
      <w:pPr>
        <w:jc w:val="both"/>
        <w:rPr>
          <w:rFonts w:ascii="Times New Roman" w:hAnsi="Times New Roman" w:cs="Times New Roman"/>
          <w:sz w:val="24"/>
          <w:szCs w:val="24"/>
        </w:rPr>
      </w:pPr>
      <w:r w:rsidRPr="0000286C">
        <w:rPr>
          <w:rFonts w:ascii="Times New Roman" w:hAnsi="Times New Roman" w:cs="Times New Roman"/>
          <w:sz w:val="24"/>
          <w:szCs w:val="24"/>
        </w:rPr>
        <w:t>See point below.</w:t>
      </w:r>
    </w:p>
    <w:p w14:paraId="699C7BFE" w14:textId="762AC089" w:rsidR="004861B2" w:rsidRPr="0000286C" w:rsidRDefault="004861B2" w:rsidP="00B66831">
      <w:pPr>
        <w:jc w:val="both"/>
        <w:rPr>
          <w:rFonts w:ascii="Times New Roman" w:hAnsi="Times New Roman" w:cs="Times New Roman"/>
          <w:sz w:val="24"/>
          <w:szCs w:val="24"/>
        </w:rPr>
      </w:pPr>
      <w:r w:rsidRPr="0000286C">
        <w:rPr>
          <w:rFonts w:ascii="Times New Roman" w:hAnsi="Times New Roman" w:cs="Times New Roman"/>
          <w:i/>
          <w:sz w:val="24"/>
          <w:szCs w:val="24"/>
        </w:rPr>
        <w:t>Ostreopsis</w:t>
      </w:r>
      <w:r w:rsidRPr="0000286C">
        <w:rPr>
          <w:rFonts w:ascii="Times New Roman" w:hAnsi="Times New Roman" w:cs="Times New Roman"/>
          <w:sz w:val="24"/>
          <w:szCs w:val="24"/>
        </w:rPr>
        <w:t xml:space="preserve"> cf. </w:t>
      </w:r>
      <w:r w:rsidRPr="0000286C">
        <w:rPr>
          <w:rFonts w:ascii="Times New Roman" w:hAnsi="Times New Roman" w:cs="Times New Roman"/>
          <w:i/>
          <w:sz w:val="24"/>
          <w:szCs w:val="24"/>
        </w:rPr>
        <w:t>ovata</w:t>
      </w:r>
      <w:r w:rsidRPr="0000286C">
        <w:rPr>
          <w:rFonts w:ascii="Times New Roman" w:hAnsi="Times New Roman" w:cs="Times New Roman"/>
          <w:sz w:val="24"/>
          <w:szCs w:val="24"/>
        </w:rPr>
        <w:t xml:space="preserve"> blooms have emerged in France and Senegal impacting surfers heavily since 2021 and repeated in 2022. This had been an ongoing problem in the Mediterranean Sea but now appears to also affect areas in the Eastern Atlantic. Guidance on Early Warning Systems (EWS) for </w:t>
      </w:r>
      <w:proofErr w:type="spellStart"/>
      <w:r w:rsidR="00631260">
        <w:rPr>
          <w:rFonts w:ascii="Times New Roman" w:hAnsi="Times New Roman" w:cs="Times New Roman"/>
          <w:sz w:val="24"/>
          <w:szCs w:val="24"/>
        </w:rPr>
        <w:t>b</w:t>
      </w:r>
      <w:r w:rsidRPr="0000286C">
        <w:rPr>
          <w:rFonts w:ascii="Times New Roman" w:hAnsi="Times New Roman" w:cs="Times New Roman"/>
          <w:sz w:val="24"/>
          <w:szCs w:val="24"/>
        </w:rPr>
        <w:t>HABs</w:t>
      </w:r>
      <w:proofErr w:type="spellEnd"/>
      <w:r w:rsidRPr="0000286C">
        <w:rPr>
          <w:rFonts w:ascii="Times New Roman" w:hAnsi="Times New Roman" w:cs="Times New Roman"/>
          <w:sz w:val="24"/>
          <w:szCs w:val="24"/>
        </w:rPr>
        <w:t xml:space="preserve"> is given in the FAO-report on EWS. </w:t>
      </w:r>
    </w:p>
    <w:p w14:paraId="6A4F1EF3" w14:textId="46B3B508" w:rsidR="00A9245D" w:rsidRPr="0000286C" w:rsidRDefault="004C333D" w:rsidP="004C333D">
      <w:pPr>
        <w:jc w:val="both"/>
        <w:rPr>
          <w:rFonts w:ascii="Times New Roman" w:hAnsi="Times New Roman" w:cs="Times New Roman"/>
          <w:sz w:val="24"/>
          <w:szCs w:val="24"/>
          <w:lang w:eastAsia="zh-CN"/>
        </w:rPr>
      </w:pPr>
      <w:r w:rsidRPr="0000286C">
        <w:rPr>
          <w:rFonts w:ascii="Times New Roman" w:hAnsi="Times New Roman" w:cs="Times New Roman" w:hint="eastAsia"/>
          <w:sz w:val="24"/>
          <w:szCs w:val="24"/>
          <w:lang w:eastAsia="zh-CN"/>
        </w:rPr>
        <w:t>D</w:t>
      </w:r>
      <w:r w:rsidRPr="0000286C">
        <w:rPr>
          <w:rFonts w:ascii="Times New Roman" w:hAnsi="Times New Roman" w:cs="Times New Roman"/>
          <w:sz w:val="24"/>
          <w:szCs w:val="24"/>
          <w:lang w:eastAsia="zh-CN"/>
        </w:rPr>
        <w:t xml:space="preserve">omoic acid (DA) </w:t>
      </w:r>
      <w:r w:rsidR="00CD54DC" w:rsidRPr="0000286C">
        <w:rPr>
          <w:rFonts w:ascii="Times New Roman" w:hAnsi="Times New Roman" w:cs="Times New Roman"/>
          <w:sz w:val="24"/>
          <w:szCs w:val="24"/>
          <w:lang w:eastAsia="zh-CN"/>
        </w:rPr>
        <w:t xml:space="preserve">almost </w:t>
      </w:r>
      <w:r w:rsidR="002955E2" w:rsidRPr="0000286C">
        <w:rPr>
          <w:rFonts w:ascii="Times New Roman" w:hAnsi="Times New Roman" w:cs="Times New Roman"/>
          <w:sz w:val="24"/>
          <w:szCs w:val="24"/>
          <w:lang w:eastAsia="zh-CN"/>
        </w:rPr>
        <w:t xml:space="preserve">had not </w:t>
      </w:r>
      <w:r w:rsidR="00CD54DC" w:rsidRPr="0000286C">
        <w:rPr>
          <w:rFonts w:ascii="Times New Roman" w:hAnsi="Times New Roman" w:cs="Times New Roman"/>
          <w:sz w:val="24"/>
          <w:szCs w:val="24"/>
          <w:lang w:eastAsia="zh-CN"/>
        </w:rPr>
        <w:t>been reported in marine biological samples before 2020</w:t>
      </w:r>
      <w:r w:rsidR="0000286C" w:rsidRPr="0000286C">
        <w:rPr>
          <w:rFonts w:ascii="Times New Roman" w:hAnsi="Times New Roman" w:cs="Times New Roman"/>
          <w:sz w:val="24"/>
          <w:szCs w:val="24"/>
          <w:lang w:eastAsia="zh-CN"/>
        </w:rPr>
        <w:t xml:space="preserve"> in Chinese waters</w:t>
      </w:r>
      <w:r w:rsidR="00CD54DC" w:rsidRPr="0000286C">
        <w:rPr>
          <w:rFonts w:ascii="Times New Roman" w:hAnsi="Times New Roman" w:cs="Times New Roman"/>
          <w:sz w:val="24"/>
          <w:szCs w:val="24"/>
          <w:lang w:eastAsia="zh-CN"/>
        </w:rPr>
        <w:t xml:space="preserve">. However, it </w:t>
      </w:r>
      <w:r w:rsidRPr="0000286C">
        <w:rPr>
          <w:rFonts w:ascii="Times New Roman" w:hAnsi="Times New Roman" w:cs="Times New Roman"/>
          <w:sz w:val="24"/>
          <w:szCs w:val="24"/>
          <w:lang w:eastAsia="zh-CN"/>
        </w:rPr>
        <w:t xml:space="preserve">was frequently detected in net-collected phytoplankton samples in the </w:t>
      </w:r>
      <w:r w:rsidRPr="0000286C">
        <w:rPr>
          <w:rFonts w:ascii="Times New Roman" w:hAnsi="Times New Roman" w:cs="Times New Roman"/>
          <w:sz w:val="24"/>
          <w:szCs w:val="24"/>
          <w:lang w:eastAsia="zh-CN"/>
        </w:rPr>
        <w:lastRenderedPageBreak/>
        <w:t xml:space="preserve">Coast of Guangdong Province, South China Sea, </w:t>
      </w:r>
      <w:r w:rsidR="00D56BD1" w:rsidRPr="0000286C">
        <w:rPr>
          <w:rFonts w:ascii="Times New Roman" w:hAnsi="Times New Roman" w:cs="Times New Roman"/>
          <w:sz w:val="24"/>
          <w:szCs w:val="24"/>
          <w:lang w:eastAsia="zh-CN"/>
        </w:rPr>
        <w:t xml:space="preserve">China, </w:t>
      </w:r>
      <w:r w:rsidRPr="0000286C">
        <w:rPr>
          <w:rFonts w:ascii="Times New Roman" w:hAnsi="Times New Roman" w:cs="Times New Roman"/>
          <w:sz w:val="24"/>
          <w:szCs w:val="24"/>
          <w:lang w:eastAsia="zh-CN"/>
        </w:rPr>
        <w:t xml:space="preserve">in recent years. A total of nine toxigenic species of </w:t>
      </w:r>
      <w:r w:rsidRPr="0000286C">
        <w:rPr>
          <w:rFonts w:ascii="Times New Roman" w:hAnsi="Times New Roman" w:cs="Times New Roman"/>
          <w:i/>
          <w:sz w:val="24"/>
          <w:szCs w:val="24"/>
          <w:lang w:eastAsia="zh-CN"/>
        </w:rPr>
        <w:t>Pseudo-</w:t>
      </w:r>
      <w:proofErr w:type="spellStart"/>
      <w:r w:rsidRPr="0000286C">
        <w:rPr>
          <w:rFonts w:ascii="Times New Roman" w:hAnsi="Times New Roman" w:cs="Times New Roman"/>
          <w:i/>
          <w:sz w:val="24"/>
          <w:szCs w:val="24"/>
          <w:lang w:eastAsia="zh-CN"/>
        </w:rPr>
        <w:t>nitzschia</w:t>
      </w:r>
      <w:proofErr w:type="spellEnd"/>
      <w:r w:rsidRPr="0000286C">
        <w:rPr>
          <w:rFonts w:ascii="Times New Roman" w:hAnsi="Times New Roman" w:cs="Times New Roman"/>
          <w:sz w:val="24"/>
          <w:szCs w:val="24"/>
          <w:lang w:eastAsia="zh-CN"/>
        </w:rPr>
        <w:t xml:space="preserve"> diatoms were identified in the coast of China, including </w:t>
      </w:r>
      <w:r w:rsidRPr="0000286C">
        <w:rPr>
          <w:rFonts w:ascii="Times New Roman" w:hAnsi="Times New Roman" w:cs="Times New Roman"/>
          <w:i/>
          <w:sz w:val="24"/>
          <w:szCs w:val="24"/>
          <w:lang w:eastAsia="zh-CN"/>
        </w:rPr>
        <w:t>Pseudo-</w:t>
      </w:r>
      <w:proofErr w:type="spellStart"/>
      <w:r w:rsidRPr="0000286C">
        <w:rPr>
          <w:rFonts w:ascii="Times New Roman" w:hAnsi="Times New Roman" w:cs="Times New Roman"/>
          <w:i/>
          <w:sz w:val="24"/>
          <w:szCs w:val="24"/>
          <w:lang w:eastAsia="zh-CN"/>
        </w:rPr>
        <w:t>nitzschia</w:t>
      </w:r>
      <w:proofErr w:type="spellEnd"/>
      <w:r w:rsidRPr="0000286C">
        <w:rPr>
          <w:rFonts w:ascii="Times New Roman" w:hAnsi="Times New Roman" w:cs="Times New Roman"/>
          <w:i/>
          <w:sz w:val="24"/>
          <w:szCs w:val="24"/>
          <w:lang w:eastAsia="zh-CN"/>
        </w:rPr>
        <w:t xml:space="preserve"> </w:t>
      </w:r>
      <w:proofErr w:type="spellStart"/>
      <w:r w:rsidRPr="0000286C">
        <w:rPr>
          <w:rFonts w:ascii="Times New Roman" w:hAnsi="Times New Roman" w:cs="Times New Roman"/>
          <w:i/>
          <w:sz w:val="24"/>
          <w:szCs w:val="24"/>
          <w:lang w:eastAsia="zh-CN"/>
        </w:rPr>
        <w:t>simulans</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fukuyoi</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lundholmiae</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multiseries</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pseudodelicatissima</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bipertita</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caciantha</w:t>
      </w:r>
      <w:proofErr w:type="spellEnd"/>
      <w:r w:rsidRPr="0000286C">
        <w:rPr>
          <w:rFonts w:ascii="Times New Roman" w:hAnsi="Times New Roman" w:cs="Times New Roman"/>
          <w:sz w:val="24"/>
          <w:szCs w:val="24"/>
          <w:lang w:eastAsia="zh-CN"/>
        </w:rPr>
        <w:t xml:space="preserve">,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cuspidata</w:t>
      </w:r>
      <w:proofErr w:type="spellEnd"/>
      <w:r w:rsidRPr="0000286C">
        <w:rPr>
          <w:rFonts w:ascii="Times New Roman" w:hAnsi="Times New Roman" w:cs="Times New Roman"/>
          <w:sz w:val="24"/>
          <w:szCs w:val="24"/>
          <w:lang w:eastAsia="zh-CN"/>
        </w:rPr>
        <w:t xml:space="preserve"> and </w:t>
      </w:r>
      <w:r w:rsidRPr="0000286C">
        <w:rPr>
          <w:rFonts w:ascii="Times New Roman" w:hAnsi="Times New Roman" w:cs="Times New Roman"/>
          <w:i/>
          <w:sz w:val="24"/>
          <w:szCs w:val="24"/>
          <w:lang w:eastAsia="zh-CN"/>
        </w:rPr>
        <w:t xml:space="preserve">P. </w:t>
      </w:r>
      <w:proofErr w:type="spellStart"/>
      <w:r w:rsidRPr="0000286C">
        <w:rPr>
          <w:rFonts w:ascii="Times New Roman" w:hAnsi="Times New Roman" w:cs="Times New Roman"/>
          <w:i/>
          <w:sz w:val="24"/>
          <w:szCs w:val="24"/>
          <w:lang w:eastAsia="zh-CN"/>
        </w:rPr>
        <w:t>fraudulenta</w:t>
      </w:r>
      <w:proofErr w:type="spellEnd"/>
      <w:r w:rsidRPr="0000286C">
        <w:rPr>
          <w:rFonts w:ascii="Times New Roman" w:hAnsi="Times New Roman" w:cs="Times New Roman"/>
          <w:sz w:val="24"/>
          <w:szCs w:val="24"/>
          <w:lang w:eastAsia="zh-CN"/>
        </w:rPr>
        <w:t xml:space="preserve">, </w:t>
      </w:r>
      <w:r w:rsidR="00B05895" w:rsidRPr="0000286C">
        <w:rPr>
          <w:rFonts w:ascii="Times New Roman" w:hAnsi="Times New Roman" w:cs="Times New Roman"/>
          <w:sz w:val="24"/>
          <w:szCs w:val="24"/>
          <w:lang w:eastAsia="zh-CN"/>
        </w:rPr>
        <w:t xml:space="preserve">in which the </w:t>
      </w:r>
      <w:r w:rsidR="00B05895" w:rsidRPr="0000286C">
        <w:rPr>
          <w:rFonts w:ascii="Times New Roman" w:hAnsi="Times New Roman" w:cs="Times New Roman"/>
          <w:i/>
          <w:sz w:val="24"/>
          <w:szCs w:val="24"/>
          <w:lang w:eastAsia="zh-CN"/>
        </w:rPr>
        <w:t xml:space="preserve">P. </w:t>
      </w:r>
      <w:proofErr w:type="spellStart"/>
      <w:r w:rsidR="00B05895" w:rsidRPr="0000286C">
        <w:rPr>
          <w:rFonts w:ascii="Times New Roman" w:hAnsi="Times New Roman" w:cs="Times New Roman"/>
          <w:i/>
          <w:sz w:val="24"/>
          <w:szCs w:val="24"/>
          <w:lang w:eastAsia="zh-CN"/>
        </w:rPr>
        <w:t>cuspidata</w:t>
      </w:r>
      <w:proofErr w:type="spellEnd"/>
      <w:r w:rsidR="00B05895" w:rsidRPr="0000286C">
        <w:rPr>
          <w:rFonts w:ascii="Times New Roman" w:hAnsi="Times New Roman" w:cs="Times New Roman"/>
          <w:i/>
          <w:sz w:val="24"/>
          <w:szCs w:val="24"/>
          <w:lang w:eastAsia="zh-CN"/>
        </w:rPr>
        <w:t xml:space="preserve"> </w:t>
      </w:r>
      <w:r w:rsidR="00CD54DC" w:rsidRPr="0000286C">
        <w:rPr>
          <w:rFonts w:ascii="Times New Roman" w:hAnsi="Times New Roman" w:cs="Times New Roman"/>
          <w:sz w:val="24"/>
          <w:szCs w:val="24"/>
          <w:lang w:eastAsia="zh-CN"/>
        </w:rPr>
        <w:t>was</w:t>
      </w:r>
      <w:r w:rsidR="00B05895" w:rsidRPr="0000286C">
        <w:rPr>
          <w:rFonts w:ascii="Times New Roman" w:hAnsi="Times New Roman" w:cs="Times New Roman"/>
          <w:sz w:val="24"/>
          <w:szCs w:val="24"/>
          <w:lang w:eastAsia="zh-CN"/>
        </w:rPr>
        <w:t xml:space="preserve"> the dominant toxigenic species as the source of DA. </w:t>
      </w:r>
    </w:p>
    <w:p w14:paraId="6C6471DD" w14:textId="42168CF7" w:rsidR="00B66831" w:rsidRDefault="0000286C" w:rsidP="00B66831">
      <w:pPr>
        <w:jc w:val="both"/>
        <w:rPr>
          <w:rFonts w:ascii="Times New Roman" w:hAnsi="Times New Roman" w:cs="Times New Roman"/>
          <w:sz w:val="24"/>
          <w:szCs w:val="24"/>
        </w:rPr>
      </w:pPr>
      <w:r>
        <w:rPr>
          <w:rFonts w:ascii="Times New Roman" w:hAnsi="Times New Roman" w:cs="Times New Roman"/>
          <w:sz w:val="24"/>
          <w:szCs w:val="24"/>
        </w:rPr>
        <w:t xml:space="preserve">The presence of diydro-DTX1 produced by </w:t>
      </w:r>
      <w:r w:rsidRPr="00631260">
        <w:rPr>
          <w:rFonts w:ascii="Times New Roman" w:hAnsi="Times New Roman" w:cs="Times New Roman"/>
          <w:i/>
          <w:sz w:val="24"/>
          <w:szCs w:val="24"/>
        </w:rPr>
        <w:t xml:space="preserve">D. </w:t>
      </w:r>
      <w:proofErr w:type="spellStart"/>
      <w:r w:rsidRPr="00631260">
        <w:rPr>
          <w:rFonts w:ascii="Times New Roman" w:hAnsi="Times New Roman" w:cs="Times New Roman"/>
          <w:i/>
          <w:sz w:val="24"/>
          <w:szCs w:val="24"/>
        </w:rPr>
        <w:t>norvegica</w:t>
      </w:r>
      <w:proofErr w:type="spellEnd"/>
      <w:r>
        <w:rPr>
          <w:rFonts w:ascii="Times New Roman" w:hAnsi="Times New Roman" w:cs="Times New Roman"/>
          <w:sz w:val="24"/>
          <w:szCs w:val="24"/>
        </w:rPr>
        <w:t xml:space="preserve"> on the US Est coast is outlined as a significant finding that may necessitate changes in regulation and monitoring pr</w:t>
      </w:r>
      <w:r w:rsidR="00631260">
        <w:rPr>
          <w:rFonts w:ascii="Times New Roman" w:hAnsi="Times New Roman" w:cs="Times New Roman"/>
          <w:sz w:val="24"/>
          <w:szCs w:val="24"/>
        </w:rPr>
        <w:t>o</w:t>
      </w:r>
      <w:r>
        <w:rPr>
          <w:rFonts w:ascii="Times New Roman" w:hAnsi="Times New Roman" w:cs="Times New Roman"/>
          <w:sz w:val="24"/>
          <w:szCs w:val="24"/>
        </w:rPr>
        <w:t xml:space="preserve">grams </w:t>
      </w:r>
      <w:r w:rsidR="00631260">
        <w:rPr>
          <w:rFonts w:ascii="Times New Roman" w:hAnsi="Times New Roman" w:cs="Times New Roman"/>
          <w:sz w:val="24"/>
          <w:szCs w:val="24"/>
        </w:rPr>
        <w:t xml:space="preserve">and require further efforts on reference standards. </w:t>
      </w:r>
    </w:p>
    <w:p w14:paraId="1E8082EA" w14:textId="77777777" w:rsidR="0000286C" w:rsidRPr="0000286C" w:rsidRDefault="0000286C" w:rsidP="00B66831">
      <w:pPr>
        <w:jc w:val="both"/>
        <w:rPr>
          <w:rFonts w:ascii="Times New Roman" w:hAnsi="Times New Roman" w:cs="Times New Roman"/>
          <w:sz w:val="24"/>
          <w:szCs w:val="24"/>
        </w:rPr>
      </w:pPr>
    </w:p>
    <w:p w14:paraId="31A457B8" w14:textId="4EFD982C" w:rsidR="007D7EF1" w:rsidRPr="0000286C" w:rsidRDefault="007D7EF1" w:rsidP="007D7EF1">
      <w:pPr>
        <w:pStyle w:val="ListParagraph"/>
        <w:numPr>
          <w:ilvl w:val="0"/>
          <w:numId w:val="21"/>
        </w:numPr>
        <w:jc w:val="both"/>
        <w:rPr>
          <w:rFonts w:ascii="Times New Roman" w:hAnsi="Times New Roman" w:cs="Times New Roman"/>
          <w:b/>
          <w:sz w:val="24"/>
          <w:szCs w:val="24"/>
        </w:rPr>
      </w:pPr>
      <w:r w:rsidRPr="0000286C">
        <w:rPr>
          <w:rFonts w:ascii="Times New Roman" w:hAnsi="Times New Roman" w:cs="Times New Roman"/>
          <w:b/>
          <w:sz w:val="24"/>
          <w:szCs w:val="24"/>
        </w:rPr>
        <w:t>In 6 months develop a succinct list of challenges, objectives and actions with respect to the Task Team topic that will address the UN Decade of Ocean Science for Sustainable Development objectives and challenges and to present these at an IPHAB intersessional on-line consultation September 2021 with a view to formulate an IPHAB strategic framework for UN Decade initiatives</w:t>
      </w:r>
    </w:p>
    <w:p w14:paraId="0A4BFA97" w14:textId="77777777" w:rsidR="00F20D9A" w:rsidRPr="0000286C" w:rsidRDefault="00997504" w:rsidP="00A927D1">
      <w:pPr>
        <w:jc w:val="both"/>
        <w:rPr>
          <w:rFonts w:ascii="Times New Roman" w:hAnsi="Times New Roman" w:cs="Times New Roman"/>
          <w:sz w:val="24"/>
          <w:szCs w:val="24"/>
        </w:rPr>
      </w:pPr>
      <w:r w:rsidRPr="0000286C">
        <w:rPr>
          <w:rFonts w:ascii="Times New Roman" w:hAnsi="Times New Roman" w:cs="Times New Roman"/>
          <w:sz w:val="24"/>
          <w:szCs w:val="24"/>
        </w:rPr>
        <w:t xml:space="preserve">A task team meeting was held with several team members on 13 April 2022 in preparation for the Helsingor (DK) - meeting on the UN OCEAN Decade action. </w:t>
      </w:r>
    </w:p>
    <w:p w14:paraId="6B9A1A47" w14:textId="762D3447" w:rsidR="00F20D9A" w:rsidRPr="0000286C" w:rsidRDefault="00F20D9A" w:rsidP="00A927D1">
      <w:pPr>
        <w:jc w:val="both"/>
        <w:rPr>
          <w:rFonts w:ascii="Times New Roman" w:hAnsi="Times New Roman" w:cs="Times New Roman"/>
          <w:sz w:val="24"/>
          <w:szCs w:val="24"/>
        </w:rPr>
      </w:pPr>
      <w:r w:rsidRPr="0000286C">
        <w:rPr>
          <w:rFonts w:ascii="Times New Roman" w:hAnsi="Times New Roman" w:cs="Times New Roman"/>
          <w:sz w:val="24"/>
          <w:szCs w:val="24"/>
        </w:rPr>
        <w:t xml:space="preserve">During this meeting, several recent </w:t>
      </w:r>
      <w:r w:rsidRPr="0000286C">
        <w:rPr>
          <w:rFonts w:ascii="Times New Roman" w:hAnsi="Times New Roman" w:cs="Times New Roman"/>
          <w:sz w:val="24"/>
          <w:szCs w:val="24"/>
          <w:u w:val="single"/>
        </w:rPr>
        <w:t>methodological approaches were discussed as disruptive technologies in the field of biotoxin detection</w:t>
      </w:r>
      <w:r w:rsidRPr="0000286C">
        <w:rPr>
          <w:rFonts w:ascii="Times New Roman" w:hAnsi="Times New Roman" w:cs="Times New Roman"/>
          <w:sz w:val="24"/>
          <w:szCs w:val="24"/>
        </w:rPr>
        <w:t xml:space="preserve">: </w:t>
      </w:r>
    </w:p>
    <w:p w14:paraId="71774758" w14:textId="368BD15E" w:rsidR="00F20D9A" w:rsidRPr="0000286C" w:rsidRDefault="00F20D9A" w:rsidP="00F20D9A">
      <w:pPr>
        <w:jc w:val="both"/>
        <w:rPr>
          <w:rFonts w:ascii="Times New Roman" w:hAnsi="Times New Roman" w:cs="Times New Roman"/>
          <w:sz w:val="24"/>
          <w:szCs w:val="24"/>
        </w:rPr>
      </w:pPr>
      <w:r w:rsidRPr="0000286C">
        <w:rPr>
          <w:rFonts w:ascii="Times New Roman" w:hAnsi="Times New Roman" w:cs="Times New Roman"/>
          <w:sz w:val="24"/>
          <w:szCs w:val="24"/>
        </w:rPr>
        <w:t>•</w:t>
      </w:r>
      <w:r w:rsidRPr="0000286C">
        <w:rPr>
          <w:rFonts w:ascii="Times New Roman" w:hAnsi="Times New Roman" w:cs="Times New Roman"/>
          <w:sz w:val="24"/>
          <w:szCs w:val="24"/>
        </w:rPr>
        <w:tab/>
        <w:t>Environmental RNA (</w:t>
      </w:r>
      <w:proofErr w:type="spellStart"/>
      <w:r w:rsidRPr="0000286C">
        <w:rPr>
          <w:rFonts w:ascii="Times New Roman" w:hAnsi="Times New Roman" w:cs="Times New Roman"/>
          <w:sz w:val="24"/>
          <w:szCs w:val="24"/>
        </w:rPr>
        <w:t>eRNA</w:t>
      </w:r>
      <w:proofErr w:type="spellEnd"/>
      <w:r w:rsidRPr="0000286C">
        <w:rPr>
          <w:rFonts w:ascii="Times New Roman" w:hAnsi="Times New Roman" w:cs="Times New Roman"/>
          <w:sz w:val="24"/>
          <w:szCs w:val="24"/>
        </w:rPr>
        <w:t xml:space="preserve">) for the detection of harmful algae in toxin-producing mode (e.g. kit developed by Australian group for detection of cyanobacteria and dinoflagellates in STX-production mode). Currently limited to STX-producing species, could also potentially be developed for DA-producing </w:t>
      </w:r>
      <w:r w:rsidRPr="0000286C">
        <w:rPr>
          <w:rFonts w:ascii="Times New Roman" w:hAnsi="Times New Roman" w:cs="Times New Roman"/>
          <w:i/>
          <w:sz w:val="24"/>
          <w:szCs w:val="24"/>
        </w:rPr>
        <w:t>Pseudo-</w:t>
      </w:r>
      <w:proofErr w:type="spellStart"/>
      <w:r w:rsidRPr="0000286C">
        <w:rPr>
          <w:rFonts w:ascii="Times New Roman" w:hAnsi="Times New Roman" w:cs="Times New Roman"/>
          <w:i/>
          <w:sz w:val="24"/>
          <w:szCs w:val="24"/>
        </w:rPr>
        <w:t>nitzschia</w:t>
      </w:r>
      <w:proofErr w:type="spellEnd"/>
      <w:r w:rsidRPr="0000286C">
        <w:rPr>
          <w:rFonts w:ascii="Times New Roman" w:hAnsi="Times New Roman" w:cs="Times New Roman"/>
          <w:sz w:val="24"/>
          <w:szCs w:val="24"/>
        </w:rPr>
        <w:t xml:space="preserve"> species as biosynthesis has recently been clarified by Californians. Still limited for all other toxin groups as toxin-related genes remain unknown;</w:t>
      </w:r>
      <w:r w:rsidR="00E471A6" w:rsidRPr="0000286C">
        <w:rPr>
          <w:rFonts w:ascii="Times New Roman" w:hAnsi="Times New Roman" w:cs="Times New Roman"/>
          <w:sz w:val="24"/>
          <w:szCs w:val="24"/>
        </w:rPr>
        <w:t xml:space="preserve"> </w:t>
      </w:r>
    </w:p>
    <w:p w14:paraId="73ECAAE9" w14:textId="2CEBC875" w:rsidR="00F20D9A" w:rsidRPr="0000286C" w:rsidRDefault="00F20D9A" w:rsidP="00F20D9A">
      <w:pPr>
        <w:jc w:val="both"/>
        <w:rPr>
          <w:rFonts w:ascii="Times New Roman" w:hAnsi="Times New Roman" w:cs="Times New Roman"/>
          <w:sz w:val="24"/>
          <w:szCs w:val="24"/>
        </w:rPr>
      </w:pPr>
      <w:r w:rsidRPr="0000286C">
        <w:rPr>
          <w:rFonts w:ascii="Times New Roman" w:hAnsi="Times New Roman" w:cs="Times New Roman"/>
          <w:sz w:val="24"/>
          <w:szCs w:val="24"/>
        </w:rPr>
        <w:t>•</w:t>
      </w:r>
      <w:r w:rsidRPr="0000286C">
        <w:rPr>
          <w:rFonts w:ascii="Times New Roman" w:hAnsi="Times New Roman" w:cs="Times New Roman"/>
          <w:sz w:val="24"/>
          <w:szCs w:val="24"/>
        </w:rPr>
        <w:tab/>
        <w:t>Passive sampling combined with metabolomics (high resolution mass spectrometry) for the detection of emerging toxins – an approach that probably fails due to the need for heavy equipment. Could also be complemented by multiplex toxin-probes on environmental samplers, again not cheap technology at this stage.</w:t>
      </w:r>
      <w:r w:rsidR="00E471A6" w:rsidRPr="0000286C">
        <w:rPr>
          <w:rFonts w:ascii="Times New Roman" w:hAnsi="Times New Roman" w:cs="Times New Roman"/>
          <w:sz w:val="24"/>
          <w:szCs w:val="24"/>
        </w:rPr>
        <w:t xml:space="preserve"> </w:t>
      </w:r>
    </w:p>
    <w:p w14:paraId="71C3A57A" w14:textId="1FD93A31" w:rsidR="00A927D1" w:rsidRPr="0000286C" w:rsidRDefault="00A34A53" w:rsidP="00A927D1">
      <w:pPr>
        <w:jc w:val="both"/>
        <w:rPr>
          <w:rFonts w:ascii="Times New Roman" w:hAnsi="Times New Roman" w:cs="Times New Roman"/>
          <w:sz w:val="24"/>
          <w:szCs w:val="24"/>
        </w:rPr>
      </w:pPr>
      <w:r w:rsidRPr="0000286C">
        <w:rPr>
          <w:rFonts w:ascii="Times New Roman" w:hAnsi="Times New Roman" w:cs="Times New Roman"/>
          <w:sz w:val="24"/>
          <w:szCs w:val="24"/>
        </w:rPr>
        <w:t xml:space="preserve">Following this meeting, the </w:t>
      </w:r>
      <w:r w:rsidRPr="0000286C">
        <w:rPr>
          <w:rFonts w:ascii="Times New Roman" w:hAnsi="Times New Roman" w:cs="Times New Roman"/>
          <w:sz w:val="24"/>
          <w:szCs w:val="24"/>
          <w:u w:val="single"/>
        </w:rPr>
        <w:t>main priorities</w:t>
      </w:r>
      <w:r w:rsidRPr="0000286C">
        <w:rPr>
          <w:rFonts w:ascii="Times New Roman" w:hAnsi="Times New Roman" w:cs="Times New Roman"/>
          <w:sz w:val="24"/>
          <w:szCs w:val="24"/>
        </w:rPr>
        <w:t xml:space="preserve"> </w:t>
      </w:r>
      <w:r w:rsidR="00917208" w:rsidRPr="0000286C">
        <w:rPr>
          <w:rFonts w:ascii="Times New Roman" w:hAnsi="Times New Roman" w:cs="Times New Roman"/>
          <w:sz w:val="24"/>
          <w:szCs w:val="24"/>
        </w:rPr>
        <w:t>presented at</w:t>
      </w:r>
      <w:r w:rsidRPr="0000286C">
        <w:rPr>
          <w:rFonts w:ascii="Times New Roman" w:hAnsi="Times New Roman" w:cs="Times New Roman"/>
          <w:sz w:val="24"/>
          <w:szCs w:val="24"/>
        </w:rPr>
        <w:t xml:space="preserve"> the Helsingor-meeting were: </w:t>
      </w:r>
    </w:p>
    <w:p w14:paraId="327289B8" w14:textId="4B3180D3" w:rsidR="00A34A53" w:rsidRPr="0000286C" w:rsidRDefault="00A34A53" w:rsidP="00A34A53">
      <w:pPr>
        <w:pStyle w:val="ListParagraph"/>
        <w:numPr>
          <w:ilvl w:val="0"/>
          <w:numId w:val="22"/>
        </w:numPr>
        <w:jc w:val="both"/>
        <w:rPr>
          <w:rFonts w:ascii="Times New Roman" w:hAnsi="Times New Roman" w:cs="Times New Roman"/>
          <w:sz w:val="24"/>
          <w:szCs w:val="24"/>
        </w:rPr>
      </w:pPr>
      <w:r w:rsidRPr="0000286C">
        <w:rPr>
          <w:rFonts w:ascii="Times New Roman" w:hAnsi="Times New Roman" w:cs="Times New Roman"/>
          <w:sz w:val="24"/>
          <w:szCs w:val="24"/>
        </w:rPr>
        <w:t>Improve detection, management &amp; regulation of ciguatera</w:t>
      </w:r>
    </w:p>
    <w:p w14:paraId="6F1A3966" w14:textId="0BCA24E8" w:rsidR="00A34A53" w:rsidRPr="0000286C" w:rsidRDefault="00A34A53" w:rsidP="00A34A53">
      <w:pPr>
        <w:pStyle w:val="ListParagraph"/>
        <w:numPr>
          <w:ilvl w:val="0"/>
          <w:numId w:val="22"/>
        </w:numPr>
        <w:jc w:val="both"/>
        <w:rPr>
          <w:rFonts w:ascii="Times New Roman" w:hAnsi="Times New Roman" w:cs="Times New Roman"/>
          <w:sz w:val="24"/>
          <w:szCs w:val="24"/>
        </w:rPr>
      </w:pPr>
      <w:r w:rsidRPr="0000286C">
        <w:rPr>
          <w:rFonts w:ascii="Times New Roman" w:hAnsi="Times New Roman" w:cs="Times New Roman"/>
          <w:sz w:val="24"/>
          <w:szCs w:val="24"/>
        </w:rPr>
        <w:t xml:space="preserve">Improve detection, management &amp; regulation of fish-killing </w:t>
      </w:r>
      <w:r w:rsidR="00E471A6" w:rsidRPr="0000286C">
        <w:rPr>
          <w:rFonts w:ascii="Times New Roman" w:hAnsi="Times New Roman" w:cs="Times New Roman"/>
          <w:sz w:val="24"/>
          <w:szCs w:val="24"/>
        </w:rPr>
        <w:t>micro</w:t>
      </w:r>
      <w:r w:rsidRPr="0000286C">
        <w:rPr>
          <w:rFonts w:ascii="Times New Roman" w:hAnsi="Times New Roman" w:cs="Times New Roman"/>
          <w:sz w:val="24"/>
          <w:szCs w:val="24"/>
        </w:rPr>
        <w:t>algae</w:t>
      </w:r>
    </w:p>
    <w:p w14:paraId="478C6FBE" w14:textId="77777777" w:rsidR="00A34A53" w:rsidRPr="0000286C" w:rsidRDefault="00A34A53" w:rsidP="00EB264A">
      <w:pPr>
        <w:pStyle w:val="ListParagraph"/>
        <w:numPr>
          <w:ilvl w:val="0"/>
          <w:numId w:val="22"/>
        </w:numPr>
        <w:jc w:val="both"/>
        <w:rPr>
          <w:rFonts w:ascii="Times New Roman" w:hAnsi="Times New Roman" w:cs="Times New Roman"/>
          <w:sz w:val="24"/>
          <w:szCs w:val="24"/>
        </w:rPr>
      </w:pPr>
      <w:r w:rsidRPr="0000286C">
        <w:rPr>
          <w:rFonts w:ascii="Times New Roman" w:hAnsi="Times New Roman" w:cs="Times New Roman"/>
          <w:sz w:val="24"/>
          <w:szCs w:val="24"/>
        </w:rPr>
        <w:t xml:space="preserve">Improve mitigation for all other toxin groups in the face of climate change: </w:t>
      </w:r>
    </w:p>
    <w:p w14:paraId="298DEC17" w14:textId="77777777" w:rsidR="00A34A53" w:rsidRPr="0000286C" w:rsidRDefault="00A34A53" w:rsidP="00EB42D1">
      <w:pPr>
        <w:pStyle w:val="ListParagraph"/>
        <w:numPr>
          <w:ilvl w:val="1"/>
          <w:numId w:val="22"/>
        </w:numPr>
        <w:jc w:val="both"/>
        <w:rPr>
          <w:rFonts w:ascii="Times New Roman" w:hAnsi="Times New Roman" w:cs="Times New Roman"/>
          <w:sz w:val="24"/>
          <w:szCs w:val="24"/>
        </w:rPr>
      </w:pPr>
      <w:r w:rsidRPr="0000286C">
        <w:rPr>
          <w:rFonts w:ascii="Times New Roman" w:hAnsi="Times New Roman" w:cs="Times New Roman"/>
          <w:sz w:val="24"/>
          <w:szCs w:val="24"/>
        </w:rPr>
        <w:t>Early warning</w:t>
      </w:r>
    </w:p>
    <w:p w14:paraId="4F3DC088" w14:textId="77777777" w:rsidR="00A34A53" w:rsidRPr="0000286C" w:rsidRDefault="00A34A53" w:rsidP="004364F2">
      <w:pPr>
        <w:pStyle w:val="ListParagraph"/>
        <w:numPr>
          <w:ilvl w:val="1"/>
          <w:numId w:val="22"/>
        </w:numPr>
        <w:jc w:val="both"/>
        <w:rPr>
          <w:rFonts w:ascii="Times New Roman" w:hAnsi="Times New Roman" w:cs="Times New Roman"/>
          <w:sz w:val="24"/>
          <w:szCs w:val="24"/>
        </w:rPr>
      </w:pPr>
      <w:r w:rsidRPr="0000286C">
        <w:rPr>
          <w:rFonts w:ascii="Times New Roman" w:hAnsi="Times New Roman" w:cs="Times New Roman"/>
          <w:sz w:val="24"/>
          <w:szCs w:val="24"/>
        </w:rPr>
        <w:t>Desalination</w:t>
      </w:r>
    </w:p>
    <w:p w14:paraId="57D5C7A4" w14:textId="77777777" w:rsidR="00A34A53" w:rsidRPr="0000286C" w:rsidRDefault="00A34A53" w:rsidP="00D232DF">
      <w:pPr>
        <w:pStyle w:val="ListParagraph"/>
        <w:numPr>
          <w:ilvl w:val="1"/>
          <w:numId w:val="22"/>
        </w:numPr>
        <w:jc w:val="both"/>
        <w:rPr>
          <w:rFonts w:ascii="Times New Roman" w:hAnsi="Times New Roman" w:cs="Times New Roman"/>
          <w:sz w:val="24"/>
          <w:szCs w:val="24"/>
        </w:rPr>
      </w:pPr>
      <w:r w:rsidRPr="0000286C">
        <w:rPr>
          <w:rFonts w:ascii="Times New Roman" w:hAnsi="Times New Roman" w:cs="Times New Roman"/>
          <w:sz w:val="24"/>
          <w:szCs w:val="24"/>
        </w:rPr>
        <w:t>HAB removal</w:t>
      </w:r>
    </w:p>
    <w:p w14:paraId="5366C7D0" w14:textId="641013D5" w:rsidR="00A34A53" w:rsidRPr="0000286C" w:rsidRDefault="00A34A53" w:rsidP="00D232DF">
      <w:pPr>
        <w:pStyle w:val="ListParagraph"/>
        <w:numPr>
          <w:ilvl w:val="1"/>
          <w:numId w:val="22"/>
        </w:numPr>
        <w:jc w:val="both"/>
        <w:rPr>
          <w:rFonts w:ascii="Times New Roman" w:hAnsi="Times New Roman" w:cs="Times New Roman"/>
          <w:sz w:val="24"/>
          <w:szCs w:val="24"/>
        </w:rPr>
      </w:pPr>
      <w:r w:rsidRPr="0000286C">
        <w:rPr>
          <w:rFonts w:ascii="Times New Roman" w:hAnsi="Times New Roman" w:cs="Times New Roman"/>
          <w:sz w:val="24"/>
          <w:szCs w:val="24"/>
        </w:rPr>
        <w:t>Detoxification</w:t>
      </w:r>
    </w:p>
    <w:p w14:paraId="00000054" w14:textId="57292419" w:rsidR="00200127" w:rsidRPr="00620CFE" w:rsidRDefault="009A7590" w:rsidP="00620CFE">
      <w:pPr>
        <w:jc w:val="both"/>
        <w:rPr>
          <w:rFonts w:ascii="Times New Roman" w:hAnsi="Times New Roman" w:cs="Times New Roman"/>
          <w:sz w:val="24"/>
          <w:szCs w:val="24"/>
        </w:rPr>
      </w:pPr>
      <w:r w:rsidRPr="0000286C">
        <w:rPr>
          <w:rFonts w:ascii="Times New Roman" w:hAnsi="Times New Roman" w:cs="Times New Roman"/>
          <w:sz w:val="24"/>
          <w:szCs w:val="24"/>
        </w:rPr>
        <w:t xml:space="preserve">The task team chair participated in the Helsingor-meeting of task team chairs </w:t>
      </w:r>
      <w:r w:rsidR="00B05206" w:rsidRPr="0000286C">
        <w:rPr>
          <w:rFonts w:ascii="Times New Roman" w:hAnsi="Times New Roman" w:cs="Times New Roman"/>
          <w:sz w:val="24"/>
          <w:szCs w:val="24"/>
        </w:rPr>
        <w:t xml:space="preserve">(25-27/4/2022) </w:t>
      </w:r>
      <w:r w:rsidRPr="0000286C">
        <w:rPr>
          <w:rFonts w:ascii="Times New Roman" w:hAnsi="Times New Roman" w:cs="Times New Roman"/>
          <w:sz w:val="24"/>
          <w:szCs w:val="24"/>
        </w:rPr>
        <w:t>as</w:t>
      </w:r>
      <w:r w:rsidR="00B05206" w:rsidRPr="0000286C">
        <w:rPr>
          <w:rFonts w:ascii="Times New Roman" w:hAnsi="Times New Roman" w:cs="Times New Roman"/>
          <w:sz w:val="24"/>
          <w:szCs w:val="24"/>
        </w:rPr>
        <w:t xml:space="preserve"> well as in the virtual follow-up meeting (16/3/2023).</w:t>
      </w:r>
    </w:p>
    <w:sectPr w:rsidR="00200127" w:rsidRPr="00620CFE" w:rsidSect="00D722F0">
      <w:footerReference w:type="default" r:id="rId13"/>
      <w:pgSz w:w="12240" w:h="15840"/>
      <w:pgMar w:top="1417" w:right="1417" w:bottom="1417"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3617" w14:textId="77777777" w:rsidR="002201D2" w:rsidRDefault="002201D2" w:rsidP="00E86C60">
      <w:pPr>
        <w:spacing w:after="0" w:line="240" w:lineRule="auto"/>
      </w:pPr>
      <w:r>
        <w:separator/>
      </w:r>
    </w:p>
  </w:endnote>
  <w:endnote w:type="continuationSeparator" w:id="0">
    <w:p w14:paraId="50A82C97" w14:textId="77777777" w:rsidR="002201D2" w:rsidRDefault="002201D2" w:rsidP="00E8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904468"/>
      <w:docPartObj>
        <w:docPartGallery w:val="Page Numbers (Bottom of Page)"/>
        <w:docPartUnique/>
      </w:docPartObj>
    </w:sdtPr>
    <w:sdtContent>
      <w:p w14:paraId="4384B59D" w14:textId="6572A04E" w:rsidR="00E86C60" w:rsidRPr="00E86C60" w:rsidRDefault="00E86C60">
        <w:pPr>
          <w:pStyle w:val="Footer"/>
          <w:jc w:val="center"/>
        </w:pPr>
        <w:r w:rsidRPr="00E86C60">
          <w:fldChar w:fldCharType="begin"/>
        </w:r>
        <w:r w:rsidRPr="00E86C60">
          <w:instrText>PAGE   \* MERGEFORMAT</w:instrText>
        </w:r>
        <w:r w:rsidRPr="00E86C60">
          <w:fldChar w:fldCharType="separate"/>
        </w:r>
        <w:r w:rsidRPr="00E86C60">
          <w:rPr>
            <w:lang w:val="fr-FR"/>
          </w:rPr>
          <w:t>2</w:t>
        </w:r>
        <w:r w:rsidRPr="00E86C60">
          <w:fldChar w:fldCharType="end"/>
        </w:r>
      </w:p>
    </w:sdtContent>
  </w:sdt>
  <w:p w14:paraId="23E241F7" w14:textId="77777777" w:rsidR="00E86C60" w:rsidRDefault="00E8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57FD" w14:textId="77777777" w:rsidR="002201D2" w:rsidRDefault="002201D2" w:rsidP="00E86C60">
      <w:pPr>
        <w:spacing w:after="0" w:line="240" w:lineRule="auto"/>
      </w:pPr>
      <w:r>
        <w:separator/>
      </w:r>
    </w:p>
  </w:footnote>
  <w:footnote w:type="continuationSeparator" w:id="0">
    <w:p w14:paraId="1C75ED24" w14:textId="77777777" w:rsidR="002201D2" w:rsidRDefault="002201D2" w:rsidP="00E8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38D"/>
    <w:multiLevelType w:val="multilevel"/>
    <w:tmpl w:val="939E9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C52E1B"/>
    <w:multiLevelType w:val="hybridMultilevel"/>
    <w:tmpl w:val="9176F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C0F4D"/>
    <w:multiLevelType w:val="hybridMultilevel"/>
    <w:tmpl w:val="6098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44853F3"/>
    <w:multiLevelType w:val="multilevel"/>
    <w:tmpl w:val="CB760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B535B4"/>
    <w:multiLevelType w:val="hybridMultilevel"/>
    <w:tmpl w:val="52F88550"/>
    <w:lvl w:ilvl="0" w:tplc="1CF2CE2E">
      <w:start w:val="2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73FB7"/>
    <w:multiLevelType w:val="multilevel"/>
    <w:tmpl w:val="231E815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28CD69BB"/>
    <w:multiLevelType w:val="multilevel"/>
    <w:tmpl w:val="0C5A5DC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0C53FEB"/>
    <w:multiLevelType w:val="hybridMultilevel"/>
    <w:tmpl w:val="9176F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503C9A"/>
    <w:multiLevelType w:val="multilevel"/>
    <w:tmpl w:val="31F03B8C"/>
    <w:lvl w:ilvl="0">
      <w:start w:val="1"/>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40037614"/>
    <w:multiLevelType w:val="hybridMultilevel"/>
    <w:tmpl w:val="38488C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23002B"/>
    <w:multiLevelType w:val="hybridMultilevel"/>
    <w:tmpl w:val="1E5876B8"/>
    <w:lvl w:ilvl="0" w:tplc="583EB4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A0788"/>
    <w:multiLevelType w:val="hybridMultilevel"/>
    <w:tmpl w:val="480C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9B4C74"/>
    <w:multiLevelType w:val="multilevel"/>
    <w:tmpl w:val="8D6A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285E36"/>
    <w:multiLevelType w:val="hybridMultilevel"/>
    <w:tmpl w:val="041047FA"/>
    <w:lvl w:ilvl="0" w:tplc="9A4AA0E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497BA1"/>
    <w:multiLevelType w:val="hybridMultilevel"/>
    <w:tmpl w:val="0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44417E"/>
    <w:multiLevelType w:val="hybridMultilevel"/>
    <w:tmpl w:val="2E1AE044"/>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6" w15:restartNumberingAfterBreak="0">
    <w:nsid w:val="6A1164F6"/>
    <w:multiLevelType w:val="multilevel"/>
    <w:tmpl w:val="040C8BFE"/>
    <w:lvl w:ilvl="0">
      <w:start w:val="1"/>
      <w:numFmt w:val="bullet"/>
      <w:lvlText w:val="●"/>
      <w:lvlJc w:val="left"/>
      <w:pPr>
        <w:ind w:left="-2970" w:hanging="360"/>
      </w:pPr>
      <w:rPr>
        <w:rFonts w:ascii="Noto Sans Symbols" w:eastAsia="Noto Sans Symbols" w:hAnsi="Noto Sans Symbols" w:cs="Noto Sans Symbols"/>
        <w:sz w:val="20"/>
        <w:szCs w:val="20"/>
      </w:rPr>
    </w:lvl>
    <w:lvl w:ilvl="1">
      <w:start w:val="1"/>
      <w:numFmt w:val="bullet"/>
      <w:lvlText w:val="o"/>
      <w:lvlJc w:val="left"/>
      <w:pPr>
        <w:ind w:left="-225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810" w:hanging="360"/>
      </w:pPr>
      <w:rPr>
        <w:rFonts w:ascii="Noto Sans Symbols" w:eastAsia="Noto Sans Symbols" w:hAnsi="Noto Sans Symbols" w:cs="Noto Sans Symbols"/>
        <w:sz w:val="20"/>
        <w:szCs w:val="20"/>
      </w:rPr>
    </w:lvl>
    <w:lvl w:ilvl="4">
      <w:start w:val="1"/>
      <w:numFmt w:val="bullet"/>
      <w:lvlText w:val="▪"/>
      <w:lvlJc w:val="left"/>
      <w:pPr>
        <w:ind w:left="-90" w:hanging="360"/>
      </w:pPr>
      <w:rPr>
        <w:rFonts w:ascii="Noto Sans Symbols" w:eastAsia="Noto Sans Symbols" w:hAnsi="Noto Sans Symbols" w:cs="Noto Sans Symbols"/>
        <w:sz w:val="20"/>
        <w:szCs w:val="20"/>
      </w:rPr>
    </w:lvl>
    <w:lvl w:ilvl="5">
      <w:start w:val="1"/>
      <w:numFmt w:val="bullet"/>
      <w:lvlText w:val="−"/>
      <w:lvlJc w:val="left"/>
      <w:pPr>
        <w:ind w:left="630" w:hanging="360"/>
      </w:pPr>
      <w:rPr>
        <w:rFonts w:ascii="Noto Sans Symbols" w:eastAsia="Noto Sans Symbols" w:hAnsi="Noto Sans Symbols" w:cs="Noto Sans Symbols"/>
        <w:sz w:val="20"/>
        <w:szCs w:val="20"/>
      </w:rPr>
    </w:lvl>
    <w:lvl w:ilvl="6">
      <w:start w:val="1"/>
      <w:numFmt w:val="bullet"/>
      <w:lvlText w:val="−"/>
      <w:lvlJc w:val="left"/>
      <w:pPr>
        <w:ind w:left="1350" w:hanging="360"/>
      </w:pPr>
      <w:rPr>
        <w:rFonts w:ascii="Noto Sans Symbols" w:eastAsia="Noto Sans Symbols" w:hAnsi="Noto Sans Symbols" w:cs="Noto Sans Symbols"/>
        <w:sz w:val="20"/>
        <w:szCs w:val="20"/>
      </w:rPr>
    </w:lvl>
    <w:lvl w:ilvl="7">
      <w:start w:val="1"/>
      <w:numFmt w:val="bullet"/>
      <w:lvlText w:val="▪"/>
      <w:lvlJc w:val="left"/>
      <w:pPr>
        <w:ind w:left="2070" w:hanging="360"/>
      </w:pPr>
      <w:rPr>
        <w:rFonts w:ascii="Noto Sans Symbols" w:eastAsia="Noto Sans Symbols" w:hAnsi="Noto Sans Symbols" w:cs="Noto Sans Symbols"/>
        <w:sz w:val="20"/>
        <w:szCs w:val="20"/>
      </w:rPr>
    </w:lvl>
    <w:lvl w:ilvl="8">
      <w:start w:val="1"/>
      <w:numFmt w:val="bullet"/>
      <w:lvlText w:val="▪"/>
      <w:lvlJc w:val="left"/>
      <w:pPr>
        <w:ind w:left="2790" w:hanging="360"/>
      </w:pPr>
      <w:rPr>
        <w:rFonts w:ascii="Noto Sans Symbols" w:eastAsia="Noto Sans Symbols" w:hAnsi="Noto Sans Symbols" w:cs="Noto Sans Symbols"/>
        <w:sz w:val="20"/>
        <w:szCs w:val="20"/>
      </w:rPr>
    </w:lvl>
  </w:abstractNum>
  <w:abstractNum w:abstractNumId="17" w15:restartNumberingAfterBreak="0">
    <w:nsid w:val="6C43111B"/>
    <w:multiLevelType w:val="multilevel"/>
    <w:tmpl w:val="DDDCF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B058ED"/>
    <w:multiLevelType w:val="hybridMultilevel"/>
    <w:tmpl w:val="A5C8579A"/>
    <w:lvl w:ilvl="0" w:tplc="1D603976">
      <w:start w:val="1"/>
      <w:numFmt w:val="bullet"/>
      <w:lvlText w:val="•"/>
      <w:lvlJc w:val="left"/>
      <w:pPr>
        <w:tabs>
          <w:tab w:val="num" w:pos="720"/>
        </w:tabs>
        <w:ind w:left="720" w:hanging="360"/>
      </w:pPr>
      <w:rPr>
        <w:rFonts w:ascii="Arial" w:hAnsi="Arial" w:hint="default"/>
      </w:rPr>
    </w:lvl>
    <w:lvl w:ilvl="1" w:tplc="F2D20392" w:tentative="1">
      <w:start w:val="1"/>
      <w:numFmt w:val="bullet"/>
      <w:lvlText w:val="•"/>
      <w:lvlJc w:val="left"/>
      <w:pPr>
        <w:tabs>
          <w:tab w:val="num" w:pos="1440"/>
        </w:tabs>
        <w:ind w:left="1440" w:hanging="360"/>
      </w:pPr>
      <w:rPr>
        <w:rFonts w:ascii="Arial" w:hAnsi="Arial" w:hint="default"/>
      </w:rPr>
    </w:lvl>
    <w:lvl w:ilvl="2" w:tplc="646053A0" w:tentative="1">
      <w:start w:val="1"/>
      <w:numFmt w:val="bullet"/>
      <w:lvlText w:val="•"/>
      <w:lvlJc w:val="left"/>
      <w:pPr>
        <w:tabs>
          <w:tab w:val="num" w:pos="2160"/>
        </w:tabs>
        <w:ind w:left="2160" w:hanging="360"/>
      </w:pPr>
      <w:rPr>
        <w:rFonts w:ascii="Arial" w:hAnsi="Arial" w:hint="default"/>
      </w:rPr>
    </w:lvl>
    <w:lvl w:ilvl="3" w:tplc="794E11CC" w:tentative="1">
      <w:start w:val="1"/>
      <w:numFmt w:val="bullet"/>
      <w:lvlText w:val="•"/>
      <w:lvlJc w:val="left"/>
      <w:pPr>
        <w:tabs>
          <w:tab w:val="num" w:pos="2880"/>
        </w:tabs>
        <w:ind w:left="2880" w:hanging="360"/>
      </w:pPr>
      <w:rPr>
        <w:rFonts w:ascii="Arial" w:hAnsi="Arial" w:hint="default"/>
      </w:rPr>
    </w:lvl>
    <w:lvl w:ilvl="4" w:tplc="3FE240AA" w:tentative="1">
      <w:start w:val="1"/>
      <w:numFmt w:val="bullet"/>
      <w:lvlText w:val="•"/>
      <w:lvlJc w:val="left"/>
      <w:pPr>
        <w:tabs>
          <w:tab w:val="num" w:pos="3600"/>
        </w:tabs>
        <w:ind w:left="3600" w:hanging="360"/>
      </w:pPr>
      <w:rPr>
        <w:rFonts w:ascii="Arial" w:hAnsi="Arial" w:hint="default"/>
      </w:rPr>
    </w:lvl>
    <w:lvl w:ilvl="5" w:tplc="3E441828" w:tentative="1">
      <w:start w:val="1"/>
      <w:numFmt w:val="bullet"/>
      <w:lvlText w:val="•"/>
      <w:lvlJc w:val="left"/>
      <w:pPr>
        <w:tabs>
          <w:tab w:val="num" w:pos="4320"/>
        </w:tabs>
        <w:ind w:left="4320" w:hanging="360"/>
      </w:pPr>
      <w:rPr>
        <w:rFonts w:ascii="Arial" w:hAnsi="Arial" w:hint="default"/>
      </w:rPr>
    </w:lvl>
    <w:lvl w:ilvl="6" w:tplc="0D22210E" w:tentative="1">
      <w:start w:val="1"/>
      <w:numFmt w:val="bullet"/>
      <w:lvlText w:val="•"/>
      <w:lvlJc w:val="left"/>
      <w:pPr>
        <w:tabs>
          <w:tab w:val="num" w:pos="5040"/>
        </w:tabs>
        <w:ind w:left="5040" w:hanging="360"/>
      </w:pPr>
      <w:rPr>
        <w:rFonts w:ascii="Arial" w:hAnsi="Arial" w:hint="default"/>
      </w:rPr>
    </w:lvl>
    <w:lvl w:ilvl="7" w:tplc="742EA868" w:tentative="1">
      <w:start w:val="1"/>
      <w:numFmt w:val="bullet"/>
      <w:lvlText w:val="•"/>
      <w:lvlJc w:val="left"/>
      <w:pPr>
        <w:tabs>
          <w:tab w:val="num" w:pos="5760"/>
        </w:tabs>
        <w:ind w:left="5760" w:hanging="360"/>
      </w:pPr>
      <w:rPr>
        <w:rFonts w:ascii="Arial" w:hAnsi="Arial" w:hint="default"/>
      </w:rPr>
    </w:lvl>
    <w:lvl w:ilvl="8" w:tplc="33325B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EB6AEC"/>
    <w:multiLevelType w:val="multilevel"/>
    <w:tmpl w:val="7BAE5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F22D11"/>
    <w:multiLevelType w:val="multilevel"/>
    <w:tmpl w:val="66682722"/>
    <w:lvl w:ilvl="0">
      <w:start w:val="1"/>
      <w:numFmt w:val="bullet"/>
      <w:lvlText w:val="●"/>
      <w:lvlJc w:val="left"/>
      <w:pPr>
        <w:ind w:left="368" w:hanging="360"/>
      </w:pPr>
      <w:rPr>
        <w:rFonts w:ascii="Noto Sans Symbols" w:eastAsia="Noto Sans Symbols" w:hAnsi="Noto Sans Symbols" w:cs="Noto Sans Symbols"/>
        <w:sz w:val="20"/>
        <w:szCs w:val="20"/>
      </w:rPr>
    </w:lvl>
    <w:lvl w:ilvl="1">
      <w:start w:val="1"/>
      <w:numFmt w:val="bullet"/>
      <w:lvlText w:val="−"/>
      <w:lvlJc w:val="left"/>
      <w:pPr>
        <w:ind w:left="1088" w:hanging="360"/>
      </w:pPr>
      <w:rPr>
        <w:rFonts w:ascii="Noto Sans Symbols" w:eastAsia="Noto Sans Symbols" w:hAnsi="Noto Sans Symbols" w:cs="Noto Sans Symbols"/>
        <w:sz w:val="20"/>
        <w:szCs w:val="20"/>
      </w:rPr>
    </w:lvl>
    <w:lvl w:ilvl="2">
      <w:start w:val="1"/>
      <w:numFmt w:val="bullet"/>
      <w:lvlText w:val="▪"/>
      <w:lvlJc w:val="left"/>
      <w:pPr>
        <w:ind w:left="1808" w:hanging="360"/>
      </w:pPr>
      <w:rPr>
        <w:rFonts w:ascii="Noto Sans Symbols" w:eastAsia="Noto Sans Symbols" w:hAnsi="Noto Sans Symbols" w:cs="Noto Sans Symbols"/>
        <w:sz w:val="20"/>
        <w:szCs w:val="20"/>
      </w:rPr>
    </w:lvl>
    <w:lvl w:ilvl="3">
      <w:start w:val="1"/>
      <w:numFmt w:val="bullet"/>
      <w:lvlText w:val="-"/>
      <w:lvlJc w:val="left"/>
      <w:pPr>
        <w:ind w:left="2528" w:hanging="360"/>
      </w:pPr>
      <w:rPr>
        <w:rFonts w:ascii="Calibri" w:eastAsia="Calibri" w:hAnsi="Calibri" w:cs="Calibri"/>
      </w:rPr>
    </w:lvl>
    <w:lvl w:ilvl="4">
      <w:start w:val="1"/>
      <w:numFmt w:val="bullet"/>
      <w:lvlText w:val="▪"/>
      <w:lvlJc w:val="left"/>
      <w:pPr>
        <w:ind w:left="3248" w:hanging="360"/>
      </w:pPr>
      <w:rPr>
        <w:rFonts w:ascii="Noto Sans Symbols" w:eastAsia="Noto Sans Symbols" w:hAnsi="Noto Sans Symbols" w:cs="Noto Sans Symbols"/>
        <w:sz w:val="20"/>
        <w:szCs w:val="20"/>
      </w:rPr>
    </w:lvl>
    <w:lvl w:ilvl="5">
      <w:start w:val="1"/>
      <w:numFmt w:val="bullet"/>
      <w:lvlText w:val="▪"/>
      <w:lvlJc w:val="left"/>
      <w:pPr>
        <w:ind w:left="3968" w:hanging="360"/>
      </w:pPr>
      <w:rPr>
        <w:rFonts w:ascii="Noto Sans Symbols" w:eastAsia="Noto Sans Symbols" w:hAnsi="Noto Sans Symbols" w:cs="Noto Sans Symbols"/>
        <w:sz w:val="20"/>
        <w:szCs w:val="20"/>
      </w:rPr>
    </w:lvl>
    <w:lvl w:ilvl="6">
      <w:start w:val="1"/>
      <w:numFmt w:val="bullet"/>
      <w:lvlText w:val="▪"/>
      <w:lvlJc w:val="left"/>
      <w:pPr>
        <w:ind w:left="4688" w:hanging="360"/>
      </w:pPr>
      <w:rPr>
        <w:rFonts w:ascii="Noto Sans Symbols" w:eastAsia="Noto Sans Symbols" w:hAnsi="Noto Sans Symbols" w:cs="Noto Sans Symbols"/>
        <w:sz w:val="20"/>
        <w:szCs w:val="20"/>
      </w:rPr>
    </w:lvl>
    <w:lvl w:ilvl="7">
      <w:start w:val="1"/>
      <w:numFmt w:val="bullet"/>
      <w:lvlText w:val="▪"/>
      <w:lvlJc w:val="left"/>
      <w:pPr>
        <w:ind w:left="5408" w:hanging="360"/>
      </w:pPr>
      <w:rPr>
        <w:rFonts w:ascii="Noto Sans Symbols" w:eastAsia="Noto Sans Symbols" w:hAnsi="Noto Sans Symbols" w:cs="Noto Sans Symbols"/>
        <w:sz w:val="20"/>
        <w:szCs w:val="20"/>
      </w:rPr>
    </w:lvl>
    <w:lvl w:ilvl="8">
      <w:start w:val="1"/>
      <w:numFmt w:val="bullet"/>
      <w:lvlText w:val="▪"/>
      <w:lvlJc w:val="left"/>
      <w:pPr>
        <w:ind w:left="6128" w:hanging="360"/>
      </w:pPr>
      <w:rPr>
        <w:rFonts w:ascii="Noto Sans Symbols" w:eastAsia="Noto Sans Symbols" w:hAnsi="Noto Sans Symbols" w:cs="Noto Sans Symbols"/>
        <w:sz w:val="20"/>
        <w:szCs w:val="20"/>
      </w:rPr>
    </w:lvl>
  </w:abstractNum>
  <w:abstractNum w:abstractNumId="21" w15:restartNumberingAfterBreak="0">
    <w:nsid w:val="74B10A6A"/>
    <w:multiLevelType w:val="hybridMultilevel"/>
    <w:tmpl w:val="CC706988"/>
    <w:lvl w:ilvl="0" w:tplc="E960B798">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7175816">
    <w:abstractNumId w:val="3"/>
  </w:num>
  <w:num w:numId="2" w16cid:durableId="1897279003">
    <w:abstractNumId w:val="5"/>
  </w:num>
  <w:num w:numId="3" w16cid:durableId="1850217030">
    <w:abstractNumId w:val="8"/>
  </w:num>
  <w:num w:numId="4" w16cid:durableId="1773427720">
    <w:abstractNumId w:val="19"/>
  </w:num>
  <w:num w:numId="5" w16cid:durableId="1300301690">
    <w:abstractNumId w:val="6"/>
  </w:num>
  <w:num w:numId="6" w16cid:durableId="17001716">
    <w:abstractNumId w:val="17"/>
  </w:num>
  <w:num w:numId="7" w16cid:durableId="1362322312">
    <w:abstractNumId w:val="16"/>
  </w:num>
  <w:num w:numId="8" w16cid:durableId="583296535">
    <w:abstractNumId w:val="0"/>
  </w:num>
  <w:num w:numId="9" w16cid:durableId="1996255839">
    <w:abstractNumId w:val="12"/>
  </w:num>
  <w:num w:numId="10" w16cid:durableId="785009216">
    <w:abstractNumId w:val="20"/>
  </w:num>
  <w:num w:numId="11" w16cid:durableId="906381587">
    <w:abstractNumId w:val="11"/>
  </w:num>
  <w:num w:numId="12" w16cid:durableId="907348353">
    <w:abstractNumId w:val="13"/>
  </w:num>
  <w:num w:numId="13" w16cid:durableId="603878738">
    <w:abstractNumId w:val="21"/>
  </w:num>
  <w:num w:numId="14" w16cid:durableId="1291322947">
    <w:abstractNumId w:val="14"/>
  </w:num>
  <w:num w:numId="15" w16cid:durableId="348066802">
    <w:abstractNumId w:val="10"/>
  </w:num>
  <w:num w:numId="16" w16cid:durableId="158039242">
    <w:abstractNumId w:val="15"/>
  </w:num>
  <w:num w:numId="17" w16cid:durableId="39209197">
    <w:abstractNumId w:val="2"/>
  </w:num>
  <w:num w:numId="18" w16cid:durableId="1725445427">
    <w:abstractNumId w:val="18"/>
  </w:num>
  <w:num w:numId="19" w16cid:durableId="1027171363">
    <w:abstractNumId w:val="9"/>
  </w:num>
  <w:num w:numId="20" w16cid:durableId="724766510">
    <w:abstractNumId w:val="7"/>
  </w:num>
  <w:num w:numId="21" w16cid:durableId="789082107">
    <w:abstractNumId w:val="1"/>
  </w:num>
  <w:num w:numId="22" w16cid:durableId="202181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27"/>
    <w:rsid w:val="0000286C"/>
    <w:rsid w:val="00015992"/>
    <w:rsid w:val="000325A5"/>
    <w:rsid w:val="00032A67"/>
    <w:rsid w:val="00035575"/>
    <w:rsid w:val="00037C43"/>
    <w:rsid w:val="000439B3"/>
    <w:rsid w:val="00046AC6"/>
    <w:rsid w:val="00071373"/>
    <w:rsid w:val="00083BC4"/>
    <w:rsid w:val="00090D66"/>
    <w:rsid w:val="000A7268"/>
    <w:rsid w:val="000B6493"/>
    <w:rsid w:val="000C40D5"/>
    <w:rsid w:val="000D17CC"/>
    <w:rsid w:val="00101DF7"/>
    <w:rsid w:val="00103B4A"/>
    <w:rsid w:val="00115A83"/>
    <w:rsid w:val="001168D7"/>
    <w:rsid w:val="00123E6E"/>
    <w:rsid w:val="001333A7"/>
    <w:rsid w:val="0014313E"/>
    <w:rsid w:val="001501C7"/>
    <w:rsid w:val="00151D53"/>
    <w:rsid w:val="001879E2"/>
    <w:rsid w:val="00190978"/>
    <w:rsid w:val="001E4EDF"/>
    <w:rsid w:val="001F10A2"/>
    <w:rsid w:val="001F1937"/>
    <w:rsid w:val="001F7B52"/>
    <w:rsid w:val="00200127"/>
    <w:rsid w:val="002102A6"/>
    <w:rsid w:val="00211EAF"/>
    <w:rsid w:val="00213966"/>
    <w:rsid w:val="002201D2"/>
    <w:rsid w:val="00225206"/>
    <w:rsid w:val="00260E25"/>
    <w:rsid w:val="0027233B"/>
    <w:rsid w:val="002955E2"/>
    <w:rsid w:val="002A263E"/>
    <w:rsid w:val="002B4056"/>
    <w:rsid w:val="002D7B36"/>
    <w:rsid w:val="002E3F36"/>
    <w:rsid w:val="002F116D"/>
    <w:rsid w:val="002F1CC4"/>
    <w:rsid w:val="002F287D"/>
    <w:rsid w:val="00310124"/>
    <w:rsid w:val="00320851"/>
    <w:rsid w:val="00336DF0"/>
    <w:rsid w:val="003430E9"/>
    <w:rsid w:val="003566B6"/>
    <w:rsid w:val="00356B01"/>
    <w:rsid w:val="003616EB"/>
    <w:rsid w:val="0036194A"/>
    <w:rsid w:val="00371A4B"/>
    <w:rsid w:val="00373363"/>
    <w:rsid w:val="00382503"/>
    <w:rsid w:val="003839C9"/>
    <w:rsid w:val="003877C2"/>
    <w:rsid w:val="0039132E"/>
    <w:rsid w:val="00395A4E"/>
    <w:rsid w:val="003B467A"/>
    <w:rsid w:val="003B5C8A"/>
    <w:rsid w:val="003C50AF"/>
    <w:rsid w:val="003D6C2E"/>
    <w:rsid w:val="0041180F"/>
    <w:rsid w:val="00412D5F"/>
    <w:rsid w:val="00431E5C"/>
    <w:rsid w:val="0043295D"/>
    <w:rsid w:val="00434B71"/>
    <w:rsid w:val="004414EA"/>
    <w:rsid w:val="004466B5"/>
    <w:rsid w:val="004769DD"/>
    <w:rsid w:val="0047710D"/>
    <w:rsid w:val="00484DC5"/>
    <w:rsid w:val="004861B2"/>
    <w:rsid w:val="004B170E"/>
    <w:rsid w:val="004B3D8D"/>
    <w:rsid w:val="004C333D"/>
    <w:rsid w:val="004C67C1"/>
    <w:rsid w:val="004E1566"/>
    <w:rsid w:val="004F6301"/>
    <w:rsid w:val="00547927"/>
    <w:rsid w:val="00551C21"/>
    <w:rsid w:val="00552FCB"/>
    <w:rsid w:val="005675F3"/>
    <w:rsid w:val="00582B14"/>
    <w:rsid w:val="00590EE1"/>
    <w:rsid w:val="00593DA3"/>
    <w:rsid w:val="005A3AA3"/>
    <w:rsid w:val="005B3498"/>
    <w:rsid w:val="005B372E"/>
    <w:rsid w:val="005D15F6"/>
    <w:rsid w:val="005D67BB"/>
    <w:rsid w:val="005F363C"/>
    <w:rsid w:val="00620CFE"/>
    <w:rsid w:val="00623330"/>
    <w:rsid w:val="00631260"/>
    <w:rsid w:val="00642650"/>
    <w:rsid w:val="006575BC"/>
    <w:rsid w:val="00661D8C"/>
    <w:rsid w:val="00675091"/>
    <w:rsid w:val="00711FE3"/>
    <w:rsid w:val="0071402F"/>
    <w:rsid w:val="00720EF1"/>
    <w:rsid w:val="0074596C"/>
    <w:rsid w:val="00752298"/>
    <w:rsid w:val="007546D1"/>
    <w:rsid w:val="00762181"/>
    <w:rsid w:val="007A4111"/>
    <w:rsid w:val="007B236A"/>
    <w:rsid w:val="007D46F8"/>
    <w:rsid w:val="007D7EF1"/>
    <w:rsid w:val="007F143D"/>
    <w:rsid w:val="0081120C"/>
    <w:rsid w:val="008132C9"/>
    <w:rsid w:val="00814204"/>
    <w:rsid w:val="00823C12"/>
    <w:rsid w:val="008260A2"/>
    <w:rsid w:val="008473D8"/>
    <w:rsid w:val="008759DF"/>
    <w:rsid w:val="00884580"/>
    <w:rsid w:val="00892E50"/>
    <w:rsid w:val="008B047F"/>
    <w:rsid w:val="008B1703"/>
    <w:rsid w:val="008B67FA"/>
    <w:rsid w:val="008C7BB6"/>
    <w:rsid w:val="008F56B7"/>
    <w:rsid w:val="008F77E7"/>
    <w:rsid w:val="00917208"/>
    <w:rsid w:val="00920060"/>
    <w:rsid w:val="00922DA0"/>
    <w:rsid w:val="00930375"/>
    <w:rsid w:val="00942AA8"/>
    <w:rsid w:val="009521A1"/>
    <w:rsid w:val="00987F67"/>
    <w:rsid w:val="00997504"/>
    <w:rsid w:val="009A7590"/>
    <w:rsid w:val="009B2CD3"/>
    <w:rsid w:val="009C4567"/>
    <w:rsid w:val="009D4A32"/>
    <w:rsid w:val="009E4862"/>
    <w:rsid w:val="009F27B8"/>
    <w:rsid w:val="009F3026"/>
    <w:rsid w:val="00A27107"/>
    <w:rsid w:val="00A34A53"/>
    <w:rsid w:val="00A4156D"/>
    <w:rsid w:val="00A63337"/>
    <w:rsid w:val="00A644FE"/>
    <w:rsid w:val="00A71BEB"/>
    <w:rsid w:val="00A87888"/>
    <w:rsid w:val="00A9245D"/>
    <w:rsid w:val="00A927D1"/>
    <w:rsid w:val="00A9606E"/>
    <w:rsid w:val="00AC5F7B"/>
    <w:rsid w:val="00AE67AA"/>
    <w:rsid w:val="00B05206"/>
    <w:rsid w:val="00B05895"/>
    <w:rsid w:val="00B223EC"/>
    <w:rsid w:val="00B23FF3"/>
    <w:rsid w:val="00B25BB9"/>
    <w:rsid w:val="00B406A9"/>
    <w:rsid w:val="00B66831"/>
    <w:rsid w:val="00B70B6F"/>
    <w:rsid w:val="00B8107B"/>
    <w:rsid w:val="00B91A09"/>
    <w:rsid w:val="00BA03E1"/>
    <w:rsid w:val="00BA08E2"/>
    <w:rsid w:val="00BA4B83"/>
    <w:rsid w:val="00BB6469"/>
    <w:rsid w:val="00BD2791"/>
    <w:rsid w:val="00BE65B4"/>
    <w:rsid w:val="00C108FB"/>
    <w:rsid w:val="00C112D4"/>
    <w:rsid w:val="00C23E73"/>
    <w:rsid w:val="00C3584C"/>
    <w:rsid w:val="00C44480"/>
    <w:rsid w:val="00C52D35"/>
    <w:rsid w:val="00C53713"/>
    <w:rsid w:val="00C7071B"/>
    <w:rsid w:val="00C738B3"/>
    <w:rsid w:val="00C74334"/>
    <w:rsid w:val="00C7438D"/>
    <w:rsid w:val="00C7747E"/>
    <w:rsid w:val="00C841B5"/>
    <w:rsid w:val="00CA7278"/>
    <w:rsid w:val="00CC6B65"/>
    <w:rsid w:val="00CD54DC"/>
    <w:rsid w:val="00CE230B"/>
    <w:rsid w:val="00D223E4"/>
    <w:rsid w:val="00D22F6F"/>
    <w:rsid w:val="00D33C3E"/>
    <w:rsid w:val="00D34965"/>
    <w:rsid w:val="00D36ABC"/>
    <w:rsid w:val="00D54C55"/>
    <w:rsid w:val="00D56BD1"/>
    <w:rsid w:val="00D63537"/>
    <w:rsid w:val="00D67F39"/>
    <w:rsid w:val="00D722F0"/>
    <w:rsid w:val="00D81BDB"/>
    <w:rsid w:val="00D8592F"/>
    <w:rsid w:val="00D85CA2"/>
    <w:rsid w:val="00DA2445"/>
    <w:rsid w:val="00DB2001"/>
    <w:rsid w:val="00DB4A21"/>
    <w:rsid w:val="00DB7CA6"/>
    <w:rsid w:val="00DD01FE"/>
    <w:rsid w:val="00DF011E"/>
    <w:rsid w:val="00DF6AC9"/>
    <w:rsid w:val="00E03CAF"/>
    <w:rsid w:val="00E04102"/>
    <w:rsid w:val="00E42550"/>
    <w:rsid w:val="00E447F5"/>
    <w:rsid w:val="00E471A6"/>
    <w:rsid w:val="00E6502C"/>
    <w:rsid w:val="00E80FD3"/>
    <w:rsid w:val="00E851DA"/>
    <w:rsid w:val="00E86C60"/>
    <w:rsid w:val="00E9478A"/>
    <w:rsid w:val="00EA6625"/>
    <w:rsid w:val="00EB5F3F"/>
    <w:rsid w:val="00ED4ED2"/>
    <w:rsid w:val="00EF566E"/>
    <w:rsid w:val="00F024D6"/>
    <w:rsid w:val="00F151E0"/>
    <w:rsid w:val="00F20D9A"/>
    <w:rsid w:val="00F32620"/>
    <w:rsid w:val="00F37333"/>
    <w:rsid w:val="00F37EA7"/>
    <w:rsid w:val="00F4169D"/>
    <w:rsid w:val="00F73B6E"/>
    <w:rsid w:val="00F778AE"/>
    <w:rsid w:val="00F83F2E"/>
    <w:rsid w:val="00F90E22"/>
    <w:rsid w:val="00FB127D"/>
    <w:rsid w:val="00FC003B"/>
    <w:rsid w:val="00FD270D"/>
    <w:rsid w:val="00FD2F8F"/>
    <w:rsid w:val="00FE188F"/>
    <w:rsid w:val="00FE1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DA3D"/>
  <w15:docId w15:val="{35D9FA02-9BC0-420D-B14B-73540EA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semiHidden/>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semiHidden/>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nhideWhenUsed/>
    <w:rsid w:val="00E026A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0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3D6C2E"/>
    <w:rPr>
      <w:color w:val="605E5C"/>
      <w:shd w:val="clear" w:color="auto" w:fill="E1DFDD"/>
    </w:rPr>
  </w:style>
  <w:style w:type="character" w:customStyle="1" w:styleId="Mentionnonrsolue2">
    <w:name w:val="Mention non résolue2"/>
    <w:basedOn w:val="DefaultParagraphFont"/>
    <w:uiPriority w:val="99"/>
    <w:semiHidden/>
    <w:unhideWhenUsed/>
    <w:rsid w:val="001501C7"/>
    <w:rPr>
      <w:color w:val="605E5C"/>
      <w:shd w:val="clear" w:color="auto" w:fill="E1DFDD"/>
    </w:rPr>
  </w:style>
  <w:style w:type="character" w:customStyle="1" w:styleId="Mentionnonrsolue3">
    <w:name w:val="Mention non résolue3"/>
    <w:basedOn w:val="DefaultParagraphFont"/>
    <w:uiPriority w:val="99"/>
    <w:semiHidden/>
    <w:unhideWhenUsed/>
    <w:rsid w:val="00046AC6"/>
    <w:rPr>
      <w:color w:val="605E5C"/>
      <w:shd w:val="clear" w:color="auto" w:fill="E1DFDD"/>
    </w:rPr>
  </w:style>
  <w:style w:type="character" w:styleId="FollowedHyperlink">
    <w:name w:val="FollowedHyperlink"/>
    <w:basedOn w:val="DefaultParagraphFont"/>
    <w:uiPriority w:val="99"/>
    <w:semiHidden/>
    <w:unhideWhenUsed/>
    <w:rsid w:val="00F778AE"/>
    <w:rPr>
      <w:color w:val="954F72" w:themeColor="followedHyperlink"/>
      <w:u w:val="single"/>
    </w:rPr>
  </w:style>
  <w:style w:type="character" w:customStyle="1" w:styleId="Mentionnonrsolue4">
    <w:name w:val="Mention non résolue4"/>
    <w:basedOn w:val="DefaultParagraphFont"/>
    <w:uiPriority w:val="99"/>
    <w:semiHidden/>
    <w:unhideWhenUsed/>
    <w:rsid w:val="00FD270D"/>
    <w:rPr>
      <w:color w:val="605E5C"/>
      <w:shd w:val="clear" w:color="auto" w:fill="E1DFDD"/>
    </w:rPr>
  </w:style>
  <w:style w:type="character" w:styleId="UnresolvedMention">
    <w:name w:val="Unresolved Mention"/>
    <w:basedOn w:val="DefaultParagraphFont"/>
    <w:uiPriority w:val="99"/>
    <w:semiHidden/>
    <w:unhideWhenUsed/>
    <w:rsid w:val="00B66831"/>
    <w:rPr>
      <w:color w:val="605E5C"/>
      <w:shd w:val="clear" w:color="auto" w:fill="E1DFDD"/>
    </w:rPr>
  </w:style>
  <w:style w:type="paragraph" w:styleId="Header">
    <w:name w:val="header"/>
    <w:basedOn w:val="Normal"/>
    <w:link w:val="HeaderChar"/>
    <w:uiPriority w:val="99"/>
    <w:unhideWhenUsed/>
    <w:rsid w:val="00E86C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C60"/>
  </w:style>
  <w:style w:type="paragraph" w:styleId="Footer">
    <w:name w:val="footer"/>
    <w:basedOn w:val="Normal"/>
    <w:link w:val="FooterChar"/>
    <w:uiPriority w:val="99"/>
    <w:unhideWhenUsed/>
    <w:rsid w:val="00E86C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71489">
      <w:bodyDiv w:val="1"/>
      <w:marLeft w:val="0"/>
      <w:marRight w:val="0"/>
      <w:marTop w:val="0"/>
      <w:marBottom w:val="0"/>
      <w:divBdr>
        <w:top w:val="none" w:sz="0" w:space="0" w:color="auto"/>
        <w:left w:val="none" w:sz="0" w:space="0" w:color="auto"/>
        <w:bottom w:val="none" w:sz="0" w:space="0" w:color="auto"/>
        <w:right w:val="none" w:sz="0" w:space="0" w:color="auto"/>
      </w:divBdr>
    </w:div>
    <w:div w:id="1517233658">
      <w:bodyDiv w:val="1"/>
      <w:marLeft w:val="0"/>
      <w:marRight w:val="0"/>
      <w:marTop w:val="0"/>
      <w:marBottom w:val="0"/>
      <w:divBdr>
        <w:top w:val="none" w:sz="0" w:space="0" w:color="auto"/>
        <w:left w:val="none" w:sz="0" w:space="0" w:color="auto"/>
        <w:bottom w:val="none" w:sz="0" w:space="0" w:color="auto"/>
        <w:right w:val="none" w:sz="0" w:space="0" w:color="auto"/>
      </w:divBdr>
      <w:divsChild>
        <w:div w:id="916207042">
          <w:marLeft w:val="562"/>
          <w:marRight w:val="0"/>
          <w:marTop w:val="60"/>
          <w:marBottom w:val="0"/>
          <w:divBdr>
            <w:top w:val="none" w:sz="0" w:space="0" w:color="auto"/>
            <w:left w:val="none" w:sz="0" w:space="0" w:color="auto"/>
            <w:bottom w:val="none" w:sz="0" w:space="0" w:color="auto"/>
            <w:right w:val="none" w:sz="0" w:space="0" w:color="auto"/>
          </w:divBdr>
        </w:div>
      </w:divsChild>
    </w:div>
    <w:div w:id="1882667218">
      <w:bodyDiv w:val="1"/>
      <w:marLeft w:val="0"/>
      <w:marRight w:val="0"/>
      <w:marTop w:val="0"/>
      <w:marBottom w:val="0"/>
      <w:divBdr>
        <w:top w:val="none" w:sz="0" w:space="0" w:color="auto"/>
        <w:left w:val="none" w:sz="0" w:space="0" w:color="auto"/>
        <w:bottom w:val="none" w:sz="0" w:space="0" w:color="auto"/>
        <w:right w:val="none" w:sz="0" w:space="0" w:color="auto"/>
      </w:divBdr>
    </w:div>
    <w:div w:id="206852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xins.hais.ioc-unesco.org/toxi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3/cc4794en/cc4794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cs.google.com/spreadsheets/d/18I2AgYq3zPStN9z4Giu6OBrozM0qNUEe/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iw3N/q5hjzOkwNWiiLtjsmpgw==">AMUW2mW8frOS+ra2ufBkfQav8YB6ZBqSOdSDR580m/CvLymq/O9qcQHtaYsBbhmMZVfKqDODKOLl1EUARo2yK75zGWvkUGdCQ7DIjd82aZavaDDVgLDoc8FPCduveXv5q+oEWj28pZHO5JGxr3chRi1phvNulJ7isA==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1754</Words>
  <Characters>10004</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Marie-Yasmine Bottein</dc:creator>
  <cp:lastModifiedBy>Sun, Yun</cp:lastModifiedBy>
  <cp:revision>11</cp:revision>
  <dcterms:created xsi:type="dcterms:W3CDTF">2023-03-22T10:44:00Z</dcterms:created>
  <dcterms:modified xsi:type="dcterms:W3CDTF">2023-03-24T15:13:00Z</dcterms:modified>
</cp:coreProperties>
</file>