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1177" w14:textId="46A9A02E" w:rsidR="00ED6189" w:rsidRPr="00ED6189" w:rsidRDefault="00ED6189" w:rsidP="00ED618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ind w:right="-108"/>
        <w:rPr>
          <w:rFonts w:ascii="Times New Roman" w:eastAsia="Calibri" w:hAnsi="Times New Roman" w:cs="Times New Roman"/>
          <w:b/>
          <w:lang w:val="en-US"/>
        </w:rPr>
      </w:pPr>
      <w:bookmarkStart w:id="0" w:name="_Toc336535022"/>
      <w:r w:rsidRPr="00ED6189">
        <w:rPr>
          <w:rFonts w:ascii="Times New Roman" w:eastAsia="Calibri" w:hAnsi="Times New Roman" w:cs="Times New Roman"/>
          <w:b/>
          <w:lang w:val="en-US"/>
        </w:rPr>
        <w:t>Restricted distribution</w:t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 xml:space="preserve">   </w:t>
      </w:r>
      <w:r w:rsidRPr="00ED6189">
        <w:rPr>
          <w:rFonts w:ascii="Times New Roman" w:eastAsia="Calibri" w:hAnsi="Times New Roman" w:cs="Times New Roman"/>
          <w:b/>
          <w:lang w:val="en-US"/>
        </w:rPr>
        <w:tab/>
        <w:t xml:space="preserve">         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D20D5F">
        <w:rPr>
          <w:rFonts w:ascii="Times New Roman" w:eastAsia="Calibri" w:hAnsi="Times New Roman" w:cs="Times New Roman"/>
          <w:b/>
          <w:lang w:val="en-US"/>
        </w:rPr>
        <w:t xml:space="preserve">  </w:t>
      </w:r>
      <w:r w:rsidRPr="00ED6189">
        <w:rPr>
          <w:rFonts w:ascii="Times New Roman" w:eastAsia="Calibri" w:hAnsi="Times New Roman" w:cs="Times New Roman"/>
          <w:b/>
          <w:lang w:val="en-US"/>
        </w:rPr>
        <w:t xml:space="preserve"> IOC-FAO/IPHAB</w:t>
      </w:r>
      <w:r>
        <w:rPr>
          <w:rFonts w:ascii="Times New Roman" w:eastAsia="Calibri" w:hAnsi="Times New Roman" w:cs="Times New Roman"/>
          <w:b/>
          <w:lang w:val="en-US"/>
        </w:rPr>
        <w:t>-</w:t>
      </w:r>
      <w:r w:rsidRPr="00ED6189">
        <w:rPr>
          <w:rFonts w:ascii="Times New Roman" w:eastAsia="Calibri" w:hAnsi="Times New Roman" w:cs="Times New Roman"/>
          <w:b/>
          <w:lang w:val="en-US"/>
        </w:rPr>
        <w:t>XVI/Inf.</w:t>
      </w:r>
      <w:r w:rsidR="00D20D5F">
        <w:rPr>
          <w:rFonts w:ascii="Times New Roman" w:eastAsia="Calibri" w:hAnsi="Times New Roman" w:cs="Times New Roman"/>
          <w:b/>
          <w:lang w:val="en-US"/>
        </w:rPr>
        <w:t>3</w:t>
      </w:r>
    </w:p>
    <w:p w14:paraId="0E99ECB5" w14:textId="77777777" w:rsidR="00ED6189" w:rsidRPr="00ED6189" w:rsidRDefault="00ED6189" w:rsidP="00ED618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spacing w:after="160" w:line="259" w:lineRule="auto"/>
        <w:ind w:right="-108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  <w:t xml:space="preserve">                    </w:t>
      </w:r>
      <w:r w:rsidRPr="00ED6189">
        <w:rPr>
          <w:rFonts w:ascii="Times New Roman" w:eastAsia="Calibri" w:hAnsi="Times New Roman" w:cs="Times New Roman"/>
          <w:b/>
          <w:lang w:val="en-US"/>
        </w:rPr>
        <w:tab/>
        <w:t xml:space="preserve"> </w:t>
      </w:r>
      <w:r w:rsidRPr="00ED6189">
        <w:rPr>
          <w:rFonts w:ascii="Times New Roman" w:eastAsia="Calibri" w:hAnsi="Times New Roman" w:cs="Times New Roman"/>
          <w:sz w:val="20"/>
          <w:szCs w:val="20"/>
          <w:lang w:val="en-US"/>
        </w:rPr>
        <w:t>Paris, 14 March 2023</w:t>
      </w:r>
    </w:p>
    <w:p w14:paraId="421A9380" w14:textId="77777777" w:rsidR="00ED6189" w:rsidRPr="00ED6189" w:rsidRDefault="00ED6189" w:rsidP="00ED618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spacing w:after="160" w:line="259" w:lineRule="auto"/>
        <w:ind w:right="-108"/>
        <w:jc w:val="right"/>
        <w:rPr>
          <w:rFonts w:ascii="Times New Roman" w:eastAsia="Calibri" w:hAnsi="Times New Roman" w:cs="Times New Roman"/>
          <w:lang w:val="en-US"/>
        </w:rPr>
      </w:pPr>
      <w:r w:rsidRPr="00ED618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English only </w:t>
      </w:r>
    </w:p>
    <w:p w14:paraId="109974BD" w14:textId="77777777" w:rsidR="00ED6189" w:rsidRPr="00ED6189" w:rsidRDefault="00ED6189" w:rsidP="00ED618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6A2024F7" w14:textId="77777777" w:rsidR="00ED6189" w:rsidRPr="00ED6189" w:rsidRDefault="00ED6189" w:rsidP="00ED618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6E36FB4F" w14:textId="77777777" w:rsidR="00ED6189" w:rsidRPr="00ED6189" w:rsidRDefault="00ED6189" w:rsidP="00ED618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4E53EEE6" w14:textId="77777777" w:rsidR="00ED6189" w:rsidRPr="00ED6189" w:rsidRDefault="00ED6189" w:rsidP="00ED6189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>Sixteenth Session of the IOC-FAO Intergovernmental Panel</w:t>
      </w:r>
    </w:p>
    <w:p w14:paraId="0500C84C" w14:textId="77777777" w:rsidR="00ED6189" w:rsidRPr="00ED6189" w:rsidRDefault="00ED6189" w:rsidP="00ED6189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>on Harmful Algal Blooms</w:t>
      </w:r>
    </w:p>
    <w:p w14:paraId="0A10BDD1" w14:textId="77777777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szCs w:val="24"/>
          <w:lang w:val="en-US"/>
        </w:rPr>
      </w:pPr>
      <w:r w:rsidRPr="00ED6189">
        <w:rPr>
          <w:rFonts w:ascii="Times New Roman" w:eastAsia="Calibri" w:hAnsi="Times New Roman" w:cs="Times New Roman"/>
          <w:szCs w:val="24"/>
          <w:lang w:val="en-US"/>
        </w:rPr>
        <w:t>Rome, 27-29 March 2023</w:t>
      </w:r>
    </w:p>
    <w:p w14:paraId="3F4EA2DD" w14:textId="77777777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szCs w:val="24"/>
          <w:lang w:val="en-US"/>
        </w:rPr>
      </w:pPr>
    </w:p>
    <w:p w14:paraId="46CACB02" w14:textId="5855590C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Cs w:val="24"/>
          <w:u w:val="single"/>
          <w:lang w:val="en-US"/>
        </w:rPr>
      </w:pP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>Item 4.7.</w:t>
      </w:r>
      <w:r w:rsidR="007A1C75">
        <w:rPr>
          <w:rFonts w:ascii="Times New Roman" w:eastAsia="Calibri" w:hAnsi="Times New Roman" w:cs="Times New Roman"/>
          <w:szCs w:val="24"/>
          <w:u w:val="single"/>
          <w:lang w:val="en-US"/>
        </w:rPr>
        <w:t xml:space="preserve">6 </w:t>
      </w: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 xml:space="preserve">of the Provisional Agenda </w:t>
      </w:r>
    </w:p>
    <w:p w14:paraId="6CDAD395" w14:textId="77777777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21F3DC63" w14:textId="77777777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235A931D" w14:textId="77777777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64CA8E82" w14:textId="77777777" w:rsidR="00ED6189" w:rsidRPr="00ED6189" w:rsidRDefault="00ED6189" w:rsidP="00ED6189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49C9FC4C" w14:textId="10528F6E" w:rsidR="00ED6189" w:rsidRPr="00ED6189" w:rsidRDefault="00ED6189" w:rsidP="00ED6189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D6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REPORT OF THE IPHAB TASK TEAM ON </w:t>
      </w:r>
      <w:r w:rsidR="00FA4703" w:rsidRPr="00FA4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ALGAL TAXONOMY</w:t>
      </w:r>
    </w:p>
    <w:p w14:paraId="64E0DF1A" w14:textId="77777777" w:rsidR="00ED6189" w:rsidRPr="00ED6189" w:rsidRDefault="00ED6189" w:rsidP="00ED618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9A5A14" w14:textId="21DBCD14" w:rsidR="00ED6189" w:rsidRDefault="00ED618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886A50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A60A6C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F7A004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92859C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FC41FB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B3B256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E0F7E2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F431D9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797DBC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388FFD" w14:textId="77777777" w:rsidR="00D70ABD" w:rsidRDefault="00D70ABD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871C0D" w14:textId="21AD50A0" w:rsidR="00F85419" w:rsidRPr="00611E2D" w:rsidRDefault="00F85419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11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The report is structured according to the decision taken in 2021, reproduced below:</w:t>
      </w:r>
    </w:p>
    <w:p w14:paraId="514BF976" w14:textId="77777777" w:rsidR="00F85419" w:rsidRPr="00E80D58" w:rsidRDefault="00F85419" w:rsidP="00F85419">
      <w:pPr>
        <w:jc w:val="both"/>
        <w:rPr>
          <w:rFonts w:ascii="Times New Roman" w:hAnsi="Times New Roman" w:cs="Times New Roman"/>
          <w:b/>
          <w:color w:val="808080"/>
          <w:sz w:val="24"/>
          <w:szCs w:val="24"/>
          <w:lang w:val="en-US"/>
        </w:rPr>
      </w:pPr>
    </w:p>
    <w:p w14:paraId="6AADFC6E" w14:textId="4823F3CD" w:rsidR="00F85419" w:rsidRPr="00E80D58" w:rsidRDefault="00F85419" w:rsidP="00F854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E80D58">
        <w:rPr>
          <w:rFonts w:ascii="Times New Roman" w:hAnsi="Times New Roman" w:cs="Times New Roman"/>
          <w:sz w:val="24"/>
          <w:szCs w:val="24"/>
          <w:lang w:val="en-GB"/>
        </w:rPr>
        <w:t>ith</w:t>
      </w:r>
      <w:proofErr w:type="spellEnd"/>
      <w:r w:rsidRPr="00E80D58">
        <w:rPr>
          <w:rFonts w:ascii="Times New Roman" w:hAnsi="Times New Roman" w:cs="Times New Roman"/>
          <w:sz w:val="24"/>
          <w:szCs w:val="24"/>
          <w:lang w:val="en-GB"/>
        </w:rPr>
        <w:t xml:space="preserve"> reference to following terms of reference:</w:t>
      </w:r>
    </w:p>
    <w:p w14:paraId="264CE6A7" w14:textId="77777777" w:rsidR="008517C0" w:rsidRPr="00E80D58" w:rsidRDefault="008517C0" w:rsidP="00F854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B9FCA0" w14:textId="6F394CB6" w:rsidR="00B020AA" w:rsidRPr="00E80D58" w:rsidRDefault="00B020AA" w:rsidP="00B020AA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verify the Reference List and suggest modifications,</w:t>
      </w:r>
    </w:p>
    <w:p w14:paraId="0440DD3A" w14:textId="4C5FEB70" w:rsidR="008517C0" w:rsidRPr="00E80D58" w:rsidRDefault="00B5447D" w:rsidP="00E80D5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8517C0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he list has been updated continuously, </w:t>
      </w:r>
      <w:r w:rsidR="009E32B5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adding some species recently found to produce toxins (e</w:t>
      </w:r>
      <w:r w:rsidR="008517C0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.g., </w:t>
      </w:r>
      <w:r w:rsidR="008517C0"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 xml:space="preserve">A. </w:t>
      </w:r>
      <w:proofErr w:type="spellStart"/>
      <w:r w:rsidR="008517C0"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sanguinea</w:t>
      </w:r>
      <w:proofErr w:type="spellEnd"/>
      <w:r w:rsidR="008517C0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and </w:t>
      </w:r>
      <w:proofErr w:type="spellStart"/>
      <w:r w:rsidR="008517C0"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Centrodinium</w:t>
      </w:r>
      <w:proofErr w:type="spellEnd"/>
      <w:r w:rsidR="008517C0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  <w:r w:rsidR="008517C0"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punctatum</w:t>
      </w:r>
      <w:r w:rsidR="009E32B5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) and removing others not convincingly producing toxins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(e.g., </w:t>
      </w:r>
      <w:proofErr w:type="spellStart"/>
      <w:r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Aureococcus</w:t>
      </w:r>
      <w:proofErr w:type="spellEnd"/>
      <w:r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 xml:space="preserve"> </w:t>
      </w:r>
      <w:proofErr w:type="spellStart"/>
      <w:r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anophagefferens</w:t>
      </w:r>
      <w:proofErr w:type="spellEnd"/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and </w:t>
      </w:r>
      <w:proofErr w:type="spellStart"/>
      <w:r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Aureoumbra</w:t>
      </w:r>
      <w:proofErr w:type="spellEnd"/>
      <w:r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 xml:space="preserve"> </w:t>
      </w:r>
      <w:proofErr w:type="spellStart"/>
      <w:r w:rsidRPr="00E80D58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lagunensis</w:t>
      </w:r>
      <w:proofErr w:type="spellEnd"/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).</w:t>
      </w:r>
      <w:r w:rsidR="009E32B5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</w:p>
    <w:p w14:paraId="0D1D58D9" w14:textId="191B6DBF" w:rsidR="00B020AA" w:rsidRPr="00E80D58" w:rsidRDefault="00B020AA" w:rsidP="00B020AA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each year issue a summary in </w:t>
      </w:r>
      <w:r w:rsidRPr="00E80D58">
        <w:rPr>
          <w:rFonts w:ascii="Times New Roman" w:hAnsi="Times New Roman" w:cs="Times New Roman"/>
          <w:i/>
          <w:sz w:val="24"/>
          <w:szCs w:val="24"/>
          <w:lang w:val="en-US"/>
        </w:rPr>
        <w:t>Harmful Algae News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detailing the taxonomic changes to the Reference List,</w:t>
      </w:r>
    </w:p>
    <w:p w14:paraId="4C4DF90D" w14:textId="6509588D" w:rsidR="009E32B5" w:rsidRPr="00E80D58" w:rsidRDefault="009E32B5" w:rsidP="00E80D5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This activity has been planned and editors will be contacted</w:t>
      </w:r>
    </w:p>
    <w:p w14:paraId="51B41509" w14:textId="77777777" w:rsidR="009E32B5" w:rsidRPr="00E80D58" w:rsidRDefault="00B020AA" w:rsidP="00B020AA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invite the scientific community to contribute to keeping the Reference List updated</w:t>
      </w:r>
    </w:p>
    <w:p w14:paraId="39E644B0" w14:textId="1FE875DA" w:rsidR="00B020AA" w:rsidRPr="00E80D58" w:rsidRDefault="00B5447D" w:rsidP="00E80D5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T</w:t>
      </w:r>
      <w:r w:rsidR="009E32B5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he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re is already an invitation in the </w:t>
      </w:r>
      <w:r w:rsidR="009E32B5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cover </w:t>
      </w:r>
      <w:r w:rsidR="009E32B5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page 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of the list</w:t>
      </w:r>
    </w:p>
    <w:p w14:paraId="457F27A1" w14:textId="77777777" w:rsidR="009E32B5" w:rsidRPr="00E80D58" w:rsidRDefault="00B020AA" w:rsidP="00B020AA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continue the work to include toxic cyanobacteria, including freshwater cyanobacteri</w:t>
      </w:r>
      <w:r w:rsidR="009E32B5" w:rsidRPr="00E80D58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7D56D968" w14:textId="7DAE4129" w:rsidR="009E32B5" w:rsidRPr="00E80D58" w:rsidRDefault="009E32B5" w:rsidP="00E80D5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The work on including toxic cyanobacteria continued and the coverage of toxic species is increasing</w:t>
      </w:r>
    </w:p>
    <w:p w14:paraId="7DFC5028" w14:textId="24802EF4" w:rsidR="00B020AA" w:rsidRPr="00E80D58" w:rsidRDefault="00B020AA" w:rsidP="00B020AA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D58">
        <w:rPr>
          <w:rFonts w:ascii="Times New Roman" w:hAnsi="Times New Roman" w:cs="Times New Roman"/>
          <w:sz w:val="24"/>
          <w:szCs w:val="24"/>
        </w:rPr>
        <w:t>include information on cysts,</w:t>
      </w:r>
    </w:p>
    <w:p w14:paraId="4E136C02" w14:textId="77777777" w:rsidR="00B5447D" w:rsidRPr="00E80D58" w:rsidRDefault="00B5447D" w:rsidP="00B5447D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Resting stages like cysts have been included for many of the toxic species</w:t>
      </w:r>
    </w:p>
    <w:p w14:paraId="1CD05C20" w14:textId="77777777" w:rsidR="009E32B5" w:rsidRPr="00E80D58" w:rsidRDefault="00B020AA" w:rsidP="00E80D58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0D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include (where possible) references to selected validated sequences in GenBank obtained at or near the type locality,</w:t>
      </w:r>
    </w:p>
    <w:p w14:paraId="1670C992" w14:textId="644F7FCC" w:rsidR="00B5447D" w:rsidRPr="00E80D58" w:rsidRDefault="009E32B5" w:rsidP="00B5447D">
      <w:pPr>
        <w:pStyle w:val="ListParagraph"/>
        <w:numPr>
          <w:ilvl w:val="0"/>
          <w:numId w:val="2"/>
        </w:numPr>
        <w:snapToGrid w:val="0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The process of</w:t>
      </w:r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including verified molecular references (</w:t>
      </w:r>
      <w:proofErr w:type="spellStart"/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Genbank</w:t>
      </w:r>
      <w:proofErr w:type="spellEnd"/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numbers) preferably from type localities or nearby has been begun and will continue. Updating with </w:t>
      </w:r>
      <w:r w:rsidR="00B5447D" w:rsidRPr="00E80D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verified molecular data</w:t>
      </w:r>
      <w:r w:rsidR="00B5447D" w:rsidRPr="00E80D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increasingly needed, not only for identification of cryptic and </w:t>
      </w:r>
      <w:proofErr w:type="spellStart"/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pseudocryptic</w:t>
      </w:r>
      <w:proofErr w:type="spellEnd"/>
      <w:r w:rsidR="00B5447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species, but also for the growing number of environmental molecular analyses</w:t>
      </w:r>
    </w:p>
    <w:p w14:paraId="7DFEEE46" w14:textId="5F4DECC6" w:rsidR="00611E2D" w:rsidRPr="00E80D58" w:rsidRDefault="00611E2D" w:rsidP="00E80D58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include a note on the level of technique required to identify each species,</w:t>
      </w:r>
    </w:p>
    <w:p w14:paraId="38416275" w14:textId="3F1A03AB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The addition of a description identification of each species and how to identify it will be in the following period be expanded for all species</w:t>
      </w:r>
    </w:p>
    <w:p w14:paraId="3F6AFDFE" w14:textId="77777777" w:rsidR="00611E2D" w:rsidRPr="00E80D58" w:rsidRDefault="00611E2D" w:rsidP="00611E2D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work in coordination with the Task Team on Biotoxins Monitoring, Management and Regulations to prepare a summary of data [</w:t>
      </w:r>
      <w:proofErr w:type="gramStart"/>
      <w:r w:rsidRPr="00E80D58">
        <w:rPr>
          <w:rFonts w:ascii="Times New Roman" w:hAnsi="Times New Roman" w:cs="Times New Roman"/>
          <w:sz w:val="24"/>
          <w:szCs w:val="24"/>
          <w:lang w:val="en-US"/>
        </w:rPr>
        <w:t>e.g.</w:t>
      </w:r>
      <w:proofErr w:type="gram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number of species known to produce each toxin, current taxonomic problems],</w:t>
      </w:r>
    </w:p>
    <w:p w14:paraId="069ECACD" w14:textId="77777777" w:rsidR="00611E2D" w:rsidRPr="00E80D58" w:rsidRDefault="00611E2D" w:rsidP="00611E2D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interact in the development of the Harmful Algal Information System,</w:t>
      </w:r>
    </w:p>
    <w:p w14:paraId="1BE5CEF0" w14:textId="77777777" w:rsidR="00611E2D" w:rsidRPr="00E80D58" w:rsidRDefault="00611E2D" w:rsidP="00611E2D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suggest themes for round-table discussions and other activities at the International Conference on Harmful Algae (ICHA); give presentation(s) at each ICHA conference, detailing recent changes in the taxonomy of harmful algal species, </w:t>
      </w:r>
    </w:p>
    <w:p w14:paraId="7470CC58" w14:textId="4A38603E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The plan is 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to present an update of TTAT activities at </w:t>
      </w:r>
      <w:r w:rsidR="00312BF1">
        <w:rPr>
          <w:rFonts w:ascii="Times New Roman" w:hAnsi="Times New Roman" w:cs="Times New Roman"/>
          <w:sz w:val="24"/>
          <w:szCs w:val="24"/>
          <w:lang w:val="en-US"/>
        </w:rPr>
        <w:t xml:space="preserve">the next 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>ICHA</w:t>
      </w:r>
      <w:r w:rsidR="00312BF1">
        <w:rPr>
          <w:rFonts w:ascii="Times New Roman" w:hAnsi="Times New Roman" w:cs="Times New Roman"/>
          <w:sz w:val="24"/>
          <w:szCs w:val="24"/>
          <w:lang w:val="en-US"/>
        </w:rPr>
        <w:t xml:space="preserve"> in Japan Nov. 2023</w:t>
      </w:r>
    </w:p>
    <w:p w14:paraId="0D7FCDC8" w14:textId="27236CFF" w:rsidR="00611E2D" w:rsidRPr="00E80D58" w:rsidRDefault="00611E2D" w:rsidP="00611E2D">
      <w:pPr>
        <w:numPr>
          <w:ilvl w:val="0"/>
          <w:numId w:val="1"/>
        </w:numPr>
        <w:tabs>
          <w:tab w:val="clear" w:pos="540"/>
        </w:tabs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identify editors within or external to the Task Team who will be responsible for validating, </w:t>
      </w:r>
      <w:proofErr w:type="gramStart"/>
      <w:r w:rsidRPr="00E80D58">
        <w:rPr>
          <w:rFonts w:ascii="Times New Roman" w:hAnsi="Times New Roman" w:cs="Times New Roman"/>
          <w:sz w:val="24"/>
          <w:szCs w:val="24"/>
          <w:lang w:val="en-US"/>
        </w:rPr>
        <w:t>completing</w:t>
      </w:r>
      <w:proofErr w:type="gram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and updating the Reference List, including illustrations showing diagnostic features of each species, and reference or links to such illustrations,</w:t>
      </w:r>
    </w:p>
    <w:p w14:paraId="15193853" w14:textId="489C7D44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Laura </w:t>
      </w:r>
      <w:proofErr w:type="spellStart"/>
      <w:r w:rsidRPr="00E80D58">
        <w:rPr>
          <w:rFonts w:ascii="Times New Roman" w:hAnsi="Times New Roman" w:cs="Times New Roman"/>
          <w:sz w:val="24"/>
          <w:szCs w:val="24"/>
          <w:lang w:val="en-US"/>
        </w:rPr>
        <w:t>Escalera</w:t>
      </w:r>
      <w:proofErr w:type="spell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has joined the TTAT </w:t>
      </w:r>
    </w:p>
    <w:p w14:paraId="7B063CA8" w14:textId="3A31C8F2" w:rsidR="00611E2D" w:rsidRPr="00E80D58" w:rsidRDefault="00611E2D" w:rsidP="00611E2D">
      <w:pPr>
        <w:numPr>
          <w:ilvl w:val="0"/>
          <w:numId w:val="1"/>
        </w:numPr>
        <w:tabs>
          <w:tab w:val="clear" w:pos="540"/>
        </w:tabs>
        <w:snapToGri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organize a meeting of Reference List editors to discuss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issues related to the List and working on the List with guidance from </w:t>
      </w:r>
      <w:proofErr w:type="spellStart"/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WoRMS</w:t>
      </w:r>
      <w:proofErr w:type="spellEnd"/>
      <w:r w:rsidRPr="00E80D5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2F6C5C1" w14:textId="7C3E535E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The editors of the Task Team and a representative from WORMS met in person for three days in </w:t>
      </w:r>
      <w:proofErr w:type="spellStart"/>
      <w:r w:rsidRPr="00E80D58">
        <w:rPr>
          <w:rFonts w:ascii="Times New Roman" w:hAnsi="Times New Roman" w:cs="Times New Roman"/>
          <w:sz w:val="24"/>
          <w:szCs w:val="24"/>
          <w:lang w:val="en-US"/>
        </w:rPr>
        <w:t>Hillerød</w:t>
      </w:r>
      <w:proofErr w:type="spell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Denmark in November 2021, where several of the actions mentioned below were discussed and decided upon.</w:t>
      </w:r>
    </w:p>
    <w:p w14:paraId="3951F26A" w14:textId="7E114058" w:rsidR="00611E2D" w:rsidRPr="00E80D58" w:rsidRDefault="00611E2D" w:rsidP="00611E2D">
      <w:pPr>
        <w:numPr>
          <w:ilvl w:val="0"/>
          <w:numId w:val="1"/>
        </w:numPr>
        <w:tabs>
          <w:tab w:val="clear" w:pos="540"/>
        </w:tabs>
        <w:snapToGri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6 months develop a succinct list of challenges, objectives and actions with respect to the Task Team topic that will address the UN Decade of 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Ocean Science </w:t>
      </w:r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Sustainable Development objectives and </w:t>
      </w:r>
      <w:proofErr w:type="gramStart"/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>challenges  and</w:t>
      </w:r>
      <w:proofErr w:type="gramEnd"/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present these at an IPHAB intersessional on-line consultation September 2021 with a view to formulate an IPHAB strategic framework for UN Decade initiatives;</w:t>
      </w:r>
    </w:p>
    <w:p w14:paraId="76DE7244" w14:textId="3946DC4C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We developed a list of objectives, challenges and actions for the </w:t>
      </w:r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IPHAB intersessional </w:t>
      </w:r>
      <w:proofErr w:type="gramStart"/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>meeting</w:t>
      </w:r>
      <w:proofErr w:type="gramEnd"/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short summary was prepared to contribute do develop </w:t>
      </w:r>
      <w:r w:rsidRPr="00E80D58">
        <w:rPr>
          <w:rFonts w:ascii="Times New Roman" w:hAnsi="Times New Roman" w:cs="Times New Roman"/>
          <w:bCs/>
          <w:sz w:val="24"/>
          <w:szCs w:val="24"/>
          <w:lang w:val="en-US"/>
        </w:rPr>
        <w:t>an IPHAB strategic framework for UN Decade initiatives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EEE4EF" w14:textId="77777777" w:rsidR="00611E2D" w:rsidRPr="00E80D58" w:rsidRDefault="00611E2D" w:rsidP="00611E2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Actions taken during the inter-sessional period: </w:t>
      </w:r>
    </w:p>
    <w:p w14:paraId="71DB5E1A" w14:textId="77777777" w:rsidR="00611E2D" w:rsidRPr="00E80D58" w:rsidRDefault="00611E2D" w:rsidP="00611E2D">
      <w:pPr>
        <w:pStyle w:val="ListParagraph"/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</w:p>
    <w:p w14:paraId="639E45FD" w14:textId="0EAF659E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Approximately every third month, the Task Team has had online </w:t>
      </w:r>
      <w:proofErr w:type="gramStart"/>
      <w:r w:rsidRPr="00E80D58">
        <w:rPr>
          <w:rFonts w:ascii="Times New Roman" w:hAnsi="Times New Roman" w:cs="Times New Roman"/>
          <w:sz w:val="24"/>
          <w:szCs w:val="24"/>
          <w:lang w:val="en-US"/>
        </w:rPr>
        <w:t>meeting</w:t>
      </w:r>
      <w:proofErr w:type="gram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with all Reference List editors and a representative 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from </w:t>
      </w:r>
      <w:proofErr w:type="spellStart"/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>WoRMS</w:t>
      </w:r>
      <w:proofErr w:type="spellEnd"/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>to discuss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issues related to the List. This has resulted in more regular updating of the IOC-UNESCO Taxonomic Reference List of Harmful Algae with implementation of new activities.</w:t>
      </w:r>
    </w:p>
    <w:p w14:paraId="79DA1BE9" w14:textId="77777777" w:rsidR="00611E2D" w:rsidRPr="00E80D58" w:rsidRDefault="00611E2D" w:rsidP="00E80D58">
      <w:pPr>
        <w:pStyle w:val="ListParagraph"/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</w:p>
    <w:p w14:paraId="49EFD3B3" w14:textId="77777777" w:rsidR="00611E2D" w:rsidRPr="00E80D58" w:rsidRDefault="00611E2D" w:rsidP="00611E2D">
      <w:pPr>
        <w:pStyle w:val="ListParagraph"/>
        <w:numPr>
          <w:ilvl w:val="0"/>
          <w:numId w:val="2"/>
        </w:numPr>
        <w:snapToGrid w:val="0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spellStart"/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Greylist</w:t>
      </w:r>
      <w:proofErr w:type="spellEnd"/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species for which 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>documentation for toxicity is lacking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been implemented and is available on the webpage</w:t>
      </w:r>
    </w:p>
    <w:p w14:paraId="10995D3C" w14:textId="77777777" w:rsidR="00611E2D" w:rsidRPr="00E80D58" w:rsidRDefault="00611E2D" w:rsidP="00611E2D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8415F62" w14:textId="77777777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Information on TTAT activity and decisions made at the Copenhagen meeting have been the object of a note to HAN</w:t>
      </w:r>
    </w:p>
    <w:p w14:paraId="7EF52BD5" w14:textId="77777777" w:rsidR="00611E2D" w:rsidRPr="00E80D58" w:rsidRDefault="00611E2D" w:rsidP="00E80D5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55894210" w14:textId="0138B9ED" w:rsidR="00611E2D" w:rsidRPr="00E80D58" w:rsidRDefault="00611E2D" w:rsidP="00E80D58">
      <w:pPr>
        <w:pStyle w:val="ListParagraph"/>
        <w:numPr>
          <w:ilvl w:val="0"/>
          <w:numId w:val="2"/>
        </w:numPr>
        <w:snapToGrid w:val="0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sz w:val="24"/>
          <w:szCs w:val="24"/>
          <w:lang w:val="en-US"/>
        </w:rPr>
        <w:t>The work on lists of harmful but non-toxic species has been initiated. One list will contain species causing marine fauna death or impairments not linked to toxin production; a second list will comprise species causing discolorations or other problems impairing human activities (tourism, recreational activities, fisheries, seaweed industries). Both lists are relevant to a broader audience. The lists are in progress and not yet available on the webpage.</w:t>
      </w:r>
    </w:p>
    <w:p w14:paraId="0DB84CD6" w14:textId="77777777" w:rsidR="00611E2D" w:rsidRPr="00E80D58" w:rsidRDefault="00611E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686C3B" w14:textId="77777777" w:rsidR="00611E2D" w:rsidRPr="00E80D58" w:rsidRDefault="00611E2D" w:rsidP="00611E2D">
      <w:pPr>
        <w:snapToGri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80D58">
        <w:rPr>
          <w:rFonts w:ascii="Times New Roman" w:hAnsi="Times New Roman" w:cs="Times New Roman"/>
          <w:b/>
          <w:sz w:val="24"/>
          <w:szCs w:val="24"/>
          <w:lang w:val="en-US"/>
        </w:rPr>
        <w:t>The Task Team</w:t>
      </w:r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has been modified and comprises N. Lundholm (Denmark) Chair, M. Iwataki (Japan), A. Zingone (Italy), C. Churro (Portugal), S. Fraga (Spain), K. Mertens (France), J. Larsen (Denmark), M. </w:t>
      </w:r>
      <w:proofErr w:type="spellStart"/>
      <w:r w:rsidRPr="00E80D58">
        <w:rPr>
          <w:rFonts w:ascii="Times New Roman" w:hAnsi="Times New Roman" w:cs="Times New Roman"/>
          <w:sz w:val="24"/>
          <w:szCs w:val="24"/>
          <w:lang w:val="en-US"/>
        </w:rPr>
        <w:t>Hoppenrath</w:t>
      </w:r>
      <w:proofErr w:type="spell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(Germany), L. </w:t>
      </w:r>
      <w:proofErr w:type="spellStart"/>
      <w:r w:rsidRPr="00E80D58">
        <w:rPr>
          <w:rFonts w:ascii="Times New Roman" w:hAnsi="Times New Roman" w:cs="Times New Roman"/>
          <w:sz w:val="24"/>
          <w:szCs w:val="24"/>
          <w:lang w:val="en-US"/>
        </w:rPr>
        <w:t>Escalera</w:t>
      </w:r>
      <w:proofErr w:type="spellEnd"/>
      <w:r w:rsidRPr="00E80D58">
        <w:rPr>
          <w:rFonts w:ascii="Times New Roman" w:hAnsi="Times New Roman" w:cs="Times New Roman"/>
          <w:sz w:val="24"/>
          <w:szCs w:val="24"/>
          <w:lang w:val="en-US"/>
        </w:rPr>
        <w:t xml:space="preserve"> (Spain), Ø. Moestrup (Denmark). </w:t>
      </w:r>
    </w:p>
    <w:p w14:paraId="2B0D0002" w14:textId="77777777" w:rsidR="00611E2D" w:rsidRPr="00E80D58" w:rsidRDefault="00611E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Identified challenges for the Task Team in the future</w:t>
      </w:r>
    </w:p>
    <w:p w14:paraId="2CC607D9" w14:textId="0728D744" w:rsidR="00611E2D" w:rsidRPr="00E80D58" w:rsidRDefault="00611E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Maintaining and updating the list relies on</w:t>
      </w:r>
      <w:r w:rsidRPr="00E80D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voluntary work only.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An update with morphological and molecular input has been </w:t>
      </w:r>
      <w:r w:rsidR="00D70ABD"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initiated but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requires a major effort and would benefit tremendously from </w:t>
      </w:r>
      <w:r w:rsidRPr="00E80D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additional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80D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resources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427CF5F" w14:textId="77777777" w:rsidR="00611E2D" w:rsidRPr="00E80D58" w:rsidRDefault="00611E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0D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Next generation of taxonomists </w:t>
      </w:r>
      <w:r w:rsidRPr="00E80D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 be trained. Taxonomic expertise is disappearing in some parts of the world – can we maintain a reasonable number of experts on the different taxonomic groups of toxigenic microalgal species?</w:t>
      </w:r>
    </w:p>
    <w:p w14:paraId="779A0B65" w14:textId="6BB40A4A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FBA899" w14:textId="757FEF30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07FD26" w14:textId="75876641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6AC871" w14:textId="29988892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BC03A2" w14:textId="56E43957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789022" w14:textId="083E0D72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67E84" w14:textId="5B807F51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A13FCF" w14:textId="2419CBEE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B13A50" w14:textId="0616C22B" w:rsidR="00B5447D" w:rsidRPr="00E80D58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49033E23" w14:textId="77777777" w:rsidR="00816F4D" w:rsidRPr="00E80D58" w:rsidRDefault="00816F4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</w:p>
    <w:sectPr w:rsidR="00816F4D" w:rsidRPr="00E80D58" w:rsidSect="00D70ABD">
      <w:footerReference w:type="default" r:id="rId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F022" w14:textId="77777777" w:rsidR="00AB724D" w:rsidRDefault="00AB724D" w:rsidP="00D70ABD">
      <w:pPr>
        <w:spacing w:after="0" w:line="240" w:lineRule="auto"/>
      </w:pPr>
      <w:r>
        <w:separator/>
      </w:r>
    </w:p>
  </w:endnote>
  <w:endnote w:type="continuationSeparator" w:id="0">
    <w:p w14:paraId="67207721" w14:textId="77777777" w:rsidR="00AB724D" w:rsidRDefault="00AB724D" w:rsidP="00D7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9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7BFF7" w14:textId="59FAC1CE" w:rsidR="00D70ABD" w:rsidRDefault="00D70A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DA185" w14:textId="77777777" w:rsidR="00D70ABD" w:rsidRDefault="00D70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53FD" w14:textId="77777777" w:rsidR="00AB724D" w:rsidRDefault="00AB724D" w:rsidP="00D70ABD">
      <w:pPr>
        <w:spacing w:after="0" w:line="240" w:lineRule="auto"/>
      </w:pPr>
      <w:r>
        <w:separator/>
      </w:r>
    </w:p>
  </w:footnote>
  <w:footnote w:type="continuationSeparator" w:id="0">
    <w:p w14:paraId="57AF5A32" w14:textId="77777777" w:rsidR="00AB724D" w:rsidRDefault="00AB724D" w:rsidP="00D7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555"/>
    <w:multiLevelType w:val="hybridMultilevel"/>
    <w:tmpl w:val="4694EC3C"/>
    <w:lvl w:ilvl="0" w:tplc="3E72EF0E">
      <w:start w:val="1"/>
      <w:numFmt w:val="lowerRoman"/>
      <w:lvlText w:val="(%1)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64ED"/>
    <w:multiLevelType w:val="hybridMultilevel"/>
    <w:tmpl w:val="98F0B1E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3D1"/>
    <w:multiLevelType w:val="hybridMultilevel"/>
    <w:tmpl w:val="8A623920"/>
    <w:lvl w:ilvl="0" w:tplc="D82CBF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EE6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839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8BB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466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ECE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8C9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836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EB2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03B6"/>
    <w:multiLevelType w:val="hybridMultilevel"/>
    <w:tmpl w:val="F4D2D1F0"/>
    <w:lvl w:ilvl="0" w:tplc="7BE44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6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C15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090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24A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107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0F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8A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EED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01197"/>
    <w:multiLevelType w:val="hybridMultilevel"/>
    <w:tmpl w:val="E47A998C"/>
    <w:lvl w:ilvl="0" w:tplc="FE5803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043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E3C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A1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C14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A42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291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07E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C8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209973">
    <w:abstractNumId w:val="0"/>
  </w:num>
  <w:num w:numId="2" w16cid:durableId="1584336266">
    <w:abstractNumId w:val="1"/>
  </w:num>
  <w:num w:numId="3" w16cid:durableId="1464885403">
    <w:abstractNumId w:val="3"/>
  </w:num>
  <w:num w:numId="4" w16cid:durableId="631710475">
    <w:abstractNumId w:val="4"/>
  </w:num>
  <w:num w:numId="5" w16cid:durableId="185827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81"/>
    <w:rsid w:val="0006377D"/>
    <w:rsid w:val="0017348D"/>
    <w:rsid w:val="00183C02"/>
    <w:rsid w:val="00193BCC"/>
    <w:rsid w:val="00225C01"/>
    <w:rsid w:val="00312BF1"/>
    <w:rsid w:val="00320A9B"/>
    <w:rsid w:val="00353C10"/>
    <w:rsid w:val="00430E71"/>
    <w:rsid w:val="00611E2D"/>
    <w:rsid w:val="006D0363"/>
    <w:rsid w:val="00743BA2"/>
    <w:rsid w:val="00744FBA"/>
    <w:rsid w:val="007809C3"/>
    <w:rsid w:val="007A1C75"/>
    <w:rsid w:val="00816F4D"/>
    <w:rsid w:val="008517C0"/>
    <w:rsid w:val="009E32B5"/>
    <w:rsid w:val="009E7D92"/>
    <w:rsid w:val="00AB724D"/>
    <w:rsid w:val="00AE2F81"/>
    <w:rsid w:val="00B020AA"/>
    <w:rsid w:val="00B5447D"/>
    <w:rsid w:val="00D20D5F"/>
    <w:rsid w:val="00D70ABD"/>
    <w:rsid w:val="00DF1F25"/>
    <w:rsid w:val="00E037AC"/>
    <w:rsid w:val="00E427B7"/>
    <w:rsid w:val="00E80D58"/>
    <w:rsid w:val="00ED6189"/>
    <w:rsid w:val="00F85419"/>
    <w:rsid w:val="00FA4703"/>
    <w:rsid w:val="00FC74D9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382B3"/>
  <w15:chartTrackingRefBased/>
  <w15:docId w15:val="{EDD7254A-612A-4402-AE80-0D356321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F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F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0A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BD"/>
  </w:style>
  <w:style w:type="paragraph" w:styleId="Footer">
    <w:name w:val="footer"/>
    <w:basedOn w:val="Normal"/>
    <w:link w:val="FooterChar"/>
    <w:uiPriority w:val="99"/>
    <w:unhideWhenUsed/>
    <w:rsid w:val="00D70A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Lundholm</dc:creator>
  <cp:keywords/>
  <dc:description/>
  <cp:lastModifiedBy>Sun, Yun</cp:lastModifiedBy>
  <cp:revision>12</cp:revision>
  <dcterms:created xsi:type="dcterms:W3CDTF">2023-03-13T07:45:00Z</dcterms:created>
  <dcterms:modified xsi:type="dcterms:W3CDTF">2023-03-14T11:07:00Z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