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AE5BF" w14:textId="64EE25BF" w:rsidR="00E47A63" w:rsidRDefault="00452F8B" w:rsidP="00E47A63">
      <w:pPr>
        <w:rPr>
          <w:sz w:val="36"/>
          <w:szCs w:val="36"/>
          <w:lang w:val="en-US"/>
        </w:rPr>
      </w:pPr>
      <w:r>
        <w:rPr>
          <w:sz w:val="36"/>
          <w:szCs w:val="36"/>
          <w:lang w:val="en-US"/>
        </w:rPr>
        <w:t>D</w:t>
      </w:r>
      <w:r w:rsidR="00E47A63" w:rsidRPr="00E47A63">
        <w:rPr>
          <w:sz w:val="36"/>
          <w:szCs w:val="36"/>
          <w:lang w:val="en-US"/>
        </w:rPr>
        <w:t>raft IOC Data Policy and Terms of Use (2023)</w:t>
      </w:r>
    </w:p>
    <w:p w14:paraId="1F2B0AE6" w14:textId="50DD45D4" w:rsidR="00452F8B" w:rsidRDefault="00452F8B" w:rsidP="00E47A63">
      <w:pPr>
        <w:rPr>
          <w:lang w:val="en-US"/>
        </w:rPr>
      </w:pPr>
      <w:r w:rsidRPr="00452F8B">
        <w:rPr>
          <w:lang w:val="en-US"/>
        </w:rPr>
        <w:t>(</w:t>
      </w:r>
      <w:proofErr w:type="gramStart"/>
      <w:r w:rsidRPr="00452F8B">
        <w:rPr>
          <w:lang w:val="en-US"/>
        </w:rPr>
        <w:t>version</w:t>
      </w:r>
      <w:proofErr w:type="gramEnd"/>
      <w:r w:rsidRPr="00452F8B">
        <w:rPr>
          <w:lang w:val="en-US"/>
        </w:rPr>
        <w:t xml:space="preserve"> </w:t>
      </w:r>
      <w:r w:rsidR="00C9257C">
        <w:rPr>
          <w:lang w:val="en-US"/>
        </w:rPr>
        <w:t>9</w:t>
      </w:r>
      <w:r w:rsidRPr="00452F8B">
        <w:rPr>
          <w:lang w:val="en-US"/>
        </w:rPr>
        <w:t xml:space="preserve">, </w:t>
      </w:r>
      <w:r w:rsidR="00C9257C">
        <w:rPr>
          <w:lang w:val="en-US"/>
        </w:rPr>
        <w:t>23</w:t>
      </w:r>
      <w:r w:rsidR="00A00F2B">
        <w:rPr>
          <w:lang w:val="en-US"/>
        </w:rPr>
        <w:t xml:space="preserve"> September</w:t>
      </w:r>
      <w:r w:rsidRPr="00452F8B">
        <w:rPr>
          <w:lang w:val="en-US"/>
        </w:rPr>
        <w:t xml:space="preserve"> 2022)</w:t>
      </w:r>
    </w:p>
    <w:p w14:paraId="61670187" w14:textId="374D34FA" w:rsidR="00452F8B" w:rsidRDefault="00C9257C" w:rsidP="00E47A63">
      <w:pPr>
        <w:rPr>
          <w:lang w:val="en-US"/>
        </w:rPr>
      </w:pPr>
      <w:r>
        <w:rPr>
          <w:lang w:val="en-US"/>
        </w:rPr>
        <w:t>(</w:t>
      </w:r>
      <w:proofErr w:type="gramStart"/>
      <w:r w:rsidR="00A9560F">
        <w:rPr>
          <w:lang w:val="en-US"/>
        </w:rPr>
        <w:t>as</w:t>
      </w:r>
      <w:proofErr w:type="gramEnd"/>
      <w:r w:rsidR="00A9560F">
        <w:rPr>
          <w:lang w:val="en-US"/>
        </w:rPr>
        <w:t xml:space="preserve"> </w:t>
      </w:r>
      <w:r>
        <w:rPr>
          <w:lang w:val="en-US"/>
        </w:rPr>
        <w:t>revised by IWG-DATAPOLICY 23/9/2022)</w:t>
      </w:r>
    </w:p>
    <w:p w14:paraId="3B0BAB44" w14:textId="65369A8B" w:rsidR="00C9257C" w:rsidRDefault="00C9257C" w:rsidP="00E47A63">
      <w:pPr>
        <w:rPr>
          <w:lang w:val="en-US"/>
        </w:rPr>
      </w:pPr>
    </w:p>
    <w:p w14:paraId="7AD3A2F4" w14:textId="52906BD5" w:rsidR="0032071C" w:rsidRDefault="0032071C" w:rsidP="00E47A63">
      <w:pPr>
        <w:rPr>
          <w:lang w:val="en-US"/>
        </w:rPr>
      </w:pPr>
      <w:r>
        <w:rPr>
          <w:lang w:val="en-US"/>
        </w:rPr>
        <w:t>(</w:t>
      </w:r>
      <w:r w:rsidR="00ED20EA">
        <w:rPr>
          <w:lang w:val="en-US"/>
        </w:rPr>
        <w:t xml:space="preserve">FOR DECISION: </w:t>
      </w:r>
      <w:r>
        <w:rPr>
          <w:lang w:val="en-US"/>
        </w:rPr>
        <w:t>add preamble on history of IOC data policy</w:t>
      </w:r>
      <w:r w:rsidR="00ED20EA">
        <w:rPr>
          <w:lang w:val="en-US"/>
        </w:rPr>
        <w:t xml:space="preserve">, WMO and others; reference to need for data sharing, UNESCO open science). -when publishing policy, add this also in the document. Note that preamble will be prepared for </w:t>
      </w:r>
      <w:proofErr w:type="spellStart"/>
      <w:r w:rsidR="00ED20EA">
        <w:rPr>
          <w:lang w:val="en-US"/>
        </w:rPr>
        <w:t>iODE</w:t>
      </w:r>
      <w:proofErr w:type="spellEnd"/>
      <w:r w:rsidR="00ED20EA">
        <w:rPr>
          <w:lang w:val="en-US"/>
        </w:rPr>
        <w:t xml:space="preserve">-XXVII which will then be used in draft decision/ (check also </w:t>
      </w:r>
      <w:hyperlink r:id="rId8" w:history="1">
        <w:r w:rsidR="00ED20EA" w:rsidRPr="006D65F3">
          <w:rPr>
            <w:rStyle w:val="Hyperlink"/>
            <w:lang w:val="en-US"/>
          </w:rPr>
          <w:t>https://library.wmo.int/doc_num.php?explnum_id=11256</w:t>
        </w:r>
      </w:hyperlink>
      <w:r w:rsidR="00ED20EA">
        <w:rPr>
          <w:lang w:val="en-US"/>
        </w:rPr>
        <w:t xml:space="preserve"> )</w:t>
      </w:r>
    </w:p>
    <w:p w14:paraId="0985ACC4" w14:textId="588F69E1" w:rsidR="0084479D" w:rsidRDefault="0084479D" w:rsidP="00E47A63">
      <w:pPr>
        <w:rPr>
          <w:lang w:val="en-US"/>
        </w:rPr>
      </w:pPr>
    </w:p>
    <w:p w14:paraId="10DDB66E" w14:textId="772F390D" w:rsidR="0084479D" w:rsidRDefault="0084479D" w:rsidP="00E47A63">
      <w:pPr>
        <w:rPr>
          <w:lang w:val="en-US"/>
        </w:rPr>
      </w:pPr>
      <w:r>
        <w:rPr>
          <w:lang w:val="en-US"/>
        </w:rPr>
        <w:t>[albert to provide wording on link between GOOS and IODE]</w:t>
      </w:r>
    </w:p>
    <w:p w14:paraId="0CB10588" w14:textId="77777777" w:rsidR="00ED20EA" w:rsidRPr="00452F8B" w:rsidRDefault="00ED20EA" w:rsidP="00E47A63">
      <w:pPr>
        <w:rPr>
          <w:lang w:val="en-US"/>
        </w:rPr>
      </w:pPr>
    </w:p>
    <w:p w14:paraId="1E91817B" w14:textId="77777777" w:rsidR="00E47A63" w:rsidRDefault="00E47A63" w:rsidP="00A9560F">
      <w:pPr>
        <w:pStyle w:val="Heading2"/>
      </w:pPr>
      <w:r>
        <w:t>Section 1. Preamble</w:t>
      </w:r>
    </w:p>
    <w:p w14:paraId="4F2112F1" w14:textId="154DB4B5" w:rsidR="00E47A63" w:rsidRDefault="00E47A63" w:rsidP="00E47A63">
      <w:pPr>
        <w:spacing w:after="240"/>
        <w:jc w:val="both"/>
      </w:pPr>
      <w:r>
        <w:t xml:space="preserve">The timely, </w:t>
      </w:r>
      <w:r w:rsidR="00853EE2">
        <w:t>open</w:t>
      </w:r>
      <w:r>
        <w:t xml:space="preserve"> and unrestricted international sharing</w:t>
      </w:r>
      <w:r w:rsidR="00E67A60">
        <w:t>, in both real-time and dela</w:t>
      </w:r>
      <w:r w:rsidR="0084479D">
        <w:t>y</w:t>
      </w:r>
      <w:r w:rsidR="00E67A60">
        <w:t>ed mode</w:t>
      </w:r>
      <w:r>
        <w:t xml:space="preserve"> of ocean metadata, </w:t>
      </w:r>
      <w:r w:rsidR="008927C1">
        <w:t xml:space="preserve">data </w:t>
      </w:r>
      <w:r w:rsidR="004B7879">
        <w:rPr>
          <w:lang w:val="en-US"/>
        </w:rPr>
        <w:t xml:space="preserve">and </w:t>
      </w:r>
      <w:r>
        <w:t xml:space="preserve">products is essential for a wide variety of purposes and benefits including </w:t>
      </w:r>
      <w:r w:rsidR="00E67A60">
        <w:t>scientific research</w:t>
      </w:r>
      <w:r w:rsidR="00E67A60">
        <w:rPr>
          <w:lang w:val="en-US"/>
        </w:rPr>
        <w:t xml:space="preserve">, </w:t>
      </w:r>
      <w:r w:rsidR="00E67A60">
        <w:t>innovation</w:t>
      </w:r>
      <w:r w:rsidR="00E67A60">
        <w:rPr>
          <w:lang w:val="en-US"/>
        </w:rPr>
        <w:t xml:space="preserve"> and decision making</w:t>
      </w:r>
      <w:r w:rsidR="00E67A60">
        <w:t xml:space="preserve">, </w:t>
      </w:r>
      <w:r>
        <w:t xml:space="preserve">the prediction of weather and climate, the operational forecasting of the marine environment, the preservation of life, economic welfare, safety and security of society, the mitigation of human-induced changes in the marine and coastal environment, as well as for the advancement of scientific understanding that makes this possible. </w:t>
      </w:r>
    </w:p>
    <w:p w14:paraId="42E0776D" w14:textId="5D8D2CB9" w:rsidR="00E47A63" w:rsidRDefault="008927C1" w:rsidP="00E47A63">
      <w:pPr>
        <w:spacing w:after="240"/>
        <w:jc w:val="both"/>
      </w:pPr>
      <w:r>
        <w:t>Metad</w:t>
      </w:r>
      <w:r w:rsidR="00E47A63">
        <w:t xml:space="preserve">ata, </w:t>
      </w:r>
      <w:proofErr w:type="gramStart"/>
      <w:r w:rsidR="00E47A63">
        <w:t>data</w:t>
      </w:r>
      <w:proofErr w:type="gramEnd"/>
      <w:r w:rsidR="00E47A63">
        <w:t xml:space="preserve"> and products should be accessible, interoperable and openly shared with minimum delay and </w:t>
      </w:r>
      <w:r w:rsidR="00B00D5C">
        <w:t xml:space="preserve">minimum </w:t>
      </w:r>
      <w:r w:rsidR="00E47A63">
        <w:t xml:space="preserve">restrictions. </w:t>
      </w:r>
    </w:p>
    <w:p w14:paraId="38525C33" w14:textId="77777777" w:rsidR="00E47A63" w:rsidRDefault="00E47A63" w:rsidP="00A9560F">
      <w:pPr>
        <w:pStyle w:val="Heading2"/>
      </w:pPr>
      <w:r>
        <w:t>Section 2. Purpose</w:t>
      </w:r>
    </w:p>
    <w:p w14:paraId="4AA7F4EE" w14:textId="2BE8BB68" w:rsidR="00E47A63" w:rsidRDefault="00E47A63" w:rsidP="00E47A63">
      <w:r>
        <w:t xml:space="preserve">The purpose of this data policy is to outline the requirements with respect to sharing, access, preservation, and attribution to facilitate the broad use and reuse of </w:t>
      </w:r>
      <w:r w:rsidR="008927C1">
        <w:t xml:space="preserve">metadata, </w:t>
      </w:r>
      <w:proofErr w:type="gramStart"/>
      <w:r>
        <w:t>data</w:t>
      </w:r>
      <w:proofErr w:type="gramEnd"/>
      <w:r>
        <w:t xml:space="preserve"> and </w:t>
      </w:r>
      <w:r w:rsidR="008927C1">
        <w:t>products</w:t>
      </w:r>
      <w:r>
        <w:t xml:space="preserve">. </w:t>
      </w:r>
    </w:p>
    <w:p w14:paraId="24F9E506" w14:textId="399039E2" w:rsidR="00FC4E5C" w:rsidRDefault="00FC4E5C" w:rsidP="00A9560F">
      <w:pPr>
        <w:pStyle w:val="Heading2"/>
      </w:pPr>
      <w:r>
        <w:t xml:space="preserve">Section </w:t>
      </w:r>
      <w:r>
        <w:rPr>
          <w:lang w:val="en-US"/>
        </w:rPr>
        <w:t>3</w:t>
      </w:r>
      <w:r>
        <w:t xml:space="preserve">. FAIR </w:t>
      </w:r>
      <w:r w:rsidR="00AB059A">
        <w:t xml:space="preserve">&amp; CARE </w:t>
      </w:r>
      <w:r>
        <w:t>principles</w:t>
      </w:r>
    </w:p>
    <w:p w14:paraId="446D71DD" w14:textId="17070389" w:rsidR="00FC4E5C" w:rsidRDefault="00FC4E5C" w:rsidP="00FC4E5C">
      <w:r>
        <w:t>To support knowledge discovery and innovation both by humans and machines</w:t>
      </w:r>
      <w:r w:rsidR="00AB059A">
        <w:t xml:space="preserve"> </w:t>
      </w:r>
      <w:r w:rsidR="00AB059A" w:rsidRPr="00AB059A">
        <w:t>and to acknowledge indigenous data governance</w:t>
      </w:r>
      <w:r>
        <w:t xml:space="preserve">, data should meet </w:t>
      </w:r>
      <w:r w:rsidR="001B1807">
        <w:t xml:space="preserve">the </w:t>
      </w:r>
      <w:r>
        <w:t>FAIR Guiding Principles (Findable, Accessible, Interoperable and Reusable)</w:t>
      </w:r>
      <w:r>
        <w:rPr>
          <w:rStyle w:val="FootnoteReference"/>
        </w:rPr>
        <w:footnoteReference w:id="1"/>
      </w:r>
      <w:r w:rsidR="00AB059A" w:rsidRPr="00AB059A">
        <w:t xml:space="preserve"> and the CARE Principles (Collective Benefit, Authority to Control, Responsibility, Ethics)</w:t>
      </w:r>
      <w:r w:rsidR="00AB059A">
        <w:rPr>
          <w:rStyle w:val="FootnoteReference"/>
        </w:rPr>
        <w:footnoteReference w:id="2"/>
      </w:r>
      <w:r>
        <w:t xml:space="preserve"> to the greatest extent practicable.</w:t>
      </w:r>
    </w:p>
    <w:p w14:paraId="286C3796" w14:textId="6D096020" w:rsidR="00E47A63" w:rsidRDefault="00E47A63" w:rsidP="00A9560F">
      <w:pPr>
        <w:pStyle w:val="Heading2"/>
      </w:pPr>
      <w:r>
        <w:t xml:space="preserve">Section </w:t>
      </w:r>
      <w:r w:rsidR="00FC4E5C">
        <w:rPr>
          <w:lang w:val="en-US"/>
        </w:rPr>
        <w:t>4</w:t>
      </w:r>
      <w:r>
        <w:t>. Conditions of use</w:t>
      </w:r>
    </w:p>
    <w:p w14:paraId="356950B7" w14:textId="0BF98E86" w:rsidR="004B7879" w:rsidRDefault="00E47A63" w:rsidP="00E47A63">
      <w:r>
        <w:t xml:space="preserve">Data should be licensed </w:t>
      </w:r>
      <w:r w:rsidR="00DE5D99">
        <w:t>(</w:t>
      </w:r>
      <w:r w:rsidR="001953DA">
        <w:t>respecting</w:t>
      </w:r>
      <w:r w:rsidR="00DE5D99">
        <w:t xml:space="preserve"> Section 8) </w:t>
      </w:r>
      <w:r>
        <w:t>under a minimally restrictive and voluntary common-use licence</w:t>
      </w:r>
      <w:r>
        <w:rPr>
          <w:rStyle w:val="FootnoteReference"/>
        </w:rPr>
        <w:footnoteReference w:id="3"/>
      </w:r>
      <w:r>
        <w:t xml:space="preserve"> that grants permission, ensures proper attribution </w:t>
      </w:r>
      <w:r w:rsidR="00853EE2" w:rsidRPr="00853EE2">
        <w:rPr>
          <w:lang w:val="en-US"/>
        </w:rPr>
        <w:t>(for example, citable using a persistent identifier)</w:t>
      </w:r>
      <w:r w:rsidR="00FC4E5C">
        <w:rPr>
          <w:lang w:val="en-US"/>
        </w:rPr>
        <w:t xml:space="preserve"> </w:t>
      </w:r>
      <w:r>
        <w:t xml:space="preserve">and allows others to copy, distribute and make use of the data. </w:t>
      </w:r>
    </w:p>
    <w:p w14:paraId="5523CFD6" w14:textId="7591D919" w:rsidR="00E47A63" w:rsidRDefault="00E47A63" w:rsidP="00A9560F">
      <w:pPr>
        <w:pStyle w:val="Heading2"/>
      </w:pPr>
      <w:r>
        <w:t>Section 5. Data Repositories</w:t>
      </w:r>
      <w:r w:rsidR="0031309A">
        <w:t xml:space="preserve"> and the ioc ocean data and information system (ODIS)</w:t>
      </w:r>
    </w:p>
    <w:p w14:paraId="59E92134" w14:textId="13F589A3" w:rsidR="00E47A63" w:rsidRDefault="00E47A63" w:rsidP="00E47A63">
      <w:pPr>
        <w:rPr>
          <w:color w:val="191919"/>
        </w:rPr>
      </w:pPr>
      <w:r>
        <w:lastRenderedPageBreak/>
        <w:t>Data should be quality controlled</w:t>
      </w:r>
      <w:r w:rsidR="00F620CA">
        <w:rPr>
          <w:lang w:val="en-US"/>
        </w:rPr>
        <w:t xml:space="preserve"> (using best practices or standards)</w:t>
      </w:r>
      <w:r>
        <w:t xml:space="preserve">, accompanied by metadata and stored in an openly </w:t>
      </w:r>
      <w:r w:rsidR="00F620CA">
        <w:rPr>
          <w:lang w:val="en-US"/>
        </w:rPr>
        <w:t xml:space="preserve">discoverable and </w:t>
      </w:r>
      <w:r>
        <w:t xml:space="preserve">accessible data repository through </w:t>
      </w:r>
      <w:r w:rsidR="00EA0E8D">
        <w:t>data services</w:t>
      </w:r>
      <w:r>
        <w:t>. Member States shall</w:t>
      </w:r>
      <w:r w:rsidR="00F620CA">
        <w:rPr>
          <w:lang w:val="en-US"/>
        </w:rPr>
        <w:t xml:space="preserve"> encourage convergence and interoperability and</w:t>
      </w:r>
      <w:r>
        <w:t>, where possible, use IODE data centres</w:t>
      </w:r>
      <w:r w:rsidR="0076464E">
        <w:t xml:space="preserve"> (National Oceanographic Data Centres or Associate Data Units) or other IOC programme related data centres</w:t>
      </w:r>
      <w:r>
        <w:t xml:space="preserve"> </w:t>
      </w:r>
      <w:r w:rsidR="0031309A">
        <w:t>that share metadata and data</w:t>
      </w:r>
      <w:r w:rsidR="0031309A">
        <w:t xml:space="preserve"> </w:t>
      </w:r>
      <w:r w:rsidR="0031309A">
        <w:t>using</w:t>
      </w:r>
      <w:r>
        <w:t xml:space="preserve"> the IOC Ocean Data and Information System (ODIS)</w:t>
      </w:r>
      <w:r w:rsidR="00B00D5C">
        <w:t>. ODIS is</w:t>
      </w:r>
      <w:r w:rsidR="00F620CA" w:rsidRPr="00F620CA">
        <w:t xml:space="preserve"> </w:t>
      </w:r>
      <w:r w:rsidR="00F620CA" w:rsidRPr="00F620CA">
        <w:rPr>
          <w:lang w:val="en-US"/>
        </w:rPr>
        <w:t>an interoperability layer and supporting technology to allow existing and emerging ocean data and information systems, to interoperate with one another</w:t>
      </w:r>
      <w:r>
        <w:t>.</w:t>
      </w:r>
      <w:r>
        <w:rPr>
          <w:color w:val="191919"/>
        </w:rPr>
        <w:t xml:space="preserve">                                                                        </w:t>
      </w:r>
    </w:p>
    <w:p w14:paraId="5FABA746" w14:textId="77777777" w:rsidR="00E47A63" w:rsidRDefault="00E47A63" w:rsidP="00A9560F">
      <w:pPr>
        <w:pStyle w:val="Heading2"/>
      </w:pPr>
      <w:r>
        <w:t>Section 6: Secure long-term data archives</w:t>
      </w:r>
    </w:p>
    <w:p w14:paraId="573D0B09" w14:textId="22BEEF92" w:rsidR="00E47A63" w:rsidRDefault="00E47A63" w:rsidP="00E47A63">
      <w:r>
        <w:t xml:space="preserve">To support long-term and secure archival, data </w:t>
      </w:r>
      <w:r w:rsidR="00AC3B65">
        <w:t xml:space="preserve">and associated metadata </w:t>
      </w:r>
      <w:r>
        <w:t>should be submitted, to the best practicable degree, to IODE’s World Ocean Database (WOD), the Ocean Biodiversity Information System (OBIS)</w:t>
      </w:r>
      <w:r w:rsidR="000647E6">
        <w:t>, Global Sea</w:t>
      </w:r>
      <w:r w:rsidR="004D2CD1">
        <w:t xml:space="preserve"> L</w:t>
      </w:r>
      <w:r w:rsidR="000647E6">
        <w:t>evel Observing System (GLOSS)</w:t>
      </w:r>
      <w:r w:rsidR="004D2CD1">
        <w:t>,</w:t>
      </w:r>
      <w:r w:rsidR="000647E6">
        <w:t xml:space="preserve"> other IOC related global data archives,</w:t>
      </w:r>
      <w:r>
        <w:t xml:space="preserve"> and data centres linked to the World Data System (WDS), their successors</w:t>
      </w:r>
      <w:r w:rsidR="00B85D35">
        <w:rPr>
          <w:lang w:val="en-US"/>
        </w:rPr>
        <w:t xml:space="preserve"> or other global data </w:t>
      </w:r>
      <w:r w:rsidR="000647E6">
        <w:rPr>
          <w:lang w:val="en-US"/>
        </w:rPr>
        <w:t>archives</w:t>
      </w:r>
      <w:r w:rsidR="00893CAE">
        <w:t>.</w:t>
      </w:r>
    </w:p>
    <w:p w14:paraId="5BDD339B" w14:textId="77777777" w:rsidR="00E47A63" w:rsidRDefault="00E47A63" w:rsidP="00A9560F">
      <w:pPr>
        <w:pStyle w:val="Heading2"/>
      </w:pPr>
      <w:r>
        <w:t>Section 7. Access restrictions</w:t>
      </w:r>
    </w:p>
    <w:p w14:paraId="5011AB42" w14:textId="2AB405B8" w:rsidR="00E47A63" w:rsidRDefault="00E47A63" w:rsidP="00E47A63">
      <w:pPr>
        <w:rPr>
          <w:b/>
          <w:color w:val="FF0000"/>
        </w:rPr>
      </w:pPr>
      <w:r>
        <w:rPr>
          <w:color w:val="191919"/>
        </w:rPr>
        <w:t xml:space="preserve">Data and associated metadata should be made available with minimal restrictions on use unless there are valid reasons to restrict access. Legitimate reasons to restrict access to, and reuse of, data include, </w:t>
      </w:r>
      <w:r>
        <w:rPr>
          <w:i/>
          <w:color w:val="191919"/>
        </w:rPr>
        <w:t>inter alia</w:t>
      </w:r>
      <w:r>
        <w:rPr>
          <w:color w:val="191919"/>
        </w:rPr>
        <w:t xml:space="preserve">, privacy and confidentiality, protection of </w:t>
      </w:r>
      <w:r w:rsidR="0098161E">
        <w:rPr>
          <w:color w:val="191919"/>
        </w:rPr>
        <w:t xml:space="preserve">species, populations or habitats of concern, </w:t>
      </w:r>
      <w:r>
        <w:rPr>
          <w:color w:val="191919"/>
        </w:rPr>
        <w:t xml:space="preserve">and national security. </w:t>
      </w:r>
    </w:p>
    <w:p w14:paraId="50E3D6AC" w14:textId="77777777" w:rsidR="00E47A63" w:rsidRDefault="00E47A63" w:rsidP="00A9560F">
      <w:pPr>
        <w:pStyle w:val="Heading2"/>
      </w:pPr>
      <w:r>
        <w:t>Section 8. Data sharing policies of Member States</w:t>
      </w:r>
    </w:p>
    <w:p w14:paraId="4FAF5A34" w14:textId="36EA3F0F" w:rsidR="00E47A63" w:rsidRDefault="00E47A63" w:rsidP="00E47A63">
      <w:pPr>
        <w:rPr>
          <w:color w:val="191919"/>
        </w:rPr>
      </w:pPr>
      <w:r>
        <w:rPr>
          <w:color w:val="191919"/>
        </w:rPr>
        <w:t xml:space="preserve">This Policy acknowledges the right of Member States and data </w:t>
      </w:r>
      <w:r w:rsidR="00842AC3">
        <w:rPr>
          <w:color w:val="191919"/>
          <w:lang w:val="en-US"/>
        </w:rPr>
        <w:t>owners</w:t>
      </w:r>
      <w:r w:rsidR="00842AC3">
        <w:rPr>
          <w:color w:val="191919"/>
        </w:rPr>
        <w:t xml:space="preserve"> </w:t>
      </w:r>
      <w:r>
        <w:rPr>
          <w:color w:val="191919"/>
        </w:rPr>
        <w:t xml:space="preserve">to determine the terms of </w:t>
      </w:r>
      <w:r w:rsidR="000237F8">
        <w:rPr>
          <w:color w:val="191919"/>
        </w:rPr>
        <w:t>meta</w:t>
      </w:r>
      <w:r>
        <w:rPr>
          <w:color w:val="191919"/>
        </w:rPr>
        <w:t>data</w:t>
      </w:r>
      <w:r w:rsidR="000237F8">
        <w:rPr>
          <w:color w:val="191919"/>
        </w:rPr>
        <w:t>, data and products</w:t>
      </w:r>
      <w:r>
        <w:rPr>
          <w:color w:val="191919"/>
        </w:rPr>
        <w:t xml:space="preserve"> sharing in a manner consistent with national jurisdictions, international conventions, and treaties, where applicable.</w:t>
      </w:r>
    </w:p>
    <w:p w14:paraId="15244EF1" w14:textId="77777777" w:rsidR="00E47A63" w:rsidRDefault="00E47A63" w:rsidP="00A9560F">
      <w:pPr>
        <w:pStyle w:val="Heading2"/>
      </w:pPr>
      <w:r>
        <w:t>Section 9. Data and metadata sharing guidelines</w:t>
      </w:r>
    </w:p>
    <w:p w14:paraId="2CF5230F" w14:textId="1EF641A4" w:rsidR="00E47A63" w:rsidRDefault="00E47A63" w:rsidP="00E47A63">
      <w:r>
        <w:t xml:space="preserve">IOC programmes, projects as well as other </w:t>
      </w:r>
      <w:r w:rsidR="002B43FA">
        <w:t>c</w:t>
      </w:r>
      <w:r>
        <w:t xml:space="preserve">ommunities of </w:t>
      </w:r>
      <w:r w:rsidR="002B43FA">
        <w:t>p</w:t>
      </w:r>
      <w:r>
        <w:t>ractice should develop and/or apply, where applicable, detailed metadata</w:t>
      </w:r>
      <w:r w:rsidR="008927C1">
        <w:t>, data and products</w:t>
      </w:r>
      <w:r>
        <w:t xml:space="preserve"> sharing guidelines that are consistent with this IOC Data Policy and Terms of Use.</w:t>
      </w:r>
    </w:p>
    <w:p w14:paraId="534EB011" w14:textId="77777777" w:rsidR="00E47A63" w:rsidRDefault="00E47A63" w:rsidP="00A9560F">
      <w:pPr>
        <w:pStyle w:val="Heading2"/>
      </w:pPr>
      <w:r>
        <w:t>Section 10. Definitions</w:t>
      </w:r>
    </w:p>
    <w:p w14:paraId="0CC5702B" w14:textId="77777777" w:rsidR="00E47A63" w:rsidRDefault="00E47A63" w:rsidP="00E47A63">
      <w:pPr>
        <w:spacing w:before="200" w:after="200"/>
      </w:pPr>
      <w:r>
        <w:rPr>
          <w:b/>
        </w:rPr>
        <w:t>‘Data’</w:t>
      </w:r>
      <w:r>
        <w:t xml:space="preserve"> is a set of values, </w:t>
      </w:r>
      <w:proofErr w:type="gramStart"/>
      <w:r>
        <w:t>symbols</w:t>
      </w:r>
      <w:proofErr w:type="gramEnd"/>
      <w:r>
        <w:t xml:space="preserve"> or signs (recorded on any type of medium) that represent one or more properties of an entity</w:t>
      </w:r>
      <w:r>
        <w:rPr>
          <w:rStyle w:val="FootnoteReference"/>
        </w:rPr>
        <w:footnoteReference w:id="4"/>
      </w:r>
      <w:r>
        <w:t>.</w:t>
      </w:r>
    </w:p>
    <w:p w14:paraId="0D6CDBFE" w14:textId="77777777" w:rsidR="00E47A63" w:rsidRDefault="00E47A63" w:rsidP="00E47A63">
      <w:pPr>
        <w:spacing w:before="200" w:after="200"/>
      </w:pPr>
      <w:r>
        <w:rPr>
          <w:b/>
        </w:rPr>
        <w:t>‘Metadata’</w:t>
      </w:r>
      <w:r>
        <w:t xml:space="preserve"> is 'data about data' describing the content, quality, condition, and other characteristics of data that allows their inventory, discovery, evaluation or use. </w:t>
      </w:r>
    </w:p>
    <w:p w14:paraId="244065DC" w14:textId="0ED32A2D" w:rsidR="00E47A63" w:rsidRDefault="00E47A63" w:rsidP="00E47A63">
      <w:pPr>
        <w:spacing w:before="200" w:after="200"/>
      </w:pPr>
      <w:r>
        <w:rPr>
          <w:b/>
        </w:rPr>
        <w:t>‘Timely’</w:t>
      </w:r>
      <w:r>
        <w:t xml:space="preserve"> in this context means the distribution of data and/or products, sufficiently rapidly to be of value for a given application</w:t>
      </w:r>
    </w:p>
    <w:p w14:paraId="7C7615EF" w14:textId="77777777" w:rsidR="00EA0E8D" w:rsidRDefault="00B00D5C" w:rsidP="00E47A63">
      <w:pPr>
        <w:spacing w:before="200" w:after="200"/>
      </w:pPr>
      <w:r>
        <w:t>‘</w:t>
      </w:r>
      <w:r w:rsidRPr="0071074B">
        <w:rPr>
          <w:b/>
          <w:bCs/>
        </w:rPr>
        <w:t>Openly</w:t>
      </w:r>
      <w:r>
        <w:t xml:space="preserve">’ means </w:t>
      </w:r>
      <w:r w:rsidR="00BE154B" w:rsidRPr="00BE154B">
        <w:t>data that can be freely used, re-used and redistributed by anyone - subject only, at most, to the requirement to attribute and share alike. (Open Definition)</w:t>
      </w:r>
      <w:r w:rsidR="00BE154B" w:rsidRPr="00BE154B" w:rsidDel="00BE154B">
        <w:t xml:space="preserve"> </w:t>
      </w:r>
    </w:p>
    <w:p w14:paraId="55906071" w14:textId="60A6DCEB" w:rsidR="00E47A63" w:rsidRDefault="00E47A63" w:rsidP="00E47A63">
      <w:pPr>
        <w:spacing w:before="200" w:after="200"/>
      </w:pPr>
      <w:r>
        <w:t>‘</w:t>
      </w:r>
      <w:r>
        <w:rPr>
          <w:b/>
        </w:rPr>
        <w:t>Product’</w:t>
      </w:r>
      <w:r>
        <w:t xml:space="preserve"> means a value-added enhancement of data applied to a particular </w:t>
      </w:r>
      <w:r w:rsidR="00727182">
        <w:rPr>
          <w:lang w:val="en-US"/>
        </w:rPr>
        <w:t>use</w:t>
      </w:r>
      <w:r>
        <w:t>.</w:t>
      </w:r>
    </w:p>
    <w:p w14:paraId="1ED0BFBF" w14:textId="77777777" w:rsidR="00E47A63" w:rsidRDefault="00E47A63" w:rsidP="00E47A63">
      <w:pPr>
        <w:spacing w:before="200" w:after="200"/>
        <w:rPr>
          <w:i/>
          <w:iCs/>
        </w:rPr>
      </w:pPr>
      <w:r w:rsidRPr="002927DD">
        <w:rPr>
          <w:rFonts w:ascii="Verdana" w:eastAsia="Verdana" w:hAnsi="Verdana" w:cs="Verdana"/>
          <w:i/>
          <w:iCs/>
          <w:sz w:val="20"/>
          <w:szCs w:val="20"/>
        </w:rPr>
        <w:lastRenderedPageBreak/>
        <w:t xml:space="preserve">Note: an instruction will be added to the draft decision to instruct the IWG or IODE to develop Guidelines for the development of </w:t>
      </w:r>
      <w:r w:rsidRPr="002927DD">
        <w:rPr>
          <w:i/>
          <w:iCs/>
        </w:rPr>
        <w:t>detailed data and metadata sharing guidelines</w:t>
      </w:r>
    </w:p>
    <w:p w14:paraId="4958BD0E" w14:textId="77777777" w:rsidR="00E47A63" w:rsidRDefault="00E47A63" w:rsidP="00E47A63">
      <w:pPr>
        <w:spacing w:before="200" w:after="200"/>
        <w:rPr>
          <w:i/>
          <w:iCs/>
        </w:rPr>
      </w:pPr>
    </w:p>
    <w:p w14:paraId="6C59A48A" w14:textId="77777777" w:rsidR="00E47A63" w:rsidRDefault="00E47A63" w:rsidP="00E47A63">
      <w:pPr>
        <w:spacing w:before="200" w:after="200"/>
        <w:rPr>
          <w:i/>
          <w:iCs/>
        </w:rPr>
      </w:pPr>
    </w:p>
    <w:p w14:paraId="460A35E6" w14:textId="77777777" w:rsidR="00E47A63" w:rsidRDefault="00E47A63" w:rsidP="00E47A63">
      <w:pPr>
        <w:spacing w:before="200" w:after="200"/>
        <w:rPr>
          <w:i/>
          <w:iCs/>
        </w:rPr>
      </w:pPr>
    </w:p>
    <w:p w14:paraId="74E7FA3C" w14:textId="77777777" w:rsidR="00AC0B40" w:rsidRPr="00452F8B" w:rsidRDefault="00AC0B40">
      <w:pPr>
        <w:rPr>
          <w:lang w:val="en-US"/>
        </w:rPr>
      </w:pPr>
    </w:p>
    <w:sectPr w:rsidR="00AC0B40" w:rsidRPr="00452F8B" w:rsidSect="004A341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D940B" w14:textId="77777777" w:rsidR="005745BE" w:rsidRDefault="005745BE" w:rsidP="00E47A63">
      <w:r>
        <w:separator/>
      </w:r>
    </w:p>
  </w:endnote>
  <w:endnote w:type="continuationSeparator" w:id="0">
    <w:p w14:paraId="402497B3" w14:textId="77777777" w:rsidR="005745BE" w:rsidRDefault="005745BE" w:rsidP="00E47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77382" w14:textId="77777777" w:rsidR="005745BE" w:rsidRDefault="005745BE" w:rsidP="00E47A63">
      <w:r>
        <w:separator/>
      </w:r>
    </w:p>
  </w:footnote>
  <w:footnote w:type="continuationSeparator" w:id="0">
    <w:p w14:paraId="310F489D" w14:textId="77777777" w:rsidR="005745BE" w:rsidRDefault="005745BE" w:rsidP="00E47A63">
      <w:r>
        <w:continuationSeparator/>
      </w:r>
    </w:p>
  </w:footnote>
  <w:footnote w:id="1">
    <w:p w14:paraId="3AEF9481" w14:textId="510A7D1C" w:rsidR="00FC4E5C" w:rsidRPr="00EA0E8D" w:rsidRDefault="00FC4E5C" w:rsidP="00452F8B">
      <w:pPr>
        <w:rPr>
          <w:lang w:val="en-US"/>
        </w:rPr>
      </w:pPr>
      <w:r w:rsidRPr="00EA0E8D">
        <w:rPr>
          <w:rStyle w:val="FootnoteReference"/>
          <w:rFonts w:ascii="Arial" w:hAnsi="Arial" w:cs="Arial"/>
          <w:sz w:val="20"/>
          <w:szCs w:val="20"/>
        </w:rPr>
        <w:footnoteRef/>
      </w:r>
      <w:r w:rsidRPr="00EA0E8D">
        <w:rPr>
          <w:rFonts w:ascii="Arial" w:hAnsi="Arial" w:cs="Arial"/>
          <w:sz w:val="20"/>
          <w:szCs w:val="20"/>
          <w:lang w:val="de-DE"/>
        </w:rPr>
        <w:t xml:space="preserve"> </w:t>
      </w:r>
      <w:r w:rsidRPr="00EA0E8D">
        <w:rPr>
          <w:rFonts w:ascii="Arial" w:hAnsi="Arial" w:cs="Arial"/>
          <w:color w:val="222222"/>
          <w:sz w:val="20"/>
          <w:szCs w:val="20"/>
          <w:shd w:val="clear" w:color="auto" w:fill="FFFFFF"/>
          <w:lang w:val="de-DE"/>
        </w:rPr>
        <w:t xml:space="preserve">Wilkinson, M., </w:t>
      </w:r>
      <w:proofErr w:type="spellStart"/>
      <w:r w:rsidRPr="00EA0E8D">
        <w:rPr>
          <w:rFonts w:ascii="Arial" w:hAnsi="Arial" w:cs="Arial"/>
          <w:color w:val="222222"/>
          <w:sz w:val="20"/>
          <w:szCs w:val="20"/>
          <w:shd w:val="clear" w:color="auto" w:fill="FFFFFF"/>
          <w:lang w:val="de-DE"/>
        </w:rPr>
        <w:t>Dumontier</w:t>
      </w:r>
      <w:proofErr w:type="spellEnd"/>
      <w:r w:rsidRPr="00EA0E8D">
        <w:rPr>
          <w:rFonts w:ascii="Arial" w:hAnsi="Arial" w:cs="Arial"/>
          <w:color w:val="222222"/>
          <w:sz w:val="20"/>
          <w:szCs w:val="20"/>
          <w:shd w:val="clear" w:color="auto" w:fill="FFFFFF"/>
          <w:lang w:val="de-DE"/>
        </w:rPr>
        <w:t xml:space="preserve">, M., </w:t>
      </w:r>
      <w:proofErr w:type="spellStart"/>
      <w:r w:rsidRPr="00EA0E8D">
        <w:rPr>
          <w:rFonts w:ascii="Arial" w:hAnsi="Arial" w:cs="Arial"/>
          <w:color w:val="222222"/>
          <w:sz w:val="20"/>
          <w:szCs w:val="20"/>
          <w:shd w:val="clear" w:color="auto" w:fill="FFFFFF"/>
          <w:lang w:val="de-DE"/>
        </w:rPr>
        <w:t>Aalbersberg</w:t>
      </w:r>
      <w:proofErr w:type="spellEnd"/>
      <w:r w:rsidRPr="00EA0E8D">
        <w:rPr>
          <w:rFonts w:ascii="Arial" w:hAnsi="Arial" w:cs="Arial"/>
          <w:color w:val="222222"/>
          <w:sz w:val="20"/>
          <w:szCs w:val="20"/>
          <w:shd w:val="clear" w:color="auto" w:fill="FFFFFF"/>
          <w:lang w:val="de-DE"/>
        </w:rPr>
        <w:t>, I. </w:t>
      </w:r>
      <w:r w:rsidRPr="00EA0E8D">
        <w:rPr>
          <w:rFonts w:ascii="Arial" w:hAnsi="Arial" w:cs="Arial"/>
          <w:i/>
          <w:iCs/>
          <w:color w:val="222222"/>
          <w:sz w:val="20"/>
          <w:szCs w:val="20"/>
          <w:lang w:val="de-DE"/>
        </w:rPr>
        <w:t>et al.</w:t>
      </w:r>
      <w:r w:rsidRPr="00EA0E8D">
        <w:rPr>
          <w:rFonts w:ascii="Arial" w:hAnsi="Arial" w:cs="Arial"/>
          <w:color w:val="222222"/>
          <w:sz w:val="20"/>
          <w:szCs w:val="20"/>
          <w:shd w:val="clear" w:color="auto" w:fill="FFFFFF"/>
          <w:lang w:val="de-DE"/>
        </w:rPr>
        <w:t> </w:t>
      </w:r>
      <w:r w:rsidRPr="00EA0E8D">
        <w:rPr>
          <w:rFonts w:ascii="Arial" w:hAnsi="Arial" w:cs="Arial"/>
          <w:color w:val="222222"/>
          <w:sz w:val="20"/>
          <w:szCs w:val="20"/>
          <w:shd w:val="clear" w:color="auto" w:fill="FFFFFF"/>
        </w:rPr>
        <w:t>The FAIR Guiding Principles for scientific data management and stewardship. </w:t>
      </w:r>
      <w:r w:rsidRPr="00EA0E8D">
        <w:rPr>
          <w:rFonts w:ascii="Arial" w:hAnsi="Arial" w:cs="Arial"/>
          <w:i/>
          <w:iCs/>
          <w:color w:val="222222"/>
          <w:sz w:val="20"/>
          <w:szCs w:val="20"/>
        </w:rPr>
        <w:t>Sci Data</w:t>
      </w:r>
      <w:r w:rsidRPr="00EA0E8D">
        <w:rPr>
          <w:rFonts w:ascii="Arial" w:hAnsi="Arial" w:cs="Arial"/>
          <w:color w:val="222222"/>
          <w:sz w:val="20"/>
          <w:szCs w:val="20"/>
          <w:shd w:val="clear" w:color="auto" w:fill="FFFFFF"/>
        </w:rPr>
        <w:t> </w:t>
      </w:r>
      <w:r w:rsidRPr="00EA0E8D">
        <w:rPr>
          <w:rFonts w:ascii="Arial" w:hAnsi="Arial" w:cs="Arial"/>
          <w:b/>
          <w:bCs/>
          <w:color w:val="222222"/>
          <w:sz w:val="20"/>
          <w:szCs w:val="20"/>
        </w:rPr>
        <w:t>3, </w:t>
      </w:r>
      <w:r w:rsidRPr="00EA0E8D">
        <w:rPr>
          <w:rFonts w:ascii="Arial" w:hAnsi="Arial" w:cs="Arial"/>
          <w:color w:val="222222"/>
          <w:sz w:val="20"/>
          <w:szCs w:val="20"/>
          <w:shd w:val="clear" w:color="auto" w:fill="FFFFFF"/>
        </w:rPr>
        <w:t xml:space="preserve">160018 (2016). </w:t>
      </w:r>
      <w:hyperlink r:id="rId1" w:history="1">
        <w:r w:rsidRPr="00EA0E8D">
          <w:rPr>
            <w:rStyle w:val="Hyperlink"/>
            <w:rFonts w:ascii="Arial" w:hAnsi="Arial" w:cs="Arial"/>
            <w:sz w:val="20"/>
            <w:szCs w:val="20"/>
            <w:shd w:val="clear" w:color="auto" w:fill="FFFFFF"/>
          </w:rPr>
          <w:t>https://doi.org/10.1038/sdata.2016.18</w:t>
        </w:r>
      </w:hyperlink>
      <w:r w:rsidRPr="00EA0E8D">
        <w:rPr>
          <w:rFonts w:ascii="Arial" w:hAnsi="Arial" w:cs="Arial"/>
          <w:color w:val="222222"/>
          <w:sz w:val="20"/>
          <w:szCs w:val="20"/>
          <w:shd w:val="clear" w:color="auto" w:fill="FFFFFF"/>
          <w:lang w:val="en-US"/>
        </w:rPr>
        <w:t xml:space="preserve"> </w:t>
      </w:r>
    </w:p>
  </w:footnote>
  <w:footnote w:id="2">
    <w:p w14:paraId="031F674E" w14:textId="02294CCB" w:rsidR="00AB059A" w:rsidRPr="00EA0E8D" w:rsidRDefault="00AB059A" w:rsidP="00452F8B">
      <w:r w:rsidRPr="00EA0E8D">
        <w:rPr>
          <w:rStyle w:val="FootnoteReference"/>
          <w:rFonts w:ascii="Arial" w:hAnsi="Arial" w:cs="Arial"/>
          <w:sz w:val="20"/>
          <w:szCs w:val="20"/>
        </w:rPr>
        <w:footnoteRef/>
      </w:r>
      <w:r w:rsidRPr="00EA0E8D">
        <w:rPr>
          <w:rFonts w:ascii="Arial" w:hAnsi="Arial" w:cs="Arial"/>
          <w:sz w:val="20"/>
          <w:szCs w:val="20"/>
        </w:rPr>
        <w:t xml:space="preserve"> CARE Principles for Indigenous Data Governance. </w:t>
      </w:r>
      <w:hyperlink r:id="rId2" w:history="1">
        <w:r w:rsidRPr="00452F8B">
          <w:rPr>
            <w:rStyle w:val="Hyperlink"/>
            <w:rFonts w:ascii="Arial" w:eastAsia="Arial" w:hAnsi="Arial" w:cs="Arial"/>
            <w:sz w:val="20"/>
            <w:szCs w:val="20"/>
          </w:rPr>
          <w:t>https://www.gida-global.org/care</w:t>
        </w:r>
      </w:hyperlink>
    </w:p>
  </w:footnote>
  <w:footnote w:id="3">
    <w:p w14:paraId="1160566C" w14:textId="77777777" w:rsidR="00E47A63" w:rsidRPr="00EA0E8D" w:rsidRDefault="00E47A63" w:rsidP="00E47A63">
      <w:pPr>
        <w:rPr>
          <w:rFonts w:ascii="Arial" w:hAnsi="Arial" w:cs="Arial"/>
          <w:sz w:val="20"/>
          <w:szCs w:val="20"/>
        </w:rPr>
      </w:pPr>
      <w:r w:rsidRPr="00EA0E8D">
        <w:rPr>
          <w:rStyle w:val="FootnoteReference"/>
          <w:rFonts w:ascii="Arial" w:hAnsi="Arial" w:cs="Arial"/>
          <w:sz w:val="20"/>
          <w:szCs w:val="20"/>
        </w:rPr>
        <w:footnoteRef/>
      </w:r>
      <w:r w:rsidRPr="00EA0E8D">
        <w:rPr>
          <w:rFonts w:ascii="Arial" w:hAnsi="Arial" w:cs="Arial"/>
          <w:sz w:val="20"/>
          <w:szCs w:val="20"/>
          <w:lang w:val="en-US"/>
        </w:rPr>
        <w:t xml:space="preserve"> </w:t>
      </w:r>
      <w:r w:rsidRPr="00EA0E8D">
        <w:rPr>
          <w:rFonts w:ascii="Arial" w:hAnsi="Arial" w:cs="Arial"/>
          <w:sz w:val="20"/>
          <w:szCs w:val="20"/>
        </w:rPr>
        <w:t xml:space="preserve">For example: the Creative Commons family of licences </w:t>
      </w:r>
      <w:hyperlink r:id="rId3">
        <w:r w:rsidRPr="00EA0E8D">
          <w:rPr>
            <w:rFonts w:ascii="Arial" w:hAnsi="Arial" w:cs="Arial"/>
            <w:color w:val="1155CC"/>
            <w:sz w:val="20"/>
            <w:szCs w:val="20"/>
            <w:u w:val="single"/>
          </w:rPr>
          <w:t>https://creativecommons.org/about/cclicenses/</w:t>
        </w:r>
      </w:hyperlink>
      <w:r w:rsidRPr="00EA0E8D">
        <w:rPr>
          <w:rFonts w:ascii="Arial" w:hAnsi="Arial" w:cs="Arial"/>
          <w:sz w:val="20"/>
          <w:szCs w:val="20"/>
        </w:rPr>
        <w:t xml:space="preserve"> </w:t>
      </w:r>
    </w:p>
    <w:p w14:paraId="37E01F83" w14:textId="77777777" w:rsidR="00E47A63" w:rsidRPr="002927DD" w:rsidRDefault="00E47A63" w:rsidP="00E47A63">
      <w:pPr>
        <w:pStyle w:val="FootnoteText"/>
      </w:pPr>
    </w:p>
  </w:footnote>
  <w:footnote w:id="4">
    <w:p w14:paraId="50590BE9" w14:textId="77777777" w:rsidR="00E47A63" w:rsidRPr="00773AE1" w:rsidRDefault="00E47A63" w:rsidP="00E47A63">
      <w:pPr>
        <w:pStyle w:val="FootnoteText"/>
        <w:rPr>
          <w:lang w:val="en-AU"/>
        </w:rPr>
      </w:pPr>
      <w:r>
        <w:rPr>
          <w:rStyle w:val="FootnoteReference"/>
        </w:rPr>
        <w:footnoteRef/>
      </w:r>
      <w:r>
        <w:t xml:space="preserve"> </w:t>
      </w:r>
      <w:hyperlink r:id="rId4" w:history="1">
        <w:r w:rsidRPr="003E48AF">
          <w:rPr>
            <w:rStyle w:val="Hyperlink"/>
            <w:lang w:val="en-AU"/>
          </w:rPr>
          <w:t>Ocean Decade Implementation Plan</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A4CEA"/>
    <w:multiLevelType w:val="multilevel"/>
    <w:tmpl w:val="7C0C788A"/>
    <w:lvl w:ilvl="0">
      <w:start w:val="1"/>
      <w:numFmt w:val="decimal"/>
      <w:pStyle w:val="Heading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C3B59E9"/>
    <w:multiLevelType w:val="hybridMultilevel"/>
    <w:tmpl w:val="2688B60A"/>
    <w:lvl w:ilvl="0" w:tplc="142646AC">
      <w:start w:val="1"/>
      <w:numFmt w:val="decimal"/>
      <w:lvlText w:val="%1"/>
      <w:lvlJc w:val="left"/>
      <w:pPr>
        <w:tabs>
          <w:tab w:val="num" w:pos="540"/>
        </w:tabs>
        <w:ind w:left="540" w:hanging="540"/>
      </w:pPr>
      <w:rPr>
        <w:rFonts w:hint="default"/>
        <w:i/>
        <w:sz w:val="20"/>
        <w:u w:val="none"/>
      </w:rPr>
    </w:lvl>
    <w:lvl w:ilvl="1" w:tplc="DFF2EBD6">
      <w:start w:val="1"/>
      <w:numFmt w:val="bullet"/>
      <w:lvlText w:val=""/>
      <w:lvlJc w:val="left"/>
      <w:pPr>
        <w:tabs>
          <w:tab w:val="num" w:pos="1080"/>
        </w:tabs>
        <w:ind w:left="1080" w:hanging="360"/>
      </w:pPr>
      <w:rPr>
        <w:rFonts w:ascii="Symbol" w:hAnsi="Symbol" w:hint="default"/>
        <w:i/>
        <w:u w:val="none"/>
      </w:rPr>
    </w:lvl>
    <w:lvl w:ilvl="2" w:tplc="F9E092EE">
      <w:start w:val="1"/>
      <w:numFmt w:val="lowerRoman"/>
      <w:lvlText w:val="(%3)"/>
      <w:lvlJc w:val="left"/>
      <w:pPr>
        <w:tabs>
          <w:tab w:val="num" w:pos="2448"/>
        </w:tabs>
        <w:ind w:left="2448" w:hanging="828"/>
      </w:pPr>
      <w:rPr>
        <w:rFonts w:hint="default"/>
        <w:i/>
        <w:u w:val="none"/>
      </w:rPr>
    </w:lvl>
    <w:lvl w:ilvl="3" w:tplc="4D88B898" w:tentative="1">
      <w:start w:val="1"/>
      <w:numFmt w:val="decimal"/>
      <w:lvlText w:val="%4."/>
      <w:lvlJc w:val="left"/>
      <w:pPr>
        <w:tabs>
          <w:tab w:val="num" w:pos="2520"/>
        </w:tabs>
        <w:ind w:left="2520" w:hanging="360"/>
      </w:pPr>
    </w:lvl>
    <w:lvl w:ilvl="4" w:tplc="393C0838" w:tentative="1">
      <w:start w:val="1"/>
      <w:numFmt w:val="lowerLetter"/>
      <w:lvlText w:val="%5."/>
      <w:lvlJc w:val="left"/>
      <w:pPr>
        <w:tabs>
          <w:tab w:val="num" w:pos="3240"/>
        </w:tabs>
        <w:ind w:left="3240" w:hanging="360"/>
      </w:pPr>
    </w:lvl>
    <w:lvl w:ilvl="5" w:tplc="A1722A58" w:tentative="1">
      <w:start w:val="1"/>
      <w:numFmt w:val="lowerRoman"/>
      <w:lvlText w:val="%6."/>
      <w:lvlJc w:val="right"/>
      <w:pPr>
        <w:tabs>
          <w:tab w:val="num" w:pos="3960"/>
        </w:tabs>
        <w:ind w:left="3960" w:hanging="180"/>
      </w:pPr>
    </w:lvl>
    <w:lvl w:ilvl="6" w:tplc="DAE886F8" w:tentative="1">
      <w:start w:val="1"/>
      <w:numFmt w:val="decimal"/>
      <w:lvlText w:val="%7."/>
      <w:lvlJc w:val="left"/>
      <w:pPr>
        <w:tabs>
          <w:tab w:val="num" w:pos="4680"/>
        </w:tabs>
        <w:ind w:left="4680" w:hanging="360"/>
      </w:pPr>
    </w:lvl>
    <w:lvl w:ilvl="7" w:tplc="6FE4F702" w:tentative="1">
      <w:start w:val="1"/>
      <w:numFmt w:val="lowerLetter"/>
      <w:lvlText w:val="%8."/>
      <w:lvlJc w:val="left"/>
      <w:pPr>
        <w:tabs>
          <w:tab w:val="num" w:pos="5400"/>
        </w:tabs>
        <w:ind w:left="5400" w:hanging="360"/>
      </w:pPr>
    </w:lvl>
    <w:lvl w:ilvl="8" w:tplc="8D08CCFC" w:tentative="1">
      <w:start w:val="1"/>
      <w:numFmt w:val="lowerRoman"/>
      <w:lvlText w:val="%9."/>
      <w:lvlJc w:val="right"/>
      <w:pPr>
        <w:tabs>
          <w:tab w:val="num" w:pos="6120"/>
        </w:tabs>
        <w:ind w:left="6120" w:hanging="180"/>
      </w:pPr>
    </w:lvl>
  </w:abstractNum>
  <w:abstractNum w:abstractNumId="2" w15:restartNumberingAfterBreak="0">
    <w:nsid w:val="154B16AB"/>
    <w:multiLevelType w:val="multilevel"/>
    <w:tmpl w:val="2154FDF4"/>
    <w:lvl w:ilvl="0">
      <w:start w:val="1"/>
      <w:numFmt w:val="decimal"/>
      <w:pStyle w:val="paranumbered"/>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B413BE7"/>
    <w:multiLevelType w:val="multilevel"/>
    <w:tmpl w:val="90D84F44"/>
    <w:lvl w:ilvl="0">
      <w:start w:val="1"/>
      <w:numFmt w:val="decimal"/>
      <w:lvlText w:val="%1."/>
      <w:lvlJc w:val="left"/>
      <w:pPr>
        <w:ind w:left="851" w:hanging="851"/>
      </w:pPr>
      <w:rPr>
        <w:rFonts w:hint="default"/>
      </w:rPr>
    </w:lvl>
    <w:lvl w:ilvl="1">
      <w:start w:val="1"/>
      <w:numFmt w:val="decimal"/>
      <w:lvlText w:val="%1.%2"/>
      <w:lvlJc w:val="left"/>
      <w:pPr>
        <w:ind w:left="1427" w:hanging="1427"/>
      </w:pPr>
      <w:rPr>
        <w:rFonts w:hint="default"/>
      </w:rPr>
    </w:lvl>
    <w:lvl w:ilvl="2">
      <w:start w:val="1"/>
      <w:numFmt w:val="decimal"/>
      <w:lvlText w:val="%1.%2.%3"/>
      <w:lvlJc w:val="left"/>
      <w:pPr>
        <w:ind w:left="1571" w:hanging="1571"/>
      </w:pPr>
      <w:rPr>
        <w:rFonts w:hint="default"/>
      </w:rPr>
    </w:lvl>
    <w:lvl w:ilvl="3">
      <w:start w:val="1"/>
      <w:numFmt w:val="decimal"/>
      <w:lvlText w:val="%1.%2.%3.%4"/>
      <w:lvlJc w:val="left"/>
      <w:pPr>
        <w:ind w:left="1715" w:hanging="864"/>
      </w:pPr>
      <w:rPr>
        <w:rFonts w:hint="default"/>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4" w15:restartNumberingAfterBreak="0">
    <w:nsid w:val="24C66F18"/>
    <w:multiLevelType w:val="multilevel"/>
    <w:tmpl w:val="9E84D3A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7D97596"/>
    <w:multiLevelType w:val="multilevel"/>
    <w:tmpl w:val="8E8044A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30B431CF"/>
    <w:multiLevelType w:val="multilevel"/>
    <w:tmpl w:val="3FAAEC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3CD568C1"/>
    <w:multiLevelType w:val="multilevel"/>
    <w:tmpl w:val="1B48F9A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4030313D"/>
    <w:multiLevelType w:val="multilevel"/>
    <w:tmpl w:val="B7E0ABD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54B4349B"/>
    <w:multiLevelType w:val="multilevel"/>
    <w:tmpl w:val="FF52AE64"/>
    <w:lvl w:ilvl="0">
      <w:start w:val="1"/>
      <w:numFmt w:val="decimal"/>
      <w:lvlText w:val="%1."/>
      <w:lvlJc w:val="left"/>
      <w:pPr>
        <w:ind w:left="432" w:hanging="432"/>
      </w:pPr>
      <w:rPr>
        <w:rFonts w:hint="default"/>
        <w:u w:val="none"/>
      </w:rPr>
    </w:lvl>
    <w:lvl w:ilvl="1">
      <w:start w:val="1"/>
      <w:numFmt w:val="decimal"/>
      <w:lvlText w:val="%1.%2"/>
      <w:lvlJc w:val="left"/>
      <w:pPr>
        <w:ind w:left="576" w:hanging="576"/>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864" w:hanging="864"/>
      </w:pPr>
      <w:rPr>
        <w:rFonts w:hint="default"/>
        <w:u w:val="none"/>
      </w:rPr>
    </w:lvl>
    <w:lvl w:ilvl="4">
      <w:start w:val="1"/>
      <w:numFmt w:val="decimal"/>
      <w:lvlText w:val="%1.%2.%3.%4.%5"/>
      <w:lvlJc w:val="left"/>
      <w:pPr>
        <w:ind w:left="1008" w:hanging="1008"/>
      </w:pPr>
      <w:rPr>
        <w:rFonts w:hint="default"/>
        <w:u w:val="none"/>
      </w:rPr>
    </w:lvl>
    <w:lvl w:ilvl="5">
      <w:start w:val="1"/>
      <w:numFmt w:val="decimal"/>
      <w:lvlText w:val="%1.%2.%3.%4.%5.%6"/>
      <w:lvlJc w:val="left"/>
      <w:pPr>
        <w:ind w:left="1152" w:hanging="1152"/>
      </w:pPr>
      <w:rPr>
        <w:rFonts w:hint="default"/>
        <w:u w:val="none"/>
      </w:rPr>
    </w:lvl>
    <w:lvl w:ilvl="6">
      <w:start w:val="1"/>
      <w:numFmt w:val="decimal"/>
      <w:lvlText w:val="%1.%2.%3.%4.%5.%6.%7"/>
      <w:lvlJc w:val="left"/>
      <w:pPr>
        <w:ind w:left="1296" w:hanging="1296"/>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584" w:hanging="1584"/>
      </w:pPr>
      <w:rPr>
        <w:rFonts w:hint="default"/>
        <w:u w:val="none"/>
      </w:rPr>
    </w:lvl>
  </w:abstractNum>
  <w:abstractNum w:abstractNumId="10" w15:restartNumberingAfterBreak="0">
    <w:nsid w:val="6421194E"/>
    <w:multiLevelType w:val="multilevel"/>
    <w:tmpl w:val="6C4E59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73F70DA7"/>
    <w:multiLevelType w:val="hybridMultilevel"/>
    <w:tmpl w:val="3F18C8B0"/>
    <w:lvl w:ilvl="0" w:tplc="2A2A0A0C">
      <w:start w:val="88"/>
      <w:numFmt w:val="decimal"/>
      <w:lvlText w:val="%1"/>
      <w:lvlJc w:val="left"/>
      <w:pPr>
        <w:ind w:left="-567" w:firstLine="0"/>
      </w:pPr>
      <w:rPr>
        <w:rFonts w:ascii="Arial" w:hAnsi="Arial" w:hint="default"/>
        <w:b w:val="0"/>
        <w:i/>
        <w:sz w:val="22"/>
      </w:rPr>
    </w:lvl>
    <w:lvl w:ilvl="1" w:tplc="08090019">
      <w:start w:val="1"/>
      <w:numFmt w:val="lowerLetter"/>
      <w:lvlText w:val="%2."/>
      <w:lvlJc w:val="left"/>
      <w:pPr>
        <w:ind w:left="1440" w:hanging="360"/>
      </w:pPr>
    </w:lvl>
    <w:lvl w:ilvl="2" w:tplc="0809001B">
      <w:start w:val="1"/>
      <w:numFmt w:val="lowerRoman"/>
      <w:lvlText w:val="(%3)"/>
      <w:lvlJc w:val="left"/>
      <w:pPr>
        <w:ind w:left="2840" w:hanging="860"/>
      </w:pPr>
      <w:rPr>
        <w:rFonts w:hint="default"/>
        <w:b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CA21534"/>
    <w:multiLevelType w:val="multilevel"/>
    <w:tmpl w:val="3068804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7D306CCE"/>
    <w:multiLevelType w:val="multilevel"/>
    <w:tmpl w:val="E9A4E21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7E0721B3"/>
    <w:multiLevelType w:val="multilevel"/>
    <w:tmpl w:val="A358E118"/>
    <w:lvl w:ilvl="0">
      <w:start w:val="1"/>
      <w:numFmt w:val="decimal"/>
      <w:lvlText w:val="%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897817839">
    <w:abstractNumId w:val="13"/>
  </w:num>
  <w:num w:numId="2" w16cid:durableId="14306221">
    <w:abstractNumId w:val="10"/>
  </w:num>
  <w:num w:numId="3" w16cid:durableId="1227496608">
    <w:abstractNumId w:val="7"/>
  </w:num>
  <w:num w:numId="4" w16cid:durableId="276256993">
    <w:abstractNumId w:val="2"/>
  </w:num>
  <w:num w:numId="5" w16cid:durableId="561596858">
    <w:abstractNumId w:val="4"/>
  </w:num>
  <w:num w:numId="6" w16cid:durableId="506139499">
    <w:abstractNumId w:val="9"/>
  </w:num>
  <w:num w:numId="7" w16cid:durableId="621351091">
    <w:abstractNumId w:val="9"/>
  </w:num>
  <w:num w:numId="8" w16cid:durableId="1472791471">
    <w:abstractNumId w:val="14"/>
  </w:num>
  <w:num w:numId="9" w16cid:durableId="1988824239">
    <w:abstractNumId w:val="6"/>
  </w:num>
  <w:num w:numId="10" w16cid:durableId="1631742968">
    <w:abstractNumId w:val="8"/>
  </w:num>
  <w:num w:numId="11" w16cid:durableId="677855543">
    <w:abstractNumId w:val="8"/>
  </w:num>
  <w:num w:numId="12" w16cid:durableId="2097096323">
    <w:abstractNumId w:val="3"/>
  </w:num>
  <w:num w:numId="13" w16cid:durableId="1260865933">
    <w:abstractNumId w:val="5"/>
  </w:num>
  <w:num w:numId="14" w16cid:durableId="1970546561">
    <w:abstractNumId w:val="11"/>
  </w:num>
  <w:num w:numId="15" w16cid:durableId="993724360">
    <w:abstractNumId w:val="11"/>
  </w:num>
  <w:num w:numId="16" w16cid:durableId="702366487">
    <w:abstractNumId w:val="11"/>
  </w:num>
  <w:num w:numId="17" w16cid:durableId="176621204">
    <w:abstractNumId w:val="5"/>
  </w:num>
  <w:num w:numId="18" w16cid:durableId="794254425">
    <w:abstractNumId w:val="0"/>
  </w:num>
  <w:num w:numId="19" w16cid:durableId="1030842753">
    <w:abstractNumId w:val="12"/>
  </w:num>
  <w:num w:numId="20" w16cid:durableId="1676346946">
    <w:abstractNumId w:val="11"/>
  </w:num>
  <w:num w:numId="21" w16cid:durableId="1151554159">
    <w:abstractNumId w:val="1"/>
  </w:num>
  <w:num w:numId="22" w16cid:durableId="697701038">
    <w:abstractNumId w:val="1"/>
  </w:num>
  <w:num w:numId="23" w16cid:durableId="1696731382">
    <w:abstractNumId w:val="12"/>
  </w:num>
  <w:num w:numId="24" w16cid:durableId="2021002003">
    <w:abstractNumId w:val="2"/>
  </w:num>
  <w:num w:numId="25" w16cid:durableId="2028289407">
    <w:abstractNumId w:val="0"/>
  </w:num>
  <w:num w:numId="26" w16cid:durableId="752507298">
    <w:abstractNumId w:val="0"/>
  </w:num>
  <w:num w:numId="27" w16cid:durableId="49353449">
    <w:abstractNumId w:val="0"/>
  </w:num>
  <w:num w:numId="28" w16cid:durableId="54743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A63"/>
    <w:rsid w:val="000237F8"/>
    <w:rsid w:val="00025F25"/>
    <w:rsid w:val="000647E6"/>
    <w:rsid w:val="0009327B"/>
    <w:rsid w:val="00097D91"/>
    <w:rsid w:val="000C073F"/>
    <w:rsid w:val="001337A5"/>
    <w:rsid w:val="001953DA"/>
    <w:rsid w:val="001B1807"/>
    <w:rsid w:val="001C75BF"/>
    <w:rsid w:val="00250AA7"/>
    <w:rsid w:val="00264363"/>
    <w:rsid w:val="0027250D"/>
    <w:rsid w:val="002B43FA"/>
    <w:rsid w:val="00307F1B"/>
    <w:rsid w:val="0031309A"/>
    <w:rsid w:val="0032071C"/>
    <w:rsid w:val="00355F5E"/>
    <w:rsid w:val="003E4882"/>
    <w:rsid w:val="003F07F0"/>
    <w:rsid w:val="00424AC4"/>
    <w:rsid w:val="00452F8B"/>
    <w:rsid w:val="00462EE5"/>
    <w:rsid w:val="004658E7"/>
    <w:rsid w:val="004A3418"/>
    <w:rsid w:val="004B7879"/>
    <w:rsid w:val="004D2CD1"/>
    <w:rsid w:val="005745BE"/>
    <w:rsid w:val="005C2F30"/>
    <w:rsid w:val="00676BAB"/>
    <w:rsid w:val="006D77F3"/>
    <w:rsid w:val="0071074B"/>
    <w:rsid w:val="007208A6"/>
    <w:rsid w:val="00727182"/>
    <w:rsid w:val="0076464E"/>
    <w:rsid w:val="00767CEF"/>
    <w:rsid w:val="007C181D"/>
    <w:rsid w:val="007E3537"/>
    <w:rsid w:val="007F26DE"/>
    <w:rsid w:val="008269CC"/>
    <w:rsid w:val="00842AC3"/>
    <w:rsid w:val="0084479D"/>
    <w:rsid w:val="00853EE2"/>
    <w:rsid w:val="008927C1"/>
    <w:rsid w:val="00893CAE"/>
    <w:rsid w:val="008B11A5"/>
    <w:rsid w:val="008D6C94"/>
    <w:rsid w:val="00944CF0"/>
    <w:rsid w:val="00962499"/>
    <w:rsid w:val="0098161E"/>
    <w:rsid w:val="00A00F2B"/>
    <w:rsid w:val="00A22291"/>
    <w:rsid w:val="00A2542F"/>
    <w:rsid w:val="00A92AA7"/>
    <w:rsid w:val="00A9560F"/>
    <w:rsid w:val="00AB059A"/>
    <w:rsid w:val="00AC0B40"/>
    <w:rsid w:val="00AC3B65"/>
    <w:rsid w:val="00AE7F1F"/>
    <w:rsid w:val="00B00D5C"/>
    <w:rsid w:val="00B13562"/>
    <w:rsid w:val="00B4373A"/>
    <w:rsid w:val="00B67261"/>
    <w:rsid w:val="00B85D35"/>
    <w:rsid w:val="00BD5364"/>
    <w:rsid w:val="00BE154B"/>
    <w:rsid w:val="00C50AB7"/>
    <w:rsid w:val="00C83CE4"/>
    <w:rsid w:val="00C9257C"/>
    <w:rsid w:val="00D700FA"/>
    <w:rsid w:val="00D85F17"/>
    <w:rsid w:val="00DC7B0B"/>
    <w:rsid w:val="00DE2B81"/>
    <w:rsid w:val="00DE5D99"/>
    <w:rsid w:val="00E32FEF"/>
    <w:rsid w:val="00E47A63"/>
    <w:rsid w:val="00E67A60"/>
    <w:rsid w:val="00E85C7F"/>
    <w:rsid w:val="00EA0E8D"/>
    <w:rsid w:val="00EA7CE3"/>
    <w:rsid w:val="00ED20EA"/>
    <w:rsid w:val="00F620CA"/>
    <w:rsid w:val="00F761D8"/>
    <w:rsid w:val="00FC4E5C"/>
    <w:rsid w:val="00FD61B1"/>
    <w:rsid w:val="00FF54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A81D2"/>
  <w15:chartTrackingRefBased/>
  <w15:docId w15:val="{4B26D6B1-C370-2044-A066-EFCD1A0E8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A63"/>
    <w:rPr>
      <w:rFonts w:ascii="Times New Roman" w:eastAsia="Times New Roman" w:hAnsi="Times New Roman" w:cs="Times New Roman"/>
      <w:lang w:eastAsia="en-GB"/>
    </w:rPr>
  </w:style>
  <w:style w:type="paragraph" w:styleId="Heading1">
    <w:name w:val="heading 1"/>
    <w:basedOn w:val="Normal"/>
    <w:next w:val="Normal"/>
    <w:link w:val="Heading1Char"/>
    <w:autoRedefine/>
    <w:uiPriority w:val="9"/>
    <w:qFormat/>
    <w:rsid w:val="008B11A5"/>
    <w:pPr>
      <w:numPr>
        <w:numId w:val="28"/>
      </w:numPr>
      <w:spacing w:before="480" w:after="120" w:line="276" w:lineRule="auto"/>
      <w:outlineLvl w:val="0"/>
    </w:pPr>
    <w:rPr>
      <w:rFonts w:ascii="Arial" w:eastAsia="Arial" w:hAnsi="Arial" w:cs="Arial"/>
      <w:b/>
      <w:sz w:val="36"/>
      <w:szCs w:val="46"/>
    </w:rPr>
  </w:style>
  <w:style w:type="paragraph" w:styleId="Heading2">
    <w:name w:val="heading 2"/>
    <w:basedOn w:val="Normal"/>
    <w:next w:val="Normal"/>
    <w:link w:val="Heading2Char"/>
    <w:autoRedefine/>
    <w:uiPriority w:val="9"/>
    <w:qFormat/>
    <w:rsid w:val="0076464E"/>
    <w:pPr>
      <w:spacing w:before="240" w:after="80"/>
      <w:ind w:left="576" w:hanging="576"/>
      <w:jc w:val="both"/>
      <w:outlineLvl w:val="1"/>
    </w:pPr>
    <w:rPr>
      <w:rFonts w:ascii="Arial" w:eastAsia="Arial" w:hAnsi="Arial" w:cs="Arial"/>
      <w:bCs/>
      <w:iCs/>
      <w:caps/>
      <w:sz w:val="28"/>
      <w:szCs w:val="34"/>
    </w:rPr>
  </w:style>
  <w:style w:type="paragraph" w:styleId="Heading3">
    <w:name w:val="heading 3"/>
    <w:basedOn w:val="Normal"/>
    <w:next w:val="Normal"/>
    <w:link w:val="Heading3Char"/>
    <w:autoRedefine/>
    <w:uiPriority w:val="9"/>
    <w:unhideWhenUsed/>
    <w:qFormat/>
    <w:rsid w:val="008B11A5"/>
    <w:pPr>
      <w:keepNext/>
      <w:keepLines/>
      <w:numPr>
        <w:ilvl w:val="2"/>
        <w:numId w:val="18"/>
      </w:numPr>
      <w:spacing w:before="40" w:line="276" w:lineRule="auto"/>
      <w:jc w:val="both"/>
      <w:outlineLvl w:val="2"/>
    </w:pPr>
    <w:rPr>
      <w:rFonts w:ascii="Arial" w:eastAsiaTheme="majorEastAsia" w:hAnsi="Arial" w:cstheme="majorBidi"/>
      <w:color w:val="1F3763" w:themeColor="accent1" w:themeShade="7F"/>
      <w:szCs w:val="22"/>
      <w:lang w:val="en-US"/>
    </w:rPr>
  </w:style>
  <w:style w:type="paragraph" w:styleId="Heading4">
    <w:name w:val="heading 4"/>
    <w:basedOn w:val="Normal"/>
    <w:next w:val="Normal"/>
    <w:link w:val="Heading4Char"/>
    <w:autoRedefine/>
    <w:uiPriority w:val="9"/>
    <w:unhideWhenUsed/>
    <w:qFormat/>
    <w:rsid w:val="008B11A5"/>
    <w:pPr>
      <w:keepNext/>
      <w:keepLines/>
      <w:numPr>
        <w:ilvl w:val="3"/>
        <w:numId w:val="28"/>
      </w:numPr>
      <w:spacing w:before="280" w:after="80" w:line="276" w:lineRule="auto"/>
      <w:outlineLvl w:val="3"/>
    </w:pPr>
    <w:rPr>
      <w:rFonts w:ascii="Arial" w:eastAsia="Arial" w:hAnsi="Arial" w:cs="Arial"/>
      <w:i/>
      <w:color w:val="000000" w:themeColor="text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B11A5"/>
    <w:rPr>
      <w:rFonts w:ascii="Arial" w:eastAsiaTheme="majorEastAsia" w:hAnsi="Arial" w:cstheme="majorBidi"/>
      <w:color w:val="1F3763" w:themeColor="accent1" w:themeShade="7F"/>
      <w:szCs w:val="22"/>
      <w:lang w:val="en-US" w:eastAsia="en-GB"/>
    </w:rPr>
  </w:style>
  <w:style w:type="character" w:customStyle="1" w:styleId="Heading1Char">
    <w:name w:val="Heading 1 Char"/>
    <w:basedOn w:val="DefaultParagraphFont"/>
    <w:link w:val="Heading1"/>
    <w:uiPriority w:val="9"/>
    <w:rsid w:val="008B11A5"/>
    <w:rPr>
      <w:rFonts w:ascii="Arial" w:eastAsia="Arial" w:hAnsi="Arial" w:cs="Arial"/>
      <w:b/>
      <w:sz w:val="36"/>
      <w:szCs w:val="46"/>
      <w:lang w:val="en-GB" w:eastAsia="en-GB"/>
    </w:rPr>
  </w:style>
  <w:style w:type="character" w:customStyle="1" w:styleId="Heading4Char">
    <w:name w:val="Heading 4 Char"/>
    <w:basedOn w:val="DefaultParagraphFont"/>
    <w:link w:val="Heading4"/>
    <w:uiPriority w:val="9"/>
    <w:rsid w:val="00DC7B0B"/>
    <w:rPr>
      <w:rFonts w:ascii="Arial" w:eastAsia="Arial" w:hAnsi="Arial" w:cs="Arial"/>
      <w:i/>
      <w:color w:val="000000" w:themeColor="text1"/>
      <w:szCs w:val="22"/>
      <w:lang w:val="en-GB" w:eastAsia="en-GB"/>
    </w:rPr>
  </w:style>
  <w:style w:type="character" w:customStyle="1" w:styleId="Heading2Char">
    <w:name w:val="Heading 2 Char"/>
    <w:basedOn w:val="DefaultParagraphFont"/>
    <w:link w:val="Heading2"/>
    <w:uiPriority w:val="9"/>
    <w:rsid w:val="0076464E"/>
    <w:rPr>
      <w:rFonts w:ascii="Arial" w:eastAsia="Arial" w:hAnsi="Arial" w:cs="Arial"/>
      <w:bCs/>
      <w:iCs/>
      <w:caps/>
      <w:sz w:val="28"/>
      <w:szCs w:val="34"/>
      <w:lang w:eastAsia="en-GB"/>
    </w:rPr>
  </w:style>
  <w:style w:type="paragraph" w:customStyle="1" w:styleId="paranumbered">
    <w:name w:val="paranumbered"/>
    <w:basedOn w:val="Normal"/>
    <w:link w:val="paranumberedChar"/>
    <w:autoRedefine/>
    <w:qFormat/>
    <w:rsid w:val="008B11A5"/>
    <w:pPr>
      <w:widowControl w:val="0"/>
      <w:numPr>
        <w:numId w:val="4"/>
      </w:numPr>
      <w:tabs>
        <w:tab w:val="num" w:pos="540"/>
      </w:tabs>
      <w:spacing w:before="120"/>
      <w:ind w:left="540" w:hanging="1107"/>
      <w:jc w:val="both"/>
    </w:pPr>
    <w:rPr>
      <w:rFonts w:ascii="Arial" w:eastAsiaTheme="minorHAnsi" w:hAnsi="Arial" w:cstheme="minorBidi"/>
      <w:bCs/>
      <w:snapToGrid w:val="0"/>
      <w:sz w:val="22"/>
      <w:szCs w:val="32"/>
      <w:lang w:eastAsia="en-US"/>
    </w:rPr>
  </w:style>
  <w:style w:type="character" w:customStyle="1" w:styleId="paranumberedChar">
    <w:name w:val="paranumbered Char"/>
    <w:link w:val="paranumbered"/>
    <w:rsid w:val="008B11A5"/>
    <w:rPr>
      <w:rFonts w:ascii="Arial" w:hAnsi="Arial"/>
      <w:bCs/>
      <w:snapToGrid w:val="0"/>
      <w:sz w:val="22"/>
      <w:szCs w:val="32"/>
      <w:lang w:val="en-GB"/>
    </w:rPr>
  </w:style>
  <w:style w:type="paragraph" w:styleId="FootnoteText">
    <w:name w:val="footnote text"/>
    <w:basedOn w:val="Normal"/>
    <w:link w:val="FootnoteTextChar"/>
    <w:uiPriority w:val="99"/>
    <w:semiHidden/>
    <w:unhideWhenUsed/>
    <w:rsid w:val="00E47A63"/>
    <w:rPr>
      <w:rFonts w:ascii="Arial" w:eastAsia="Arial" w:hAnsi="Arial" w:cs="Arial"/>
      <w:sz w:val="20"/>
      <w:szCs w:val="20"/>
    </w:rPr>
  </w:style>
  <w:style w:type="character" w:customStyle="1" w:styleId="FootnoteTextChar">
    <w:name w:val="Footnote Text Char"/>
    <w:basedOn w:val="DefaultParagraphFont"/>
    <w:link w:val="FootnoteText"/>
    <w:uiPriority w:val="99"/>
    <w:semiHidden/>
    <w:rsid w:val="00E47A63"/>
    <w:rPr>
      <w:rFonts w:ascii="Arial" w:eastAsia="Arial" w:hAnsi="Arial" w:cs="Arial"/>
      <w:sz w:val="20"/>
      <w:szCs w:val="20"/>
      <w:lang w:val="en-GB" w:eastAsia="en-GB"/>
    </w:rPr>
  </w:style>
  <w:style w:type="character" w:styleId="FootnoteReference">
    <w:name w:val="footnote reference"/>
    <w:basedOn w:val="DefaultParagraphFont"/>
    <w:uiPriority w:val="99"/>
    <w:semiHidden/>
    <w:unhideWhenUsed/>
    <w:rsid w:val="00E47A63"/>
    <w:rPr>
      <w:vertAlign w:val="superscript"/>
    </w:rPr>
  </w:style>
  <w:style w:type="character" w:styleId="Hyperlink">
    <w:name w:val="Hyperlink"/>
    <w:basedOn w:val="DefaultParagraphFont"/>
    <w:uiPriority w:val="99"/>
    <w:unhideWhenUsed/>
    <w:rsid w:val="00E47A63"/>
    <w:rPr>
      <w:color w:val="0563C1" w:themeColor="hyperlink"/>
      <w:u w:val="single"/>
    </w:rPr>
  </w:style>
  <w:style w:type="paragraph" w:styleId="Revision">
    <w:name w:val="Revision"/>
    <w:hidden/>
    <w:uiPriority w:val="99"/>
    <w:semiHidden/>
    <w:rsid w:val="00E47A63"/>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D700FA"/>
    <w:rPr>
      <w:sz w:val="16"/>
      <w:szCs w:val="16"/>
    </w:rPr>
  </w:style>
  <w:style w:type="paragraph" w:styleId="CommentText">
    <w:name w:val="annotation text"/>
    <w:basedOn w:val="Normal"/>
    <w:link w:val="CommentTextChar"/>
    <w:uiPriority w:val="99"/>
    <w:unhideWhenUsed/>
    <w:rsid w:val="00D700FA"/>
    <w:rPr>
      <w:sz w:val="20"/>
      <w:szCs w:val="20"/>
    </w:rPr>
  </w:style>
  <w:style w:type="character" w:customStyle="1" w:styleId="CommentTextChar">
    <w:name w:val="Comment Text Char"/>
    <w:basedOn w:val="DefaultParagraphFont"/>
    <w:link w:val="CommentText"/>
    <w:uiPriority w:val="99"/>
    <w:rsid w:val="00D700FA"/>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700FA"/>
    <w:rPr>
      <w:b/>
      <w:bCs/>
    </w:rPr>
  </w:style>
  <w:style w:type="character" w:customStyle="1" w:styleId="CommentSubjectChar">
    <w:name w:val="Comment Subject Char"/>
    <w:basedOn w:val="CommentTextChar"/>
    <w:link w:val="CommentSubject"/>
    <w:uiPriority w:val="99"/>
    <w:semiHidden/>
    <w:rsid w:val="00D700FA"/>
    <w:rPr>
      <w:rFonts w:ascii="Times New Roman" w:eastAsia="Times New Roman" w:hAnsi="Times New Roman" w:cs="Times New Roman"/>
      <w:b/>
      <w:bCs/>
      <w:sz w:val="20"/>
      <w:szCs w:val="20"/>
      <w:lang w:eastAsia="en-GB"/>
    </w:rPr>
  </w:style>
  <w:style w:type="character" w:styleId="UnresolvedMention">
    <w:name w:val="Unresolved Mention"/>
    <w:basedOn w:val="DefaultParagraphFont"/>
    <w:uiPriority w:val="99"/>
    <w:semiHidden/>
    <w:unhideWhenUsed/>
    <w:rsid w:val="00AB05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550829">
      <w:bodyDiv w:val="1"/>
      <w:marLeft w:val="0"/>
      <w:marRight w:val="0"/>
      <w:marTop w:val="0"/>
      <w:marBottom w:val="0"/>
      <w:divBdr>
        <w:top w:val="none" w:sz="0" w:space="0" w:color="auto"/>
        <w:left w:val="none" w:sz="0" w:space="0" w:color="auto"/>
        <w:bottom w:val="none" w:sz="0" w:space="0" w:color="auto"/>
        <w:right w:val="none" w:sz="0" w:space="0" w:color="auto"/>
      </w:divBdr>
    </w:div>
    <w:div w:id="1279028968">
      <w:bodyDiv w:val="1"/>
      <w:marLeft w:val="0"/>
      <w:marRight w:val="0"/>
      <w:marTop w:val="0"/>
      <w:marBottom w:val="0"/>
      <w:divBdr>
        <w:top w:val="none" w:sz="0" w:space="0" w:color="auto"/>
        <w:left w:val="none" w:sz="0" w:space="0" w:color="auto"/>
        <w:bottom w:val="none" w:sz="0" w:space="0" w:color="auto"/>
        <w:right w:val="none" w:sz="0" w:space="0" w:color="auto"/>
      </w:divBdr>
    </w:div>
    <w:div w:id="1581476283">
      <w:bodyDiv w:val="1"/>
      <w:marLeft w:val="0"/>
      <w:marRight w:val="0"/>
      <w:marTop w:val="0"/>
      <w:marBottom w:val="0"/>
      <w:divBdr>
        <w:top w:val="none" w:sz="0" w:space="0" w:color="auto"/>
        <w:left w:val="none" w:sz="0" w:space="0" w:color="auto"/>
        <w:bottom w:val="none" w:sz="0" w:space="0" w:color="auto"/>
        <w:right w:val="none" w:sz="0" w:space="0" w:color="auto"/>
      </w:divBdr>
    </w:div>
    <w:div w:id="172583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rary.wmo.int/doc_num.php?explnum_id=1125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creativecommons.org/about/cclicenses/" TargetMode="External"/><Relationship Id="rId2" Type="http://schemas.openxmlformats.org/officeDocument/2006/relationships/hyperlink" Target="https://www.gida-global.org/care" TargetMode="External"/><Relationship Id="rId1" Type="http://schemas.openxmlformats.org/officeDocument/2006/relationships/hyperlink" Target="https://doi.org/10.1038/sdata.2016.18" TargetMode="External"/><Relationship Id="rId4" Type="http://schemas.openxmlformats.org/officeDocument/2006/relationships/hyperlink" Target="https://www.oceandecade.org/wp-content/uploads/2021/09/337567-Ocean%20Decade%20Implementation%20Plan%20-%20Full%20Docu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7261B-EED6-CC46-A2E6-0C508EC01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790</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IODE Group 1 Project Office</dc:creator>
  <cp:keywords/>
  <dc:description/>
  <cp:lastModifiedBy>IODE Group 1 Project Office</cp:lastModifiedBy>
  <cp:revision>2</cp:revision>
  <dcterms:created xsi:type="dcterms:W3CDTF">2022-09-23T11:54:00Z</dcterms:created>
  <dcterms:modified xsi:type="dcterms:W3CDTF">2022-09-23T11:54:00Z</dcterms:modified>
</cp:coreProperties>
</file>