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237"/>
        <w:gridCol w:w="3402"/>
      </w:tblGrid>
      <w:tr w:rsidR="00D53493" w:rsidRPr="00436284" w14:paraId="37BAE3B5" w14:textId="77777777" w:rsidTr="002873CE">
        <w:tc>
          <w:tcPr>
            <w:tcW w:w="6237" w:type="dxa"/>
          </w:tcPr>
          <w:p w14:paraId="28F552B7" w14:textId="77777777" w:rsidR="00D53493" w:rsidRPr="00436284" w:rsidRDefault="00D53493" w:rsidP="00B46A08">
            <w:pPr>
              <w:ind w:left="-105"/>
              <w:rPr>
                <w:rFonts w:asciiTheme="minorBidi" w:hAnsiTheme="minorBidi" w:cstheme="minorBidi"/>
                <w:sz w:val="22"/>
                <w:szCs w:val="22"/>
                <w:lang w:val="es-ES_tradnl"/>
              </w:rPr>
            </w:pPr>
            <w:r w:rsidRPr="00436284">
              <w:rPr>
                <w:rFonts w:asciiTheme="minorBidi" w:hAnsiTheme="minorBidi" w:cstheme="minorBidi"/>
                <w:sz w:val="22"/>
                <w:szCs w:val="22"/>
                <w:lang w:val="es-ES_tradnl"/>
              </w:rPr>
              <w:t>Distribución limitada</w:t>
            </w:r>
          </w:p>
          <w:p w14:paraId="6672FCD6" w14:textId="77777777" w:rsidR="00D53493" w:rsidRPr="00436284" w:rsidRDefault="00D53493" w:rsidP="00B46A08">
            <w:pPr>
              <w:rPr>
                <w:rFonts w:asciiTheme="minorBidi" w:hAnsiTheme="minorBidi" w:cstheme="minorBidi"/>
                <w:sz w:val="22"/>
                <w:szCs w:val="22"/>
                <w:lang w:val="es-ES_tradnl"/>
              </w:rPr>
            </w:pPr>
          </w:p>
        </w:tc>
        <w:tc>
          <w:tcPr>
            <w:tcW w:w="3402" w:type="dxa"/>
          </w:tcPr>
          <w:p w14:paraId="645A8D15" w14:textId="73EAF452" w:rsidR="00D53493" w:rsidRPr="00436284" w:rsidRDefault="00D53493" w:rsidP="00B46A08">
            <w:pPr>
              <w:ind w:left="213"/>
              <w:rPr>
                <w:rFonts w:asciiTheme="minorBidi" w:hAnsiTheme="minorBidi" w:cstheme="minorBidi"/>
                <w:b/>
                <w:bCs/>
                <w:sz w:val="22"/>
                <w:szCs w:val="22"/>
                <w:lang w:val="es-ES_tradnl"/>
              </w:rPr>
            </w:pPr>
            <w:r w:rsidRPr="00436284">
              <w:rPr>
                <w:rFonts w:asciiTheme="minorBidi" w:hAnsiTheme="minorBidi" w:cstheme="minorBidi"/>
                <w:b/>
                <w:bCs/>
                <w:sz w:val="22"/>
                <w:szCs w:val="22"/>
                <w:lang w:val="es-ES_tradnl"/>
              </w:rPr>
              <w:t>EC-55/DR.5.2</w:t>
            </w:r>
          </w:p>
          <w:p w14:paraId="00E35BB0" w14:textId="2ABF3F1E" w:rsidR="00D53493" w:rsidRPr="00436284" w:rsidRDefault="00D53493" w:rsidP="00B46A08">
            <w:pPr>
              <w:ind w:left="213"/>
              <w:rPr>
                <w:rFonts w:asciiTheme="minorBidi" w:hAnsiTheme="minorBidi" w:cstheme="minorBidi"/>
                <w:sz w:val="22"/>
                <w:szCs w:val="22"/>
                <w:lang w:val="es-ES_tradnl"/>
              </w:rPr>
            </w:pPr>
            <w:r w:rsidRPr="00436284">
              <w:rPr>
                <w:rFonts w:asciiTheme="minorBidi" w:hAnsiTheme="minorBidi" w:cstheme="minorBidi"/>
                <w:sz w:val="22"/>
                <w:szCs w:val="22"/>
                <w:lang w:val="es-ES_tradnl"/>
              </w:rPr>
              <w:t>París, 16 de junio de 2022</w:t>
            </w:r>
          </w:p>
          <w:p w14:paraId="2D41287C" w14:textId="77777777" w:rsidR="00D53493" w:rsidRPr="00436284" w:rsidRDefault="00D53493" w:rsidP="00B46A08">
            <w:pPr>
              <w:pStyle w:val="Header"/>
              <w:tabs>
                <w:tab w:val="clear" w:pos="4153"/>
                <w:tab w:val="clear" w:pos="8306"/>
                <w:tab w:val="left" w:pos="709"/>
              </w:tabs>
              <w:ind w:left="213"/>
              <w:rPr>
                <w:rFonts w:asciiTheme="minorBidi" w:hAnsiTheme="minorBidi" w:cstheme="minorBidi"/>
                <w:sz w:val="22"/>
                <w:szCs w:val="22"/>
                <w:lang w:val="es-ES_tradnl"/>
              </w:rPr>
            </w:pPr>
            <w:r w:rsidRPr="00436284">
              <w:rPr>
                <w:rFonts w:asciiTheme="minorBidi" w:hAnsiTheme="minorBidi" w:cstheme="minorBidi"/>
                <w:sz w:val="22"/>
                <w:szCs w:val="22"/>
                <w:lang w:val="es-ES_tradnl"/>
              </w:rPr>
              <w:t>Original: inglés</w:t>
            </w:r>
          </w:p>
        </w:tc>
      </w:tr>
    </w:tbl>
    <w:p w14:paraId="17BE60C0" w14:textId="77777777" w:rsidR="00D53493" w:rsidRPr="00436284" w:rsidRDefault="00D53493" w:rsidP="00B46A08">
      <w:pPr>
        <w:spacing w:after="240"/>
        <w:rPr>
          <w:rFonts w:asciiTheme="minorBidi" w:eastAsia="Calibri" w:hAnsiTheme="minorBidi" w:cstheme="minorBidi"/>
          <w:sz w:val="22"/>
          <w:szCs w:val="22"/>
          <w:u w:val="single"/>
          <w:lang w:val="es-ES_tradnl"/>
        </w:rPr>
      </w:pPr>
    </w:p>
    <w:p w14:paraId="71B54067" w14:textId="1095AA4E" w:rsidR="00D53493" w:rsidRPr="00436284" w:rsidRDefault="00D53493" w:rsidP="006C02EB">
      <w:pPr>
        <w:tabs>
          <w:tab w:val="clear" w:pos="567"/>
          <w:tab w:val="left" w:pos="709"/>
        </w:tabs>
        <w:snapToGrid/>
        <w:spacing w:after="240"/>
        <w:jc w:val="both"/>
        <w:rPr>
          <w:rFonts w:asciiTheme="minorBidi" w:hAnsiTheme="minorBidi" w:cstheme="minorBidi"/>
          <w:b/>
          <w:snapToGrid/>
          <w:sz w:val="22"/>
          <w:szCs w:val="22"/>
          <w:lang w:val="es-ES_tradnl"/>
        </w:rPr>
      </w:pPr>
      <w:r w:rsidRPr="00436284">
        <w:rPr>
          <w:rFonts w:asciiTheme="minorBidi" w:hAnsiTheme="minorBidi" w:cstheme="minorBidi"/>
          <w:b/>
          <w:bCs/>
          <w:sz w:val="22"/>
          <w:szCs w:val="22"/>
          <w:lang w:val="es-ES_tradnl"/>
        </w:rPr>
        <w:t>PROYECTO DE RESOLUCIÓN EC-55/5.2</w:t>
      </w:r>
    </w:p>
    <w:p w14:paraId="5174B6D0" w14:textId="2981F20B" w:rsidR="00D53493" w:rsidRPr="00436284" w:rsidRDefault="00D53493" w:rsidP="002873CE">
      <w:pPr>
        <w:tabs>
          <w:tab w:val="clear" w:pos="567"/>
          <w:tab w:val="left" w:pos="450"/>
        </w:tabs>
        <w:spacing w:after="240"/>
        <w:jc w:val="both"/>
        <w:rPr>
          <w:rFonts w:asciiTheme="minorBidi" w:eastAsia="Calibri" w:hAnsiTheme="minorBidi" w:cstheme="minorBidi"/>
          <w:iCs/>
          <w:sz w:val="22"/>
          <w:szCs w:val="22"/>
          <w:lang w:val="es-ES_tradnl"/>
        </w:rPr>
      </w:pPr>
      <w:r w:rsidRPr="00436284">
        <w:rPr>
          <w:rFonts w:asciiTheme="minorBidi" w:hAnsiTheme="minorBidi" w:cstheme="minorBidi"/>
          <w:sz w:val="22"/>
          <w:szCs w:val="22"/>
          <w:lang w:val="es-ES_tradnl"/>
        </w:rPr>
        <w:t>Presentado por: Alemania, Argentina, Australia, Bangladesh, Bélgica, Benin, Brasil, Canadá, China, Côte d’Ivoire, Egipto, Estados Unidos de América, Federación de Rusia, Francia, Granada, Japón, Kuwait, Marruecos, Noruega, Portugal, Reino Unido de Gran Bretaña e Irlanda del Norte, República de Corea, San Vicente y las Granadinas y Türkiye</w:t>
      </w:r>
    </w:p>
    <w:p w14:paraId="6D266916" w14:textId="77777777" w:rsidR="00D53493" w:rsidRPr="00436284" w:rsidRDefault="00D53493" w:rsidP="002873CE">
      <w:pPr>
        <w:spacing w:after="240"/>
        <w:jc w:val="both"/>
        <w:rPr>
          <w:rFonts w:asciiTheme="minorBidi" w:eastAsia="Calibri" w:hAnsiTheme="minorBidi" w:cstheme="minorBidi"/>
          <w:iCs/>
          <w:sz w:val="22"/>
          <w:szCs w:val="22"/>
          <w:lang w:val="es-ES_tradnl"/>
        </w:rPr>
      </w:pPr>
      <w:r w:rsidRPr="00436284">
        <w:rPr>
          <w:rFonts w:asciiTheme="minorBidi" w:hAnsiTheme="minorBidi" w:cstheme="minorBidi"/>
          <w:sz w:val="22"/>
          <w:szCs w:val="22"/>
          <w:lang w:val="es-ES_tradnl"/>
        </w:rPr>
        <w:t xml:space="preserve">Punto </w:t>
      </w:r>
      <w:r w:rsidRPr="00436284">
        <w:rPr>
          <w:rFonts w:asciiTheme="minorBidi" w:hAnsiTheme="minorBidi" w:cstheme="minorBidi"/>
          <w:b/>
          <w:bCs/>
          <w:sz w:val="22"/>
          <w:szCs w:val="22"/>
          <w:lang w:val="es-ES_tradnl"/>
        </w:rPr>
        <w:t>5.2</w:t>
      </w:r>
      <w:r w:rsidRPr="00436284">
        <w:rPr>
          <w:rFonts w:asciiTheme="minorBidi" w:hAnsiTheme="minorBidi" w:cstheme="minorBidi"/>
          <w:sz w:val="22"/>
          <w:szCs w:val="22"/>
          <w:lang w:val="es-ES_tradnl"/>
        </w:rPr>
        <w:t xml:space="preserve"> del orden del día</w:t>
      </w:r>
    </w:p>
    <w:p w14:paraId="759A5F0F" w14:textId="77777777" w:rsidR="00D53493" w:rsidRPr="00436284" w:rsidRDefault="00D53493" w:rsidP="002873CE">
      <w:pPr>
        <w:spacing w:after="240"/>
        <w:jc w:val="both"/>
        <w:rPr>
          <w:rFonts w:asciiTheme="minorBidi" w:eastAsia="Calibri" w:hAnsiTheme="minorBidi" w:cstheme="minorBidi"/>
          <w:b/>
          <w:bCs/>
          <w:sz w:val="22"/>
          <w:szCs w:val="22"/>
          <w:lang w:val="es-ES_tradnl"/>
        </w:rPr>
      </w:pPr>
      <w:r w:rsidRPr="00436284">
        <w:rPr>
          <w:rFonts w:asciiTheme="minorBidi" w:hAnsiTheme="minorBidi" w:cstheme="minorBidi"/>
          <w:b/>
          <w:bCs/>
          <w:sz w:val="22"/>
          <w:szCs w:val="22"/>
          <w:lang w:val="es-ES_tradnl"/>
        </w:rPr>
        <w:t>ASUNTOS RELATIVOS A LA GOBERNANZA, LA PROGRAMACIÓN Y LA PRESUPUESTACIÓN DE LA COMISIÓN</w:t>
      </w:r>
    </w:p>
    <w:p w14:paraId="3E3DBC35" w14:textId="77777777" w:rsidR="00D53493" w:rsidRPr="00436284" w:rsidRDefault="00D53493" w:rsidP="002873CE">
      <w:pPr>
        <w:spacing w:after="240"/>
        <w:jc w:val="both"/>
        <w:rPr>
          <w:rFonts w:asciiTheme="minorBidi" w:eastAsia="Calibri" w:hAnsiTheme="minorBidi" w:cstheme="minorBidi"/>
          <w:sz w:val="22"/>
          <w:szCs w:val="22"/>
          <w:lang w:val="es-ES_tradnl"/>
        </w:rPr>
      </w:pPr>
      <w:r w:rsidRPr="00436284">
        <w:rPr>
          <w:rFonts w:asciiTheme="minorBidi" w:hAnsiTheme="minorBidi" w:cstheme="minorBidi"/>
          <w:sz w:val="22"/>
          <w:szCs w:val="22"/>
          <w:lang w:val="es-ES_tradnl"/>
        </w:rPr>
        <w:t>El Consejo Ejecutivo,</w:t>
      </w:r>
    </w:p>
    <w:p w14:paraId="616A1D89" w14:textId="0C64AA51" w:rsidR="00D53493" w:rsidRPr="00436284" w:rsidRDefault="00D53493" w:rsidP="002873CE">
      <w:pPr>
        <w:pStyle w:val="b"/>
        <w:numPr>
          <w:ilvl w:val="0"/>
          <w:numId w:val="9"/>
        </w:numPr>
        <w:tabs>
          <w:tab w:val="clear" w:pos="-737"/>
          <w:tab w:val="clear" w:pos="1134"/>
        </w:tabs>
        <w:ind w:left="567" w:hanging="567"/>
        <w:rPr>
          <w:rFonts w:asciiTheme="minorBidi" w:eastAsia="Calibri" w:hAnsiTheme="minorBidi" w:cstheme="minorBidi"/>
          <w:sz w:val="22"/>
          <w:szCs w:val="22"/>
          <w:lang w:val="es-ES_tradnl"/>
        </w:rPr>
      </w:pPr>
      <w:r w:rsidRPr="00436284">
        <w:rPr>
          <w:rFonts w:asciiTheme="minorBidi" w:hAnsiTheme="minorBidi" w:cstheme="minorBidi"/>
          <w:b/>
          <w:bCs/>
          <w:sz w:val="22"/>
          <w:szCs w:val="22"/>
          <w:lang w:val="es-ES_tradnl"/>
        </w:rPr>
        <w:t>Habiendo examinado</w:t>
      </w:r>
      <w:r w:rsidRPr="00436284">
        <w:rPr>
          <w:rFonts w:asciiTheme="minorBidi" w:hAnsiTheme="minorBidi" w:cstheme="minorBidi"/>
          <w:sz w:val="22"/>
          <w:szCs w:val="22"/>
          <w:lang w:val="es-ES_tradnl"/>
        </w:rPr>
        <w:t xml:space="preserve"> los documentos:</w:t>
      </w:r>
    </w:p>
    <w:p w14:paraId="0CE6954F" w14:textId="25B99129" w:rsidR="00F978F8" w:rsidRPr="00436284" w:rsidRDefault="00F978F8" w:rsidP="002873CE">
      <w:pPr>
        <w:pStyle w:val="b"/>
        <w:numPr>
          <w:ilvl w:val="0"/>
          <w:numId w:val="14"/>
        </w:numPr>
        <w:tabs>
          <w:tab w:val="clear" w:pos="-737"/>
          <w:tab w:val="clear" w:pos="1134"/>
        </w:tabs>
        <w:ind w:left="1134" w:hanging="567"/>
        <w:rPr>
          <w:rFonts w:asciiTheme="minorBidi" w:eastAsia="Calibri" w:hAnsiTheme="minorBidi" w:cstheme="minorBidi"/>
          <w:sz w:val="22"/>
          <w:szCs w:val="22"/>
          <w:lang w:val="es-ES_tradnl"/>
        </w:rPr>
      </w:pPr>
      <w:r w:rsidRPr="00436284">
        <w:rPr>
          <w:rFonts w:asciiTheme="minorBidi" w:hAnsiTheme="minorBidi" w:cstheme="minorBidi"/>
          <w:sz w:val="22"/>
          <w:szCs w:val="22"/>
          <w:lang w:val="es-ES_tradnl"/>
        </w:rPr>
        <w:t>IOC/EC-55/3.1.Doc(2) – Informe sobre la ejecución del presupuesto para 2020-2021 (40 C/5) al 31 de diciembre de 2021 y presentación del marco presupuestario integrado para 2022-2023,</w:t>
      </w:r>
    </w:p>
    <w:p w14:paraId="300F2B71" w14:textId="644B89A9" w:rsidR="00F978F8" w:rsidRPr="00436284" w:rsidRDefault="00F978F8" w:rsidP="002873CE">
      <w:pPr>
        <w:pStyle w:val="b"/>
        <w:numPr>
          <w:ilvl w:val="0"/>
          <w:numId w:val="14"/>
        </w:numPr>
        <w:tabs>
          <w:tab w:val="clear" w:pos="-737"/>
          <w:tab w:val="clear" w:pos="1134"/>
        </w:tabs>
        <w:ind w:left="1134" w:hanging="567"/>
        <w:rPr>
          <w:rFonts w:asciiTheme="minorBidi" w:eastAsia="Calibri" w:hAnsiTheme="minorBidi" w:cstheme="minorBidi"/>
          <w:sz w:val="22"/>
          <w:szCs w:val="22"/>
          <w:lang w:val="es-ES_tradnl"/>
        </w:rPr>
      </w:pPr>
      <w:r w:rsidRPr="00436284">
        <w:rPr>
          <w:rFonts w:asciiTheme="minorBidi" w:hAnsiTheme="minorBidi" w:cstheme="minorBidi"/>
          <w:sz w:val="22"/>
          <w:szCs w:val="22"/>
          <w:lang w:val="es-ES_tradnl"/>
        </w:rPr>
        <w:t>IOC/EC-55/3.1.Doc(3) – Situación financiera de la Cuenta Especial de la COI a finales de 2021 y previsión para 2022-2023,</w:t>
      </w:r>
    </w:p>
    <w:p w14:paraId="0E953077" w14:textId="4188A901" w:rsidR="00F978F8" w:rsidRPr="00436284" w:rsidRDefault="002649D8" w:rsidP="002873CE">
      <w:pPr>
        <w:pStyle w:val="b"/>
        <w:numPr>
          <w:ilvl w:val="0"/>
          <w:numId w:val="14"/>
        </w:numPr>
        <w:tabs>
          <w:tab w:val="clear" w:pos="-737"/>
          <w:tab w:val="clear" w:pos="1134"/>
        </w:tabs>
        <w:ind w:left="1134" w:hanging="567"/>
        <w:rPr>
          <w:rFonts w:asciiTheme="minorBidi" w:eastAsia="Calibri" w:hAnsiTheme="minorBidi" w:cstheme="minorBidi"/>
          <w:sz w:val="22"/>
          <w:szCs w:val="22"/>
          <w:lang w:val="es-ES_tradnl"/>
        </w:rPr>
      </w:pPr>
      <w:r w:rsidRPr="00436284">
        <w:rPr>
          <w:rFonts w:asciiTheme="minorBidi" w:hAnsiTheme="minorBidi" w:cstheme="minorBidi"/>
          <w:sz w:val="22"/>
          <w:szCs w:val="22"/>
          <w:lang w:val="es-ES_tradnl"/>
        </w:rPr>
        <w:t>IOC/EC-55/5.1.Doc(1) – Propuesta de revisión del Reglamento de la COI – Primera versión,</w:t>
      </w:r>
    </w:p>
    <w:p w14:paraId="7E7CFB5F" w14:textId="1203E1E7" w:rsidR="002649D8" w:rsidRPr="00436284" w:rsidRDefault="002649D8" w:rsidP="002873CE">
      <w:pPr>
        <w:pStyle w:val="b"/>
        <w:numPr>
          <w:ilvl w:val="0"/>
          <w:numId w:val="14"/>
        </w:numPr>
        <w:tabs>
          <w:tab w:val="clear" w:pos="-737"/>
          <w:tab w:val="clear" w:pos="1134"/>
        </w:tabs>
        <w:ind w:left="1134" w:hanging="567"/>
        <w:rPr>
          <w:rFonts w:asciiTheme="minorBidi" w:eastAsia="Calibri" w:hAnsiTheme="minorBidi" w:cstheme="minorBidi"/>
          <w:sz w:val="22"/>
          <w:szCs w:val="22"/>
          <w:lang w:val="es-ES_tradnl"/>
        </w:rPr>
      </w:pPr>
      <w:r w:rsidRPr="00436284">
        <w:rPr>
          <w:rFonts w:asciiTheme="minorBidi" w:hAnsiTheme="minorBidi" w:cstheme="minorBidi"/>
          <w:sz w:val="22"/>
          <w:szCs w:val="22"/>
          <w:lang w:val="es-ES_tradnl"/>
        </w:rPr>
        <w:t>IOC/EC-55/5.1.Doc(2) – Informe del Presidente del Grupo Asesor sobre Finanzas para el periodo entre reuniones (periodo entre reuniones de diciembre de 2021 a junio de</w:t>
      </w:r>
      <w:r w:rsidR="00EC284C" w:rsidRPr="00436284">
        <w:rPr>
          <w:rFonts w:asciiTheme="minorBidi" w:hAnsiTheme="minorBidi" w:cstheme="minorBidi"/>
          <w:sz w:val="22"/>
          <w:szCs w:val="22"/>
          <w:lang w:val="es-ES_tradnl"/>
        </w:rPr>
        <w:t> </w:t>
      </w:r>
      <w:r w:rsidRPr="00436284">
        <w:rPr>
          <w:rFonts w:asciiTheme="minorBidi" w:hAnsiTheme="minorBidi" w:cstheme="minorBidi"/>
          <w:sz w:val="22"/>
          <w:szCs w:val="22"/>
          <w:lang w:val="es-ES_tradnl"/>
        </w:rPr>
        <w:t>2022),</w:t>
      </w:r>
    </w:p>
    <w:p w14:paraId="5240A97F" w14:textId="260EB94C" w:rsidR="00767CF6" w:rsidRPr="00436284" w:rsidRDefault="002649D8" w:rsidP="002873CE">
      <w:pPr>
        <w:pStyle w:val="b"/>
        <w:numPr>
          <w:ilvl w:val="0"/>
          <w:numId w:val="21"/>
        </w:numPr>
        <w:tabs>
          <w:tab w:val="clear" w:pos="-737"/>
          <w:tab w:val="clear" w:pos="1134"/>
        </w:tabs>
        <w:ind w:left="426" w:hanging="426"/>
        <w:jc w:val="center"/>
        <w:rPr>
          <w:rFonts w:asciiTheme="minorBidi" w:eastAsia="Calibri" w:hAnsiTheme="minorBidi" w:cstheme="minorBidi"/>
          <w:b/>
          <w:sz w:val="22"/>
          <w:szCs w:val="22"/>
          <w:lang w:val="es-ES_tradnl"/>
        </w:rPr>
      </w:pPr>
      <w:r w:rsidRPr="00436284">
        <w:rPr>
          <w:rFonts w:asciiTheme="minorBidi" w:hAnsiTheme="minorBidi" w:cstheme="minorBidi"/>
          <w:b/>
          <w:bCs/>
          <w:sz w:val="22"/>
          <w:szCs w:val="22"/>
          <w:lang w:val="es-ES_tradnl"/>
        </w:rPr>
        <w:t xml:space="preserve">Informe sobre la ejecución del presupuesto para 2020-2021 (40 C/5) </w:t>
      </w:r>
      <w:r w:rsidR="002873CE" w:rsidRPr="00436284">
        <w:rPr>
          <w:rFonts w:asciiTheme="minorBidi" w:hAnsiTheme="minorBidi" w:cstheme="minorBidi"/>
          <w:b/>
          <w:bCs/>
          <w:sz w:val="22"/>
          <w:szCs w:val="22"/>
          <w:lang w:val="es-ES_tradnl"/>
        </w:rPr>
        <w:br/>
      </w:r>
      <w:r w:rsidRPr="00436284">
        <w:rPr>
          <w:rFonts w:asciiTheme="minorBidi" w:hAnsiTheme="minorBidi" w:cstheme="minorBidi"/>
          <w:b/>
          <w:bCs/>
          <w:sz w:val="22"/>
          <w:szCs w:val="22"/>
          <w:lang w:val="es-ES_tradnl"/>
        </w:rPr>
        <w:t xml:space="preserve">al 31 de diciembre de 2021 y presentación del marco presupuestario integrado </w:t>
      </w:r>
      <w:r w:rsidR="00EC284C" w:rsidRPr="00436284">
        <w:rPr>
          <w:rFonts w:asciiTheme="minorBidi" w:hAnsiTheme="minorBidi" w:cstheme="minorBidi"/>
          <w:b/>
          <w:bCs/>
          <w:sz w:val="22"/>
          <w:szCs w:val="22"/>
          <w:lang w:val="es-ES_tradnl"/>
        </w:rPr>
        <w:br/>
      </w:r>
      <w:r w:rsidRPr="00436284">
        <w:rPr>
          <w:rFonts w:asciiTheme="minorBidi" w:hAnsiTheme="minorBidi" w:cstheme="minorBidi"/>
          <w:b/>
          <w:bCs/>
          <w:sz w:val="22"/>
          <w:szCs w:val="22"/>
          <w:lang w:val="es-ES_tradnl"/>
        </w:rPr>
        <w:t>para 2022</w:t>
      </w:r>
      <w:r w:rsidR="00B46A08" w:rsidRPr="00436284">
        <w:rPr>
          <w:rFonts w:asciiTheme="minorBidi" w:hAnsiTheme="minorBidi" w:cstheme="minorBidi"/>
          <w:b/>
          <w:bCs/>
          <w:sz w:val="22"/>
          <w:szCs w:val="22"/>
          <w:lang w:val="es-ES_tradnl"/>
        </w:rPr>
        <w:noBreakHyphen/>
      </w:r>
      <w:r w:rsidRPr="00436284">
        <w:rPr>
          <w:rFonts w:asciiTheme="minorBidi" w:hAnsiTheme="minorBidi" w:cstheme="minorBidi"/>
          <w:b/>
          <w:bCs/>
          <w:sz w:val="22"/>
          <w:szCs w:val="22"/>
          <w:lang w:val="es-ES_tradnl"/>
        </w:rPr>
        <w:t>2023</w:t>
      </w:r>
    </w:p>
    <w:p w14:paraId="5A6356DF" w14:textId="72C259BF" w:rsidR="00D53493" w:rsidRPr="00436284" w:rsidRDefault="00D53493" w:rsidP="002873CE">
      <w:pPr>
        <w:pStyle w:val="b"/>
        <w:numPr>
          <w:ilvl w:val="0"/>
          <w:numId w:val="9"/>
        </w:numPr>
        <w:tabs>
          <w:tab w:val="clear" w:pos="-737"/>
          <w:tab w:val="clear" w:pos="1134"/>
        </w:tabs>
        <w:ind w:left="567" w:hanging="567"/>
        <w:rPr>
          <w:rFonts w:asciiTheme="minorBidi" w:eastAsia="Calibri" w:hAnsiTheme="minorBidi" w:cstheme="minorBidi"/>
          <w:sz w:val="22"/>
          <w:szCs w:val="22"/>
          <w:lang w:val="es-ES_tradnl"/>
        </w:rPr>
      </w:pPr>
      <w:r w:rsidRPr="00436284">
        <w:rPr>
          <w:rFonts w:asciiTheme="minorBidi" w:hAnsiTheme="minorBidi" w:cstheme="minorBidi"/>
          <w:b/>
          <w:bCs/>
          <w:sz w:val="22"/>
          <w:szCs w:val="22"/>
          <w:lang w:val="es-ES_tradnl"/>
        </w:rPr>
        <w:t>Confirma</w:t>
      </w:r>
      <w:r w:rsidRPr="00436284">
        <w:rPr>
          <w:rFonts w:asciiTheme="minorBidi" w:hAnsiTheme="minorBidi" w:cstheme="minorBidi"/>
          <w:sz w:val="22"/>
          <w:szCs w:val="22"/>
          <w:lang w:val="es-ES_tradnl"/>
        </w:rPr>
        <w:t xml:space="preserve"> que el presupuesto de la COI para 2020-2021, </w:t>
      </w:r>
      <w:r w:rsidR="00320AFA" w:rsidRPr="00436284">
        <w:rPr>
          <w:rFonts w:asciiTheme="minorBidi" w:hAnsiTheme="minorBidi" w:cstheme="minorBidi"/>
          <w:sz w:val="22"/>
          <w:szCs w:val="22"/>
          <w:lang w:val="es-ES_tradnl"/>
        </w:rPr>
        <w:t xml:space="preserve">sobre </w:t>
      </w:r>
      <w:r w:rsidRPr="00436284">
        <w:rPr>
          <w:rFonts w:asciiTheme="minorBidi" w:hAnsiTheme="minorBidi" w:cstheme="minorBidi"/>
          <w:sz w:val="22"/>
          <w:szCs w:val="22"/>
          <w:lang w:val="es-ES_tradnl"/>
        </w:rPr>
        <w:t>el que se informa en la parte I del documento IOC/EC-53/3.1.Doc(2), se ha ejecutado de conformidad con el Programa y Presupuesto de la UNESCO para 2020-2021 (40 C/5 Aprobado), con inclusión de las consignaciones presupuestarias ajustadas para la Cuenta Especial de la COI aprobadas por la Asamblea de la COI en su 31ª reunión (IOC/A-31/3.2.Doc(3)) mediante su resolución</w:t>
      </w:r>
      <w:r w:rsidR="002873CE" w:rsidRPr="00436284">
        <w:rPr>
          <w:rFonts w:asciiTheme="minorBidi" w:hAnsiTheme="minorBidi" w:cstheme="minorBidi"/>
          <w:sz w:val="22"/>
          <w:szCs w:val="22"/>
          <w:lang w:val="es-ES_tradnl"/>
        </w:rPr>
        <w:t> </w:t>
      </w:r>
      <w:r w:rsidRPr="00436284">
        <w:rPr>
          <w:rFonts w:asciiTheme="minorBidi" w:hAnsiTheme="minorBidi" w:cstheme="minorBidi"/>
          <w:sz w:val="22"/>
          <w:szCs w:val="22"/>
          <w:lang w:val="es-ES_tradnl"/>
        </w:rPr>
        <w:t>A</w:t>
      </w:r>
      <w:r w:rsidR="00B46A08" w:rsidRPr="00436284">
        <w:rPr>
          <w:rFonts w:asciiTheme="minorBidi" w:hAnsiTheme="minorBidi" w:cstheme="minorBidi"/>
          <w:sz w:val="22"/>
          <w:szCs w:val="22"/>
          <w:lang w:val="es-ES_tradnl"/>
        </w:rPr>
        <w:noBreakHyphen/>
      </w:r>
      <w:r w:rsidRPr="00436284">
        <w:rPr>
          <w:rFonts w:asciiTheme="minorBidi" w:hAnsiTheme="minorBidi" w:cstheme="minorBidi"/>
          <w:sz w:val="22"/>
          <w:szCs w:val="22"/>
          <w:lang w:val="es-ES_tradnl"/>
        </w:rPr>
        <w:t>31/2;</w:t>
      </w:r>
    </w:p>
    <w:p w14:paraId="300891C3" w14:textId="21219F39" w:rsidR="00D53493" w:rsidRPr="00436284" w:rsidRDefault="00D53493" w:rsidP="002873CE">
      <w:pPr>
        <w:pStyle w:val="b"/>
        <w:numPr>
          <w:ilvl w:val="0"/>
          <w:numId w:val="9"/>
        </w:numPr>
        <w:tabs>
          <w:tab w:val="clear" w:pos="-737"/>
          <w:tab w:val="clear" w:pos="1134"/>
        </w:tabs>
        <w:ind w:left="567" w:hanging="567"/>
        <w:rPr>
          <w:rFonts w:asciiTheme="minorBidi" w:eastAsia="Calibri" w:hAnsiTheme="minorBidi" w:cstheme="minorBidi"/>
          <w:sz w:val="22"/>
          <w:szCs w:val="22"/>
          <w:lang w:val="es-ES_tradnl"/>
        </w:rPr>
      </w:pPr>
      <w:r w:rsidRPr="00436284">
        <w:rPr>
          <w:rFonts w:asciiTheme="minorBidi" w:hAnsiTheme="minorBidi" w:cstheme="minorBidi"/>
          <w:b/>
          <w:bCs/>
          <w:sz w:val="22"/>
          <w:szCs w:val="22"/>
          <w:lang w:val="es-ES_tradnl"/>
        </w:rPr>
        <w:t>Observa</w:t>
      </w:r>
      <w:r w:rsidRPr="00436284">
        <w:rPr>
          <w:rFonts w:asciiTheme="minorBidi" w:hAnsiTheme="minorBidi" w:cstheme="minorBidi"/>
          <w:sz w:val="22"/>
          <w:szCs w:val="22"/>
          <w:lang w:val="es-ES_tradnl"/>
        </w:rPr>
        <w:t xml:space="preserve"> que l</w:t>
      </w:r>
      <w:r w:rsidR="00320AFA" w:rsidRPr="00436284">
        <w:rPr>
          <w:rFonts w:asciiTheme="minorBidi" w:hAnsiTheme="minorBidi" w:cstheme="minorBidi"/>
          <w:sz w:val="22"/>
          <w:szCs w:val="22"/>
          <w:lang w:val="es-ES_tradnl"/>
        </w:rPr>
        <w:t>a</w:t>
      </w:r>
      <w:r w:rsidRPr="00436284">
        <w:rPr>
          <w:rFonts w:asciiTheme="minorBidi" w:hAnsiTheme="minorBidi" w:cstheme="minorBidi"/>
          <w:sz w:val="22"/>
          <w:szCs w:val="22"/>
          <w:lang w:val="es-ES_tradnl"/>
        </w:rPr>
        <w:t xml:space="preserve">s </w:t>
      </w:r>
      <w:r w:rsidR="00320AFA" w:rsidRPr="00436284">
        <w:rPr>
          <w:rFonts w:asciiTheme="minorBidi" w:hAnsiTheme="minorBidi" w:cstheme="minorBidi"/>
          <w:sz w:val="22"/>
          <w:szCs w:val="22"/>
          <w:lang w:val="es-ES_tradnl"/>
        </w:rPr>
        <w:t xml:space="preserve">metas </w:t>
      </w:r>
      <w:r w:rsidRPr="00436284">
        <w:rPr>
          <w:rFonts w:asciiTheme="minorBidi" w:hAnsiTheme="minorBidi" w:cstheme="minorBidi"/>
          <w:sz w:val="22"/>
          <w:szCs w:val="22"/>
          <w:lang w:val="es-ES_tradnl"/>
        </w:rPr>
        <w:t xml:space="preserve">de movilización de recursos extrapresupuestarios </w:t>
      </w:r>
      <w:r w:rsidR="00320AFA" w:rsidRPr="00436284">
        <w:rPr>
          <w:rFonts w:asciiTheme="minorBidi" w:hAnsiTheme="minorBidi" w:cstheme="minorBidi"/>
          <w:sz w:val="22"/>
          <w:szCs w:val="22"/>
          <w:lang w:val="es-ES_tradnl"/>
        </w:rPr>
        <w:t>establecidas</w:t>
      </w:r>
      <w:r w:rsidRPr="00436284">
        <w:rPr>
          <w:rFonts w:asciiTheme="minorBidi" w:hAnsiTheme="minorBidi" w:cstheme="minorBidi"/>
          <w:sz w:val="22"/>
          <w:szCs w:val="22"/>
          <w:lang w:val="es-ES_tradnl"/>
        </w:rPr>
        <w:t xml:space="preserve"> para el bienio 2020-2021 se han alcanzado en un 92 % en general, pero con diferencias considerables entre las funciones de la Comisión;</w:t>
      </w:r>
    </w:p>
    <w:p w14:paraId="53CCBD21" w14:textId="7C2EA0E1" w:rsidR="00D53493" w:rsidRPr="00436284" w:rsidRDefault="00D53493" w:rsidP="002873CE">
      <w:pPr>
        <w:pStyle w:val="b"/>
        <w:numPr>
          <w:ilvl w:val="0"/>
          <w:numId w:val="9"/>
        </w:numPr>
        <w:tabs>
          <w:tab w:val="clear" w:pos="-737"/>
          <w:tab w:val="clear" w:pos="1134"/>
        </w:tabs>
        <w:ind w:left="567" w:hanging="567"/>
        <w:rPr>
          <w:rFonts w:asciiTheme="minorBidi" w:eastAsia="Calibri" w:hAnsiTheme="minorBidi" w:cstheme="minorBidi"/>
          <w:sz w:val="22"/>
          <w:szCs w:val="22"/>
          <w:lang w:val="es-ES_tradnl"/>
        </w:rPr>
      </w:pPr>
      <w:r w:rsidRPr="00436284">
        <w:rPr>
          <w:rFonts w:asciiTheme="minorBidi" w:hAnsiTheme="minorBidi" w:cstheme="minorBidi"/>
          <w:b/>
          <w:bCs/>
          <w:sz w:val="22"/>
          <w:szCs w:val="22"/>
          <w:lang w:val="es-ES_tradnl"/>
        </w:rPr>
        <w:t>Da las gracias</w:t>
      </w:r>
      <w:r w:rsidRPr="00436284">
        <w:rPr>
          <w:rFonts w:asciiTheme="minorBidi" w:hAnsiTheme="minorBidi" w:cstheme="minorBidi"/>
          <w:sz w:val="22"/>
          <w:szCs w:val="22"/>
          <w:lang w:val="es-ES_tradnl"/>
        </w:rPr>
        <w:t xml:space="preserve"> a los Estados Miembros que han aportado recursos extrapresupuestarios y contribuciones en especie para la ejecución del programa para 2020-2021;</w:t>
      </w:r>
    </w:p>
    <w:p w14:paraId="70808C47" w14:textId="51020FC3" w:rsidR="00D53493" w:rsidRPr="00436284" w:rsidRDefault="00D53493" w:rsidP="002873CE">
      <w:pPr>
        <w:pStyle w:val="b"/>
        <w:numPr>
          <w:ilvl w:val="0"/>
          <w:numId w:val="9"/>
        </w:numPr>
        <w:tabs>
          <w:tab w:val="clear" w:pos="-737"/>
          <w:tab w:val="clear" w:pos="1134"/>
        </w:tabs>
        <w:ind w:left="567" w:hanging="567"/>
        <w:rPr>
          <w:rFonts w:asciiTheme="minorBidi" w:eastAsia="Calibri" w:hAnsiTheme="minorBidi" w:cstheme="minorBidi"/>
          <w:sz w:val="22"/>
          <w:szCs w:val="22"/>
          <w:lang w:val="es-ES_tradnl"/>
        </w:rPr>
      </w:pPr>
      <w:r w:rsidRPr="00436284">
        <w:rPr>
          <w:rFonts w:asciiTheme="minorBidi" w:hAnsiTheme="minorBidi" w:cstheme="minorBidi"/>
          <w:b/>
          <w:bCs/>
          <w:sz w:val="22"/>
          <w:szCs w:val="22"/>
          <w:lang w:val="es-ES_tradnl"/>
        </w:rPr>
        <w:t>Expresa su satisfacción</w:t>
      </w:r>
      <w:r w:rsidRPr="00436284">
        <w:rPr>
          <w:rFonts w:asciiTheme="minorBidi" w:hAnsiTheme="minorBidi" w:cstheme="minorBidi"/>
          <w:sz w:val="22"/>
          <w:szCs w:val="22"/>
          <w:lang w:val="es-ES_tradnl"/>
        </w:rPr>
        <w:t xml:space="preserve"> por el hecho de que el marco presupuestario integrado para 2022</w:t>
      </w:r>
      <w:r w:rsidR="002873CE" w:rsidRPr="00436284">
        <w:rPr>
          <w:rFonts w:asciiTheme="minorBidi" w:hAnsiTheme="minorBidi" w:cstheme="minorBidi"/>
          <w:sz w:val="22"/>
          <w:szCs w:val="22"/>
          <w:lang w:val="es-ES_tradnl"/>
        </w:rPr>
        <w:noBreakHyphen/>
      </w:r>
      <w:r w:rsidRPr="00436284">
        <w:rPr>
          <w:rFonts w:asciiTheme="minorBidi" w:hAnsiTheme="minorBidi" w:cstheme="minorBidi"/>
          <w:sz w:val="22"/>
          <w:szCs w:val="22"/>
          <w:lang w:val="es-ES_tradnl"/>
        </w:rPr>
        <w:t>2023 aprobado por la Conferencia General de la UNESCO en su 41ª reunión</w:t>
      </w:r>
      <w:r w:rsidR="00C27D14" w:rsidRPr="00436284">
        <w:rPr>
          <w:rFonts w:asciiTheme="minorBidi" w:hAnsiTheme="minorBidi" w:cstheme="minorBidi"/>
          <w:sz w:val="22"/>
          <w:szCs w:val="22"/>
          <w:lang w:val="es-ES_tradnl"/>
        </w:rPr>
        <w:t>, que</w:t>
      </w:r>
      <w:r w:rsidRPr="00436284">
        <w:rPr>
          <w:rFonts w:asciiTheme="minorBidi" w:hAnsiTheme="minorBidi" w:cstheme="minorBidi"/>
          <w:sz w:val="22"/>
          <w:szCs w:val="22"/>
          <w:lang w:val="es-ES_tradnl"/>
        </w:rPr>
        <w:t xml:space="preserve"> </w:t>
      </w:r>
      <w:r w:rsidR="00C27D14" w:rsidRPr="00436284">
        <w:rPr>
          <w:rFonts w:asciiTheme="minorBidi" w:hAnsiTheme="minorBidi" w:cstheme="minorBidi"/>
          <w:sz w:val="22"/>
          <w:szCs w:val="22"/>
          <w:lang w:val="es-ES_tradnl"/>
        </w:rPr>
        <w:t xml:space="preserve">se </w:t>
      </w:r>
      <w:r w:rsidRPr="00436284">
        <w:rPr>
          <w:rFonts w:asciiTheme="minorBidi" w:hAnsiTheme="minorBidi" w:cstheme="minorBidi"/>
          <w:sz w:val="22"/>
          <w:szCs w:val="22"/>
          <w:lang w:val="es-ES_tradnl"/>
        </w:rPr>
        <w:t>presenta en la parte II del documento IOC/EC-55/3.1.Doc(2)</w:t>
      </w:r>
      <w:r w:rsidR="00C27D14" w:rsidRPr="00436284">
        <w:rPr>
          <w:rFonts w:asciiTheme="minorBidi" w:hAnsiTheme="minorBidi" w:cstheme="minorBidi"/>
          <w:sz w:val="22"/>
          <w:szCs w:val="22"/>
          <w:lang w:val="es-ES_tradnl"/>
        </w:rPr>
        <w:t>,</w:t>
      </w:r>
      <w:r w:rsidRPr="00436284">
        <w:rPr>
          <w:rFonts w:asciiTheme="minorBidi" w:hAnsiTheme="minorBidi" w:cstheme="minorBidi"/>
          <w:sz w:val="22"/>
          <w:szCs w:val="22"/>
          <w:lang w:val="es-ES_tradnl"/>
        </w:rPr>
        <w:t xml:space="preserve"> sea coherente con las </w:t>
      </w:r>
      <w:r w:rsidRPr="00436284">
        <w:rPr>
          <w:rFonts w:asciiTheme="minorBidi" w:hAnsiTheme="minorBidi" w:cstheme="minorBidi"/>
          <w:sz w:val="22"/>
          <w:szCs w:val="22"/>
          <w:lang w:val="es-ES_tradnl"/>
        </w:rPr>
        <w:lastRenderedPageBreak/>
        <w:t>asignaciones presupuestarias aprobadas por la Asamblea de la COI en su 31ª reunión (IOC/A</w:t>
      </w:r>
      <w:r w:rsidR="00EC284C" w:rsidRPr="00436284">
        <w:rPr>
          <w:rFonts w:asciiTheme="minorBidi" w:hAnsiTheme="minorBidi" w:cstheme="minorBidi"/>
          <w:sz w:val="22"/>
          <w:szCs w:val="22"/>
          <w:lang w:val="es-ES_tradnl"/>
        </w:rPr>
        <w:noBreakHyphen/>
      </w:r>
      <w:r w:rsidRPr="00436284">
        <w:rPr>
          <w:rFonts w:asciiTheme="minorBidi" w:hAnsiTheme="minorBidi" w:cstheme="minorBidi"/>
          <w:sz w:val="22"/>
          <w:szCs w:val="22"/>
          <w:lang w:val="es-ES_tradnl"/>
        </w:rPr>
        <w:t>31/4.2.Doc) mediante su resolución A-31/2;</w:t>
      </w:r>
    </w:p>
    <w:p w14:paraId="0E927236" w14:textId="1065F4E2" w:rsidR="00D53493" w:rsidRPr="00436284" w:rsidRDefault="00D53493" w:rsidP="002873CE">
      <w:pPr>
        <w:pStyle w:val="b"/>
        <w:numPr>
          <w:ilvl w:val="0"/>
          <w:numId w:val="9"/>
        </w:numPr>
        <w:tabs>
          <w:tab w:val="clear" w:pos="-737"/>
          <w:tab w:val="clear" w:pos="1134"/>
        </w:tabs>
        <w:ind w:left="567" w:hanging="567"/>
        <w:rPr>
          <w:rFonts w:asciiTheme="minorBidi" w:eastAsia="Calibri" w:hAnsiTheme="minorBidi" w:cstheme="minorBidi"/>
          <w:sz w:val="22"/>
          <w:szCs w:val="22"/>
          <w:lang w:val="es-ES_tradnl"/>
        </w:rPr>
      </w:pPr>
      <w:r w:rsidRPr="00436284">
        <w:rPr>
          <w:rFonts w:asciiTheme="minorBidi" w:hAnsiTheme="minorBidi" w:cstheme="minorBidi"/>
          <w:b/>
          <w:bCs/>
          <w:sz w:val="22"/>
          <w:szCs w:val="22"/>
          <w:lang w:val="es-ES_tradnl"/>
        </w:rPr>
        <w:t>Toma nota</w:t>
      </w:r>
      <w:r w:rsidRPr="00436284">
        <w:rPr>
          <w:rFonts w:asciiTheme="minorBidi" w:hAnsiTheme="minorBidi" w:cstheme="minorBidi"/>
          <w:sz w:val="22"/>
          <w:szCs w:val="22"/>
          <w:lang w:val="es-ES_tradnl"/>
        </w:rPr>
        <w:t xml:space="preserve"> de la información sobre la situación financiera de la Cuenta Especial de la COI a finales de 2021 y de las previsiones para 2022-2023, que figuran en el documento IOC/EC</w:t>
      </w:r>
      <w:r w:rsidR="00C27D14" w:rsidRPr="00436284">
        <w:rPr>
          <w:rFonts w:asciiTheme="minorBidi" w:hAnsiTheme="minorBidi" w:cstheme="minorBidi"/>
          <w:sz w:val="22"/>
          <w:szCs w:val="22"/>
          <w:lang w:val="es-ES_tradnl"/>
        </w:rPr>
        <w:noBreakHyphen/>
      </w:r>
      <w:r w:rsidRPr="00436284">
        <w:rPr>
          <w:rFonts w:asciiTheme="minorBidi" w:hAnsiTheme="minorBidi" w:cstheme="minorBidi"/>
          <w:sz w:val="22"/>
          <w:szCs w:val="22"/>
          <w:lang w:val="es-ES_tradnl"/>
        </w:rPr>
        <w:t>55/3.1.Doc(3);</w:t>
      </w:r>
    </w:p>
    <w:p w14:paraId="1033A79B" w14:textId="576C83FD" w:rsidR="008A5FBD" w:rsidRPr="00436284" w:rsidRDefault="008A5FBD" w:rsidP="002873CE">
      <w:pPr>
        <w:pStyle w:val="b"/>
        <w:numPr>
          <w:ilvl w:val="0"/>
          <w:numId w:val="9"/>
        </w:numPr>
        <w:tabs>
          <w:tab w:val="clear" w:pos="-737"/>
          <w:tab w:val="clear" w:pos="1134"/>
        </w:tabs>
        <w:ind w:left="567" w:hanging="567"/>
        <w:rPr>
          <w:rFonts w:asciiTheme="minorBidi" w:eastAsia="Calibri" w:hAnsiTheme="minorBidi" w:cstheme="minorBidi"/>
          <w:sz w:val="22"/>
          <w:szCs w:val="22"/>
          <w:lang w:val="es-ES_tradnl"/>
        </w:rPr>
      </w:pPr>
      <w:r w:rsidRPr="00436284">
        <w:rPr>
          <w:rFonts w:asciiTheme="minorBidi" w:hAnsiTheme="minorBidi" w:cstheme="minorBidi"/>
          <w:b/>
          <w:bCs/>
          <w:sz w:val="22"/>
          <w:szCs w:val="22"/>
          <w:lang w:val="es-ES_tradnl"/>
        </w:rPr>
        <w:t>Aprueba</w:t>
      </w:r>
      <w:r w:rsidRPr="00436284">
        <w:rPr>
          <w:rFonts w:asciiTheme="minorBidi" w:hAnsiTheme="minorBidi" w:cstheme="minorBidi"/>
          <w:sz w:val="22"/>
          <w:szCs w:val="22"/>
          <w:lang w:val="es-ES_tradnl"/>
        </w:rPr>
        <w:t xml:space="preserve"> las asignaciones presupuestarias revisadas para 2022-2023 que se proponen en el cuadro 1 del documento IOC/EC-55/3.1.Doc(3);</w:t>
      </w:r>
    </w:p>
    <w:p w14:paraId="2334432E" w14:textId="4AB8B673" w:rsidR="00D53493" w:rsidRPr="00436284" w:rsidRDefault="00D53493" w:rsidP="002873CE">
      <w:pPr>
        <w:pStyle w:val="b"/>
        <w:numPr>
          <w:ilvl w:val="0"/>
          <w:numId w:val="9"/>
        </w:numPr>
        <w:tabs>
          <w:tab w:val="clear" w:pos="-737"/>
          <w:tab w:val="clear" w:pos="1134"/>
        </w:tabs>
        <w:ind w:left="567" w:hanging="567"/>
        <w:rPr>
          <w:rFonts w:asciiTheme="minorBidi" w:eastAsia="Calibri" w:hAnsiTheme="minorBidi" w:cstheme="minorBidi"/>
          <w:sz w:val="22"/>
          <w:szCs w:val="22"/>
          <w:lang w:val="es-ES_tradnl"/>
        </w:rPr>
      </w:pPr>
      <w:r w:rsidRPr="00436284">
        <w:rPr>
          <w:rFonts w:asciiTheme="minorBidi" w:hAnsiTheme="minorBidi" w:cstheme="minorBidi"/>
          <w:b/>
          <w:bCs/>
          <w:sz w:val="22"/>
          <w:szCs w:val="22"/>
          <w:lang w:val="es-ES_tradnl"/>
        </w:rPr>
        <w:t>Alienta</w:t>
      </w:r>
      <w:r w:rsidRPr="00436284">
        <w:rPr>
          <w:rFonts w:asciiTheme="minorBidi" w:hAnsiTheme="minorBidi" w:cstheme="minorBidi"/>
          <w:sz w:val="22"/>
          <w:szCs w:val="22"/>
          <w:lang w:val="es-ES_tradnl"/>
        </w:rPr>
        <w:t xml:space="preserve"> a todos los Estados Miembros a que aporten contribuciones voluntarias, preferentemente a la Cuenta Especial de la COI, a fin de alcanzar plenamente las metas de movilización de recursos extrapresupuestarios acordadas colectivamente para 2022-2023;</w:t>
      </w:r>
    </w:p>
    <w:p w14:paraId="2B3C2AC7" w14:textId="67BA30D7" w:rsidR="007C398E" w:rsidRPr="00436284" w:rsidRDefault="007C398E" w:rsidP="002873CE">
      <w:pPr>
        <w:pStyle w:val="b"/>
        <w:numPr>
          <w:ilvl w:val="0"/>
          <w:numId w:val="9"/>
        </w:numPr>
        <w:tabs>
          <w:tab w:val="clear" w:pos="-737"/>
          <w:tab w:val="clear" w:pos="1134"/>
        </w:tabs>
        <w:ind w:left="567" w:hanging="567"/>
        <w:rPr>
          <w:rFonts w:asciiTheme="minorBidi" w:eastAsia="Calibri" w:hAnsiTheme="minorBidi" w:cstheme="minorBidi"/>
          <w:b/>
          <w:bCs/>
          <w:sz w:val="22"/>
          <w:szCs w:val="22"/>
          <w:lang w:val="es-ES_tradnl"/>
        </w:rPr>
      </w:pPr>
      <w:r w:rsidRPr="00436284">
        <w:rPr>
          <w:rFonts w:asciiTheme="minorBidi" w:hAnsiTheme="minorBidi" w:cstheme="minorBidi"/>
          <w:b/>
          <w:bCs/>
          <w:sz w:val="22"/>
          <w:szCs w:val="22"/>
          <w:lang w:val="es-ES_tradnl"/>
        </w:rPr>
        <w:t>Pide encarecidamente</w:t>
      </w:r>
      <w:r w:rsidRPr="00436284">
        <w:rPr>
          <w:rFonts w:asciiTheme="minorBidi" w:hAnsiTheme="minorBidi" w:cstheme="minorBidi"/>
          <w:sz w:val="22"/>
          <w:szCs w:val="22"/>
          <w:lang w:val="es-ES_tradnl"/>
        </w:rPr>
        <w:t xml:space="preserve"> al Secretario Ejecutivo de la COI que proporcione, de aquí a septiembre de 2022, una estimación del presupuesto necesario —incluidas las necesidades de recursos humanos— para ejecutar de manera sostenible los programas básicos de la COI y ampliar sus actividades en respuesta a las crecientes demandas de los Estados Miembros y otras partes interesadas, como se indica en la resolución XXX-3 de la COI, y que la difunda a todos los Estados Miembros de la COI mediante una circular;</w:t>
      </w:r>
    </w:p>
    <w:p w14:paraId="27021314" w14:textId="1A318184" w:rsidR="00D53493" w:rsidRPr="00436284" w:rsidRDefault="00C363FE" w:rsidP="002873CE">
      <w:pPr>
        <w:pStyle w:val="b"/>
        <w:numPr>
          <w:ilvl w:val="0"/>
          <w:numId w:val="9"/>
        </w:numPr>
        <w:tabs>
          <w:tab w:val="clear" w:pos="-737"/>
          <w:tab w:val="clear" w:pos="1134"/>
        </w:tabs>
        <w:ind w:left="567" w:hanging="567"/>
        <w:rPr>
          <w:rFonts w:asciiTheme="minorBidi" w:eastAsia="Calibri" w:hAnsiTheme="minorBidi" w:cstheme="minorBidi"/>
          <w:sz w:val="22"/>
          <w:szCs w:val="22"/>
          <w:lang w:val="es-ES_tradnl"/>
        </w:rPr>
      </w:pPr>
      <w:r w:rsidRPr="00436284">
        <w:rPr>
          <w:rFonts w:asciiTheme="minorBidi" w:hAnsiTheme="minorBidi" w:cstheme="minorBidi"/>
          <w:b/>
          <w:bCs/>
          <w:sz w:val="22"/>
          <w:szCs w:val="22"/>
          <w:lang w:val="es-ES_tradnl"/>
        </w:rPr>
        <w:t>Pide</w:t>
      </w:r>
      <w:r w:rsidRPr="00436284">
        <w:rPr>
          <w:rFonts w:asciiTheme="minorBidi" w:hAnsiTheme="minorBidi" w:cstheme="minorBidi"/>
          <w:sz w:val="22"/>
          <w:szCs w:val="22"/>
          <w:lang w:val="es-ES_tradnl"/>
        </w:rPr>
        <w:t xml:space="preserve"> al Secretario Ejecutivo de la COI que prosiga sus esfuerzos para obtener contribuciones voluntarias adicionales, en particular de donantes del sector privado y de otros asociados, y para lograr la plena consecución de los objetivos programáticos de la Comisión para</w:t>
      </w:r>
      <w:r w:rsidR="002873CE" w:rsidRPr="00436284">
        <w:rPr>
          <w:rFonts w:asciiTheme="minorBidi" w:hAnsiTheme="minorBidi" w:cstheme="minorBidi"/>
          <w:sz w:val="22"/>
          <w:szCs w:val="22"/>
          <w:lang w:val="es-ES_tradnl"/>
        </w:rPr>
        <w:t> </w:t>
      </w:r>
      <w:r w:rsidRPr="00436284">
        <w:rPr>
          <w:rFonts w:asciiTheme="minorBidi" w:hAnsiTheme="minorBidi" w:cstheme="minorBidi"/>
          <w:sz w:val="22"/>
          <w:szCs w:val="22"/>
          <w:lang w:val="es-ES_tradnl"/>
        </w:rPr>
        <w:t>2022</w:t>
      </w:r>
      <w:r w:rsidR="00B46A08" w:rsidRPr="00436284">
        <w:rPr>
          <w:rFonts w:asciiTheme="minorBidi" w:hAnsiTheme="minorBidi" w:cstheme="minorBidi"/>
          <w:sz w:val="22"/>
          <w:szCs w:val="22"/>
          <w:lang w:val="es-ES_tradnl"/>
        </w:rPr>
        <w:noBreakHyphen/>
      </w:r>
      <w:r w:rsidRPr="00436284">
        <w:rPr>
          <w:rFonts w:asciiTheme="minorBidi" w:hAnsiTheme="minorBidi" w:cstheme="minorBidi"/>
          <w:sz w:val="22"/>
          <w:szCs w:val="22"/>
          <w:lang w:val="es-ES_tradnl"/>
        </w:rPr>
        <w:t>2023;</w:t>
      </w:r>
    </w:p>
    <w:p w14:paraId="03A5B843" w14:textId="7A784898" w:rsidR="00D53493" w:rsidRPr="00436284" w:rsidRDefault="00D53493" w:rsidP="002873CE">
      <w:pPr>
        <w:pStyle w:val="b"/>
        <w:numPr>
          <w:ilvl w:val="0"/>
          <w:numId w:val="21"/>
        </w:numPr>
        <w:tabs>
          <w:tab w:val="clear" w:pos="-737"/>
          <w:tab w:val="clear" w:pos="1134"/>
        </w:tabs>
        <w:ind w:left="426" w:hanging="426"/>
        <w:jc w:val="center"/>
        <w:rPr>
          <w:rFonts w:asciiTheme="minorBidi" w:hAnsiTheme="minorBidi" w:cstheme="minorBidi"/>
          <w:b/>
          <w:bCs/>
          <w:sz w:val="22"/>
          <w:szCs w:val="22"/>
          <w:lang w:val="es-ES_tradnl"/>
        </w:rPr>
      </w:pPr>
      <w:r w:rsidRPr="00436284">
        <w:rPr>
          <w:rFonts w:asciiTheme="minorBidi" w:hAnsiTheme="minorBidi" w:cstheme="minorBidi"/>
          <w:b/>
          <w:bCs/>
          <w:sz w:val="22"/>
          <w:szCs w:val="22"/>
          <w:lang w:val="es-ES_tradnl"/>
        </w:rPr>
        <w:t>Gobernanza y métodos de trabajo</w:t>
      </w:r>
    </w:p>
    <w:p w14:paraId="2FFE6ECE" w14:textId="65C2D4CD" w:rsidR="007C3923" w:rsidRPr="00436284" w:rsidRDefault="007C3923" w:rsidP="002873CE">
      <w:pPr>
        <w:pStyle w:val="ListParagraph"/>
        <w:numPr>
          <w:ilvl w:val="0"/>
          <w:numId w:val="18"/>
        </w:numPr>
        <w:tabs>
          <w:tab w:val="clear" w:pos="567"/>
        </w:tabs>
        <w:spacing w:after="240"/>
        <w:ind w:left="425" w:hanging="425"/>
        <w:contextualSpacing w:val="0"/>
        <w:jc w:val="center"/>
        <w:rPr>
          <w:rFonts w:asciiTheme="minorBidi" w:eastAsia="Calibri" w:hAnsiTheme="minorBidi" w:cstheme="minorBidi"/>
          <w:bCs/>
          <w:sz w:val="22"/>
          <w:szCs w:val="22"/>
          <w:u w:val="single"/>
          <w:lang w:val="es-ES_tradnl"/>
        </w:rPr>
      </w:pPr>
      <w:r w:rsidRPr="00436284">
        <w:rPr>
          <w:rFonts w:asciiTheme="minorBidi" w:hAnsiTheme="minorBidi" w:cstheme="minorBidi"/>
          <w:sz w:val="22"/>
          <w:szCs w:val="22"/>
          <w:u w:val="single"/>
          <w:lang w:val="es-ES_tradnl"/>
        </w:rPr>
        <w:t>Revisión del Reglamento de la COI</w:t>
      </w:r>
    </w:p>
    <w:p w14:paraId="50472689" w14:textId="57CEDC71" w:rsidR="00D53493" w:rsidRPr="00436284" w:rsidRDefault="00D53493" w:rsidP="002873CE">
      <w:pPr>
        <w:pStyle w:val="b"/>
        <w:numPr>
          <w:ilvl w:val="0"/>
          <w:numId w:val="9"/>
        </w:numPr>
        <w:tabs>
          <w:tab w:val="clear" w:pos="-737"/>
          <w:tab w:val="clear" w:pos="1134"/>
        </w:tabs>
        <w:ind w:left="567" w:hanging="567"/>
        <w:rPr>
          <w:rFonts w:asciiTheme="minorBidi" w:eastAsia="Calibri" w:hAnsiTheme="minorBidi" w:cstheme="minorBidi"/>
          <w:sz w:val="22"/>
          <w:szCs w:val="22"/>
          <w:lang w:val="es-ES_tradnl"/>
        </w:rPr>
      </w:pPr>
      <w:r w:rsidRPr="00436284">
        <w:rPr>
          <w:rFonts w:asciiTheme="minorBidi" w:hAnsiTheme="minorBidi" w:cstheme="minorBidi"/>
          <w:b/>
          <w:bCs/>
          <w:sz w:val="22"/>
          <w:szCs w:val="22"/>
          <w:lang w:val="es-ES_tradnl"/>
        </w:rPr>
        <w:t>Recuerda</w:t>
      </w:r>
      <w:r w:rsidRPr="00436284">
        <w:rPr>
          <w:rFonts w:asciiTheme="minorBidi" w:hAnsiTheme="minorBidi" w:cstheme="minorBidi"/>
          <w:sz w:val="22"/>
          <w:szCs w:val="22"/>
          <w:lang w:val="es-ES_tradnl"/>
        </w:rPr>
        <w:t xml:space="preserve"> que la Asamblea de la COI, en su 31ª reunión, mediante su resolución A-31/2, pidió al Secretario Ejecutivo de la COI que preparara, en consulta con el Asesor Jurídico de la UNESCO y el Grupo Asesor sobre Finanzas para el periodo entre reuniones, una propuesta preliminar de Reglamento revisado para la Asamblea de la COI y Reglamento revisado para el Consejo Ejecutivo de la COI, haciendo las aclaraciones necesarias y armonizando las versiones lingüísticas, para su examen y aprobación por estos dos órganos;</w:t>
      </w:r>
    </w:p>
    <w:p w14:paraId="069F02F6" w14:textId="3AC733BA" w:rsidR="00D615EB" w:rsidRPr="00436284" w:rsidRDefault="00D53493" w:rsidP="002873CE">
      <w:pPr>
        <w:pStyle w:val="b"/>
        <w:numPr>
          <w:ilvl w:val="0"/>
          <w:numId w:val="9"/>
        </w:numPr>
        <w:tabs>
          <w:tab w:val="clear" w:pos="-737"/>
          <w:tab w:val="clear" w:pos="1134"/>
        </w:tabs>
        <w:ind w:left="567" w:hanging="567"/>
        <w:rPr>
          <w:rFonts w:asciiTheme="minorBidi" w:eastAsia="Calibri" w:hAnsiTheme="minorBidi" w:cstheme="minorBidi"/>
          <w:sz w:val="22"/>
          <w:szCs w:val="22"/>
          <w:lang w:val="es-ES_tradnl"/>
        </w:rPr>
      </w:pPr>
      <w:r w:rsidRPr="00436284">
        <w:rPr>
          <w:rFonts w:asciiTheme="minorBidi" w:hAnsiTheme="minorBidi" w:cstheme="minorBidi"/>
          <w:b/>
          <w:bCs/>
          <w:sz w:val="22"/>
          <w:szCs w:val="22"/>
          <w:lang w:val="es-ES_tradnl"/>
        </w:rPr>
        <w:t>Reconoce</w:t>
      </w:r>
      <w:r w:rsidRPr="00436284">
        <w:rPr>
          <w:rFonts w:asciiTheme="minorBidi" w:hAnsiTheme="minorBidi" w:cstheme="minorBidi"/>
          <w:sz w:val="22"/>
          <w:szCs w:val="22"/>
          <w:lang w:val="es-ES_tradnl"/>
        </w:rPr>
        <w:t xml:space="preserve"> que, tras un examen más detallado de la cuestión por parte de la Oficina del Asesor Jurídico de la UNESCO y del Grupo Asesor sobre Finanzas para el periodo entre reuniones, la preparación de estos dos reglamentos distintos constituye una tarea más difícil de lo que parecía a primera vista;</w:t>
      </w:r>
    </w:p>
    <w:p w14:paraId="17EF5401" w14:textId="25E39161" w:rsidR="007F7B14" w:rsidRPr="00436284" w:rsidRDefault="00D615EB" w:rsidP="002873CE">
      <w:pPr>
        <w:pStyle w:val="b"/>
        <w:numPr>
          <w:ilvl w:val="0"/>
          <w:numId w:val="9"/>
        </w:numPr>
        <w:tabs>
          <w:tab w:val="clear" w:pos="-737"/>
          <w:tab w:val="clear" w:pos="1134"/>
        </w:tabs>
        <w:ind w:left="567" w:hanging="567"/>
        <w:rPr>
          <w:rFonts w:asciiTheme="minorBidi" w:hAnsiTheme="minorBidi" w:cstheme="minorBidi"/>
          <w:iCs/>
          <w:sz w:val="22"/>
          <w:szCs w:val="22"/>
          <w:lang w:val="es-ES_tradnl"/>
        </w:rPr>
      </w:pPr>
      <w:r w:rsidRPr="00436284">
        <w:rPr>
          <w:rFonts w:asciiTheme="minorBidi" w:hAnsiTheme="minorBidi" w:cstheme="minorBidi"/>
          <w:b/>
          <w:bCs/>
          <w:sz w:val="22"/>
          <w:szCs w:val="22"/>
          <w:lang w:val="es-ES_tradnl"/>
        </w:rPr>
        <w:t>Conviene</w:t>
      </w:r>
      <w:r w:rsidRPr="00436284">
        <w:rPr>
          <w:rFonts w:asciiTheme="minorBidi" w:hAnsiTheme="minorBidi" w:cstheme="minorBidi"/>
          <w:sz w:val="22"/>
          <w:szCs w:val="22"/>
          <w:lang w:val="es-ES_tradnl"/>
        </w:rPr>
        <w:t xml:space="preserve"> en que la elaboración de reglamentos distintos para la Asamblea y para el Consejo Ejecutivo de la COI debe valorarse a la luz de las exigencias estatutarias y, especialmente, del artículo 6.B.3 de los Estatutos de la COI, </w:t>
      </w:r>
      <w:r w:rsidR="00D56463" w:rsidRPr="00436284">
        <w:rPr>
          <w:rFonts w:asciiTheme="minorBidi" w:hAnsiTheme="minorBidi" w:cstheme="minorBidi"/>
          <w:sz w:val="22"/>
          <w:szCs w:val="22"/>
          <w:lang w:val="es-ES_tradnl"/>
        </w:rPr>
        <w:t xml:space="preserve">en el </w:t>
      </w:r>
      <w:r w:rsidRPr="00436284">
        <w:rPr>
          <w:rFonts w:asciiTheme="minorBidi" w:hAnsiTheme="minorBidi" w:cstheme="minorBidi"/>
          <w:sz w:val="22"/>
          <w:szCs w:val="22"/>
          <w:lang w:val="es-ES_tradnl"/>
        </w:rPr>
        <w:t xml:space="preserve">que </w:t>
      </w:r>
      <w:r w:rsidR="00D56463" w:rsidRPr="00436284">
        <w:rPr>
          <w:rFonts w:asciiTheme="minorBidi" w:hAnsiTheme="minorBidi" w:cstheme="minorBidi"/>
          <w:sz w:val="22"/>
          <w:szCs w:val="22"/>
          <w:lang w:val="es-ES_tradnl"/>
        </w:rPr>
        <w:t xml:space="preserve">se </w:t>
      </w:r>
      <w:r w:rsidR="000517B6" w:rsidRPr="00436284">
        <w:rPr>
          <w:rFonts w:asciiTheme="minorBidi" w:hAnsiTheme="minorBidi" w:cstheme="minorBidi"/>
          <w:sz w:val="22"/>
          <w:szCs w:val="22"/>
          <w:lang w:val="es-ES_tradnl"/>
        </w:rPr>
        <w:t>dispone</w:t>
      </w:r>
      <w:r w:rsidRPr="00436284">
        <w:rPr>
          <w:rFonts w:asciiTheme="minorBidi" w:hAnsiTheme="minorBidi" w:cstheme="minorBidi"/>
          <w:sz w:val="22"/>
          <w:szCs w:val="22"/>
          <w:lang w:val="es-ES_tradnl"/>
        </w:rPr>
        <w:t xml:space="preserve"> que “la Asamblea establecerá el Reglamento de la Comisión”;</w:t>
      </w:r>
    </w:p>
    <w:p w14:paraId="61661870" w14:textId="066C77DB" w:rsidR="00427AC8" w:rsidRPr="00436284" w:rsidRDefault="00427AC8" w:rsidP="002873CE">
      <w:pPr>
        <w:pStyle w:val="b"/>
        <w:numPr>
          <w:ilvl w:val="0"/>
          <w:numId w:val="9"/>
        </w:numPr>
        <w:tabs>
          <w:tab w:val="clear" w:pos="-737"/>
          <w:tab w:val="clear" w:pos="1134"/>
        </w:tabs>
        <w:ind w:left="567" w:hanging="567"/>
        <w:rPr>
          <w:rFonts w:asciiTheme="minorBidi" w:hAnsiTheme="minorBidi" w:cstheme="minorBidi"/>
          <w:iCs/>
          <w:sz w:val="22"/>
          <w:szCs w:val="22"/>
          <w:lang w:val="es-ES_tradnl"/>
        </w:rPr>
      </w:pPr>
      <w:r w:rsidRPr="00436284">
        <w:rPr>
          <w:rFonts w:asciiTheme="minorBidi" w:hAnsiTheme="minorBidi" w:cstheme="minorBidi"/>
          <w:b/>
          <w:bCs/>
          <w:sz w:val="22"/>
          <w:szCs w:val="22"/>
          <w:lang w:val="es-ES_tradnl"/>
        </w:rPr>
        <w:t>Acoge con beneplácito</w:t>
      </w:r>
      <w:r w:rsidRPr="00436284">
        <w:rPr>
          <w:rFonts w:asciiTheme="minorBidi" w:hAnsiTheme="minorBidi" w:cstheme="minorBidi"/>
          <w:sz w:val="22"/>
          <w:szCs w:val="22"/>
          <w:lang w:val="es-ES_tradnl"/>
        </w:rPr>
        <w:t xml:space="preserve"> la propuesta que figura en el documento IOC/EC-55/5.1.Doc(1) por considerarla respetuosa con el deseo de los Estados Miembros de abstenerse de toda revisión sustancial del Reglamento, reorganizándolo en lugar de revisarlo verdaderamente;</w:t>
      </w:r>
    </w:p>
    <w:p w14:paraId="262277B1" w14:textId="17CFF6A5" w:rsidR="007F7B14" w:rsidRPr="00436284" w:rsidRDefault="007F7B14" w:rsidP="002873CE">
      <w:pPr>
        <w:pStyle w:val="b"/>
        <w:numPr>
          <w:ilvl w:val="0"/>
          <w:numId w:val="9"/>
        </w:numPr>
        <w:tabs>
          <w:tab w:val="clear" w:pos="-737"/>
          <w:tab w:val="clear" w:pos="1134"/>
        </w:tabs>
        <w:ind w:left="567" w:hanging="567"/>
        <w:rPr>
          <w:rFonts w:asciiTheme="minorBidi" w:hAnsiTheme="minorBidi" w:cstheme="minorBidi"/>
          <w:iCs/>
          <w:sz w:val="22"/>
          <w:szCs w:val="22"/>
          <w:lang w:val="es-ES_tradnl"/>
        </w:rPr>
      </w:pPr>
      <w:r w:rsidRPr="00436284">
        <w:rPr>
          <w:rFonts w:asciiTheme="minorBidi" w:hAnsiTheme="minorBidi" w:cstheme="minorBidi"/>
          <w:b/>
          <w:bCs/>
          <w:sz w:val="22"/>
          <w:szCs w:val="22"/>
          <w:lang w:val="es-ES_tradnl"/>
        </w:rPr>
        <w:t>Recomienda</w:t>
      </w:r>
      <w:r w:rsidRPr="00436284">
        <w:rPr>
          <w:rFonts w:asciiTheme="minorBidi" w:hAnsiTheme="minorBidi" w:cstheme="minorBidi"/>
          <w:sz w:val="22"/>
          <w:szCs w:val="22"/>
          <w:lang w:val="es-ES_tradnl"/>
        </w:rPr>
        <w:t xml:space="preserve"> que la Asamblea de la COI, en su 32ª reunión, adopte el enfoque general que se expone en el documento IOC/EC-55/5.1.Doc(1), basado en la propuesta de:</w:t>
      </w:r>
    </w:p>
    <w:p w14:paraId="1356803E" w14:textId="201A48BE" w:rsidR="007F7B14" w:rsidRPr="00436284" w:rsidRDefault="007F7B14" w:rsidP="002873CE">
      <w:pPr>
        <w:numPr>
          <w:ilvl w:val="0"/>
          <w:numId w:val="22"/>
        </w:numPr>
        <w:shd w:val="clear" w:color="auto" w:fill="FFFFFF"/>
        <w:tabs>
          <w:tab w:val="clear" w:pos="567"/>
        </w:tabs>
        <w:snapToGrid/>
        <w:spacing w:after="240"/>
        <w:ind w:left="1134" w:hanging="567"/>
        <w:jc w:val="both"/>
        <w:rPr>
          <w:rFonts w:asciiTheme="minorBidi" w:hAnsiTheme="minorBidi" w:cstheme="minorBidi"/>
          <w:iCs/>
          <w:sz w:val="22"/>
          <w:szCs w:val="22"/>
          <w:lang w:val="es-ES_tradnl"/>
        </w:rPr>
      </w:pPr>
      <w:r w:rsidRPr="00436284">
        <w:rPr>
          <w:rFonts w:asciiTheme="minorBidi" w:hAnsiTheme="minorBidi" w:cstheme="minorBidi"/>
          <w:sz w:val="22"/>
          <w:szCs w:val="22"/>
          <w:lang w:val="es-ES_tradnl"/>
        </w:rPr>
        <w:t>abstenerse de iniciar un procedimiento de modificación de los Estatutos de la COI;</w:t>
      </w:r>
    </w:p>
    <w:p w14:paraId="7882942D" w14:textId="75A88FA7" w:rsidR="007F7B14" w:rsidRPr="00436284" w:rsidRDefault="007F7B14" w:rsidP="002873CE">
      <w:pPr>
        <w:numPr>
          <w:ilvl w:val="0"/>
          <w:numId w:val="22"/>
        </w:numPr>
        <w:shd w:val="clear" w:color="auto" w:fill="FFFFFF"/>
        <w:tabs>
          <w:tab w:val="clear" w:pos="567"/>
        </w:tabs>
        <w:snapToGrid/>
        <w:spacing w:after="240"/>
        <w:ind w:left="1134" w:hanging="567"/>
        <w:jc w:val="both"/>
        <w:rPr>
          <w:rFonts w:asciiTheme="minorBidi" w:hAnsiTheme="minorBidi" w:cstheme="minorBidi"/>
          <w:iCs/>
          <w:sz w:val="22"/>
          <w:szCs w:val="22"/>
          <w:lang w:val="es-ES_tradnl"/>
        </w:rPr>
      </w:pPr>
      <w:r w:rsidRPr="00436284">
        <w:rPr>
          <w:rFonts w:asciiTheme="minorBidi" w:hAnsiTheme="minorBidi" w:cstheme="minorBidi"/>
          <w:sz w:val="22"/>
          <w:szCs w:val="22"/>
          <w:lang w:val="es-ES_tradnl"/>
        </w:rPr>
        <w:lastRenderedPageBreak/>
        <w:t xml:space="preserve">de conformidad con el artículo 6.B.3 de los Estatutos, mantener un único Reglamento de la Comisión, que oficialmente </w:t>
      </w:r>
      <w:r w:rsidR="0082690B" w:rsidRPr="00436284">
        <w:rPr>
          <w:rFonts w:asciiTheme="minorBidi" w:hAnsiTheme="minorBidi" w:cstheme="minorBidi"/>
          <w:sz w:val="22"/>
          <w:szCs w:val="22"/>
          <w:lang w:val="es-ES_tradnl"/>
        </w:rPr>
        <w:t xml:space="preserve">corresponde establecer a </w:t>
      </w:r>
      <w:r w:rsidRPr="00436284">
        <w:rPr>
          <w:rFonts w:asciiTheme="minorBidi" w:hAnsiTheme="minorBidi" w:cstheme="minorBidi"/>
          <w:sz w:val="22"/>
          <w:szCs w:val="22"/>
          <w:lang w:val="es-ES_tradnl"/>
        </w:rPr>
        <w:t>la Asamblea de la COI;</w:t>
      </w:r>
    </w:p>
    <w:p w14:paraId="447B7164" w14:textId="0CB7E318" w:rsidR="007F7B14" w:rsidRPr="00436284" w:rsidRDefault="007F7B14" w:rsidP="002873CE">
      <w:pPr>
        <w:numPr>
          <w:ilvl w:val="0"/>
          <w:numId w:val="22"/>
        </w:numPr>
        <w:shd w:val="clear" w:color="auto" w:fill="FFFFFF"/>
        <w:tabs>
          <w:tab w:val="clear" w:pos="567"/>
        </w:tabs>
        <w:snapToGrid/>
        <w:spacing w:after="240"/>
        <w:ind w:left="1134" w:hanging="567"/>
        <w:jc w:val="both"/>
        <w:rPr>
          <w:rFonts w:asciiTheme="minorBidi" w:hAnsiTheme="minorBidi" w:cstheme="minorBidi"/>
          <w:iCs/>
          <w:sz w:val="22"/>
          <w:szCs w:val="22"/>
          <w:lang w:val="es-ES_tradnl"/>
        </w:rPr>
      </w:pPr>
      <w:r w:rsidRPr="00436284">
        <w:rPr>
          <w:rFonts w:asciiTheme="minorBidi" w:hAnsiTheme="minorBidi" w:cstheme="minorBidi"/>
          <w:sz w:val="22"/>
          <w:szCs w:val="22"/>
          <w:lang w:val="es-ES_tradnl"/>
        </w:rPr>
        <w:t>revisar el Reglamento actual sobre la base de una distinción entre los artículos generales, los que se aplican tanto a la Asamblea como al Consejo Ejecutivo de la COI y los que solo se aplican a uno de estos órganos;</w:t>
      </w:r>
    </w:p>
    <w:p w14:paraId="27C861DE" w14:textId="219F91CD" w:rsidR="00E61069" w:rsidRPr="00436284" w:rsidRDefault="007F7B14" w:rsidP="002873CE">
      <w:pPr>
        <w:numPr>
          <w:ilvl w:val="0"/>
          <w:numId w:val="22"/>
        </w:numPr>
        <w:shd w:val="clear" w:color="auto" w:fill="FFFFFF"/>
        <w:tabs>
          <w:tab w:val="clear" w:pos="567"/>
        </w:tabs>
        <w:snapToGrid/>
        <w:spacing w:after="240"/>
        <w:ind w:left="1134" w:hanging="567"/>
        <w:jc w:val="both"/>
        <w:rPr>
          <w:rFonts w:asciiTheme="minorBidi" w:hAnsiTheme="minorBidi" w:cstheme="minorBidi"/>
          <w:iCs/>
          <w:sz w:val="22"/>
          <w:szCs w:val="22"/>
          <w:lang w:val="es-ES_tradnl"/>
        </w:rPr>
      </w:pPr>
      <w:r w:rsidRPr="00436284">
        <w:rPr>
          <w:rFonts w:asciiTheme="minorBidi" w:hAnsiTheme="minorBidi" w:cstheme="minorBidi"/>
          <w:sz w:val="22"/>
          <w:szCs w:val="22"/>
          <w:lang w:val="es-ES_tradnl"/>
        </w:rPr>
        <w:t>reconocer y especificar la competencia del Consejo Ejecutivo de la COI para suspender temporalmente la aplicación de los artículos del Reglamento relativos a su organización y funcionamiento, señalando que cualquier modificación de los artículos del Reglamento solo puede ser adoptada por decisión de la Asamblea de la COI;</w:t>
      </w:r>
    </w:p>
    <w:p w14:paraId="6C5E6F53" w14:textId="0A575BC9" w:rsidR="0055537B" w:rsidRPr="00436284" w:rsidRDefault="007F7B14" w:rsidP="002873CE">
      <w:pPr>
        <w:pStyle w:val="b"/>
        <w:numPr>
          <w:ilvl w:val="0"/>
          <w:numId w:val="9"/>
        </w:numPr>
        <w:tabs>
          <w:tab w:val="clear" w:pos="-737"/>
          <w:tab w:val="clear" w:pos="1134"/>
        </w:tabs>
        <w:ind w:left="567" w:hanging="567"/>
        <w:rPr>
          <w:rFonts w:asciiTheme="minorBidi" w:eastAsia="Calibri" w:hAnsiTheme="minorBidi" w:cstheme="minorBidi"/>
          <w:bCs/>
          <w:sz w:val="22"/>
          <w:szCs w:val="22"/>
          <w:lang w:val="es-ES_tradnl"/>
        </w:rPr>
      </w:pPr>
      <w:r w:rsidRPr="00436284">
        <w:rPr>
          <w:rFonts w:asciiTheme="minorBidi" w:hAnsiTheme="minorBidi" w:cstheme="minorBidi"/>
          <w:b/>
          <w:bCs/>
          <w:sz w:val="22"/>
          <w:szCs w:val="22"/>
          <w:lang w:val="es-ES_tradnl"/>
        </w:rPr>
        <w:t>Observa</w:t>
      </w:r>
      <w:r w:rsidRPr="00436284">
        <w:rPr>
          <w:rFonts w:asciiTheme="minorBidi" w:hAnsiTheme="minorBidi" w:cstheme="minorBidi"/>
          <w:sz w:val="22"/>
          <w:szCs w:val="22"/>
          <w:lang w:val="es-ES_tradnl"/>
        </w:rPr>
        <w:t xml:space="preserve"> que, en caso de que la Asamblea de la COI apruebe esta recomendación, el Consejo Ejecutivo de la COI no tendrá que celebrar una reunión extraordinaria inmediatamente después de la 32ª reunión de la Asamblea de la COI para aprobar su propio Reglamento, como se preveía inicialmente en la resolución A-31/2 de la COI;</w:t>
      </w:r>
    </w:p>
    <w:p w14:paraId="36E8A624" w14:textId="77777777" w:rsidR="00CA3DF3" w:rsidRPr="00436284" w:rsidRDefault="002E79FC" w:rsidP="002873CE">
      <w:pPr>
        <w:pStyle w:val="b"/>
        <w:numPr>
          <w:ilvl w:val="0"/>
          <w:numId w:val="9"/>
        </w:numPr>
        <w:tabs>
          <w:tab w:val="clear" w:pos="-737"/>
          <w:tab w:val="clear" w:pos="1134"/>
        </w:tabs>
        <w:ind w:left="567" w:hanging="567"/>
        <w:rPr>
          <w:rFonts w:asciiTheme="minorBidi" w:eastAsia="Calibri" w:hAnsiTheme="minorBidi" w:cstheme="minorBidi"/>
          <w:iCs/>
          <w:sz w:val="22"/>
          <w:szCs w:val="22"/>
          <w:lang w:val="es-ES_tradnl"/>
        </w:rPr>
      </w:pPr>
      <w:r w:rsidRPr="00436284">
        <w:rPr>
          <w:rFonts w:asciiTheme="minorBidi" w:hAnsiTheme="minorBidi" w:cstheme="minorBidi"/>
          <w:b/>
          <w:bCs/>
          <w:sz w:val="22"/>
          <w:szCs w:val="22"/>
          <w:lang w:val="es-ES_tradnl"/>
        </w:rPr>
        <w:t>Toma nota</w:t>
      </w:r>
      <w:r w:rsidRPr="00436284">
        <w:rPr>
          <w:rFonts w:asciiTheme="minorBidi" w:hAnsiTheme="minorBidi" w:cstheme="minorBidi"/>
          <w:sz w:val="22"/>
          <w:szCs w:val="22"/>
          <w:lang w:val="es-ES_tradnl"/>
        </w:rPr>
        <w:t xml:space="preserve"> del conjunto no exhaustivo de comentarios proporcionado por la Oficina del Asesor Jurídico de la UNESCO en el anexo del documento IOC/EC-55/5.1.Doc(1);</w:t>
      </w:r>
    </w:p>
    <w:p w14:paraId="47FDB8D1" w14:textId="51BC6405" w:rsidR="002E79FC" w:rsidRPr="00436284" w:rsidRDefault="002E79FC" w:rsidP="002873CE">
      <w:pPr>
        <w:pStyle w:val="b"/>
        <w:numPr>
          <w:ilvl w:val="0"/>
          <w:numId w:val="9"/>
        </w:numPr>
        <w:tabs>
          <w:tab w:val="clear" w:pos="-737"/>
          <w:tab w:val="clear" w:pos="1134"/>
        </w:tabs>
        <w:ind w:left="567" w:hanging="567"/>
        <w:rPr>
          <w:rFonts w:asciiTheme="minorBidi" w:eastAsia="Calibri" w:hAnsiTheme="minorBidi" w:cstheme="minorBidi"/>
          <w:iCs/>
          <w:sz w:val="22"/>
          <w:szCs w:val="22"/>
          <w:lang w:val="es-ES_tradnl"/>
        </w:rPr>
      </w:pPr>
      <w:r w:rsidRPr="00436284">
        <w:rPr>
          <w:rFonts w:asciiTheme="minorBidi" w:hAnsiTheme="minorBidi" w:cstheme="minorBidi"/>
          <w:b/>
          <w:bCs/>
          <w:sz w:val="22"/>
          <w:szCs w:val="22"/>
          <w:lang w:val="es-ES_tradnl"/>
        </w:rPr>
        <w:t>Invita</w:t>
      </w:r>
      <w:r w:rsidRPr="00436284">
        <w:rPr>
          <w:rFonts w:asciiTheme="minorBidi" w:hAnsiTheme="minorBidi" w:cstheme="minorBidi"/>
          <w:sz w:val="22"/>
          <w:szCs w:val="22"/>
          <w:lang w:val="es-ES_tradnl"/>
        </w:rPr>
        <w:t xml:space="preserve"> al Secretario Ejecutivo de la COI a que prepare el proyecto revisado de Reglamento para su examen y aprobación por la Asamblea de la COI en su 32ª reunión, en 2023, sin ninguna modificación sustancial, sobre la base de los debates mantenidos en el Grupo Asesor sobre Finanzas para el periodo entre reuniones y en el Consejo Ejecutivo de la COI y en consonancia con las siguientes recomendaciones:</w:t>
      </w:r>
    </w:p>
    <w:p w14:paraId="4936F659" w14:textId="6AF4AF58" w:rsidR="00ED2A9F" w:rsidRPr="00436284" w:rsidRDefault="00ED2A9F" w:rsidP="002873CE">
      <w:pPr>
        <w:numPr>
          <w:ilvl w:val="0"/>
          <w:numId w:val="23"/>
        </w:numPr>
        <w:shd w:val="clear" w:color="auto" w:fill="FFFFFF"/>
        <w:tabs>
          <w:tab w:val="clear" w:pos="567"/>
        </w:tabs>
        <w:snapToGrid/>
        <w:spacing w:after="240"/>
        <w:ind w:left="1134" w:hanging="567"/>
        <w:jc w:val="both"/>
        <w:rPr>
          <w:rFonts w:asciiTheme="minorBidi" w:hAnsiTheme="minorBidi" w:cstheme="minorBidi"/>
          <w:iCs/>
          <w:sz w:val="22"/>
          <w:szCs w:val="22"/>
          <w:lang w:val="es-ES_tradnl"/>
        </w:rPr>
      </w:pPr>
      <w:r w:rsidRPr="00436284">
        <w:rPr>
          <w:rFonts w:asciiTheme="minorBidi" w:hAnsiTheme="minorBidi" w:cstheme="minorBidi"/>
          <w:sz w:val="22"/>
          <w:szCs w:val="22"/>
          <w:lang w:val="es-ES_tradnl"/>
        </w:rPr>
        <w:t>aumentar la claridad y armonizar las versiones lingüísticas, centrándose en mejorar únicamente lo que debe mejorarse;</w:t>
      </w:r>
    </w:p>
    <w:p w14:paraId="568E9D4E" w14:textId="760CCDAF" w:rsidR="00ED2A9F" w:rsidRPr="00436284" w:rsidRDefault="00ED2A9F" w:rsidP="002873CE">
      <w:pPr>
        <w:numPr>
          <w:ilvl w:val="0"/>
          <w:numId w:val="23"/>
        </w:numPr>
        <w:shd w:val="clear" w:color="auto" w:fill="FFFFFF"/>
        <w:tabs>
          <w:tab w:val="clear" w:pos="567"/>
        </w:tabs>
        <w:snapToGrid/>
        <w:spacing w:after="240"/>
        <w:ind w:left="1134" w:hanging="567"/>
        <w:jc w:val="both"/>
        <w:rPr>
          <w:rFonts w:asciiTheme="minorBidi" w:hAnsiTheme="minorBidi" w:cstheme="minorBidi"/>
          <w:iCs/>
          <w:sz w:val="22"/>
          <w:szCs w:val="22"/>
          <w:lang w:val="es-ES_tradnl"/>
        </w:rPr>
      </w:pPr>
      <w:r w:rsidRPr="00436284">
        <w:rPr>
          <w:rFonts w:asciiTheme="minorBidi" w:hAnsiTheme="minorBidi" w:cstheme="minorBidi"/>
          <w:sz w:val="22"/>
          <w:szCs w:val="22"/>
          <w:lang w:val="es-ES_tradnl"/>
        </w:rPr>
        <w:t>elaborar directrices para las consultas por correspondencia, aplicables tanto a la Asamblea como al Consejo Ejecutivo de la COI, sobre la base de las mejores prácticas vigentes y de la experiencia de la UNESCO;</w:t>
      </w:r>
    </w:p>
    <w:p w14:paraId="0252B4E2" w14:textId="421C905A" w:rsidR="00ED2A9F" w:rsidRPr="00436284" w:rsidRDefault="00ED2A9F" w:rsidP="002873CE">
      <w:pPr>
        <w:numPr>
          <w:ilvl w:val="0"/>
          <w:numId w:val="23"/>
        </w:numPr>
        <w:shd w:val="clear" w:color="auto" w:fill="FFFFFF"/>
        <w:tabs>
          <w:tab w:val="clear" w:pos="567"/>
        </w:tabs>
        <w:snapToGrid/>
        <w:spacing w:after="240"/>
        <w:ind w:left="1134" w:hanging="567"/>
        <w:jc w:val="both"/>
        <w:rPr>
          <w:rFonts w:asciiTheme="minorBidi" w:hAnsiTheme="minorBidi" w:cstheme="minorBidi"/>
          <w:iCs/>
          <w:sz w:val="22"/>
          <w:szCs w:val="22"/>
          <w:lang w:val="es-ES_tradnl"/>
        </w:rPr>
      </w:pPr>
      <w:r w:rsidRPr="00436284">
        <w:rPr>
          <w:rFonts w:asciiTheme="minorBidi" w:hAnsiTheme="minorBidi" w:cstheme="minorBidi"/>
          <w:sz w:val="22"/>
          <w:szCs w:val="22"/>
          <w:lang w:val="es-ES_tradnl"/>
        </w:rPr>
        <w:t>incluir en el Reglamento una disposición relativa a la celebración de reuniones virtuales, pero sol</w:t>
      </w:r>
      <w:r w:rsidR="0082690B" w:rsidRPr="00436284">
        <w:rPr>
          <w:rFonts w:asciiTheme="minorBidi" w:hAnsiTheme="minorBidi" w:cstheme="minorBidi"/>
          <w:sz w:val="22"/>
          <w:szCs w:val="22"/>
          <w:lang w:val="es-ES_tradnl"/>
        </w:rPr>
        <w:t>amente</w:t>
      </w:r>
      <w:r w:rsidRPr="00436284">
        <w:rPr>
          <w:rFonts w:asciiTheme="minorBidi" w:hAnsiTheme="minorBidi" w:cstheme="minorBidi"/>
          <w:sz w:val="22"/>
          <w:szCs w:val="22"/>
          <w:lang w:val="es-ES_tradnl"/>
        </w:rPr>
        <w:t xml:space="preserve"> como medida excepcional;</w:t>
      </w:r>
    </w:p>
    <w:p w14:paraId="6BB24A2F" w14:textId="31D4DF19" w:rsidR="0055537B" w:rsidRPr="00436284" w:rsidRDefault="00ED2A9F" w:rsidP="002873CE">
      <w:pPr>
        <w:numPr>
          <w:ilvl w:val="0"/>
          <w:numId w:val="23"/>
        </w:numPr>
        <w:shd w:val="clear" w:color="auto" w:fill="FFFFFF"/>
        <w:tabs>
          <w:tab w:val="clear" w:pos="567"/>
        </w:tabs>
        <w:snapToGrid/>
        <w:spacing w:after="240"/>
        <w:ind w:left="1134" w:hanging="567"/>
        <w:jc w:val="both"/>
        <w:rPr>
          <w:rFonts w:asciiTheme="minorBidi" w:hAnsiTheme="minorBidi" w:cstheme="minorBidi"/>
          <w:iCs/>
          <w:sz w:val="22"/>
          <w:szCs w:val="22"/>
          <w:lang w:val="es-ES_tradnl"/>
        </w:rPr>
      </w:pPr>
      <w:r w:rsidRPr="00436284">
        <w:rPr>
          <w:rFonts w:asciiTheme="minorBidi" w:hAnsiTheme="minorBidi" w:cstheme="minorBidi"/>
          <w:sz w:val="22"/>
          <w:szCs w:val="22"/>
          <w:lang w:val="es-ES_tradnl"/>
        </w:rPr>
        <w:t>presentar a la Asamblea de la COI el proyecto de directrices para las reuniones virtuales junto con el proyecto revisado de Reglamento;</w:t>
      </w:r>
    </w:p>
    <w:p w14:paraId="667B0ABB" w14:textId="0F933ACC" w:rsidR="00427AC8" w:rsidRPr="00436284" w:rsidRDefault="001F475E" w:rsidP="002873CE">
      <w:pPr>
        <w:pStyle w:val="ListParagraph"/>
        <w:numPr>
          <w:ilvl w:val="0"/>
          <w:numId w:val="18"/>
        </w:numPr>
        <w:tabs>
          <w:tab w:val="clear" w:pos="567"/>
        </w:tabs>
        <w:spacing w:after="240"/>
        <w:ind w:left="425" w:hanging="425"/>
        <w:contextualSpacing w:val="0"/>
        <w:jc w:val="center"/>
        <w:rPr>
          <w:rFonts w:asciiTheme="minorBidi" w:eastAsia="Calibri" w:hAnsiTheme="minorBidi" w:cstheme="minorBidi"/>
          <w:bCs/>
          <w:sz w:val="22"/>
          <w:szCs w:val="22"/>
          <w:u w:val="single"/>
          <w:lang w:val="es-ES_tradnl"/>
        </w:rPr>
      </w:pPr>
      <w:r w:rsidRPr="00436284">
        <w:rPr>
          <w:rFonts w:asciiTheme="minorBidi" w:hAnsiTheme="minorBidi" w:cstheme="minorBidi"/>
          <w:sz w:val="22"/>
          <w:szCs w:val="22"/>
          <w:u w:val="single"/>
          <w:lang w:val="es-ES_tradnl"/>
        </w:rPr>
        <w:t>Presentación de informes sobre las contribuciones en especie</w:t>
      </w:r>
    </w:p>
    <w:p w14:paraId="644B7D55" w14:textId="77777777" w:rsidR="005056A7" w:rsidRPr="00436284" w:rsidRDefault="00427AC8" w:rsidP="002873CE">
      <w:pPr>
        <w:pStyle w:val="b"/>
        <w:numPr>
          <w:ilvl w:val="0"/>
          <w:numId w:val="9"/>
        </w:numPr>
        <w:tabs>
          <w:tab w:val="clear" w:pos="-737"/>
          <w:tab w:val="clear" w:pos="1134"/>
        </w:tabs>
        <w:ind w:left="567" w:hanging="567"/>
        <w:rPr>
          <w:rFonts w:asciiTheme="minorBidi" w:hAnsiTheme="minorBidi" w:cstheme="minorBidi"/>
          <w:sz w:val="22"/>
          <w:szCs w:val="22"/>
          <w:lang w:val="es-ES_tradnl"/>
        </w:rPr>
      </w:pPr>
      <w:r w:rsidRPr="00436284">
        <w:rPr>
          <w:rFonts w:asciiTheme="minorBidi" w:hAnsiTheme="minorBidi" w:cstheme="minorBidi"/>
          <w:b/>
          <w:bCs/>
          <w:sz w:val="22"/>
          <w:szCs w:val="22"/>
          <w:lang w:val="es-ES_tradnl"/>
        </w:rPr>
        <w:t xml:space="preserve">Recuerda </w:t>
      </w:r>
      <w:r w:rsidRPr="00436284">
        <w:rPr>
          <w:rFonts w:asciiTheme="minorBidi" w:hAnsiTheme="minorBidi" w:cstheme="minorBidi"/>
          <w:sz w:val="22"/>
          <w:szCs w:val="22"/>
          <w:lang w:val="es-ES_tradnl"/>
        </w:rPr>
        <w:t>que en la resolución A-31/2 de la COI se invitó al Grupo Asesor sobre Finanzas para el periodo entre reuniones a elaborar una propuesta referente a un enfoque y una metodología sistemáticos para la presentación de informes sobre las contribuciones en especie, de acuerdo con la versión actualizada de los principios rectores de la programación y la presupuestación (anexo I de la resolución EC-53/2 de la COI) y el artículo 10 de los Estatutos de la COI, para su examen por la Asamblea de la COI en su 32ª reunión;</w:t>
      </w:r>
    </w:p>
    <w:p w14:paraId="399B6921" w14:textId="5364FD05" w:rsidR="00427AC8" w:rsidRPr="00436284" w:rsidRDefault="00427AC8" w:rsidP="002873CE">
      <w:pPr>
        <w:pStyle w:val="b"/>
        <w:numPr>
          <w:ilvl w:val="0"/>
          <w:numId w:val="9"/>
        </w:numPr>
        <w:tabs>
          <w:tab w:val="clear" w:pos="-737"/>
          <w:tab w:val="clear" w:pos="1134"/>
        </w:tabs>
        <w:ind w:left="567" w:hanging="567"/>
        <w:rPr>
          <w:rFonts w:asciiTheme="minorBidi" w:eastAsia="Calibri" w:hAnsiTheme="minorBidi" w:cstheme="minorBidi"/>
          <w:sz w:val="22"/>
          <w:szCs w:val="22"/>
          <w:lang w:val="es-ES_tradnl"/>
        </w:rPr>
      </w:pPr>
      <w:r w:rsidRPr="00436284">
        <w:rPr>
          <w:rFonts w:asciiTheme="minorBidi" w:hAnsiTheme="minorBidi" w:cstheme="minorBidi"/>
          <w:b/>
          <w:bCs/>
          <w:sz w:val="22"/>
          <w:szCs w:val="22"/>
          <w:lang w:val="es-ES_tradnl"/>
        </w:rPr>
        <w:t>Acoge con beneplácito</w:t>
      </w:r>
      <w:r w:rsidRPr="00436284">
        <w:rPr>
          <w:rFonts w:asciiTheme="minorBidi" w:hAnsiTheme="minorBidi" w:cstheme="minorBidi"/>
          <w:sz w:val="22"/>
          <w:szCs w:val="22"/>
          <w:lang w:val="es-ES_tradnl"/>
        </w:rPr>
        <w:t xml:space="preserve"> el enfoque más sistemático e inclusivo para la presentación de informes sobre las contribuciones en especie propuesto por el Grupo Asesor sobre Finanzas para el periodo entre reuniones, que se presenta en el documento IOC/EC-55/5.1.Doc(2);</w:t>
      </w:r>
    </w:p>
    <w:p w14:paraId="0264CC8C" w14:textId="77777777" w:rsidR="005056A7" w:rsidRPr="00436284" w:rsidRDefault="00427AC8" w:rsidP="002873CE">
      <w:pPr>
        <w:pStyle w:val="b"/>
        <w:keepNext/>
        <w:numPr>
          <w:ilvl w:val="0"/>
          <w:numId w:val="9"/>
        </w:numPr>
        <w:tabs>
          <w:tab w:val="clear" w:pos="-737"/>
          <w:tab w:val="clear" w:pos="1134"/>
        </w:tabs>
        <w:ind w:left="567" w:hanging="567"/>
        <w:rPr>
          <w:rFonts w:asciiTheme="minorBidi" w:hAnsiTheme="minorBidi" w:cstheme="minorBidi"/>
          <w:sz w:val="22"/>
          <w:szCs w:val="22"/>
          <w:lang w:val="es-ES_tradnl"/>
        </w:rPr>
      </w:pPr>
      <w:r w:rsidRPr="00436284">
        <w:rPr>
          <w:rFonts w:asciiTheme="minorBidi" w:hAnsiTheme="minorBidi" w:cstheme="minorBidi"/>
          <w:b/>
          <w:bCs/>
          <w:sz w:val="22"/>
          <w:szCs w:val="22"/>
          <w:lang w:val="es-ES_tradnl"/>
        </w:rPr>
        <w:t>Invita</w:t>
      </w:r>
      <w:r w:rsidRPr="00436284">
        <w:rPr>
          <w:rFonts w:asciiTheme="minorBidi" w:hAnsiTheme="minorBidi" w:cstheme="minorBidi"/>
          <w:sz w:val="22"/>
          <w:szCs w:val="22"/>
          <w:lang w:val="es-ES_tradnl"/>
        </w:rPr>
        <w:t xml:space="preserve"> al Secretario Ejecutivo de la COI a que ponga en marcha el proceso piloto de presentación de informes para el año natural 2022 de acuerdo con el siguiente calendario:</w:t>
      </w:r>
    </w:p>
    <w:p w14:paraId="42CA34CB" w14:textId="3F1421E3" w:rsidR="00532396" w:rsidRPr="00436284" w:rsidRDefault="00EF2D5B" w:rsidP="00EC284C">
      <w:pPr>
        <w:pStyle w:val="ListParagraph"/>
        <w:shd w:val="clear" w:color="auto" w:fill="FFFFFF"/>
        <w:tabs>
          <w:tab w:val="clear" w:pos="567"/>
        </w:tabs>
        <w:snapToGrid/>
        <w:spacing w:after="240"/>
        <w:ind w:left="567"/>
        <w:contextualSpacing w:val="0"/>
        <w:jc w:val="both"/>
        <w:rPr>
          <w:rFonts w:asciiTheme="minorBidi" w:eastAsiaTheme="minorHAnsi" w:hAnsiTheme="minorBidi" w:cstheme="minorBidi"/>
          <w:snapToGrid/>
          <w:color w:val="000000"/>
          <w:sz w:val="22"/>
          <w:szCs w:val="22"/>
          <w:lang w:val="es-ES_tradnl"/>
        </w:rPr>
      </w:pPr>
      <w:r w:rsidRPr="00436284">
        <w:rPr>
          <w:rFonts w:asciiTheme="minorBidi" w:hAnsiTheme="minorBidi" w:cstheme="minorBidi"/>
          <w:sz w:val="22"/>
          <w:szCs w:val="22"/>
          <w:u w:val="single"/>
          <w:lang w:val="es-ES_tradnl"/>
        </w:rPr>
        <w:t>de septiembre de 2022 a enero de 2023</w:t>
      </w:r>
      <w:r w:rsidRPr="00436284">
        <w:rPr>
          <w:rFonts w:asciiTheme="minorBidi" w:hAnsiTheme="minorBidi" w:cstheme="minorBidi"/>
          <w:sz w:val="22"/>
          <w:szCs w:val="22"/>
          <w:lang w:val="es-ES_tradnl"/>
        </w:rPr>
        <w:t xml:space="preserve">: la Secretaría de la COI envía una circular a los Estados Miembros en septiembre de 2022 en la que se comunica la metodología y se solicita </w:t>
      </w:r>
      <w:r w:rsidRPr="00436284">
        <w:rPr>
          <w:rFonts w:asciiTheme="minorBidi" w:hAnsiTheme="minorBidi" w:cstheme="minorBidi"/>
          <w:sz w:val="22"/>
          <w:szCs w:val="22"/>
          <w:lang w:val="es-ES_tradnl"/>
        </w:rPr>
        <w:lastRenderedPageBreak/>
        <w:t>que se presenten las declaraciones oficiales de contribuciones para el año natural 2022 a más tardar el 20 de enero de 2023;</w:t>
      </w:r>
    </w:p>
    <w:p w14:paraId="6DC13452" w14:textId="214680FF" w:rsidR="00532396" w:rsidRPr="00436284" w:rsidRDefault="00532396" w:rsidP="002873CE">
      <w:pPr>
        <w:pStyle w:val="ListParagraph"/>
        <w:shd w:val="clear" w:color="auto" w:fill="FFFFFF"/>
        <w:tabs>
          <w:tab w:val="clear" w:pos="567"/>
        </w:tabs>
        <w:snapToGrid/>
        <w:spacing w:after="240"/>
        <w:ind w:left="567"/>
        <w:contextualSpacing w:val="0"/>
        <w:jc w:val="both"/>
        <w:rPr>
          <w:rFonts w:asciiTheme="minorBidi" w:eastAsiaTheme="minorHAnsi" w:hAnsiTheme="minorBidi" w:cstheme="minorBidi"/>
          <w:snapToGrid/>
          <w:color w:val="000000"/>
          <w:sz w:val="22"/>
          <w:szCs w:val="22"/>
          <w:lang w:val="es-ES_tradnl"/>
        </w:rPr>
      </w:pPr>
      <w:r w:rsidRPr="00436284">
        <w:rPr>
          <w:rFonts w:asciiTheme="minorBidi" w:hAnsiTheme="minorBidi" w:cstheme="minorBidi"/>
          <w:sz w:val="22"/>
          <w:szCs w:val="22"/>
          <w:u w:val="single"/>
          <w:lang w:val="es-ES_tradnl"/>
        </w:rPr>
        <w:t>febrero de 2023</w:t>
      </w:r>
      <w:r w:rsidRPr="00436284">
        <w:rPr>
          <w:rFonts w:asciiTheme="minorBidi" w:hAnsiTheme="minorBidi" w:cstheme="minorBidi"/>
          <w:sz w:val="22"/>
          <w:szCs w:val="22"/>
          <w:lang w:val="es-ES_tradnl"/>
        </w:rPr>
        <w:t>: el informe completo sobre las contribuciones en especie se transmite al Grupo Asesor sobre Finanzas para el periodo entre reuniones (periodo entre reuniones 2022</w:t>
      </w:r>
      <w:r w:rsidR="00B46A08" w:rsidRPr="00436284">
        <w:rPr>
          <w:rFonts w:asciiTheme="minorBidi" w:hAnsiTheme="minorBidi" w:cstheme="minorBidi"/>
          <w:sz w:val="22"/>
          <w:szCs w:val="22"/>
          <w:lang w:val="es-ES_tradnl"/>
        </w:rPr>
        <w:noBreakHyphen/>
      </w:r>
      <w:r w:rsidRPr="00436284">
        <w:rPr>
          <w:rFonts w:asciiTheme="minorBidi" w:hAnsiTheme="minorBidi" w:cstheme="minorBidi"/>
          <w:sz w:val="22"/>
          <w:szCs w:val="22"/>
          <w:lang w:val="es-ES_tradnl"/>
        </w:rPr>
        <w:t>2023) para que este lo examine y, según proceda, pueda formular propuestas de revisión de la metodología para su examen por la Asamblea de la COI en 2023;</w:t>
      </w:r>
    </w:p>
    <w:p w14:paraId="4DC21D67" w14:textId="682ECD4B" w:rsidR="00532396" w:rsidRPr="00436284" w:rsidRDefault="00532396" w:rsidP="002873CE">
      <w:pPr>
        <w:pStyle w:val="b"/>
        <w:numPr>
          <w:ilvl w:val="0"/>
          <w:numId w:val="9"/>
        </w:numPr>
        <w:tabs>
          <w:tab w:val="clear" w:pos="-737"/>
          <w:tab w:val="clear" w:pos="1134"/>
        </w:tabs>
        <w:ind w:left="567" w:hanging="567"/>
        <w:rPr>
          <w:rFonts w:asciiTheme="minorBidi" w:eastAsia="Calibri" w:hAnsiTheme="minorBidi" w:cstheme="minorBidi"/>
          <w:sz w:val="22"/>
          <w:szCs w:val="22"/>
          <w:lang w:val="es-ES_tradnl"/>
        </w:rPr>
      </w:pPr>
      <w:r w:rsidRPr="00436284">
        <w:rPr>
          <w:rFonts w:asciiTheme="minorBidi" w:hAnsiTheme="minorBidi" w:cstheme="minorBidi"/>
          <w:b/>
          <w:bCs/>
          <w:sz w:val="22"/>
          <w:szCs w:val="22"/>
          <w:lang w:val="es-ES_tradnl"/>
        </w:rPr>
        <w:t>Invita también</w:t>
      </w:r>
      <w:r w:rsidRPr="00436284">
        <w:rPr>
          <w:rFonts w:asciiTheme="minorBidi" w:hAnsiTheme="minorBidi" w:cstheme="minorBidi"/>
          <w:sz w:val="22"/>
          <w:szCs w:val="22"/>
          <w:lang w:val="es-ES_tradnl"/>
        </w:rPr>
        <w:t xml:space="preserve"> al Secretario Ejecutivo de la COI a que presente dicho informe a la Asamblea de la COI en su 32ª reunión para que lo examine y decida sobre la presentación de informes</w:t>
      </w:r>
      <w:r w:rsidR="0076037F" w:rsidRPr="00436284">
        <w:rPr>
          <w:rFonts w:asciiTheme="minorBidi" w:hAnsiTheme="minorBidi" w:cstheme="minorBidi"/>
          <w:sz w:val="22"/>
          <w:szCs w:val="22"/>
          <w:lang w:val="es-ES_tradnl"/>
        </w:rPr>
        <w:t xml:space="preserve"> en el futuro</w:t>
      </w:r>
      <w:r w:rsidRPr="00436284">
        <w:rPr>
          <w:rFonts w:asciiTheme="minorBidi" w:hAnsiTheme="minorBidi" w:cstheme="minorBidi"/>
          <w:sz w:val="22"/>
          <w:szCs w:val="22"/>
          <w:lang w:val="es-ES_tradnl"/>
        </w:rPr>
        <w:t>;</w:t>
      </w:r>
    </w:p>
    <w:p w14:paraId="64D64422" w14:textId="259FFA34" w:rsidR="00825F39" w:rsidRPr="00436284" w:rsidRDefault="00825F39" w:rsidP="002873CE">
      <w:pPr>
        <w:pStyle w:val="b"/>
        <w:numPr>
          <w:ilvl w:val="0"/>
          <w:numId w:val="9"/>
        </w:numPr>
        <w:tabs>
          <w:tab w:val="clear" w:pos="-737"/>
          <w:tab w:val="clear" w:pos="1134"/>
        </w:tabs>
        <w:ind w:left="567" w:hanging="567"/>
        <w:rPr>
          <w:rFonts w:asciiTheme="minorBidi" w:eastAsia="Calibri" w:hAnsiTheme="minorBidi" w:cstheme="minorBidi"/>
          <w:sz w:val="22"/>
          <w:szCs w:val="22"/>
          <w:lang w:val="es-ES_tradnl"/>
        </w:rPr>
      </w:pPr>
      <w:r w:rsidRPr="00436284">
        <w:rPr>
          <w:rFonts w:asciiTheme="minorBidi" w:hAnsiTheme="minorBidi" w:cstheme="minorBidi"/>
          <w:b/>
          <w:bCs/>
          <w:sz w:val="22"/>
          <w:szCs w:val="22"/>
          <w:lang w:val="es-ES_tradnl"/>
        </w:rPr>
        <w:t xml:space="preserve">Pide </w:t>
      </w:r>
      <w:r w:rsidRPr="00436284">
        <w:rPr>
          <w:rFonts w:asciiTheme="minorBidi" w:hAnsiTheme="minorBidi" w:cstheme="minorBidi"/>
          <w:sz w:val="22"/>
          <w:szCs w:val="22"/>
          <w:lang w:val="es-ES_tradnl"/>
        </w:rPr>
        <w:t>al Secretario Ejecutivo de la COI que trabaje en los asuntos que son objeto de la presente resolución en consulta con el Grupo Asesor sobre Finanzas para el periodo entre reuniones durante el periodo entre reuniones 2022-2023.</w:t>
      </w:r>
    </w:p>
    <w:sectPr w:rsidR="00825F39" w:rsidRPr="00436284" w:rsidSect="002873CE">
      <w:headerReference w:type="even" r:id="rId8"/>
      <w:headerReference w:type="default" r:id="rId9"/>
      <w:pgSz w:w="11907" w:h="16840" w:code="9"/>
      <w:pgMar w:top="1418"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63B95" w14:textId="77777777" w:rsidR="00892E2B" w:rsidRDefault="00892E2B" w:rsidP="006D0597">
      <w:r>
        <w:separator/>
      </w:r>
    </w:p>
  </w:endnote>
  <w:endnote w:type="continuationSeparator" w:id="0">
    <w:p w14:paraId="3B3058DB" w14:textId="77777777" w:rsidR="00892E2B" w:rsidRDefault="00892E2B" w:rsidP="006D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41A4C" w14:textId="77777777" w:rsidR="00892E2B" w:rsidRDefault="00892E2B" w:rsidP="006D0597">
      <w:r>
        <w:separator/>
      </w:r>
    </w:p>
  </w:footnote>
  <w:footnote w:type="continuationSeparator" w:id="0">
    <w:p w14:paraId="1D7F9D8E" w14:textId="77777777" w:rsidR="00892E2B" w:rsidRDefault="00892E2B" w:rsidP="006D0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3E1D" w14:textId="1BEF8A7C" w:rsidR="006D0597" w:rsidRPr="002873CE" w:rsidRDefault="006D0597" w:rsidP="002873CE">
    <w:pPr>
      <w:rPr>
        <w:rFonts w:ascii="Arial" w:hAnsi="Arial" w:cs="Arial"/>
        <w:bCs/>
        <w:sz w:val="22"/>
        <w:szCs w:val="22"/>
        <w:lang w:val="es-ES_tradnl"/>
      </w:rPr>
    </w:pPr>
    <w:r w:rsidRPr="002873CE">
      <w:rPr>
        <w:rFonts w:ascii="Arial" w:hAnsi="Arial" w:cs="Arial"/>
        <w:sz w:val="22"/>
        <w:szCs w:val="22"/>
        <w:lang w:val="es-ES_tradnl"/>
      </w:rPr>
      <w:t>EC-55/DR.[5.2]</w:t>
    </w:r>
    <w:r w:rsidR="002873CE">
      <w:rPr>
        <w:rFonts w:ascii="Arial" w:hAnsi="Arial" w:cs="Arial"/>
        <w:sz w:val="22"/>
        <w:szCs w:val="22"/>
        <w:lang w:val="es-ES_tradnl"/>
      </w:rPr>
      <w:t xml:space="preserve"> – </w:t>
    </w:r>
    <w:r w:rsidRPr="002873CE">
      <w:rPr>
        <w:rFonts w:ascii="Arial" w:hAnsi="Arial" w:cs="Arial"/>
        <w:bCs/>
        <w:sz w:val="22"/>
        <w:szCs w:val="22"/>
        <w:lang w:val="es-ES_tradnl"/>
      </w:rPr>
      <w:t>p</w:t>
    </w:r>
    <w:r w:rsidR="005056A7" w:rsidRPr="002873CE">
      <w:rPr>
        <w:rFonts w:ascii="Arial" w:hAnsi="Arial" w:cs="Arial"/>
        <w:bCs/>
        <w:sz w:val="22"/>
        <w:szCs w:val="22"/>
        <w:lang w:val="es-ES_tradnl"/>
      </w:rPr>
      <w:t>á</w:t>
    </w:r>
    <w:r w:rsidRPr="002873CE">
      <w:rPr>
        <w:rFonts w:ascii="Arial" w:hAnsi="Arial" w:cs="Arial"/>
        <w:bCs/>
        <w:sz w:val="22"/>
        <w:szCs w:val="22"/>
        <w:lang w:val="es-ES_tradnl"/>
      </w:rPr>
      <w:t>g</w:t>
    </w:r>
    <w:r w:rsidR="005056A7" w:rsidRPr="002873CE">
      <w:rPr>
        <w:rFonts w:ascii="Arial" w:hAnsi="Arial" w:cs="Arial"/>
        <w:bCs/>
        <w:sz w:val="22"/>
        <w:szCs w:val="22"/>
        <w:lang w:val="es-ES_tradnl"/>
      </w:rPr>
      <w:t>.</w:t>
    </w:r>
    <w:r w:rsidRPr="002873CE">
      <w:rPr>
        <w:rFonts w:ascii="Arial" w:hAnsi="Arial" w:cs="Arial"/>
        <w:bCs/>
        <w:sz w:val="22"/>
        <w:szCs w:val="22"/>
        <w:lang w:val="es-ES_tradnl"/>
      </w:rPr>
      <w:t xml:space="preserve"> </w:t>
    </w:r>
    <w:r w:rsidRPr="002873CE">
      <w:rPr>
        <w:rFonts w:ascii="Arial" w:hAnsi="Arial" w:cs="Arial"/>
        <w:bCs/>
        <w:sz w:val="22"/>
        <w:szCs w:val="22"/>
        <w:lang w:val="es-ES_tradnl"/>
      </w:rPr>
      <w:fldChar w:fldCharType="begin"/>
    </w:r>
    <w:r w:rsidRPr="002873CE">
      <w:rPr>
        <w:rFonts w:ascii="Arial" w:hAnsi="Arial" w:cs="Arial"/>
        <w:bCs/>
        <w:sz w:val="22"/>
        <w:szCs w:val="22"/>
        <w:lang w:val="es-ES_tradnl"/>
      </w:rPr>
      <w:instrText xml:space="preserve"> PAGE   \* MERGEFORMAT </w:instrText>
    </w:r>
    <w:r w:rsidRPr="002873CE">
      <w:rPr>
        <w:rFonts w:ascii="Arial" w:hAnsi="Arial" w:cs="Arial"/>
        <w:bCs/>
        <w:sz w:val="22"/>
        <w:szCs w:val="22"/>
        <w:lang w:val="es-ES_tradnl"/>
      </w:rPr>
      <w:fldChar w:fldCharType="separate"/>
    </w:r>
    <w:r w:rsidR="0055537B" w:rsidRPr="002873CE">
      <w:rPr>
        <w:rFonts w:ascii="Arial" w:hAnsi="Arial" w:cs="Arial"/>
        <w:bCs/>
        <w:noProof/>
        <w:sz w:val="22"/>
        <w:szCs w:val="22"/>
        <w:lang w:val="es-ES_tradnl"/>
      </w:rPr>
      <w:t>2</w:t>
    </w:r>
    <w:r w:rsidRPr="002873CE">
      <w:rPr>
        <w:rFonts w:ascii="Arial" w:hAnsi="Arial" w:cs="Arial"/>
        <w:bCs/>
        <w:noProof/>
        <w:sz w:val="22"/>
        <w:szCs w:val="22"/>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EC00" w14:textId="77777777" w:rsidR="002873CE" w:rsidRPr="002873CE" w:rsidRDefault="002873CE" w:rsidP="002873CE">
    <w:pPr>
      <w:jc w:val="right"/>
      <w:rPr>
        <w:rFonts w:ascii="Arial" w:hAnsi="Arial" w:cs="Arial"/>
        <w:bCs/>
        <w:sz w:val="22"/>
        <w:szCs w:val="22"/>
        <w:lang w:val="es-ES_tradnl"/>
      </w:rPr>
    </w:pPr>
    <w:r w:rsidRPr="002873CE">
      <w:rPr>
        <w:rFonts w:ascii="Arial" w:hAnsi="Arial" w:cs="Arial"/>
        <w:sz w:val="22"/>
        <w:szCs w:val="22"/>
        <w:lang w:val="es-ES_tradnl"/>
      </w:rPr>
      <w:t xml:space="preserve">EC-55/DR.[5.2] – </w:t>
    </w:r>
    <w:r w:rsidRPr="002873CE">
      <w:rPr>
        <w:rFonts w:ascii="Arial" w:hAnsi="Arial" w:cs="Arial"/>
        <w:bCs/>
        <w:sz w:val="22"/>
        <w:szCs w:val="22"/>
        <w:lang w:val="es-ES_tradnl"/>
      </w:rPr>
      <w:t xml:space="preserve">pág. </w:t>
    </w:r>
    <w:r w:rsidRPr="002873CE">
      <w:rPr>
        <w:rFonts w:ascii="Arial" w:hAnsi="Arial" w:cs="Arial"/>
        <w:bCs/>
        <w:sz w:val="22"/>
        <w:szCs w:val="22"/>
        <w:lang w:val="es-ES_tradnl"/>
      </w:rPr>
      <w:fldChar w:fldCharType="begin"/>
    </w:r>
    <w:r w:rsidRPr="002873CE">
      <w:rPr>
        <w:rFonts w:ascii="Arial" w:hAnsi="Arial" w:cs="Arial"/>
        <w:bCs/>
        <w:sz w:val="22"/>
        <w:szCs w:val="22"/>
        <w:lang w:val="es-ES_tradnl"/>
      </w:rPr>
      <w:instrText xml:space="preserve"> PAGE   \* MERGEFORMAT </w:instrText>
    </w:r>
    <w:r w:rsidRPr="002873CE">
      <w:rPr>
        <w:rFonts w:ascii="Arial" w:hAnsi="Arial" w:cs="Arial"/>
        <w:bCs/>
        <w:sz w:val="22"/>
        <w:szCs w:val="22"/>
        <w:lang w:val="es-ES_tradnl"/>
      </w:rPr>
      <w:fldChar w:fldCharType="separate"/>
    </w:r>
    <w:r w:rsidRPr="002873CE">
      <w:rPr>
        <w:rFonts w:ascii="Arial" w:hAnsi="Arial" w:cs="Arial"/>
        <w:bCs/>
        <w:sz w:val="22"/>
        <w:szCs w:val="22"/>
        <w:lang w:val="es-ES_tradnl"/>
      </w:rPr>
      <w:t>2</w:t>
    </w:r>
    <w:r w:rsidRPr="002873CE">
      <w:rPr>
        <w:rFonts w:ascii="Arial" w:hAnsi="Arial" w:cs="Arial"/>
        <w:bCs/>
        <w:noProof/>
        <w:sz w:val="22"/>
        <w:szCs w:val="22"/>
        <w:lang w:val="es-ES_trad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A4252B"/>
    <w:multiLevelType w:val="multilevel"/>
    <w:tmpl w:val="8F5C50D8"/>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4"/>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0B4842"/>
    <w:multiLevelType w:val="multilevel"/>
    <w:tmpl w:val="8370C8F0"/>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B2CF1"/>
    <w:multiLevelType w:val="hybridMultilevel"/>
    <w:tmpl w:val="ABEE545A"/>
    <w:lvl w:ilvl="0" w:tplc="2990D632">
      <w:start w:val="1"/>
      <w:numFmt w:val="lowerRoman"/>
      <w:lvlText w:val="%1)"/>
      <w:lvlJc w:val="left"/>
      <w:pPr>
        <w:ind w:left="1211" w:hanging="360"/>
      </w:pPr>
      <w:rPr>
        <w:rFonts w:asciiTheme="minorBidi" w:eastAsia="MS Mincho" w:hAnsiTheme="minorBidi" w:cstheme="minorBidi" w:hint="default"/>
        <w:b w:val="0"/>
        <w:bCs w:val="0"/>
        <w:i w:val="0"/>
        <w:iCs w:val="0"/>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 w15:restartNumberingAfterBreak="0">
    <w:nsid w:val="08751969"/>
    <w:multiLevelType w:val="multilevel"/>
    <w:tmpl w:val="8D1E4284"/>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E6F7C14"/>
    <w:multiLevelType w:val="hybridMultilevel"/>
    <w:tmpl w:val="C2C0BF74"/>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0E7022F6"/>
    <w:multiLevelType w:val="hybridMultilevel"/>
    <w:tmpl w:val="78D644C0"/>
    <w:lvl w:ilvl="0" w:tplc="AECAF180">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1A9166BC"/>
    <w:multiLevelType w:val="hybridMultilevel"/>
    <w:tmpl w:val="D2BE6D6A"/>
    <w:lvl w:ilvl="0" w:tplc="1E1A5676">
      <w:start w:val="1"/>
      <w:numFmt w:val="decimal"/>
      <w:lvlText w:val="%1."/>
      <w:lvlJc w:val="left"/>
      <w:pPr>
        <w:ind w:left="720" w:hanging="360"/>
      </w:pPr>
      <w:rPr>
        <w:rFonts w:asciiTheme="minorBidi" w:eastAsiaTheme="minorHAnsi" w:hAnsiTheme="minorBid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BC33398"/>
    <w:multiLevelType w:val="hybridMultilevel"/>
    <w:tmpl w:val="6CC8C5BC"/>
    <w:lvl w:ilvl="0" w:tplc="39002AE6">
      <w:start w:val="1"/>
      <w:numFmt w:val="decimal"/>
      <w:lvlText w:val="%1."/>
      <w:lvlJc w:val="left"/>
      <w:pPr>
        <w:ind w:left="720" w:hanging="360"/>
      </w:pPr>
      <w:rPr>
        <w:rFonts w:ascii="Arial" w:hAnsi="Arial" w:cs="Arial" w:hint="default"/>
        <w:b w:val="0"/>
        <w:bCs/>
        <w:i w:val="0"/>
        <w:iCs/>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0" w15:restartNumberingAfterBreak="0">
    <w:nsid w:val="259F0891"/>
    <w:multiLevelType w:val="multilevel"/>
    <w:tmpl w:val="8FB0B6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830008F"/>
    <w:multiLevelType w:val="hybridMultilevel"/>
    <w:tmpl w:val="2FDA2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13" w15:restartNumberingAfterBreak="0">
    <w:nsid w:val="352A37BF"/>
    <w:multiLevelType w:val="hybridMultilevel"/>
    <w:tmpl w:val="E15656C6"/>
    <w:lvl w:ilvl="0" w:tplc="F31C1A3C">
      <w:start w:val="1"/>
      <w:numFmt w:val="upperRoman"/>
      <w:lvlText w:val="%1."/>
      <w:lvlJc w:val="left"/>
      <w:pPr>
        <w:ind w:left="2223" w:hanging="936"/>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14" w15:restartNumberingAfterBreak="0">
    <w:nsid w:val="37487F3C"/>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485BFE"/>
    <w:multiLevelType w:val="hybridMultilevel"/>
    <w:tmpl w:val="87D2F85C"/>
    <w:lvl w:ilvl="0" w:tplc="2990D632">
      <w:start w:val="1"/>
      <w:numFmt w:val="lowerRoman"/>
      <w:lvlText w:val="%1)"/>
      <w:lvlJc w:val="left"/>
      <w:pPr>
        <w:ind w:left="1211" w:hanging="360"/>
      </w:pPr>
      <w:rPr>
        <w:rFonts w:asciiTheme="minorBidi" w:eastAsia="MS Mincho" w:hAnsiTheme="minorBidi" w:cstheme="minorBidi" w:hint="default"/>
        <w:b w:val="0"/>
        <w:bCs w:val="0"/>
        <w:i w:val="0"/>
        <w:iCs w:val="0"/>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6" w15:restartNumberingAfterBreak="0">
    <w:nsid w:val="41A04F76"/>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C17629"/>
    <w:multiLevelType w:val="hybridMultilevel"/>
    <w:tmpl w:val="D362F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3C11E7"/>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2646EE"/>
    <w:multiLevelType w:val="hybridMultilevel"/>
    <w:tmpl w:val="7EB0BD6A"/>
    <w:lvl w:ilvl="0" w:tplc="42A4FCC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7C755613"/>
    <w:multiLevelType w:val="hybridMultilevel"/>
    <w:tmpl w:val="4FAC10BE"/>
    <w:lvl w:ilvl="0" w:tplc="2990D632">
      <w:start w:val="1"/>
      <w:numFmt w:val="lowerRoman"/>
      <w:lvlText w:val="%1)"/>
      <w:lvlJc w:val="left"/>
      <w:pPr>
        <w:ind w:left="1287" w:hanging="720"/>
      </w:pPr>
      <w:rPr>
        <w:rFonts w:asciiTheme="minorBidi" w:eastAsia="MS Mincho" w:hAnsiTheme="minorBidi" w:cstheme="minorBidi" w:hint="default"/>
        <w:b w:val="0"/>
        <w:bCs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15:restartNumberingAfterBreak="0">
    <w:nsid w:val="7E695DCC"/>
    <w:multiLevelType w:val="hybridMultilevel"/>
    <w:tmpl w:val="40C8B202"/>
    <w:lvl w:ilvl="0" w:tplc="541E8C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abstractNumId w:val="0"/>
  </w:num>
  <w:num w:numId="2">
    <w:abstractNumId w:val="20"/>
  </w:num>
  <w:num w:numId="3">
    <w:abstractNumId w:val="10"/>
  </w:num>
  <w:num w:numId="4">
    <w:abstractNumId w:val="2"/>
  </w:num>
  <w:num w:numId="5">
    <w:abstractNumId w:val="18"/>
  </w:num>
  <w:num w:numId="6">
    <w:abstractNumId w:val="14"/>
  </w:num>
  <w:num w:numId="7">
    <w:abstractNumId w:val="16"/>
  </w:num>
  <w:num w:numId="8">
    <w:abstractNumId w:val="6"/>
  </w:num>
  <w:num w:numId="9">
    <w:abstractNumId w:val="8"/>
  </w:num>
  <w:num w:numId="10">
    <w:abstractNumId w:val="4"/>
  </w:num>
  <w:num w:numId="11">
    <w:abstractNumId w:val="7"/>
  </w:num>
  <w:num w:numId="12">
    <w:abstractNumId w:val="1"/>
  </w:num>
  <w:num w:numId="13">
    <w:abstractNumId w:val="11"/>
  </w:num>
  <w:num w:numId="14">
    <w:abstractNumId w:val="21"/>
  </w:num>
  <w:num w:numId="15">
    <w:abstractNumId w:val="13"/>
  </w:num>
  <w:num w:numId="16">
    <w:abstractNumId w:val="9"/>
  </w:num>
  <w:num w:numId="17">
    <w:abstractNumId w:val="19"/>
  </w:num>
  <w:num w:numId="18">
    <w:abstractNumId w:val="22"/>
  </w:num>
  <w:num w:numId="19">
    <w:abstractNumId w:val="12"/>
  </w:num>
  <w:num w:numId="20">
    <w:abstractNumId w:val="17"/>
  </w:num>
  <w:num w:numId="21">
    <w:abstractNumId w:val="5"/>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defaultTabStop w:val="720"/>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493"/>
    <w:rsid w:val="00002B42"/>
    <w:rsid w:val="00010F33"/>
    <w:rsid w:val="00015C46"/>
    <w:rsid w:val="000168D0"/>
    <w:rsid w:val="0002089D"/>
    <w:rsid w:val="00032890"/>
    <w:rsid w:val="00036A5B"/>
    <w:rsid w:val="00043C54"/>
    <w:rsid w:val="00044F46"/>
    <w:rsid w:val="00047244"/>
    <w:rsid w:val="000517B6"/>
    <w:rsid w:val="00072EAE"/>
    <w:rsid w:val="000743BB"/>
    <w:rsid w:val="000747D1"/>
    <w:rsid w:val="00085397"/>
    <w:rsid w:val="00094D17"/>
    <w:rsid w:val="000A73D8"/>
    <w:rsid w:val="000A7F61"/>
    <w:rsid w:val="000D249F"/>
    <w:rsid w:val="000D6434"/>
    <w:rsid w:val="000D6786"/>
    <w:rsid w:val="000E344F"/>
    <w:rsid w:val="000E6DE1"/>
    <w:rsid w:val="001051AA"/>
    <w:rsid w:val="00122495"/>
    <w:rsid w:val="00127609"/>
    <w:rsid w:val="00137A1E"/>
    <w:rsid w:val="00153381"/>
    <w:rsid w:val="001564A0"/>
    <w:rsid w:val="00157D10"/>
    <w:rsid w:val="001750B5"/>
    <w:rsid w:val="001903A0"/>
    <w:rsid w:val="00194CE1"/>
    <w:rsid w:val="001B1B3B"/>
    <w:rsid w:val="001C0D97"/>
    <w:rsid w:val="001D0CD8"/>
    <w:rsid w:val="001D5B1D"/>
    <w:rsid w:val="001E34AB"/>
    <w:rsid w:val="001E39DB"/>
    <w:rsid w:val="001F3F56"/>
    <w:rsid w:val="001F475E"/>
    <w:rsid w:val="00222214"/>
    <w:rsid w:val="002500BA"/>
    <w:rsid w:val="00260655"/>
    <w:rsid w:val="002649D8"/>
    <w:rsid w:val="00271989"/>
    <w:rsid w:val="00285C1C"/>
    <w:rsid w:val="002873CE"/>
    <w:rsid w:val="00291205"/>
    <w:rsid w:val="00291C31"/>
    <w:rsid w:val="002A1E26"/>
    <w:rsid w:val="002A467C"/>
    <w:rsid w:val="002B0345"/>
    <w:rsid w:val="002B0AD4"/>
    <w:rsid w:val="002B1D58"/>
    <w:rsid w:val="002B5650"/>
    <w:rsid w:val="002B6DFF"/>
    <w:rsid w:val="002C1CE1"/>
    <w:rsid w:val="002C271E"/>
    <w:rsid w:val="002D47A6"/>
    <w:rsid w:val="002E19BA"/>
    <w:rsid w:val="002E79FC"/>
    <w:rsid w:val="002F4995"/>
    <w:rsid w:val="00314CA0"/>
    <w:rsid w:val="00315F6C"/>
    <w:rsid w:val="00320AFA"/>
    <w:rsid w:val="003226F3"/>
    <w:rsid w:val="00331026"/>
    <w:rsid w:val="003574E2"/>
    <w:rsid w:val="00371CCD"/>
    <w:rsid w:val="00387CF2"/>
    <w:rsid w:val="00394092"/>
    <w:rsid w:val="003A14D1"/>
    <w:rsid w:val="003A4DED"/>
    <w:rsid w:val="003B27DE"/>
    <w:rsid w:val="003C1E3C"/>
    <w:rsid w:val="003C5CB6"/>
    <w:rsid w:val="003D4FC0"/>
    <w:rsid w:val="003E3AC9"/>
    <w:rsid w:val="003E3F65"/>
    <w:rsid w:val="003F2754"/>
    <w:rsid w:val="004057BB"/>
    <w:rsid w:val="0041087D"/>
    <w:rsid w:val="00412BA6"/>
    <w:rsid w:val="00427AC8"/>
    <w:rsid w:val="004302F9"/>
    <w:rsid w:val="00436284"/>
    <w:rsid w:val="00444D97"/>
    <w:rsid w:val="00453BBE"/>
    <w:rsid w:val="004548D3"/>
    <w:rsid w:val="004569F7"/>
    <w:rsid w:val="00473E15"/>
    <w:rsid w:val="00492B66"/>
    <w:rsid w:val="00493830"/>
    <w:rsid w:val="0049425E"/>
    <w:rsid w:val="004A0A45"/>
    <w:rsid w:val="004B4881"/>
    <w:rsid w:val="004C3CE8"/>
    <w:rsid w:val="004D15F9"/>
    <w:rsid w:val="004D6C13"/>
    <w:rsid w:val="004E7E5B"/>
    <w:rsid w:val="00502B7F"/>
    <w:rsid w:val="005056A7"/>
    <w:rsid w:val="00512B5A"/>
    <w:rsid w:val="00513DF3"/>
    <w:rsid w:val="00532396"/>
    <w:rsid w:val="00532C23"/>
    <w:rsid w:val="005353C2"/>
    <w:rsid w:val="00543430"/>
    <w:rsid w:val="00545304"/>
    <w:rsid w:val="0055537B"/>
    <w:rsid w:val="005626E9"/>
    <w:rsid w:val="005638D9"/>
    <w:rsid w:val="00571AC5"/>
    <w:rsid w:val="00577C2E"/>
    <w:rsid w:val="00581141"/>
    <w:rsid w:val="005C4C56"/>
    <w:rsid w:val="005C5FF8"/>
    <w:rsid w:val="005E0B8A"/>
    <w:rsid w:val="005E62DC"/>
    <w:rsid w:val="005F433F"/>
    <w:rsid w:val="005F4B89"/>
    <w:rsid w:val="005F4DFB"/>
    <w:rsid w:val="00602A84"/>
    <w:rsid w:val="00612CC5"/>
    <w:rsid w:val="00617623"/>
    <w:rsid w:val="006278BC"/>
    <w:rsid w:val="006343D3"/>
    <w:rsid w:val="006354A9"/>
    <w:rsid w:val="00643DC1"/>
    <w:rsid w:val="00684693"/>
    <w:rsid w:val="0068597B"/>
    <w:rsid w:val="006974A9"/>
    <w:rsid w:val="006A02CE"/>
    <w:rsid w:val="006A6D43"/>
    <w:rsid w:val="006B027C"/>
    <w:rsid w:val="006B2514"/>
    <w:rsid w:val="006B7440"/>
    <w:rsid w:val="006C02EB"/>
    <w:rsid w:val="006D0597"/>
    <w:rsid w:val="006F4EF7"/>
    <w:rsid w:val="006F5709"/>
    <w:rsid w:val="006F6055"/>
    <w:rsid w:val="00714601"/>
    <w:rsid w:val="0074514F"/>
    <w:rsid w:val="007529D2"/>
    <w:rsid w:val="00755D90"/>
    <w:rsid w:val="007602AB"/>
    <w:rsid w:val="0076037F"/>
    <w:rsid w:val="007642AD"/>
    <w:rsid w:val="0076504D"/>
    <w:rsid w:val="00767CF6"/>
    <w:rsid w:val="00782DE6"/>
    <w:rsid w:val="0079274B"/>
    <w:rsid w:val="007A4762"/>
    <w:rsid w:val="007B148E"/>
    <w:rsid w:val="007B1F03"/>
    <w:rsid w:val="007C3923"/>
    <w:rsid w:val="007C398E"/>
    <w:rsid w:val="007C467F"/>
    <w:rsid w:val="007D1B26"/>
    <w:rsid w:val="007E0187"/>
    <w:rsid w:val="007E3A84"/>
    <w:rsid w:val="007F53DE"/>
    <w:rsid w:val="007F6C53"/>
    <w:rsid w:val="007F7B14"/>
    <w:rsid w:val="008003D0"/>
    <w:rsid w:val="0080412A"/>
    <w:rsid w:val="008104A3"/>
    <w:rsid w:val="00815464"/>
    <w:rsid w:val="00825F39"/>
    <w:rsid w:val="0082690B"/>
    <w:rsid w:val="00837448"/>
    <w:rsid w:val="0084747B"/>
    <w:rsid w:val="00854458"/>
    <w:rsid w:val="00856599"/>
    <w:rsid w:val="00865277"/>
    <w:rsid w:val="00891A3F"/>
    <w:rsid w:val="00892E2B"/>
    <w:rsid w:val="008A0F94"/>
    <w:rsid w:val="008A1868"/>
    <w:rsid w:val="008A5FBD"/>
    <w:rsid w:val="008A7002"/>
    <w:rsid w:val="008B7758"/>
    <w:rsid w:val="008E3DD4"/>
    <w:rsid w:val="008F10FD"/>
    <w:rsid w:val="008F3017"/>
    <w:rsid w:val="008F7157"/>
    <w:rsid w:val="00924048"/>
    <w:rsid w:val="00934CDA"/>
    <w:rsid w:val="0093649D"/>
    <w:rsid w:val="00936DFC"/>
    <w:rsid w:val="00942222"/>
    <w:rsid w:val="0096068C"/>
    <w:rsid w:val="00990FF7"/>
    <w:rsid w:val="00991DE0"/>
    <w:rsid w:val="009969B5"/>
    <w:rsid w:val="00996BFF"/>
    <w:rsid w:val="009D7DAF"/>
    <w:rsid w:val="009E0B61"/>
    <w:rsid w:val="009E1650"/>
    <w:rsid w:val="009F1985"/>
    <w:rsid w:val="009F44AF"/>
    <w:rsid w:val="00A06FCB"/>
    <w:rsid w:val="00A23707"/>
    <w:rsid w:val="00A279AB"/>
    <w:rsid w:val="00A3508D"/>
    <w:rsid w:val="00A3677E"/>
    <w:rsid w:val="00A70583"/>
    <w:rsid w:val="00A714D1"/>
    <w:rsid w:val="00A74B43"/>
    <w:rsid w:val="00A914FF"/>
    <w:rsid w:val="00AB0788"/>
    <w:rsid w:val="00AB0EE9"/>
    <w:rsid w:val="00AC0A18"/>
    <w:rsid w:val="00AC29F1"/>
    <w:rsid w:val="00B01A7E"/>
    <w:rsid w:val="00B20A2C"/>
    <w:rsid w:val="00B42117"/>
    <w:rsid w:val="00B45827"/>
    <w:rsid w:val="00B46A08"/>
    <w:rsid w:val="00B503DD"/>
    <w:rsid w:val="00B5070E"/>
    <w:rsid w:val="00B528F5"/>
    <w:rsid w:val="00B60569"/>
    <w:rsid w:val="00B70367"/>
    <w:rsid w:val="00B705A8"/>
    <w:rsid w:val="00B71151"/>
    <w:rsid w:val="00B86DD2"/>
    <w:rsid w:val="00BA2656"/>
    <w:rsid w:val="00BA42EF"/>
    <w:rsid w:val="00BB0F29"/>
    <w:rsid w:val="00BC2C20"/>
    <w:rsid w:val="00BC76A6"/>
    <w:rsid w:val="00BE40AC"/>
    <w:rsid w:val="00C039DF"/>
    <w:rsid w:val="00C063AC"/>
    <w:rsid w:val="00C068AF"/>
    <w:rsid w:val="00C06FC8"/>
    <w:rsid w:val="00C1352A"/>
    <w:rsid w:val="00C1538A"/>
    <w:rsid w:val="00C203B4"/>
    <w:rsid w:val="00C27652"/>
    <w:rsid w:val="00C27D14"/>
    <w:rsid w:val="00C311DD"/>
    <w:rsid w:val="00C3374D"/>
    <w:rsid w:val="00C363FE"/>
    <w:rsid w:val="00C62D6D"/>
    <w:rsid w:val="00C631C3"/>
    <w:rsid w:val="00C82158"/>
    <w:rsid w:val="00C84C61"/>
    <w:rsid w:val="00C85745"/>
    <w:rsid w:val="00C874E2"/>
    <w:rsid w:val="00C9293A"/>
    <w:rsid w:val="00C9755D"/>
    <w:rsid w:val="00CA3DF3"/>
    <w:rsid w:val="00CC6D9C"/>
    <w:rsid w:val="00CD214B"/>
    <w:rsid w:val="00CE125C"/>
    <w:rsid w:val="00CE79CB"/>
    <w:rsid w:val="00CF4B94"/>
    <w:rsid w:val="00D17D3D"/>
    <w:rsid w:val="00D3033E"/>
    <w:rsid w:val="00D3722D"/>
    <w:rsid w:val="00D42A63"/>
    <w:rsid w:val="00D53493"/>
    <w:rsid w:val="00D556B7"/>
    <w:rsid w:val="00D56463"/>
    <w:rsid w:val="00D615EB"/>
    <w:rsid w:val="00D62192"/>
    <w:rsid w:val="00D66411"/>
    <w:rsid w:val="00D773C8"/>
    <w:rsid w:val="00D952F6"/>
    <w:rsid w:val="00DA4CD1"/>
    <w:rsid w:val="00DB6350"/>
    <w:rsid w:val="00DC1FC5"/>
    <w:rsid w:val="00DC270F"/>
    <w:rsid w:val="00DE04BD"/>
    <w:rsid w:val="00DE65CE"/>
    <w:rsid w:val="00DE661D"/>
    <w:rsid w:val="00DE7F66"/>
    <w:rsid w:val="00DF6E9E"/>
    <w:rsid w:val="00E011DB"/>
    <w:rsid w:val="00E03B03"/>
    <w:rsid w:val="00E311FA"/>
    <w:rsid w:val="00E31C92"/>
    <w:rsid w:val="00E33778"/>
    <w:rsid w:val="00E4329D"/>
    <w:rsid w:val="00E47393"/>
    <w:rsid w:val="00E61069"/>
    <w:rsid w:val="00E63726"/>
    <w:rsid w:val="00E7572E"/>
    <w:rsid w:val="00E95E6A"/>
    <w:rsid w:val="00EB0F4F"/>
    <w:rsid w:val="00EB1CC9"/>
    <w:rsid w:val="00EB2553"/>
    <w:rsid w:val="00EC284C"/>
    <w:rsid w:val="00ED2A9F"/>
    <w:rsid w:val="00EE24C9"/>
    <w:rsid w:val="00EF2D5B"/>
    <w:rsid w:val="00F06A2B"/>
    <w:rsid w:val="00F20672"/>
    <w:rsid w:val="00F35026"/>
    <w:rsid w:val="00F45C06"/>
    <w:rsid w:val="00F57DDF"/>
    <w:rsid w:val="00F6037B"/>
    <w:rsid w:val="00F6277D"/>
    <w:rsid w:val="00F75A9E"/>
    <w:rsid w:val="00F85958"/>
    <w:rsid w:val="00F93FA0"/>
    <w:rsid w:val="00F978F8"/>
    <w:rsid w:val="00FB28BD"/>
    <w:rsid w:val="00FB3BEB"/>
    <w:rsid w:val="00FD20DC"/>
    <w:rsid w:val="00FF1299"/>
    <w:rsid w:val="00FF7D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CCC89"/>
  <w15:chartTrackingRefBased/>
  <w15:docId w15:val="{C4311C63-A251-4B06-86FD-9FD5A47E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493"/>
    <w:pPr>
      <w:tabs>
        <w:tab w:val="left" w:pos="567"/>
      </w:tabs>
      <w:snapToGrid w:val="0"/>
      <w:spacing w:after="0" w:line="240" w:lineRule="auto"/>
    </w:pPr>
    <w:rPr>
      <w:rFonts w:ascii="Times New Roman" w:eastAsia="Times New Roman" w:hAnsi="Times New Roman" w:cs="Times New Roman"/>
      <w:snapToGrid w:val="0"/>
      <w:sz w:val="24"/>
      <w:szCs w:val="24"/>
      <w:lang w:val="en-GB"/>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4472C4"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customStyle="1" w:styleId="b">
    <w:name w:val="(b)"/>
    <w:basedOn w:val="Normal"/>
    <w:rsid w:val="00D53493"/>
    <w:pPr>
      <w:tabs>
        <w:tab w:val="clear" w:pos="567"/>
        <w:tab w:val="left" w:pos="-737"/>
        <w:tab w:val="left" w:pos="1134"/>
      </w:tabs>
      <w:spacing w:after="240"/>
      <w:ind w:left="1134" w:hanging="567"/>
      <w:jc w:val="both"/>
    </w:pPr>
  </w:style>
  <w:style w:type="paragraph" w:styleId="ListParagraph">
    <w:name w:val="List Paragraph"/>
    <w:basedOn w:val="Normal"/>
    <w:uiPriority w:val="34"/>
    <w:qFormat/>
    <w:rsid w:val="00D53493"/>
    <w:pPr>
      <w:ind w:left="720"/>
      <w:contextualSpacing/>
    </w:pPr>
  </w:style>
  <w:style w:type="paragraph" w:styleId="Header">
    <w:name w:val="header"/>
    <w:basedOn w:val="Normal"/>
    <w:link w:val="HeaderChar"/>
    <w:uiPriority w:val="99"/>
    <w:rsid w:val="00D53493"/>
    <w:pPr>
      <w:tabs>
        <w:tab w:val="clear" w:pos="567"/>
        <w:tab w:val="center" w:pos="4153"/>
        <w:tab w:val="right" w:pos="8306"/>
      </w:tabs>
      <w:snapToGrid/>
      <w:jc w:val="both"/>
    </w:pPr>
    <w:rPr>
      <w:snapToGrid/>
      <w:szCs w:val="20"/>
    </w:rPr>
  </w:style>
  <w:style w:type="character" w:customStyle="1" w:styleId="HeaderChar">
    <w:name w:val="Header Char"/>
    <w:basedOn w:val="DefaultParagraphFont"/>
    <w:link w:val="Header"/>
    <w:uiPriority w:val="99"/>
    <w:rsid w:val="00D53493"/>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BC2C20"/>
    <w:rPr>
      <w:sz w:val="16"/>
      <w:szCs w:val="16"/>
    </w:rPr>
  </w:style>
  <w:style w:type="paragraph" w:styleId="CommentText">
    <w:name w:val="annotation text"/>
    <w:basedOn w:val="Normal"/>
    <w:link w:val="CommentTextChar"/>
    <w:uiPriority w:val="99"/>
    <w:semiHidden/>
    <w:unhideWhenUsed/>
    <w:rsid w:val="00BC2C20"/>
    <w:rPr>
      <w:sz w:val="20"/>
      <w:szCs w:val="20"/>
    </w:rPr>
  </w:style>
  <w:style w:type="character" w:customStyle="1" w:styleId="CommentTextChar">
    <w:name w:val="Comment Text Char"/>
    <w:basedOn w:val="DefaultParagraphFont"/>
    <w:link w:val="CommentText"/>
    <w:uiPriority w:val="99"/>
    <w:semiHidden/>
    <w:rsid w:val="00BC2C20"/>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BC2C20"/>
    <w:rPr>
      <w:b/>
      <w:bCs/>
    </w:rPr>
  </w:style>
  <w:style w:type="character" w:customStyle="1" w:styleId="CommentSubjectChar">
    <w:name w:val="Comment Subject Char"/>
    <w:basedOn w:val="CommentTextChar"/>
    <w:link w:val="CommentSubject"/>
    <w:uiPriority w:val="99"/>
    <w:semiHidden/>
    <w:rsid w:val="00BC2C20"/>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BC2C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C20"/>
    <w:rPr>
      <w:rFonts w:ascii="Segoe UI" w:eastAsia="Times New Roman" w:hAnsi="Segoe UI" w:cs="Segoe UI"/>
      <w:snapToGrid w:val="0"/>
      <w:sz w:val="18"/>
      <w:szCs w:val="18"/>
      <w:lang w:val="en-GB"/>
    </w:rPr>
  </w:style>
  <w:style w:type="paragraph" w:customStyle="1" w:styleId="Default">
    <w:name w:val="Default"/>
    <w:rsid w:val="00FB28BD"/>
    <w:pPr>
      <w:autoSpaceDE w:val="0"/>
      <w:autoSpaceDN w:val="0"/>
      <w:adjustRightInd w:val="0"/>
      <w:spacing w:after="0" w:line="240" w:lineRule="auto"/>
    </w:pPr>
    <w:rPr>
      <w:rFonts w:ascii="Arial" w:eastAsia="SimSun" w:hAnsi="Arial" w:cs="Arial"/>
      <w:color w:val="000000"/>
      <w:sz w:val="24"/>
      <w:szCs w:val="24"/>
      <w:lang w:val="en-GB" w:eastAsia="en-GB"/>
    </w:rPr>
  </w:style>
  <w:style w:type="paragraph" w:styleId="Footer">
    <w:name w:val="footer"/>
    <w:basedOn w:val="Normal"/>
    <w:link w:val="FooterChar"/>
    <w:uiPriority w:val="99"/>
    <w:unhideWhenUsed/>
    <w:rsid w:val="006D0597"/>
    <w:pPr>
      <w:tabs>
        <w:tab w:val="clear" w:pos="567"/>
        <w:tab w:val="center" w:pos="4513"/>
        <w:tab w:val="right" w:pos="9026"/>
      </w:tabs>
    </w:pPr>
  </w:style>
  <w:style w:type="character" w:customStyle="1" w:styleId="FooterChar">
    <w:name w:val="Footer Char"/>
    <w:basedOn w:val="DefaultParagraphFont"/>
    <w:link w:val="Footer"/>
    <w:uiPriority w:val="99"/>
    <w:rsid w:val="006D0597"/>
    <w:rPr>
      <w:rFonts w:ascii="Times New Roman" w:eastAsia="Times New Roman" w:hAnsi="Times New Roman" w:cs="Times New Roman"/>
      <w:snapToGrid w:val="0"/>
      <w:sz w:val="24"/>
      <w:szCs w:val="24"/>
      <w:lang w:val="en-GB"/>
    </w:rPr>
  </w:style>
  <w:style w:type="paragraph" w:styleId="Revision">
    <w:name w:val="Revision"/>
    <w:hidden/>
    <w:uiPriority w:val="99"/>
    <w:semiHidden/>
    <w:rsid w:val="00137A1E"/>
    <w:pPr>
      <w:spacing w:after="0" w:line="240" w:lineRule="auto"/>
    </w:pPr>
    <w:rPr>
      <w:rFonts w:ascii="Times New Roman" w:eastAsia="Times New Roman" w:hAnsi="Times New Roman" w:cs="Times New Roman"/>
      <w:snapToGrid w:val="0"/>
      <w:sz w:val="24"/>
      <w:szCs w:val="24"/>
      <w:lang w:val="en-GB"/>
    </w:rPr>
  </w:style>
  <w:style w:type="paragraph" w:styleId="FootnoteText">
    <w:name w:val="footnote text"/>
    <w:basedOn w:val="Normal"/>
    <w:link w:val="FootnoteTextChar"/>
    <w:uiPriority w:val="99"/>
    <w:semiHidden/>
    <w:rsid w:val="002E79FC"/>
    <w:pPr>
      <w:ind w:left="567" w:hanging="567"/>
    </w:pPr>
    <w:rPr>
      <w:sz w:val="20"/>
      <w:szCs w:val="20"/>
    </w:rPr>
  </w:style>
  <w:style w:type="character" w:customStyle="1" w:styleId="FootnoteTextChar">
    <w:name w:val="Footnote Text Char"/>
    <w:basedOn w:val="DefaultParagraphFont"/>
    <w:link w:val="FootnoteText"/>
    <w:uiPriority w:val="99"/>
    <w:semiHidden/>
    <w:rsid w:val="002E79FC"/>
    <w:rPr>
      <w:rFonts w:ascii="Times New Roman" w:eastAsia="Times New Roman" w:hAnsi="Times New Roman" w:cs="Times New Roman"/>
      <w:snapToGrid w:val="0"/>
      <w:sz w:val="20"/>
      <w:szCs w:val="20"/>
      <w:lang w:val="en-GB"/>
    </w:rPr>
  </w:style>
  <w:style w:type="paragraph" w:customStyle="1" w:styleId="alina">
    <w:name w:val="alinéa"/>
    <w:basedOn w:val="Normal"/>
    <w:rsid w:val="00427AC8"/>
    <w:pPr>
      <w:snapToGrid/>
      <w:spacing w:after="240"/>
      <w:ind w:left="567"/>
      <w:jc w:val="both"/>
    </w:pPr>
    <w:rPr>
      <w:snapToGrid/>
    </w:rPr>
  </w:style>
  <w:style w:type="paragraph" w:customStyle="1" w:styleId="TIRETbul1cm">
    <w:name w:val="TIRET bul 1cm"/>
    <w:basedOn w:val="Normal"/>
    <w:rsid w:val="00427AC8"/>
    <w:pPr>
      <w:numPr>
        <w:numId w:val="19"/>
      </w:numPr>
      <w:tabs>
        <w:tab w:val="clear" w:pos="567"/>
        <w:tab w:val="clear" w:pos="644"/>
        <w:tab w:val="num" w:pos="851"/>
      </w:tabs>
      <w:adjustRightInd w:val="0"/>
      <w:spacing w:after="240"/>
      <w:ind w:left="851" w:hanging="284"/>
      <w:jc w:val="both"/>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31238">
      <w:bodyDiv w:val="1"/>
      <w:marLeft w:val="0"/>
      <w:marRight w:val="0"/>
      <w:marTop w:val="0"/>
      <w:marBottom w:val="0"/>
      <w:divBdr>
        <w:top w:val="none" w:sz="0" w:space="0" w:color="auto"/>
        <w:left w:val="none" w:sz="0" w:space="0" w:color="auto"/>
        <w:bottom w:val="none" w:sz="0" w:space="0" w:color="auto"/>
        <w:right w:val="none" w:sz="0" w:space="0" w:color="auto"/>
      </w:divBdr>
    </w:div>
    <w:div w:id="1456634662">
      <w:bodyDiv w:val="1"/>
      <w:marLeft w:val="0"/>
      <w:marRight w:val="0"/>
      <w:marTop w:val="0"/>
      <w:marBottom w:val="0"/>
      <w:divBdr>
        <w:top w:val="none" w:sz="0" w:space="0" w:color="auto"/>
        <w:left w:val="none" w:sz="0" w:space="0" w:color="auto"/>
        <w:bottom w:val="none" w:sz="0" w:space="0" w:color="auto"/>
        <w:right w:val="none" w:sz="0" w:space="0" w:color="auto"/>
      </w:divBdr>
    </w:div>
    <w:div w:id="149692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44972-1F00-4023-8774-F8E44985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1577</Words>
  <Characters>8332</Characters>
  <Application>Microsoft Office Word</Application>
  <DocSecurity>0</DocSecurity>
  <Lines>141</Lines>
  <Paragraphs>58</Paragraphs>
  <ScaleCrop>false</ScaleCrop>
  <HeadingPairs>
    <vt:vector size="2" baseType="variant">
      <vt:variant>
        <vt:lpstr>Title</vt:lpstr>
      </vt:variant>
      <vt:variant>
        <vt:i4>1</vt:i4>
      </vt:variant>
    </vt:vector>
  </HeadingPairs>
  <TitlesOfParts>
    <vt:vector size="1" baseType="lpstr">
      <vt:lpstr>Proyecto de resolución EC-55/5.2</vt:lpstr>
    </vt:vector>
  </TitlesOfParts>
  <Company>UNESCO</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resolución EC-55/5.2</dc:title>
  <dc:subject>EC-55/DR.[5.2]</dc:subject>
  <dc:creator>Pastor Reyes, Ingrid</dc:creator>
  <cp:keywords/>
  <dc:description/>
  <cp:lastModifiedBy>Lain, Ruben</cp:lastModifiedBy>
  <cp:revision>4</cp:revision>
  <cp:lastPrinted>2022-06-14T13:50:00Z</cp:lastPrinted>
  <dcterms:created xsi:type="dcterms:W3CDTF">2022-06-16T14:48:00Z</dcterms:created>
  <dcterms:modified xsi:type="dcterms:W3CDTF">2022-06-16T14:55:00Z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jp_ramos-gutierrez</vt:lpwstr>
  </property>
  <property fmtid="{D5CDD505-2E9C-101B-9397-08002B2CF9AE}" pid="4" name="GeneratedDate">
    <vt:lpwstr>06/16/2022 13:52:03</vt:lpwstr>
  </property>
  <property fmtid="{D5CDD505-2E9C-101B-9397-08002B2CF9AE}" pid="5" name="OriginalDocID">
    <vt:lpwstr>b86e523e-f237-41aa-96be-56545da6f8e4</vt:lpwstr>
  </property>
  <property fmtid="{D5CDD505-2E9C-101B-9397-08002B2CF9AE}" pid="6" name="JobDCPMS">
    <vt:lpwstr>202201670</vt:lpwstr>
  </property>
  <property fmtid="{D5CDD505-2E9C-101B-9397-08002B2CF9AE}" pid="7" name="Language">
    <vt:lpwstr>S</vt:lpwstr>
  </property>
</Properties>
</file>