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F71A72" w:rsidRPr="00FF39D3" w14:paraId="1D9DDFD7" w14:textId="77777777">
        <w:tc>
          <w:tcPr>
            <w:tcW w:w="5812" w:type="dxa"/>
          </w:tcPr>
          <w:p w14:paraId="793969B7" w14:textId="77777777" w:rsidR="00F71A72" w:rsidRPr="00FF39D3" w:rsidRDefault="00020D95" w:rsidP="00726B0E">
            <w:pPr>
              <w:spacing w:after="240"/>
              <w:ind w:left="-105"/>
              <w:rPr>
                <w:rFonts w:asciiTheme="minorBidi" w:hAnsiTheme="minorBidi" w:cstheme="minorBidi"/>
              </w:rPr>
            </w:pPr>
            <w:r w:rsidRPr="00FF39D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Рассылается по списку</w:t>
            </w:r>
          </w:p>
          <w:p w14:paraId="2A999A3A" w14:textId="77777777" w:rsidR="00F71A72" w:rsidRPr="00FF39D3" w:rsidRDefault="00F71A72" w:rsidP="00726B0E">
            <w:pPr>
              <w:spacing w:after="240"/>
              <w:ind w:left="-105"/>
              <w:rPr>
                <w:rFonts w:asciiTheme="minorBidi" w:hAnsiTheme="minorBidi" w:cstheme="minorBidi"/>
              </w:rPr>
            </w:pPr>
          </w:p>
        </w:tc>
        <w:tc>
          <w:tcPr>
            <w:tcW w:w="4111" w:type="dxa"/>
          </w:tcPr>
          <w:p w14:paraId="61BE6993" w14:textId="77777777" w:rsidR="00F71A72" w:rsidRPr="00FF39D3" w:rsidRDefault="00020D95" w:rsidP="00726B0E">
            <w:pPr>
              <w:tabs>
                <w:tab w:val="clear" w:pos="567"/>
                <w:tab w:val="left" w:pos="-74"/>
              </w:tabs>
              <w:ind w:left="210"/>
              <w:rPr>
                <w:rFonts w:asciiTheme="minorBidi" w:hAnsiTheme="minorBidi" w:cstheme="minorBidi"/>
                <w:b/>
                <w:lang w:val="ru-RU"/>
              </w:rPr>
            </w:pPr>
            <w:r w:rsidRPr="00FF39D3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 xml:space="preserve">EC-55/DR.[4.1] </w:t>
            </w:r>
            <w:proofErr w:type="spellStart"/>
            <w:r w:rsidRPr="00FF39D3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Rev</w:t>
            </w:r>
            <w:proofErr w:type="spellEnd"/>
            <w:r w:rsidRPr="00FF39D3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.</w:t>
            </w:r>
          </w:p>
          <w:p w14:paraId="60E529AE" w14:textId="13D141E0" w:rsidR="00F71A72" w:rsidRPr="00FF39D3" w:rsidRDefault="00020D95" w:rsidP="00726B0E">
            <w:pPr>
              <w:tabs>
                <w:tab w:val="clear" w:pos="567"/>
                <w:tab w:val="left" w:pos="-74"/>
              </w:tabs>
              <w:ind w:left="210"/>
              <w:rPr>
                <w:rFonts w:asciiTheme="minorBidi" w:hAnsiTheme="minorBidi" w:cstheme="minorBidi"/>
                <w:lang w:val="ru-RU"/>
              </w:rPr>
            </w:pPr>
            <w:r w:rsidRPr="00FF39D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Париж, 1</w:t>
            </w:r>
            <w:r w:rsidR="007328E2">
              <w:rPr>
                <w:rFonts w:asciiTheme="minorBidi" w:hAnsiTheme="minorBidi" w:cstheme="minorBidi"/>
                <w:sz w:val="22"/>
                <w:szCs w:val="22"/>
                <w:lang w:val="ru-RU"/>
              </w:rPr>
              <w:t>4</w:t>
            </w:r>
            <w:r w:rsidRPr="00FF39D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июня 2022 г.</w:t>
            </w:r>
          </w:p>
          <w:p w14:paraId="527CED06" w14:textId="77777777" w:rsidR="00F71A72" w:rsidRPr="00FF39D3" w:rsidRDefault="00020D95" w:rsidP="00726B0E">
            <w:pPr>
              <w:tabs>
                <w:tab w:val="clear" w:pos="567"/>
                <w:tab w:val="left" w:pos="-74"/>
              </w:tabs>
              <w:spacing w:after="240"/>
              <w:ind w:left="210"/>
              <w:rPr>
                <w:rFonts w:asciiTheme="minorBidi" w:hAnsiTheme="minorBidi" w:cstheme="minorBidi"/>
              </w:rPr>
            </w:pPr>
            <w:r w:rsidRPr="00FF39D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Оригинал: английский</w:t>
            </w:r>
          </w:p>
        </w:tc>
      </w:tr>
    </w:tbl>
    <w:p w14:paraId="4CA0FAB8" w14:textId="77777777" w:rsidR="00F71A72" w:rsidRPr="00FF39D3" w:rsidRDefault="00F71A72" w:rsidP="00726B0E">
      <w:pPr>
        <w:spacing w:after="240"/>
        <w:rPr>
          <w:rFonts w:asciiTheme="minorBidi" w:hAnsiTheme="minorBidi" w:cstheme="minorBidi"/>
          <w:sz w:val="22"/>
          <w:szCs w:val="22"/>
        </w:rPr>
      </w:pPr>
    </w:p>
    <w:p w14:paraId="56BF46D9" w14:textId="77777777" w:rsidR="00F71A72" w:rsidRPr="00FF39D3" w:rsidRDefault="00020D95" w:rsidP="00726B0E">
      <w:pPr>
        <w:spacing w:after="240"/>
        <w:rPr>
          <w:rFonts w:asciiTheme="minorBidi" w:eastAsia="Calibri" w:hAnsiTheme="minorBidi" w:cstheme="minorBidi"/>
          <w:b/>
          <w:sz w:val="22"/>
          <w:szCs w:val="22"/>
        </w:rPr>
      </w:pPr>
      <w:r w:rsidRPr="00726B0E">
        <w:rPr>
          <w:rFonts w:asciiTheme="minorBidi" w:hAnsiTheme="minorBidi" w:cstheme="minorBidi"/>
          <w:b/>
          <w:bCs/>
          <w:sz w:val="22"/>
          <w:szCs w:val="22"/>
          <w:u w:val="single"/>
          <w:lang w:val="ru-RU"/>
        </w:rPr>
        <w:t>Проект резолюции EC-55/[4.1]</w:t>
      </w: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,</w:t>
      </w:r>
    </w:p>
    <w:p w14:paraId="030DE327" w14:textId="4246DFDD" w:rsidR="00F71A72" w:rsidRPr="00601E99" w:rsidRDefault="00020D95" w:rsidP="00726B0E">
      <w:pPr>
        <w:spacing w:after="240"/>
        <w:rPr>
          <w:rFonts w:asciiTheme="minorBidi" w:hAnsiTheme="minorBidi" w:cstheme="minorBidi"/>
          <w:bCs/>
          <w:iCs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представленный </w:t>
      </w:r>
      <w:r w:rsidR="006F2EF5">
        <w:rPr>
          <w:rFonts w:asciiTheme="minorBidi" w:hAnsiTheme="minorBidi" w:cstheme="minorBidi"/>
          <w:sz w:val="22"/>
          <w:szCs w:val="22"/>
          <w:lang w:val="ru-RU"/>
        </w:rPr>
        <w:t xml:space="preserve">Бразилией, </w:t>
      </w:r>
      <w:r w:rsidR="006F2EF5" w:rsidRPr="00FF39D3">
        <w:rPr>
          <w:rFonts w:asciiTheme="minorBidi" w:hAnsiTheme="minorBidi" w:cstheme="minorBidi"/>
          <w:sz w:val="22"/>
          <w:szCs w:val="22"/>
          <w:lang w:val="ru-RU"/>
        </w:rPr>
        <w:t xml:space="preserve">Колумбией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Индией</w:t>
      </w:r>
      <w:r w:rsidR="006F2EF5">
        <w:rPr>
          <w:rFonts w:asciiTheme="minorBidi" w:hAnsiTheme="minorBidi" w:cstheme="minorBidi"/>
          <w:sz w:val="22"/>
          <w:szCs w:val="22"/>
          <w:lang w:val="ru-RU"/>
        </w:rPr>
        <w:t xml:space="preserve"> и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Марокко </w:t>
      </w:r>
    </w:p>
    <w:p w14:paraId="46D00D5C" w14:textId="77777777" w:rsidR="00F71A72" w:rsidRPr="00601E99" w:rsidRDefault="00020D95" w:rsidP="00726B0E">
      <w:pPr>
        <w:spacing w:after="240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Пункт </w:t>
      </w: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4.1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повестки дня</w:t>
      </w:r>
    </w:p>
    <w:p w14:paraId="369D531F" w14:textId="77777777" w:rsidR="00F71A72" w:rsidRPr="00726B0E" w:rsidRDefault="00020D95" w:rsidP="00726B0E">
      <w:pPr>
        <w:spacing w:after="240"/>
        <w:rPr>
          <w:rStyle w:val="Heading2Char"/>
          <w:rFonts w:asciiTheme="minorBidi" w:hAnsiTheme="minorBidi" w:cstheme="minorBidi"/>
          <w:szCs w:val="24"/>
          <w:lang w:val="ru-RU"/>
        </w:rPr>
      </w:pPr>
      <w:r w:rsidRPr="00726B0E">
        <w:rPr>
          <w:rFonts w:asciiTheme="minorBidi" w:hAnsiTheme="minorBidi" w:cstheme="minorBidi"/>
          <w:b/>
          <w:bCs/>
          <w:lang w:val="ru-RU"/>
        </w:rPr>
        <w:t>Проведение Десятилетия Организации Объединенных Наций, посвященного науке об океане в интересах устойчивого развития (2021-2030 гг.)</w:t>
      </w:r>
    </w:p>
    <w:p w14:paraId="4C8AAECB" w14:textId="77777777" w:rsidR="00F71A72" w:rsidRPr="00FF39D3" w:rsidRDefault="00020D95" w:rsidP="00726B0E">
      <w:pPr>
        <w:spacing w:after="240"/>
        <w:rPr>
          <w:rFonts w:asciiTheme="minorBidi" w:hAnsiTheme="minorBidi" w:cstheme="minorBidi"/>
          <w:iCs/>
          <w:sz w:val="22"/>
          <w:szCs w:val="22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совет, </w:t>
      </w:r>
    </w:p>
    <w:p w14:paraId="7F60761D" w14:textId="3406F0C9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напоминая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о резолюци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>ях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МОК EC-53/1 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 xml:space="preserve">и А-31/1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относительно проведения Десятилетия Организации Объединенных Наций, посвященного науке об океане в интересах устойчивого развития (2021-2030 гг.)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>, ниже именуемого «Десятилетие»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, </w:t>
      </w:r>
    </w:p>
    <w:p w14:paraId="32A0249B" w14:textId="77777777" w:rsidR="00F71A72" w:rsidRPr="00601E99" w:rsidRDefault="00020D95" w:rsidP="0055335F">
      <w:pPr>
        <w:pStyle w:val="ListParagraph"/>
        <w:spacing w:after="240"/>
        <w:ind w:left="567" w:hanging="567"/>
        <w:jc w:val="center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Часть 1 – Координация проведения Десятилетия</w:t>
      </w:r>
    </w:p>
    <w:p w14:paraId="44A921B4" w14:textId="09501E26" w:rsidR="00F71A72" w:rsidRPr="00FF39D3" w:rsidRDefault="00020D95" w:rsidP="00726B0E">
      <w:pPr>
        <w:numPr>
          <w:ilvl w:val="0"/>
          <w:numId w:val="7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рассмотрев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документ IOC/EC-55/4.1.Doc(1), касающийся хода проведения Десятилетия О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 xml:space="preserve">рганизации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О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 xml:space="preserve">бъединенных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Н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>аций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,</w:t>
      </w:r>
      <w:r w:rsidR="007328E2" w:rsidRPr="007328E2">
        <w:rPr>
          <w:rFonts w:asciiTheme="minorBidi" w:hAnsiTheme="minorBidi" w:cstheme="minorBidi"/>
          <w:sz w:val="22"/>
          <w:szCs w:val="22"/>
          <w:lang w:val="ru-RU"/>
        </w:rPr>
        <w:t xml:space="preserve"> посвященного науке об океане в интересах устойчивого развития (2021-2030 гг.)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>,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и добавление к нему, в котором представлены итоги второго тендера связанных с Десятилетием мероприятий, а также тематика третьего тендера, </w:t>
      </w:r>
    </w:p>
    <w:p w14:paraId="277ED69A" w14:textId="70DDE08A" w:rsidR="00F71A72" w:rsidRPr="00FF39D3" w:rsidRDefault="00020D95" w:rsidP="00726B0E">
      <w:pPr>
        <w:numPr>
          <w:ilvl w:val="0"/>
          <w:numId w:val="7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принимает к сведению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учреждение механизмов координации проведения Десятилетия (</w:t>
      </w:r>
      <w:r w:rsidR="007328E2">
        <w:rPr>
          <w:rFonts w:asciiTheme="minorBidi" w:hAnsiTheme="minorBidi" w:cstheme="minorBidi"/>
          <w:sz w:val="22"/>
          <w:szCs w:val="22"/>
          <w:lang w:val="ru-RU"/>
        </w:rPr>
        <w:t>бюро координации Десятилетия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,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 xml:space="preserve">центры сотрудничества </w:t>
      </w:r>
      <w:r w:rsidR="00851307" w:rsidRPr="00851307">
        <w:rPr>
          <w:rFonts w:asciiTheme="minorBidi" w:hAnsiTheme="minorBidi" w:cstheme="minorBidi"/>
          <w:sz w:val="22"/>
          <w:szCs w:val="22"/>
          <w:lang w:val="ru-RU"/>
        </w:rPr>
        <w:t>Десятилетия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,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 xml:space="preserve">партнеры по проведению </w:t>
      </w:r>
      <w:r w:rsidR="00851307" w:rsidRPr="00851307">
        <w:rPr>
          <w:rFonts w:asciiTheme="minorBidi" w:hAnsiTheme="minorBidi" w:cstheme="minorBidi"/>
          <w:sz w:val="22"/>
          <w:szCs w:val="22"/>
          <w:lang w:val="ru-RU"/>
        </w:rPr>
        <w:t>Десятилетия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,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 xml:space="preserve">национальные комитеты по проведению </w:t>
      </w:r>
      <w:r w:rsidR="00851307" w:rsidRPr="00851307">
        <w:rPr>
          <w:rFonts w:asciiTheme="minorBidi" w:hAnsiTheme="minorBidi" w:cstheme="minorBidi"/>
          <w:sz w:val="22"/>
          <w:szCs w:val="22"/>
          <w:lang w:val="ru-RU"/>
        </w:rPr>
        <w:t>Десятилетия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), представленных в документе IOC/INF-1413;</w:t>
      </w:r>
    </w:p>
    <w:p w14:paraId="47FB8E1D" w14:textId="77777777" w:rsidR="00F71A72" w:rsidRPr="00FF39D3" w:rsidRDefault="00020D95" w:rsidP="00726B0E">
      <w:pPr>
        <w:numPr>
          <w:ilvl w:val="0"/>
          <w:numId w:val="7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принимает к сведению также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учреждение консультативного совета по проведению Десятилетия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 xml:space="preserve">(КСД)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и его правила процедуры, представленные в документе IOC/INF-1414;</w:t>
      </w:r>
    </w:p>
    <w:p w14:paraId="1887C2E8" w14:textId="18D8EF76" w:rsidR="00F71A72" w:rsidRPr="00FF39D3" w:rsidRDefault="00020D95" w:rsidP="00726B0E">
      <w:pPr>
        <w:numPr>
          <w:ilvl w:val="0"/>
          <w:numId w:val="7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выражает признательность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членам временного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>КСД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за участие в его работе вплоть до декабря 2021 г.; </w:t>
      </w:r>
    </w:p>
    <w:p w14:paraId="2B4D05FD" w14:textId="77777777" w:rsidR="00F71A72" w:rsidRPr="00FF39D3" w:rsidRDefault="00020D95" w:rsidP="00726B0E">
      <w:pPr>
        <w:numPr>
          <w:ilvl w:val="0"/>
          <w:numId w:val="7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предлагает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государствам-членам и партнерам:</w:t>
      </w:r>
    </w:p>
    <w:p w14:paraId="44EB8E3B" w14:textId="77777777" w:rsidR="00F71A72" w:rsidRPr="00FF39D3" w:rsidRDefault="00020D95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(i)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ab/>
        <w:t xml:space="preserve">предоставить добровольные финансовые взносы в поддержку работы секретариата МОК по координации связанной с Десятилетием деятельности, включая помощь в натуральной форме (в частности, прикомандирование сотрудников) и временное предоставление персонала в группу по координации проведения Десятилетия (ГКД); </w:t>
      </w:r>
    </w:p>
    <w:p w14:paraId="1BBC46AD" w14:textId="54D48F9F" w:rsidR="00F71A72" w:rsidRPr="00FF39D3" w:rsidRDefault="00020D95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t>(</w:t>
      </w:r>
      <w:proofErr w:type="spellStart"/>
      <w:r w:rsidRPr="00FF39D3">
        <w:rPr>
          <w:rFonts w:asciiTheme="minorBidi" w:hAnsiTheme="minorBidi" w:cstheme="minorBidi"/>
          <w:sz w:val="22"/>
          <w:szCs w:val="22"/>
          <w:lang w:val="ru-RU"/>
        </w:rPr>
        <w:t>ii</w:t>
      </w:r>
      <w:proofErr w:type="spellEnd"/>
      <w:r w:rsidRPr="00FF39D3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ab/>
        <w:t xml:space="preserve">предлагать размещение на своей территории и покрытие финансовых расходов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>БКД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и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>ЦСД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, как описывается в плане проведения Десятилетия; </w:t>
      </w:r>
    </w:p>
    <w:p w14:paraId="20F01B23" w14:textId="26ACADCE" w:rsidR="00F71A72" w:rsidRPr="00FF39D3" w:rsidRDefault="00020D95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t>(</w:t>
      </w:r>
      <w:proofErr w:type="spellStart"/>
      <w:r w:rsidRPr="00FF39D3">
        <w:rPr>
          <w:rFonts w:asciiTheme="minorBidi" w:hAnsiTheme="minorBidi" w:cstheme="minorBidi"/>
          <w:sz w:val="22"/>
          <w:szCs w:val="22"/>
          <w:lang w:val="ru-RU"/>
        </w:rPr>
        <w:t>iii</w:t>
      </w:r>
      <w:proofErr w:type="spellEnd"/>
      <w:r w:rsidRPr="00FF39D3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ab/>
        <w:t xml:space="preserve">создать национальные НКД, с тем чтобы стимулировать осуществление мероприятий на национальном уровне и международное сотрудничество;  </w:t>
      </w:r>
    </w:p>
    <w:p w14:paraId="364DE1B6" w14:textId="77777777" w:rsidR="00F71A72" w:rsidRPr="00FF39D3" w:rsidRDefault="00020D95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lastRenderedPageBreak/>
        <w:t>(</w:t>
      </w:r>
      <w:proofErr w:type="spellStart"/>
      <w:r w:rsidRPr="00FF39D3">
        <w:rPr>
          <w:rFonts w:asciiTheme="minorBidi" w:hAnsiTheme="minorBidi" w:cstheme="minorBidi"/>
          <w:sz w:val="22"/>
          <w:szCs w:val="22"/>
          <w:lang w:val="ru-RU"/>
        </w:rPr>
        <w:t>iv</w:t>
      </w:r>
      <w:proofErr w:type="spellEnd"/>
      <w:r w:rsidRPr="00FF39D3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ab/>
        <w:t xml:space="preserve">организовывать у себя региональные или международные мероприятия участвующих в Десятилетии заинтересованных сторон, в том числе в рамках международных конференций, посвященных Десятилетию океана; </w:t>
      </w:r>
    </w:p>
    <w:p w14:paraId="64D8CE58" w14:textId="62E1F450" w:rsidR="00F71A72" w:rsidRPr="00FF39D3" w:rsidRDefault="00020D95" w:rsidP="00726B0E">
      <w:pPr>
        <w:numPr>
          <w:ilvl w:val="0"/>
          <w:numId w:val="7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предлагает также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851307">
        <w:rPr>
          <w:rFonts w:asciiTheme="minorBidi" w:hAnsiTheme="minorBidi" w:cstheme="minorBidi"/>
          <w:sz w:val="22"/>
          <w:szCs w:val="22"/>
          <w:lang w:val="ru-RU"/>
        </w:rPr>
        <w:t>член</w:t>
      </w:r>
      <w:r w:rsidR="00851307" w:rsidRPr="00FF39D3">
        <w:rPr>
          <w:rFonts w:asciiTheme="minorBidi" w:hAnsiTheme="minorBidi" w:cstheme="minorBidi"/>
          <w:sz w:val="22"/>
          <w:szCs w:val="22"/>
          <w:lang w:val="ru-RU"/>
        </w:rPr>
        <w:t xml:space="preserve">ам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сети «ООН-океаны», государствам – членам ООН, международным научным и академическим организациям, неправительственным организациям и другим соответствующим заинтересованным сторонам поддержать Десятилетие в сотрудничестве с МОК и содействовать его проведению путем внесения предложений по осуществлению в рамках Десятилетия конкретных мероприятий в соответствии с планом проведения Десятилетия;</w:t>
      </w:r>
    </w:p>
    <w:p w14:paraId="6C70EDE4" w14:textId="77777777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благодарит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правительства Индии, Канады, Китая, Бельгии (правительство Фландрии), Норвегии, Португалии, Республики Корея, Соединенного Королевства Великобритании и Северной Ирландии, Швеции, Франции, Японии, а также организацию REV-Ocean и компании </w:t>
      </w:r>
      <w:proofErr w:type="spellStart"/>
      <w:r w:rsidRPr="00FF39D3">
        <w:rPr>
          <w:rFonts w:asciiTheme="minorBidi" w:hAnsiTheme="minorBidi" w:cstheme="minorBidi"/>
          <w:sz w:val="22"/>
          <w:szCs w:val="22"/>
          <w:lang w:val="ru-RU"/>
        </w:rPr>
        <w:t>Panerai</w:t>
      </w:r>
      <w:proofErr w:type="spellEnd"/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и FUGRO за финансовый вклад в проведение Десятилетия; </w:t>
      </w:r>
    </w:p>
    <w:p w14:paraId="4363418F" w14:textId="77777777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благодарит также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правительство Германии за проведение в этой стране церемонии высокого уровня по открытию Десятилетия океана </w:t>
      </w:r>
      <w:r w:rsidR="0055335F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первой международной конференции Десятилетия океана и лабораторий Десятилетия океана ООН, правительство Египта за проведение Африканской конференции по определению приоритетов и развитию партнерства в рамках Десятилетия, правительство Таиланда за проведение стартовой конференции Десятилетия океана ООН для западной части Тихого океана и прилегающих территорий, правительства Колумбии и Барбадоса за проведение региональной стартовой конференции Десятилетия ООН наук об океане в интересах устойчивого развития 2021-2030 гг. для тропической зоны Америки и Карибского бассейна, а также Марокко в лице Фонда Мохаммеда VI по охране окружающей среды за проведение второго Диалога фондов Десятилетия океана;</w:t>
      </w:r>
    </w:p>
    <w:p w14:paraId="51D6DCFF" w14:textId="77777777" w:rsidR="00F71A72" w:rsidRPr="00FF39D3" w:rsidRDefault="00020D95" w:rsidP="00726B0E">
      <w:pPr>
        <w:pStyle w:val="ListParagraph"/>
        <w:spacing w:after="240"/>
        <w:ind w:left="567" w:hanging="567"/>
        <w:jc w:val="center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Часть 2 – Вклад МОК в проведение Десятилетия</w:t>
      </w:r>
    </w:p>
    <w:p w14:paraId="3AE8F881" w14:textId="11668625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одобряет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включение в программу Десятилетия мероприятий, которые будут осуществляться по инициативе и под руководством МОК, в частности, таких как:</w:t>
      </w:r>
    </w:p>
    <w:p w14:paraId="16924CD9" w14:textId="2534EE31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  <w:lang w:val="fr-FR"/>
        </w:rPr>
        <w:t>i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>экспедиции по сбору экологической ДНК на морских объектах всемирного наследия (ООН-8);</w:t>
      </w:r>
    </w:p>
    <w:p w14:paraId="059AEE76" w14:textId="7AA2A2D7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  <w:lang w:val="fr-FR"/>
        </w:rPr>
        <w:t>ii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 xml:space="preserve">глобальная академия </w:t>
      </w:r>
      <w:r w:rsidR="0055335F">
        <w:rPr>
          <w:rFonts w:asciiTheme="minorBidi" w:hAnsiTheme="minorBidi" w:cstheme="minorBidi"/>
          <w:sz w:val="22"/>
          <w:szCs w:val="22"/>
          <w:lang w:val="ru-RU"/>
        </w:rPr>
        <w:t>«</w:t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>Океан-инструктор</w:t>
      </w:r>
      <w:r w:rsidR="0055335F">
        <w:rPr>
          <w:rFonts w:asciiTheme="minorBidi" w:hAnsiTheme="minorBidi" w:cstheme="minorBidi"/>
          <w:sz w:val="22"/>
          <w:szCs w:val="22"/>
          <w:lang w:val="ru-RU"/>
        </w:rPr>
        <w:t>»</w:t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>: создание потенциала и ускоренная передача технологий для Десятилетия океана (ООН-10);</w:t>
      </w:r>
    </w:p>
    <w:p w14:paraId="23BADF3D" w14:textId="4C4E1887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</w:rPr>
        <w:t>iii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 xml:space="preserve">работа сети оповещения тихоокеанских островов о морском </w:t>
      </w:r>
      <w:proofErr w:type="spellStart"/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>биовторжении</w:t>
      </w:r>
      <w:proofErr w:type="spellEnd"/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 xml:space="preserve"> (ООН</w:t>
      </w:r>
      <w:r w:rsidR="0055335F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>11);</w:t>
      </w:r>
    </w:p>
    <w:p w14:paraId="5312EDBE" w14:textId="6B0FC7C9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</w:rPr>
        <w:t>iv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 xml:space="preserve">ускорение морского пространственного планирования в западной части Тихого океана (ООН-21); </w:t>
      </w:r>
    </w:p>
    <w:p w14:paraId="18376FE9" w14:textId="57705491" w:rsidR="00DF10D8" w:rsidRPr="00DF10D8" w:rsidRDefault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</w:rPr>
        <w:t>v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 xml:space="preserve">ускорение преобразований в области развития потенциала в западной части Тихого океана </w:t>
      </w:r>
      <w:r w:rsidR="00A84788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 xml:space="preserve"> региональная сеть учебных и исследовательских центров (РУИЦ) по морским наукам (ООН-23);</w:t>
      </w:r>
    </w:p>
    <w:p w14:paraId="21CD07FA" w14:textId="761CA41E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</w:rPr>
        <w:t>vi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DF10D8">
        <w:rPr>
          <w:rFonts w:asciiTheme="minorBidi" w:hAnsiTheme="minorBidi" w:cstheme="minorBidi"/>
          <w:sz w:val="22"/>
          <w:szCs w:val="22"/>
          <w:lang w:val="ru-RU"/>
        </w:rPr>
        <w:t>сокращение сброса в океан пластиковых отходов в прибрежной части Азии (ООН</w:t>
      </w:r>
      <w:r w:rsidR="0022305D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="00DF10D8">
        <w:rPr>
          <w:rFonts w:asciiTheme="minorBidi" w:hAnsiTheme="minorBidi" w:cstheme="minorBidi"/>
          <w:sz w:val="22"/>
          <w:szCs w:val="22"/>
          <w:lang w:val="ru-RU"/>
        </w:rPr>
        <w:t xml:space="preserve">22); </w:t>
      </w:r>
    </w:p>
    <w:p w14:paraId="51B7BC7D" w14:textId="0CA50BC4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</w:rPr>
        <w:t>vii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 xml:space="preserve">исследование самого сильного океанического течения в западной части Тихого </w:t>
      </w:r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океана: 2-е совместное исследование </w:t>
      </w:r>
      <w:proofErr w:type="spellStart"/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>Курошио</w:t>
      </w:r>
      <w:proofErr w:type="spellEnd"/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и прилегающих регионов (ООН-24);</w:t>
      </w:r>
    </w:p>
    <w:p w14:paraId="10C6E9DE" w14:textId="0AF4D5DD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</w:rPr>
        <w:t>viii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784DE2" w:rsidRPr="00FF39D3">
        <w:rPr>
          <w:rFonts w:asciiTheme="minorBidi" w:hAnsiTheme="minorBidi" w:cstheme="minorBidi"/>
          <w:sz w:val="22"/>
          <w:szCs w:val="22"/>
          <w:lang w:val="ru-RU"/>
        </w:rPr>
        <w:t>работа системы океанических данных и информации в поддержку Десятилетия</w:t>
      </w:r>
      <w:r w:rsidR="00784DE2" w:rsidRPr="00FF39D3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 xml:space="preserve">наук об океане ООН в интересах устойчивого развития </w:t>
      </w:r>
      <w:r w:rsidR="00DF10D8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 xml:space="preserve"> OceanData-2030 (ООН</w:t>
      </w:r>
      <w:r w:rsidR="00DF10D8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>25);</w:t>
      </w:r>
    </w:p>
    <w:p w14:paraId="3A06B70D" w14:textId="7DE07DE8" w:rsidR="00F71A72" w:rsidRPr="00FF39D3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>
        <w:rPr>
          <w:rFonts w:asciiTheme="minorBidi" w:hAnsiTheme="minorBidi" w:cstheme="minorBidi"/>
          <w:sz w:val="22"/>
          <w:szCs w:val="22"/>
        </w:rPr>
        <w:t>i</w:t>
      </w:r>
      <w:r w:rsidR="00DF10D8">
        <w:rPr>
          <w:rFonts w:asciiTheme="minorBidi" w:hAnsiTheme="minorBidi" w:cstheme="minorBidi"/>
          <w:sz w:val="22"/>
          <w:szCs w:val="22"/>
        </w:rPr>
        <w:t>x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>укрепление развития потенциала в регионе тропических морей Америки и Карибском бассейне (136.2);</w:t>
      </w:r>
    </w:p>
    <w:p w14:paraId="2EA9398D" w14:textId="284B32A8" w:rsidR="00DF10D8" w:rsidRDefault="00726B0E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726B0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F10D8">
        <w:rPr>
          <w:rFonts w:asciiTheme="minorBidi" w:hAnsiTheme="minorBidi" w:cstheme="minorBidi"/>
          <w:sz w:val="22"/>
          <w:szCs w:val="22"/>
        </w:rPr>
        <w:t>x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726B0E">
        <w:rPr>
          <w:rFonts w:asciiTheme="minorBidi" w:hAnsiTheme="minorBidi" w:cstheme="minorBidi"/>
          <w:sz w:val="22"/>
          <w:szCs w:val="22"/>
          <w:lang w:val="ru-RU"/>
        </w:rPr>
        <w:tab/>
      </w:r>
      <w:r w:rsidR="00DF10D8" w:rsidRPr="00FF39D3">
        <w:rPr>
          <w:rFonts w:asciiTheme="minorBidi" w:hAnsiTheme="minorBidi" w:cstheme="minorBidi"/>
          <w:sz w:val="22"/>
          <w:szCs w:val="22"/>
          <w:lang w:val="ru-RU"/>
        </w:rPr>
        <w:t>интеграция систем предупреждения о прибрежных опасностях для региона тропических морей Америки и Карибском бассейне (138.2);</w:t>
      </w:r>
    </w:p>
    <w:p w14:paraId="2D11A92B" w14:textId="77777777" w:rsidR="00F71A72" w:rsidRPr="00FF39D3" w:rsidRDefault="00DF10D8" w:rsidP="00726B0E">
      <w:pPr>
        <w:pStyle w:val="NormalWeb"/>
        <w:spacing w:before="0" w:beforeAutospacing="0" w:after="240" w:afterAutospacing="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>
        <w:rPr>
          <w:rFonts w:asciiTheme="minorBidi" w:hAnsiTheme="minorBidi" w:cstheme="minorBidi"/>
          <w:sz w:val="22"/>
          <w:szCs w:val="22"/>
          <w:lang w:val="ru-RU"/>
        </w:rPr>
        <w:t>(</w:t>
      </w:r>
      <w:r>
        <w:rPr>
          <w:rFonts w:asciiTheme="minorBidi" w:hAnsiTheme="minorBidi" w:cstheme="minorBidi"/>
          <w:sz w:val="22"/>
          <w:szCs w:val="22"/>
          <w:lang w:val="fr-FR"/>
        </w:rPr>
        <w:t>xi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 xml:space="preserve">) 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>осуществление проекта MAКГК-МОКАРИБ Морское дно-2030 (140.2);</w:t>
      </w:r>
    </w:p>
    <w:p w14:paraId="1993B363" w14:textId="77777777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одобряет также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активную роль региональных и технических вспомогательных органов и программ МОК в содействии региональной и тематической координации проведения Десятилетия и мероприятий по поощрению участия в нем, в частности:</w:t>
      </w:r>
    </w:p>
    <w:p w14:paraId="52558B7F" w14:textId="77777777" w:rsidR="00F71A72" w:rsidRPr="00601E99" w:rsidRDefault="00A00C64" w:rsidP="00470076">
      <w:pPr>
        <w:tabs>
          <w:tab w:val="clear" w:pos="567"/>
        </w:tabs>
        <w:adjustRightInd w:val="0"/>
        <w:spacing w:after="240"/>
        <w:ind w:left="1134" w:hanging="567"/>
        <w:jc w:val="both"/>
        <w:rPr>
          <w:rFonts w:asciiTheme="minorBidi" w:eastAsia="MS Mincho" w:hAnsiTheme="minorBidi" w:cstheme="minorBidi"/>
          <w:snapToGrid/>
          <w:sz w:val="22"/>
          <w:szCs w:val="22"/>
          <w:lang w:val="ru-RU"/>
        </w:rPr>
      </w:pPr>
      <w:r w:rsidRPr="00601E99">
        <w:rPr>
          <w:rFonts w:asciiTheme="minorBidi" w:hAnsiTheme="minorBidi" w:cstheme="minorBidi"/>
          <w:sz w:val="22"/>
          <w:szCs w:val="22"/>
          <w:lang w:val="ru-RU"/>
        </w:rPr>
        <w:t>(</w:t>
      </w:r>
      <w:r>
        <w:rPr>
          <w:rFonts w:asciiTheme="minorBidi" w:hAnsiTheme="minorBidi" w:cstheme="minorBidi"/>
          <w:sz w:val="22"/>
          <w:szCs w:val="22"/>
          <w:lang w:val="fr-FR"/>
        </w:rPr>
        <w:t>i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 xml:space="preserve">) 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601E99">
        <w:rPr>
          <w:rFonts w:asciiTheme="minorBidi" w:hAnsiTheme="minorBidi" w:cstheme="minorBidi"/>
          <w:sz w:val="22"/>
          <w:szCs w:val="22"/>
          <w:lang w:val="ru-RU"/>
        </w:rPr>
        <w:t>выполнение секретариатом подкомиссии МОК для западной части Тихого океана</w:t>
      </w:r>
      <w:r w:rsidR="00726B0E" w:rsidRPr="00601E99">
        <w:rPr>
          <w:rFonts w:asciiTheme="minorBidi" w:hAnsiTheme="minorBidi" w:cstheme="minorBidi"/>
          <w:sz w:val="22"/>
          <w:szCs w:val="22"/>
          <w:lang w:val="en-US"/>
        </w:rPr>
        <w:t> </w:t>
      </w:r>
      <w:r w:rsidR="00020D95" w:rsidRPr="00601E99">
        <w:rPr>
          <w:rFonts w:asciiTheme="minorBidi" w:hAnsiTheme="minorBidi" w:cstheme="minorBidi"/>
          <w:sz w:val="22"/>
          <w:szCs w:val="22"/>
          <w:lang w:val="ru-RU"/>
        </w:rPr>
        <w:t>(ВЕСТПАК) функции бюро по координации проведения Десятилетия в западной части Тихого океана;</w:t>
      </w:r>
    </w:p>
    <w:p w14:paraId="36D55942" w14:textId="56CADDD5" w:rsidR="00F71A72" w:rsidRPr="00601E99" w:rsidRDefault="00A00C64" w:rsidP="00470076">
      <w:pPr>
        <w:tabs>
          <w:tab w:val="clear" w:pos="567"/>
          <w:tab w:val="left" w:pos="-737"/>
          <w:tab w:val="left" w:pos="360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601E99">
        <w:rPr>
          <w:rFonts w:asciiTheme="minorBidi" w:hAnsiTheme="minorBidi" w:cstheme="minorBidi"/>
          <w:sz w:val="22"/>
          <w:szCs w:val="22"/>
          <w:lang w:val="ru-RU"/>
        </w:rPr>
        <w:t>(</w:t>
      </w:r>
      <w:r w:rsidRPr="00601E99">
        <w:rPr>
          <w:rFonts w:asciiTheme="minorBidi" w:hAnsiTheme="minorBidi" w:cstheme="minorBidi"/>
          <w:sz w:val="22"/>
          <w:szCs w:val="22"/>
          <w:lang w:val="fr-FR"/>
        </w:rPr>
        <w:t>ii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 xml:space="preserve">) 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601E99">
        <w:rPr>
          <w:rFonts w:asciiTheme="minorBidi" w:hAnsiTheme="minorBidi" w:cstheme="minorBidi"/>
          <w:sz w:val="22"/>
          <w:szCs w:val="22"/>
          <w:lang w:val="ru-RU"/>
        </w:rPr>
        <w:t xml:space="preserve">выполнение бюро по программе МООД функции бюро по координации проведения Десятилетия в области обмена океанографическими данными; </w:t>
      </w:r>
    </w:p>
    <w:p w14:paraId="31CE15D0" w14:textId="77777777" w:rsidR="00F71A72" w:rsidRPr="00601E99" w:rsidRDefault="00A00C64" w:rsidP="00470076">
      <w:pPr>
        <w:tabs>
          <w:tab w:val="clear" w:pos="567"/>
          <w:tab w:val="left" w:pos="-737"/>
          <w:tab w:val="left" w:pos="360"/>
        </w:tabs>
        <w:adjustRightInd w:val="0"/>
        <w:spacing w:after="24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601E99">
        <w:rPr>
          <w:rFonts w:asciiTheme="minorBidi" w:hAnsiTheme="minorBidi" w:cstheme="minorBidi"/>
          <w:sz w:val="22"/>
          <w:szCs w:val="22"/>
          <w:lang w:val="ru-RU"/>
        </w:rPr>
        <w:t>(</w:t>
      </w:r>
      <w:r w:rsidRPr="00601E99">
        <w:rPr>
          <w:rFonts w:asciiTheme="minorBidi" w:hAnsiTheme="minorBidi" w:cstheme="minorBidi"/>
          <w:sz w:val="22"/>
          <w:szCs w:val="22"/>
          <w:lang w:val="fr-FR"/>
        </w:rPr>
        <w:t>iii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 xml:space="preserve">) </w:t>
      </w:r>
      <w:r w:rsidRPr="00601E99">
        <w:rPr>
          <w:rFonts w:asciiTheme="minorBidi" w:hAnsiTheme="minorBidi" w:cstheme="minorBidi"/>
          <w:sz w:val="22"/>
          <w:szCs w:val="22"/>
          <w:lang w:val="ru-RU"/>
        </w:rPr>
        <w:tab/>
      </w:r>
      <w:r w:rsidR="00020D95" w:rsidRPr="00601E99">
        <w:rPr>
          <w:rFonts w:asciiTheme="minorBidi" w:hAnsiTheme="minorBidi" w:cstheme="minorBidi"/>
          <w:sz w:val="22"/>
          <w:szCs w:val="22"/>
          <w:lang w:val="ru-RU"/>
        </w:rPr>
        <w:t>выполнение бюро по проектам ГСНО функции бюро по координации проведения Десятилетия в области океанографических наблюдений;</w:t>
      </w:r>
    </w:p>
    <w:p w14:paraId="4A27A86D" w14:textId="77777777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приветствует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разработку Африканского плана по Десятилетию океана и содержащиеся в нем девять приоритетных мероприятий; </w:t>
      </w:r>
    </w:p>
    <w:p w14:paraId="6E752B98" w14:textId="0BF39D04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предлагает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МОКАФРИКА и МОКАРИБ рассмотреть возможность выполнения функций </w:t>
      </w:r>
      <w:r w:rsidR="00A00C64">
        <w:rPr>
          <w:rFonts w:asciiTheme="minorBidi" w:hAnsiTheme="minorBidi" w:cstheme="minorBidi"/>
          <w:sz w:val="22"/>
          <w:szCs w:val="22"/>
          <w:lang w:val="ru-RU"/>
        </w:rPr>
        <w:t>БКД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для осуществления региональных мероприятий Десятилетия и разработать круг ведения и определить потребности в ресурсах для укрепления их соответствующих региональных секретариатов;</w:t>
      </w:r>
    </w:p>
    <w:p w14:paraId="201669CC" w14:textId="77777777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принимает к сведению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 xml:space="preserve"> потребности в ресурсах, обозначенные программами МОК для выполнения ими функций координации проведения Десятилетия, и </w:t>
      </w: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благодарит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правительство Таиланда за поддержку в укреплении бюро ВЕСТПАК МОК;</w:t>
      </w:r>
    </w:p>
    <w:p w14:paraId="16E56917" w14:textId="77777777" w:rsidR="00F71A72" w:rsidRPr="00FF39D3" w:rsidRDefault="00020D95" w:rsidP="00726B0E">
      <w:pPr>
        <w:pStyle w:val="NormalWeb"/>
        <w:numPr>
          <w:ilvl w:val="0"/>
          <w:numId w:val="7"/>
        </w:numPr>
        <w:spacing w:before="0" w:beforeAutospacing="0" w:after="240" w:afterAutospacing="0"/>
        <w:ind w:left="567" w:hanging="567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>предлагает</w:t>
      </w:r>
      <w:r w:rsidR="00A00C6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также</w:t>
      </w:r>
      <w:r w:rsidRPr="00FF39D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Pr="00FF39D3">
        <w:rPr>
          <w:rFonts w:asciiTheme="minorBidi" w:hAnsiTheme="minorBidi" w:cstheme="minorBidi"/>
          <w:sz w:val="22"/>
          <w:szCs w:val="22"/>
          <w:lang w:val="ru-RU"/>
        </w:rPr>
        <w:t>государствам-членам, партнерам и организациям-донорам поддержать данные мероприятия в рамках Десятилетия и механизмы координации такой деятельности, в том числе путем выделения соответствующим программам МОК внебюджетных средств для реализации намеченных ими преобразований, руководства деятельностью их соответствующих сообществ и выполнения роли катализатора дальнейших мер в рамках Десятилетия и по его завершении.</w:t>
      </w:r>
    </w:p>
    <w:p w14:paraId="79FD50BF" w14:textId="77777777" w:rsidR="00F71A72" w:rsidRPr="00FF39D3" w:rsidRDefault="00020D95" w:rsidP="00726B0E">
      <w:pPr>
        <w:pStyle w:val="COI"/>
        <w:ind w:left="0" w:firstLine="0"/>
        <w:rPr>
          <w:rFonts w:asciiTheme="minorBidi" w:hAnsiTheme="minorBidi" w:cstheme="minorBidi"/>
          <w:sz w:val="22"/>
          <w:szCs w:val="22"/>
        </w:rPr>
      </w:pPr>
      <w:r w:rsidRPr="00FF39D3">
        <w:rPr>
          <w:rFonts w:asciiTheme="minorBidi" w:hAnsiTheme="minorBidi" w:cstheme="minorBidi"/>
          <w:sz w:val="22"/>
          <w:szCs w:val="22"/>
        </w:rPr>
        <w:t>----------------------------</w:t>
      </w:r>
    </w:p>
    <w:p w14:paraId="060FB4D6" w14:textId="77777777" w:rsidR="00F71A72" w:rsidRPr="00726B0E" w:rsidRDefault="00726B0E" w:rsidP="00726B0E">
      <w:pPr>
        <w:pStyle w:val="COI"/>
        <w:ind w:left="0" w:firstLine="0"/>
        <w:rPr>
          <w:rFonts w:asciiTheme="minorBidi" w:hAnsiTheme="minorBidi" w:cstheme="minorBidi"/>
          <w:sz w:val="22"/>
          <w:szCs w:val="22"/>
          <w:lang w:val="en-US"/>
        </w:rPr>
      </w:pPr>
      <w:r w:rsidRPr="00FF39D3">
        <w:rPr>
          <w:rFonts w:asciiTheme="minorBidi" w:hAnsiTheme="minorBidi" w:cstheme="minorBidi"/>
          <w:sz w:val="22"/>
          <w:szCs w:val="22"/>
          <w:lang w:val="ru-RU"/>
        </w:rPr>
        <w:t>Ф</w:t>
      </w:r>
      <w:r w:rsidR="00020D95" w:rsidRPr="00FF39D3">
        <w:rPr>
          <w:rFonts w:asciiTheme="minorBidi" w:hAnsiTheme="minorBidi" w:cstheme="minorBidi"/>
          <w:sz w:val="22"/>
          <w:szCs w:val="22"/>
          <w:lang w:val="ru-RU"/>
        </w:rPr>
        <w:t>инансовые последствия</w:t>
      </w:r>
      <w:r>
        <w:rPr>
          <w:rFonts w:asciiTheme="minorBidi" w:hAnsiTheme="minorBidi" w:cstheme="minorBidi"/>
          <w:sz w:val="22"/>
          <w:szCs w:val="22"/>
          <w:lang w:val="en-US"/>
        </w:rPr>
        <w:t>:</w:t>
      </w:r>
    </w:p>
    <w:sectPr w:rsidR="00F71A72" w:rsidRPr="00726B0E" w:rsidSect="00726B0E">
      <w:headerReference w:type="even" r:id="rId8"/>
      <w:headerReference w:type="default" r:id="rId9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8A9F" w14:textId="77777777" w:rsidR="00DF10D8" w:rsidRDefault="00DF10D8">
      <w:r>
        <w:separator/>
      </w:r>
    </w:p>
  </w:endnote>
  <w:endnote w:type="continuationSeparator" w:id="0">
    <w:p w14:paraId="2C473691" w14:textId="77777777" w:rsidR="00DF10D8" w:rsidRDefault="00DF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3C8D" w14:textId="77777777" w:rsidR="00DF10D8" w:rsidRDefault="00DF10D8">
      <w:r>
        <w:separator/>
      </w:r>
    </w:p>
  </w:footnote>
  <w:footnote w:type="continuationSeparator" w:id="0">
    <w:p w14:paraId="5842F9A2" w14:textId="77777777" w:rsidR="00DF10D8" w:rsidRDefault="00DF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1470" w14:textId="4DF18BB4" w:rsidR="00DF10D8" w:rsidRPr="00726B0E" w:rsidRDefault="00DF10D8" w:rsidP="00726B0E">
    <w:pPr>
      <w:pStyle w:val="Header"/>
      <w:rPr>
        <w:rFonts w:asciiTheme="minorBidi" w:hAnsiTheme="minorBidi" w:cstheme="minorBidi"/>
        <w:sz w:val="22"/>
        <w:szCs w:val="22"/>
        <w:lang w:val="fr-FR"/>
      </w:rPr>
    </w:pPr>
    <w:r w:rsidRPr="00726B0E">
      <w:rPr>
        <w:rFonts w:asciiTheme="minorBidi" w:hAnsiTheme="minorBidi" w:cstheme="minorBidi"/>
        <w:sz w:val="22"/>
        <w:szCs w:val="22"/>
        <w:lang w:val="fr-FR"/>
      </w:rPr>
      <w:t xml:space="preserve">EC-55/DR.[4.1] </w:t>
    </w:r>
    <w:proofErr w:type="spellStart"/>
    <w:r w:rsidR="0022305D">
      <w:rPr>
        <w:rFonts w:asciiTheme="minorBidi" w:hAnsiTheme="minorBidi" w:cstheme="minorBidi"/>
        <w:sz w:val="22"/>
        <w:szCs w:val="22"/>
        <w:lang w:val="fr-FR"/>
      </w:rPr>
      <w:t>Rev</w:t>
    </w:r>
    <w:proofErr w:type="spellEnd"/>
    <w:r w:rsidR="0022305D">
      <w:rPr>
        <w:rFonts w:asciiTheme="minorBidi" w:hAnsiTheme="minorBidi" w:cstheme="minorBidi"/>
        <w:sz w:val="22"/>
        <w:szCs w:val="22"/>
        <w:lang w:val="fr-FR"/>
      </w:rPr>
      <w:t xml:space="preserve">. </w:t>
    </w:r>
    <w:r>
      <w:rPr>
        <w:rFonts w:asciiTheme="minorBidi" w:hAnsiTheme="minorBidi" w:cstheme="minorBidi"/>
        <w:sz w:val="22"/>
        <w:szCs w:val="22"/>
        <w:lang w:val="fr-FR"/>
      </w:rPr>
      <w:t>–</w:t>
    </w:r>
    <w:r w:rsidRPr="00726B0E">
      <w:rPr>
        <w:rFonts w:asciiTheme="minorBidi" w:hAnsiTheme="minorBidi" w:cstheme="minorBidi"/>
        <w:sz w:val="22"/>
        <w:szCs w:val="22"/>
        <w:lang w:val="fr-FR"/>
      </w:rPr>
      <w:t xml:space="preserve"> page </w:t>
    </w:r>
    <w:r w:rsidRPr="00726B0E">
      <w:rPr>
        <w:rFonts w:asciiTheme="minorBidi" w:hAnsiTheme="minorBidi" w:cstheme="minorBidi"/>
        <w:sz w:val="22"/>
        <w:szCs w:val="22"/>
        <w:lang w:val="fr-FR"/>
      </w:rPr>
      <w:fldChar w:fldCharType="begin"/>
    </w:r>
    <w:r w:rsidRPr="00726B0E">
      <w:rPr>
        <w:rFonts w:asciiTheme="minorBidi" w:hAnsiTheme="minorBidi" w:cstheme="minorBidi"/>
        <w:sz w:val="22"/>
        <w:szCs w:val="22"/>
        <w:lang w:val="fr-FR"/>
      </w:rPr>
      <w:instrText xml:space="preserve"> PAGE   \* MERGEFORMAT </w:instrText>
    </w:r>
    <w:r w:rsidRPr="00726B0E">
      <w:rPr>
        <w:rFonts w:asciiTheme="minorBidi" w:hAnsiTheme="minorBidi" w:cstheme="minorBidi"/>
        <w:sz w:val="22"/>
        <w:szCs w:val="22"/>
        <w:lang w:val="fr-FR"/>
      </w:rPr>
      <w:fldChar w:fldCharType="separate"/>
    </w:r>
    <w:r w:rsidR="00A00C64">
      <w:rPr>
        <w:rFonts w:asciiTheme="minorBidi" w:hAnsiTheme="minorBidi" w:cstheme="minorBidi"/>
        <w:noProof/>
        <w:sz w:val="22"/>
        <w:szCs w:val="22"/>
        <w:lang w:val="fr-FR"/>
      </w:rPr>
      <w:t>2</w:t>
    </w:r>
    <w:r w:rsidRPr="00726B0E">
      <w:rPr>
        <w:rFonts w:asciiTheme="minorBidi" w:hAnsiTheme="minorBidi" w:cstheme="minorBidi"/>
        <w:noProof/>
        <w:sz w:val="22"/>
        <w:szCs w:val="22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9DD1" w14:textId="233840B5" w:rsidR="00DF10D8" w:rsidRDefault="00DF10D8">
    <w:pPr>
      <w:pStyle w:val="Header"/>
      <w:jc w:val="right"/>
      <w:rPr>
        <w:rFonts w:ascii="Arial" w:hAnsi="Arial" w:cs="Arial"/>
        <w:snapToGrid/>
        <w:sz w:val="22"/>
        <w:szCs w:val="22"/>
      </w:rPr>
    </w:pPr>
    <w:r>
      <w:rPr>
        <w:lang w:val="fr-FR"/>
      </w:rPr>
      <w:tab/>
    </w:r>
    <w:r>
      <w:rPr>
        <w:rFonts w:ascii="Arial" w:hAnsi="Arial" w:cs="Arial"/>
        <w:snapToGrid/>
        <w:sz w:val="22"/>
        <w:szCs w:val="22"/>
      </w:rPr>
      <w:t>EC-55/</w:t>
    </w:r>
    <w:proofErr w:type="gramStart"/>
    <w:r>
      <w:rPr>
        <w:rFonts w:ascii="Arial" w:hAnsi="Arial" w:cs="Arial"/>
        <w:snapToGrid/>
        <w:sz w:val="22"/>
        <w:szCs w:val="22"/>
      </w:rPr>
      <w:t>DR.[</w:t>
    </w:r>
    <w:proofErr w:type="gramEnd"/>
    <w:r>
      <w:rPr>
        <w:rFonts w:ascii="Arial" w:hAnsi="Arial" w:cs="Arial"/>
        <w:snapToGrid/>
        <w:sz w:val="22"/>
        <w:szCs w:val="22"/>
      </w:rPr>
      <w:t xml:space="preserve">4.1] </w:t>
    </w:r>
    <w:r w:rsidR="0022305D">
      <w:rPr>
        <w:rFonts w:ascii="Arial" w:hAnsi="Arial" w:cs="Arial"/>
        <w:snapToGrid/>
        <w:sz w:val="22"/>
        <w:szCs w:val="22"/>
        <w:lang w:val="en-US"/>
      </w:rPr>
      <w:t xml:space="preserve">Rev. </w:t>
    </w:r>
    <w:r>
      <w:rPr>
        <w:rFonts w:ascii="Arial" w:hAnsi="Arial" w:cs="Arial"/>
        <w:snapToGrid/>
        <w:sz w:val="22"/>
        <w:szCs w:val="22"/>
      </w:rPr>
      <w:t xml:space="preserve">– page </w:t>
    </w:r>
    <w:r>
      <w:rPr>
        <w:rFonts w:ascii="Arial" w:hAnsi="Arial" w:cs="Arial"/>
        <w:snapToGrid/>
        <w:sz w:val="22"/>
        <w:szCs w:val="22"/>
      </w:rPr>
      <w:fldChar w:fldCharType="begin"/>
    </w:r>
    <w:r>
      <w:rPr>
        <w:rFonts w:ascii="Arial" w:hAnsi="Arial" w:cs="Arial"/>
        <w:snapToGrid/>
        <w:sz w:val="22"/>
        <w:szCs w:val="22"/>
      </w:rPr>
      <w:instrText xml:space="preserve"> PAGE   \* MERGEFORMAT </w:instrText>
    </w:r>
    <w:r>
      <w:rPr>
        <w:rFonts w:ascii="Arial" w:hAnsi="Arial" w:cs="Arial"/>
        <w:snapToGrid/>
        <w:sz w:val="22"/>
        <w:szCs w:val="22"/>
      </w:rPr>
      <w:fldChar w:fldCharType="separate"/>
    </w:r>
    <w:r w:rsidR="00A00C64">
      <w:rPr>
        <w:rFonts w:ascii="Arial" w:hAnsi="Arial" w:cs="Arial"/>
        <w:noProof/>
        <w:snapToGrid/>
        <w:sz w:val="22"/>
        <w:szCs w:val="22"/>
      </w:rPr>
      <w:t>3</w:t>
    </w:r>
    <w:r>
      <w:rPr>
        <w:rFonts w:ascii="Arial" w:hAnsi="Arial" w:cs="Arial"/>
        <w:noProof/>
        <w:snapToGrid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553"/>
    <w:multiLevelType w:val="hybridMultilevel"/>
    <w:tmpl w:val="9620D798"/>
    <w:lvl w:ilvl="0" w:tplc="7F44EBD0">
      <w:start w:val="1"/>
      <w:numFmt w:val="lowerRoman"/>
      <w:lvlText w:val="%1)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9523B"/>
    <w:multiLevelType w:val="hybridMultilevel"/>
    <w:tmpl w:val="894A57EE"/>
    <w:lvl w:ilvl="0" w:tplc="AD260A2C">
      <w:start w:val="1"/>
      <w:numFmt w:val="lowerRoman"/>
      <w:lvlText w:val="%1)"/>
      <w:lvlJc w:val="left"/>
      <w:pPr>
        <w:ind w:left="1287" w:hanging="720"/>
      </w:pPr>
      <w:rPr>
        <w:rFonts w:ascii="ArialMT" w:hAnsi="ArialMT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FB4351"/>
    <w:multiLevelType w:val="hybridMultilevel"/>
    <w:tmpl w:val="B46AEDA0"/>
    <w:lvl w:ilvl="0" w:tplc="5F42CDC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66605E"/>
    <w:multiLevelType w:val="hybridMultilevel"/>
    <w:tmpl w:val="F8940CD4"/>
    <w:lvl w:ilvl="0" w:tplc="8B76B7C6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bCs w:val="0"/>
        <w:i w:val="0"/>
        <w:iCs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2485D"/>
    <w:multiLevelType w:val="hybridMultilevel"/>
    <w:tmpl w:val="2C1E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475A6"/>
    <w:multiLevelType w:val="hybridMultilevel"/>
    <w:tmpl w:val="F3BE6406"/>
    <w:lvl w:ilvl="0" w:tplc="6D68BCE4">
      <w:start w:val="1"/>
      <w:numFmt w:val="lowerRoman"/>
      <w:lvlText w:val="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7317"/>
    <w:multiLevelType w:val="hybridMultilevel"/>
    <w:tmpl w:val="A496A210"/>
    <w:lvl w:ilvl="0" w:tplc="C45450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F3009"/>
    <w:multiLevelType w:val="hybridMultilevel"/>
    <w:tmpl w:val="A196A036"/>
    <w:lvl w:ilvl="0" w:tplc="5F42C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4F"/>
    <w:rsid w:val="00020D95"/>
    <w:rsid w:val="00033DD2"/>
    <w:rsid w:val="00050C09"/>
    <w:rsid w:val="00052B5A"/>
    <w:rsid w:val="00067B5F"/>
    <w:rsid w:val="000D0C6F"/>
    <w:rsid w:val="000D312B"/>
    <w:rsid w:val="000D4EDB"/>
    <w:rsid w:val="001105FE"/>
    <w:rsid w:val="0011490A"/>
    <w:rsid w:val="00130FBD"/>
    <w:rsid w:val="00183205"/>
    <w:rsid w:val="00183573"/>
    <w:rsid w:val="00187881"/>
    <w:rsid w:val="001B0312"/>
    <w:rsid w:val="001C5661"/>
    <w:rsid w:val="001D5BA2"/>
    <w:rsid w:val="001E3923"/>
    <w:rsid w:val="001E6FE2"/>
    <w:rsid w:val="001F3D2C"/>
    <w:rsid w:val="00205DCB"/>
    <w:rsid w:val="002066D1"/>
    <w:rsid w:val="0022305D"/>
    <w:rsid w:val="00252C0F"/>
    <w:rsid w:val="00276749"/>
    <w:rsid w:val="00297B99"/>
    <w:rsid w:val="002C28A8"/>
    <w:rsid w:val="002E41A7"/>
    <w:rsid w:val="00302E30"/>
    <w:rsid w:val="00305214"/>
    <w:rsid w:val="003A4505"/>
    <w:rsid w:val="003A770C"/>
    <w:rsid w:val="00413BC8"/>
    <w:rsid w:val="00454B96"/>
    <w:rsid w:val="00460755"/>
    <w:rsid w:val="00470076"/>
    <w:rsid w:val="00494C9A"/>
    <w:rsid w:val="004B1009"/>
    <w:rsid w:val="004B6564"/>
    <w:rsid w:val="0050224F"/>
    <w:rsid w:val="005039BF"/>
    <w:rsid w:val="00540BDF"/>
    <w:rsid w:val="0055335F"/>
    <w:rsid w:val="00582E0E"/>
    <w:rsid w:val="005841FE"/>
    <w:rsid w:val="005B3C25"/>
    <w:rsid w:val="005B6368"/>
    <w:rsid w:val="005E3B34"/>
    <w:rsid w:val="00601E99"/>
    <w:rsid w:val="00621A35"/>
    <w:rsid w:val="00630B82"/>
    <w:rsid w:val="006379F0"/>
    <w:rsid w:val="00663A9E"/>
    <w:rsid w:val="00696F63"/>
    <w:rsid w:val="006B2C31"/>
    <w:rsid w:val="006D4CD7"/>
    <w:rsid w:val="006F2EF5"/>
    <w:rsid w:val="00707E96"/>
    <w:rsid w:val="0071557B"/>
    <w:rsid w:val="00726B0E"/>
    <w:rsid w:val="0073078E"/>
    <w:rsid w:val="007328E2"/>
    <w:rsid w:val="0073773D"/>
    <w:rsid w:val="00746E6E"/>
    <w:rsid w:val="00756BAB"/>
    <w:rsid w:val="00766694"/>
    <w:rsid w:val="00784DE2"/>
    <w:rsid w:val="007C63CF"/>
    <w:rsid w:val="007E2A6D"/>
    <w:rsid w:val="00851307"/>
    <w:rsid w:val="00856C2C"/>
    <w:rsid w:val="00891A95"/>
    <w:rsid w:val="008A3665"/>
    <w:rsid w:val="008B69B4"/>
    <w:rsid w:val="00922E7B"/>
    <w:rsid w:val="009371D8"/>
    <w:rsid w:val="00947577"/>
    <w:rsid w:val="00971C83"/>
    <w:rsid w:val="00990358"/>
    <w:rsid w:val="009C3E37"/>
    <w:rsid w:val="009C4402"/>
    <w:rsid w:val="009E419C"/>
    <w:rsid w:val="009F7E71"/>
    <w:rsid w:val="00A00C64"/>
    <w:rsid w:val="00A57C89"/>
    <w:rsid w:val="00A64CB0"/>
    <w:rsid w:val="00A66759"/>
    <w:rsid w:val="00A84788"/>
    <w:rsid w:val="00AE1FB7"/>
    <w:rsid w:val="00AF2865"/>
    <w:rsid w:val="00B11D93"/>
    <w:rsid w:val="00B15066"/>
    <w:rsid w:val="00B45472"/>
    <w:rsid w:val="00BA0AD5"/>
    <w:rsid w:val="00BB175E"/>
    <w:rsid w:val="00BC394C"/>
    <w:rsid w:val="00BC46DF"/>
    <w:rsid w:val="00BC4EC3"/>
    <w:rsid w:val="00C16EAA"/>
    <w:rsid w:val="00C239D1"/>
    <w:rsid w:val="00C81BBE"/>
    <w:rsid w:val="00C94407"/>
    <w:rsid w:val="00CB5076"/>
    <w:rsid w:val="00CC091E"/>
    <w:rsid w:val="00CC3161"/>
    <w:rsid w:val="00D0146F"/>
    <w:rsid w:val="00D46D6A"/>
    <w:rsid w:val="00D56DE2"/>
    <w:rsid w:val="00DC168C"/>
    <w:rsid w:val="00DD3E05"/>
    <w:rsid w:val="00DD7428"/>
    <w:rsid w:val="00DE18E8"/>
    <w:rsid w:val="00DF10D8"/>
    <w:rsid w:val="00E022F0"/>
    <w:rsid w:val="00E43149"/>
    <w:rsid w:val="00E74967"/>
    <w:rsid w:val="00ED1F03"/>
    <w:rsid w:val="00ED24C1"/>
    <w:rsid w:val="00ED2A7F"/>
    <w:rsid w:val="00F2071E"/>
    <w:rsid w:val="00F20CD4"/>
    <w:rsid w:val="00F71A72"/>
    <w:rsid w:val="00F8714C"/>
    <w:rsid w:val="00F901AC"/>
    <w:rsid w:val="00F97EE6"/>
    <w:rsid w:val="00FA4477"/>
    <w:rsid w:val="00FD0ADF"/>
    <w:rsid w:val="00FD34A3"/>
    <w:rsid w:val="00FF3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E3E3B"/>
  <w15:docId w15:val="{9C303738-E7B4-488D-8904-3433C28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styleId="NormalWeb">
    <w:name w:val="Normal (Web)"/>
    <w:basedOn w:val="Normal"/>
    <w:uiPriority w:val="99"/>
    <w:rsid w:val="00B45472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/>
    </w:rPr>
  </w:style>
  <w:style w:type="paragraph" w:styleId="Revision">
    <w:name w:val="Revision"/>
    <w:hidden/>
    <w:uiPriority w:val="99"/>
    <w:semiHidden/>
    <w:rsid w:val="00302E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6202-E368-460C-BC01-8A5894A7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862</Words>
  <Characters>6264</Characters>
  <Application>Microsoft Office Word</Application>
  <DocSecurity>0</DocSecurity>
  <Lines>116</Lines>
  <Paragraphs>46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Проведение Десятилетия Организации Объединенных Наций, посвященного науке об океане в интересах устойчивого развития (2021-2030 гг.)</vt:lpstr>
      <vt:lpstr/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Десятилетия Организации Объединенных Наций, посвященного науке об океане в интересах устойчивого развития (2021-2030 гг.)</dc:title>
  <dc:subject>EC-55/DR.[4.1] Rev.</dc:subject>
  <dc:creator>Boned, Patrice</dc:creator>
  <cp:keywords>0</cp:keywords>
  <dc:description/>
  <cp:lastModifiedBy>Chakhvorostova, Valentina</cp:lastModifiedBy>
  <cp:revision>8</cp:revision>
  <cp:lastPrinted>2014-07-02T20:44:00Z</cp:lastPrinted>
  <dcterms:created xsi:type="dcterms:W3CDTF">2022-06-15T08:30:00Z</dcterms:created>
  <dcterms:modified xsi:type="dcterms:W3CDTF">2022-06-15T08:48:00Z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iouri.ostrovski</vt:lpwstr>
  </property>
  <property fmtid="{D5CDD505-2E9C-101B-9397-08002B2CF9AE}" pid="4" name="GeneratedDate">
    <vt:lpwstr>06/13/2022 14:54:11</vt:lpwstr>
  </property>
  <property fmtid="{D5CDD505-2E9C-101B-9397-08002B2CF9AE}" pid="5" name="OriginalDocID">
    <vt:lpwstr>fb2e2b29-72e2-4c1e-a0ef-287806c712e0</vt:lpwstr>
  </property>
  <property fmtid="{D5CDD505-2E9C-101B-9397-08002B2CF9AE}" pid="6" name="JobDCPMS">
    <vt:lpwstr>2201647</vt:lpwstr>
  </property>
  <property fmtid="{D5CDD505-2E9C-101B-9397-08002B2CF9AE}" pid="7" name="Language">
    <vt:lpwstr>R</vt:lpwstr>
  </property>
</Properties>
</file>