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3EA8" w14:textId="0DF98D67" w:rsidR="00874F6E" w:rsidRPr="004172CC" w:rsidRDefault="00874F6E" w:rsidP="00762856">
      <w:pPr>
        <w:tabs>
          <w:tab w:val="left" w:pos="1545"/>
        </w:tabs>
        <w:spacing w:after="240"/>
        <w:jc w:val="both"/>
        <w:rPr>
          <w:b/>
          <w:lang w:val="es-ES_tradnl"/>
        </w:rPr>
      </w:pPr>
      <w:r w:rsidRPr="004172CC">
        <w:rPr>
          <w:b/>
          <w:bCs/>
          <w:lang w:val="es-ES_tradnl"/>
        </w:rPr>
        <w:t>Resumen</w:t>
      </w:r>
    </w:p>
    <w:p w14:paraId="488CEA77" w14:textId="43686A1F" w:rsidR="00874F6E" w:rsidRPr="004172CC" w:rsidRDefault="00874F6E" w:rsidP="00762856">
      <w:pPr>
        <w:spacing w:after="240"/>
        <w:jc w:val="both"/>
        <w:rPr>
          <w:lang w:val="es-ES_tradnl"/>
        </w:rPr>
      </w:pPr>
      <w:r w:rsidRPr="004172CC">
        <w:rPr>
          <w:lang w:val="es-ES_tradnl"/>
        </w:rPr>
        <w:t>El Grupo Intergubernamental de Coordinación del Sistema de Alerta Temprana contra los Tsunamis y Atenuación de sus Efectos en el Atlántico Nororiental y el Mediterráneo y Mares Adyacentes (ICG/NEAMTWS) c</w:t>
      </w:r>
      <w:r w:rsidR="00926B6F" w:rsidRPr="004172CC">
        <w:rPr>
          <w:lang w:val="es-ES_tradnl"/>
        </w:rPr>
        <w:t>ongreg</w:t>
      </w:r>
      <w:r w:rsidRPr="004172CC">
        <w:rPr>
          <w:lang w:val="es-ES_tradnl"/>
        </w:rPr>
        <w:t>ó</w:t>
      </w:r>
      <w:r w:rsidR="00926B6F" w:rsidRPr="004172CC">
        <w:rPr>
          <w:lang w:val="es-ES_tradnl"/>
        </w:rPr>
        <w:t xml:space="preserve"> a</w:t>
      </w:r>
      <w:r w:rsidRPr="004172CC">
        <w:rPr>
          <w:lang w:val="es-ES_tradnl"/>
        </w:rPr>
        <w:t xml:space="preserve"> </w:t>
      </w:r>
      <w:r w:rsidR="00926B6F" w:rsidRPr="004172CC">
        <w:rPr>
          <w:lang w:val="es-ES_tradnl"/>
        </w:rPr>
        <w:t xml:space="preserve">representantes de 16 Estados Miembros en </w:t>
      </w:r>
      <w:r w:rsidRPr="004172CC">
        <w:rPr>
          <w:lang w:val="es-ES_tradnl"/>
        </w:rPr>
        <w:t xml:space="preserve">su 17ª reunión, </w:t>
      </w:r>
      <w:r w:rsidR="00926B6F" w:rsidRPr="004172CC">
        <w:rPr>
          <w:lang w:val="es-ES_tradnl"/>
        </w:rPr>
        <w:t>celebrada</w:t>
      </w:r>
      <w:r w:rsidRPr="004172CC">
        <w:rPr>
          <w:lang w:val="es-ES_tradnl"/>
        </w:rPr>
        <w:t xml:space="preserve"> </w:t>
      </w:r>
      <w:r w:rsidR="00926B6F" w:rsidRPr="004172CC">
        <w:rPr>
          <w:lang w:val="es-ES_tradnl"/>
        </w:rPr>
        <w:t>en línea</w:t>
      </w:r>
      <w:r w:rsidRPr="004172CC">
        <w:rPr>
          <w:lang w:val="es-ES_tradnl"/>
        </w:rPr>
        <w:t xml:space="preserve"> del 24 al 26 de noviembre de 2021. El ICG aprobó las siguientes decisiones y recomendaciones:</w:t>
      </w:r>
    </w:p>
    <w:p w14:paraId="610BBE68" w14:textId="77777777" w:rsidR="00874F6E" w:rsidRPr="004172CC" w:rsidRDefault="00874F6E" w:rsidP="00762856">
      <w:pPr>
        <w:spacing w:after="240"/>
        <w:jc w:val="both"/>
        <w:rPr>
          <w:bCs/>
          <w:lang w:val="es-ES_tradnl"/>
        </w:rPr>
      </w:pPr>
      <w:r w:rsidRPr="004172CC">
        <w:rPr>
          <w:lang w:val="es-ES_tradnl"/>
        </w:rPr>
        <w:t>El ICG/NEAMTWS,</w:t>
      </w:r>
    </w:p>
    <w:p w14:paraId="1A949132" w14:textId="043C2294" w:rsidR="00874F6E" w:rsidRPr="004172CC" w:rsidRDefault="00874F6E" w:rsidP="00762856">
      <w:pPr>
        <w:spacing w:after="240"/>
        <w:jc w:val="both"/>
        <w:rPr>
          <w:lang w:val="es-ES_tradnl"/>
        </w:rPr>
      </w:pPr>
      <w:r w:rsidRPr="004172CC">
        <w:rPr>
          <w:b/>
          <w:bCs/>
          <w:lang w:val="es-ES_tradnl"/>
        </w:rPr>
        <w:t>Tomó nota</w:t>
      </w:r>
      <w:r w:rsidRPr="004172CC">
        <w:rPr>
          <w:lang w:val="es-ES_tradnl"/>
        </w:rPr>
        <w:t xml:space="preserve"> de los resultados positivos de</w:t>
      </w:r>
      <w:r w:rsidR="00E2270A" w:rsidRPr="004172CC">
        <w:rPr>
          <w:lang w:val="es-ES_tradnl"/>
        </w:rPr>
        <w:t xml:space="preserve"> </w:t>
      </w:r>
      <w:r w:rsidR="00926B6F" w:rsidRPr="004172CC">
        <w:rPr>
          <w:lang w:val="es-ES_tradnl"/>
        </w:rPr>
        <w:t>l</w:t>
      </w:r>
      <w:r w:rsidR="00E2270A" w:rsidRPr="004172CC">
        <w:rPr>
          <w:lang w:val="es-ES_tradnl"/>
        </w:rPr>
        <w:t>a</w:t>
      </w:r>
      <w:r w:rsidR="00926B6F" w:rsidRPr="004172CC">
        <w:rPr>
          <w:lang w:val="es-ES_tradnl"/>
        </w:rPr>
        <w:t xml:space="preserve"> cuart</w:t>
      </w:r>
      <w:r w:rsidR="00E2270A" w:rsidRPr="004172CC">
        <w:rPr>
          <w:lang w:val="es-ES_tradnl"/>
        </w:rPr>
        <w:t>a</w:t>
      </w:r>
      <w:r w:rsidR="00926B6F" w:rsidRPr="004172CC">
        <w:rPr>
          <w:lang w:val="es-ES_tradnl"/>
        </w:rPr>
        <w:t xml:space="preserve"> </w:t>
      </w:r>
      <w:r w:rsidRPr="004172CC">
        <w:rPr>
          <w:lang w:val="es-ES_tradnl"/>
        </w:rPr>
        <w:t>simulac</w:t>
      </w:r>
      <w:r w:rsidR="00E2270A" w:rsidRPr="004172CC">
        <w:rPr>
          <w:lang w:val="es-ES_tradnl"/>
        </w:rPr>
        <w:t>ión</w:t>
      </w:r>
      <w:r w:rsidRPr="004172CC">
        <w:rPr>
          <w:lang w:val="es-ES_tradnl"/>
        </w:rPr>
        <w:t xml:space="preserve"> de tsunami</w:t>
      </w:r>
      <w:r w:rsidR="00E2270A" w:rsidRPr="004172CC">
        <w:rPr>
          <w:lang w:val="es-ES_tradnl"/>
        </w:rPr>
        <w:t>s</w:t>
      </w:r>
      <w:r w:rsidRPr="004172CC">
        <w:rPr>
          <w:lang w:val="es-ES_tradnl"/>
        </w:rPr>
        <w:t xml:space="preserve"> en la región, NEAMWave21, realizad</w:t>
      </w:r>
      <w:r w:rsidR="00E2270A" w:rsidRPr="004172CC">
        <w:rPr>
          <w:lang w:val="es-ES_tradnl"/>
        </w:rPr>
        <w:t>a</w:t>
      </w:r>
      <w:r w:rsidRPr="004172CC">
        <w:rPr>
          <w:lang w:val="es-ES_tradnl"/>
        </w:rPr>
        <w:t xml:space="preserve"> del 8 al 10 de marzo de 2021, y del gran aumento del interés de los medios de comunicación;</w:t>
      </w:r>
    </w:p>
    <w:p w14:paraId="5092F6D7" w14:textId="071FBD4A" w:rsidR="00874F6E" w:rsidRPr="004172CC" w:rsidRDefault="00874F6E" w:rsidP="00762856">
      <w:pPr>
        <w:spacing w:after="240"/>
        <w:jc w:val="both"/>
        <w:rPr>
          <w:lang w:val="es-ES_tradnl"/>
        </w:rPr>
      </w:pPr>
      <w:r w:rsidRPr="004172CC">
        <w:rPr>
          <w:b/>
          <w:bCs/>
          <w:lang w:val="es-ES_tradnl"/>
        </w:rPr>
        <w:t>Expresó su agradecimiento</w:t>
      </w:r>
      <w:r w:rsidRPr="004172CC">
        <w:rPr>
          <w:lang w:val="es-ES_tradnl"/>
        </w:rPr>
        <w:t xml:space="preserve"> a los copresidentes y a los miembros del Equipo de Trabajo sobre Simulaciones de Tsunamis por la redacción del informe de evaluación de NEAMWave21 y les </w:t>
      </w:r>
      <w:r w:rsidRPr="004172CC">
        <w:rPr>
          <w:b/>
          <w:bCs/>
          <w:lang w:val="es-ES_tradnl"/>
        </w:rPr>
        <w:t>pidió</w:t>
      </w:r>
      <w:r w:rsidRPr="004172CC">
        <w:rPr>
          <w:lang w:val="es-ES_tradnl"/>
        </w:rPr>
        <w:t xml:space="preserve"> que finalizaran el informe en el primer trimestre de 2022;</w:t>
      </w:r>
    </w:p>
    <w:p w14:paraId="3114817B" w14:textId="77777777" w:rsidR="00874F6E" w:rsidRPr="004172CC" w:rsidRDefault="00874F6E" w:rsidP="00762856">
      <w:pPr>
        <w:spacing w:after="240"/>
        <w:jc w:val="both"/>
        <w:rPr>
          <w:lang w:val="es-ES_tradnl"/>
        </w:rPr>
      </w:pPr>
      <w:r w:rsidRPr="004172CC">
        <w:rPr>
          <w:b/>
          <w:bCs/>
          <w:lang w:val="es-ES_tradnl"/>
        </w:rPr>
        <w:t>Reconoció</w:t>
      </w:r>
      <w:r w:rsidRPr="004172CC">
        <w:rPr>
          <w:lang w:val="es-ES_tradnl"/>
        </w:rPr>
        <w:t xml:space="preserve"> la labor constante de sensibilización sobre el riesgo de tsunamis y la preparación para afrontarlos llevada a cabo por los Estados Miembros durante el periodo entre reuniones, en consonancia con el Día Mundial de Concienciación sobre los Tsunamis (5 de noviembre de 2021) y como contribución a él;</w:t>
      </w:r>
    </w:p>
    <w:p w14:paraId="7AB80A52" w14:textId="77777777" w:rsidR="00874F6E" w:rsidRPr="004172CC" w:rsidRDefault="00874F6E" w:rsidP="00762856">
      <w:pPr>
        <w:spacing w:after="240"/>
        <w:jc w:val="both"/>
        <w:rPr>
          <w:lang w:val="es-ES_tradnl"/>
        </w:rPr>
      </w:pPr>
      <w:r w:rsidRPr="004172CC">
        <w:rPr>
          <w:b/>
          <w:bCs/>
          <w:lang w:val="es-ES_tradnl"/>
        </w:rPr>
        <w:t>Apreció</w:t>
      </w:r>
      <w:r w:rsidRPr="004172CC">
        <w:rPr>
          <w:lang w:val="es-ES_tradnl"/>
        </w:rPr>
        <w:t xml:space="preserve"> las simulaciones de tsunamis realizadas en Francia y Malta para conmemorar el Día Mundial de Concienciación sobre los Tsunamis;</w:t>
      </w:r>
    </w:p>
    <w:p w14:paraId="0170E64D" w14:textId="7A8CEEF7" w:rsidR="00874F6E" w:rsidRPr="004172CC" w:rsidRDefault="00874F6E" w:rsidP="00762856">
      <w:pPr>
        <w:spacing w:after="240"/>
        <w:jc w:val="both"/>
        <w:rPr>
          <w:lang w:val="es-ES_tradnl"/>
        </w:rPr>
      </w:pPr>
      <w:r w:rsidRPr="004172CC">
        <w:rPr>
          <w:b/>
          <w:bCs/>
          <w:lang w:val="es-ES_tradnl"/>
        </w:rPr>
        <w:t>Tomó nota</w:t>
      </w:r>
      <w:r w:rsidR="00E2270A" w:rsidRPr="004172CC">
        <w:rPr>
          <w:b/>
          <w:bCs/>
          <w:lang w:val="es-ES_tradnl"/>
        </w:rPr>
        <w:t xml:space="preserve"> también</w:t>
      </w:r>
      <w:r w:rsidRPr="004172CC">
        <w:rPr>
          <w:lang w:val="es-ES_tradnl"/>
        </w:rPr>
        <w:t xml:space="preserve"> del trabajo realizado </w:t>
      </w:r>
      <w:r w:rsidR="00521DA8" w:rsidRPr="004172CC">
        <w:rPr>
          <w:lang w:val="es-ES_tradnl"/>
        </w:rPr>
        <w:t xml:space="preserve">durante el periodo entre reuniones </w:t>
      </w:r>
      <w:r w:rsidRPr="004172CC">
        <w:rPr>
          <w:lang w:val="es-ES_tradnl"/>
        </w:rPr>
        <w:t xml:space="preserve">por el Grupo </w:t>
      </w:r>
      <w:r w:rsidR="00E2270A" w:rsidRPr="004172CC">
        <w:rPr>
          <w:lang w:val="es-ES_tradnl"/>
        </w:rPr>
        <w:t>“</w:t>
      </w:r>
      <w:r w:rsidRPr="004172CC">
        <w:rPr>
          <w:lang w:val="es-ES_tradnl"/>
        </w:rPr>
        <w:t>Tsunami Ready</w:t>
      </w:r>
      <w:r w:rsidR="00E2270A" w:rsidRPr="004172CC">
        <w:rPr>
          <w:lang w:val="es-ES_tradnl"/>
        </w:rPr>
        <w:t>”</w:t>
      </w:r>
      <w:r w:rsidRPr="004172CC">
        <w:rPr>
          <w:lang w:val="es-ES_tradnl"/>
        </w:rPr>
        <w:t>, dentro del Grupo de Trabajo 4: Sensibilización del público, preparación y atenuación de los efectos;</w:t>
      </w:r>
    </w:p>
    <w:p w14:paraId="633FCAD9" w14:textId="2A879A5A" w:rsidR="00874F6E" w:rsidRPr="004172CC" w:rsidRDefault="00874F6E" w:rsidP="00762856">
      <w:pPr>
        <w:spacing w:after="240"/>
        <w:jc w:val="both"/>
        <w:rPr>
          <w:lang w:val="es-ES_tradnl"/>
        </w:rPr>
      </w:pPr>
      <w:r w:rsidRPr="004172CC">
        <w:rPr>
          <w:b/>
          <w:bCs/>
          <w:lang w:val="es-ES_tradnl"/>
        </w:rPr>
        <w:t>Apreció también</w:t>
      </w:r>
      <w:r w:rsidRPr="004172CC">
        <w:rPr>
          <w:lang w:val="es-ES_tradnl"/>
        </w:rPr>
        <w:t xml:space="preserve"> los progresos </w:t>
      </w:r>
      <w:r w:rsidR="00E2270A" w:rsidRPr="004172CC">
        <w:rPr>
          <w:lang w:val="es-ES_tradnl"/>
        </w:rPr>
        <w:t>logra</w:t>
      </w:r>
      <w:r w:rsidRPr="004172CC">
        <w:rPr>
          <w:lang w:val="es-ES_tradnl"/>
        </w:rPr>
        <w:t xml:space="preserve">dos por las comunidades de Bouches-du-Rhône y Cannes (Francia); Kos (Grecia); Israel; Minturno, Pachino y Palmi (Italia); Marsaxlokk (Malta); Azores, Cascais, Lagos, Lisboa, Madeira, Portimão y Setúbal (Portugal); Chipiona (España); y Bodrum y Estambul (Turquía) con miras a la preparación para los tsunamis o </w:t>
      </w:r>
      <w:r w:rsidR="00E2270A" w:rsidRPr="004172CC">
        <w:rPr>
          <w:lang w:val="es-ES_tradnl"/>
        </w:rPr>
        <w:t>“</w:t>
      </w:r>
      <w:r w:rsidRPr="004172CC">
        <w:rPr>
          <w:lang w:val="es-ES_tradnl"/>
        </w:rPr>
        <w:t>Tsunami Ready</w:t>
      </w:r>
      <w:r w:rsidR="00E2270A" w:rsidRPr="004172CC">
        <w:rPr>
          <w:lang w:val="es-ES_tradnl"/>
        </w:rPr>
        <w:t>”</w:t>
      </w:r>
      <w:r w:rsidRPr="004172CC">
        <w:rPr>
          <w:lang w:val="es-ES_tradnl"/>
        </w:rPr>
        <w:t>;</w:t>
      </w:r>
    </w:p>
    <w:p w14:paraId="2155CD7D" w14:textId="5F5EF409" w:rsidR="00874F6E" w:rsidRPr="004172CC" w:rsidRDefault="00874F6E" w:rsidP="00762856">
      <w:pPr>
        <w:spacing w:after="240"/>
        <w:jc w:val="both"/>
        <w:rPr>
          <w:lang w:val="es-ES_tradnl"/>
        </w:rPr>
      </w:pPr>
      <w:r w:rsidRPr="004172CC">
        <w:rPr>
          <w:b/>
          <w:bCs/>
          <w:lang w:val="es-ES_tradnl"/>
        </w:rPr>
        <w:t>Acogió con beneplácito</w:t>
      </w:r>
      <w:r w:rsidRPr="004172CC">
        <w:rPr>
          <w:lang w:val="es-ES_tradnl"/>
        </w:rPr>
        <w:t xml:space="preserve"> la finalización del documento de</w:t>
      </w:r>
      <w:r w:rsidR="00BC51A1" w:rsidRPr="004172CC">
        <w:rPr>
          <w:lang w:val="es-ES_tradnl"/>
        </w:rPr>
        <w:t xml:space="preserve"> la E</w:t>
      </w:r>
      <w:r w:rsidRPr="004172CC">
        <w:rPr>
          <w:lang w:val="es-ES_tradnl"/>
        </w:rPr>
        <w:t>strategia ICG/NEAMTWS 2021-2030;</w:t>
      </w:r>
    </w:p>
    <w:p w14:paraId="73B8ED81" w14:textId="14406A8B" w:rsidR="00874F6E" w:rsidRPr="004172CC" w:rsidRDefault="00874F6E" w:rsidP="00762856">
      <w:pPr>
        <w:spacing w:after="240"/>
        <w:jc w:val="both"/>
        <w:rPr>
          <w:lang w:val="es-ES_tradnl"/>
        </w:rPr>
      </w:pPr>
      <w:r w:rsidRPr="004172CC">
        <w:rPr>
          <w:b/>
          <w:bCs/>
          <w:lang w:val="es-ES_tradnl"/>
        </w:rPr>
        <w:t>Expresó su agradecimiento</w:t>
      </w:r>
      <w:r w:rsidR="00BC51A1" w:rsidRPr="004172CC">
        <w:rPr>
          <w:b/>
          <w:bCs/>
          <w:lang w:val="es-ES_tradnl"/>
        </w:rPr>
        <w:t xml:space="preserve"> también</w:t>
      </w:r>
      <w:r w:rsidRPr="004172CC">
        <w:rPr>
          <w:lang w:val="es-ES_tradnl"/>
        </w:rPr>
        <w:t xml:space="preserve"> a los copresidentes del Equipo de Trabajo sobre Documentación por la preparación de la </w:t>
      </w:r>
      <w:r w:rsidR="00BC51A1" w:rsidRPr="004172CC">
        <w:rPr>
          <w:lang w:val="es-ES_tradnl"/>
        </w:rPr>
        <w:t>E</w:t>
      </w:r>
      <w:r w:rsidRPr="004172CC">
        <w:rPr>
          <w:lang w:val="es-ES_tradnl"/>
        </w:rPr>
        <w:t xml:space="preserve">strategia ICG/NEAMTWS 2021-2030 y </w:t>
      </w:r>
      <w:r w:rsidRPr="004172CC">
        <w:rPr>
          <w:b/>
          <w:bCs/>
          <w:lang w:val="es-ES_tradnl"/>
        </w:rPr>
        <w:t>alentó</w:t>
      </w:r>
      <w:r w:rsidRPr="004172CC">
        <w:rPr>
          <w:lang w:val="es-ES_tradnl"/>
        </w:rPr>
        <w:t xml:space="preserve"> a los Estados Miembros y a los asociados a que contribuyeran a su aplicación;</w:t>
      </w:r>
    </w:p>
    <w:p w14:paraId="187C5771" w14:textId="3BDA970C" w:rsidR="00874F6E" w:rsidRPr="004172CC" w:rsidRDefault="00874F6E" w:rsidP="00762856">
      <w:pPr>
        <w:spacing w:after="240"/>
        <w:jc w:val="both"/>
        <w:rPr>
          <w:lang w:val="es-ES_tradnl"/>
        </w:rPr>
      </w:pPr>
      <w:r w:rsidRPr="004172CC">
        <w:rPr>
          <w:b/>
          <w:bCs/>
          <w:lang w:val="es-ES_tradnl"/>
        </w:rPr>
        <w:t>Acogió con beneplácito también</w:t>
      </w:r>
      <w:r w:rsidRPr="004172CC">
        <w:rPr>
          <w:lang w:val="es-ES_tradnl"/>
        </w:rPr>
        <w:t xml:space="preserve"> el nombramiento de un contacto nacional sobre tsunamis y de un punto de contacto de alerta contra los tsunamis en Libia;</w:t>
      </w:r>
    </w:p>
    <w:p w14:paraId="75333AFA" w14:textId="4BE18AB7" w:rsidR="00874F6E" w:rsidRPr="004172CC" w:rsidRDefault="00874F6E" w:rsidP="00762856">
      <w:pPr>
        <w:spacing w:after="240"/>
        <w:jc w:val="both"/>
        <w:rPr>
          <w:lang w:val="es-ES_tradnl"/>
        </w:rPr>
      </w:pPr>
      <w:r w:rsidRPr="004172CC">
        <w:rPr>
          <w:b/>
          <w:bCs/>
          <w:lang w:val="es-ES_tradnl"/>
        </w:rPr>
        <w:t>Acogió con beneplácito además</w:t>
      </w:r>
      <w:r w:rsidRPr="004172CC">
        <w:rPr>
          <w:lang w:val="es-ES_tradnl"/>
        </w:rPr>
        <w:t xml:space="preserve"> el nuevo proyecto de la Dirección General de Protección Civil y Operaciones de Ayuda Humanitaria Europeas (ECHO) de la Unión Europea denominado “Fortalecimiento de la resiliencia de las comunidades costeras en la región del Atlántico Nororiental y el Mediterráneo ante el impacto de los tsunamis y otros peligros costeros relacionados con el nivel del mar”;</w:t>
      </w:r>
    </w:p>
    <w:p w14:paraId="496A7A1D" w14:textId="10646E54" w:rsidR="00874F6E" w:rsidRPr="004172CC" w:rsidRDefault="00F94A3E" w:rsidP="00762856">
      <w:pPr>
        <w:spacing w:after="240"/>
        <w:jc w:val="both"/>
        <w:rPr>
          <w:color w:val="001E2E"/>
          <w:lang w:val="es-ES_tradnl"/>
        </w:rPr>
      </w:pPr>
      <w:r w:rsidRPr="004172CC">
        <w:rPr>
          <w:b/>
          <w:bCs/>
          <w:lang w:val="es-ES_tradnl"/>
        </w:rPr>
        <w:t>Tomó nota</w:t>
      </w:r>
      <w:r w:rsidR="00BC51A1" w:rsidRPr="004172CC">
        <w:rPr>
          <w:b/>
          <w:bCs/>
          <w:lang w:val="es-ES_tradnl"/>
        </w:rPr>
        <w:t xml:space="preserve"> además</w:t>
      </w:r>
      <w:r w:rsidRPr="004172CC">
        <w:rPr>
          <w:lang w:val="es-ES_tradnl"/>
        </w:rPr>
        <w:t xml:space="preserve"> del estudio preparado por la Secretaría sobre la percepción de los peligros costeros múltiples, la resiliencia y los cuestionarios de encuesta, que contribuye a la ejecución del nuevo proyecto de la Dirección General ECHO de la Unión Europea </w:t>
      </w:r>
      <w:r w:rsidR="00BC51A1" w:rsidRPr="004172CC">
        <w:rPr>
          <w:lang w:val="es-ES_tradnl"/>
        </w:rPr>
        <w:t>denominado</w:t>
      </w:r>
      <w:r w:rsidRPr="004172CC">
        <w:rPr>
          <w:lang w:val="es-ES_tradnl"/>
        </w:rPr>
        <w:t xml:space="preserve"> </w:t>
      </w:r>
      <w:r w:rsidR="00BC51A1" w:rsidRPr="004172CC">
        <w:rPr>
          <w:lang w:val="es-ES_tradnl"/>
        </w:rPr>
        <w:t>“</w:t>
      </w:r>
      <w:r w:rsidRPr="004172CC">
        <w:rPr>
          <w:lang w:val="es-ES_tradnl"/>
        </w:rPr>
        <w:t>Comprensión y comunicación de los riesgos de tsunami y otros riesgos relacionados con el nivel del mar</w:t>
      </w:r>
      <w:r w:rsidR="00BC51A1" w:rsidRPr="004172CC">
        <w:rPr>
          <w:lang w:val="es-ES_tradnl"/>
        </w:rPr>
        <w:t>”</w:t>
      </w:r>
      <w:r w:rsidRPr="004172CC">
        <w:rPr>
          <w:lang w:val="es-ES_tradnl"/>
        </w:rPr>
        <w:t>;</w:t>
      </w:r>
    </w:p>
    <w:p w14:paraId="14DB7697" w14:textId="68CEBAF0" w:rsidR="00874F6E" w:rsidRPr="004172CC" w:rsidRDefault="00874F6E" w:rsidP="00762856">
      <w:pPr>
        <w:spacing w:after="240"/>
        <w:jc w:val="both"/>
        <w:rPr>
          <w:color w:val="001E2E"/>
          <w:lang w:val="es-ES_tradnl"/>
        </w:rPr>
      </w:pPr>
      <w:r w:rsidRPr="004172CC">
        <w:rPr>
          <w:b/>
          <w:bCs/>
          <w:lang w:val="es-ES_tradnl"/>
        </w:rPr>
        <w:lastRenderedPageBreak/>
        <w:t>Reconoció</w:t>
      </w:r>
      <w:r w:rsidR="00BC51A1" w:rsidRPr="004172CC">
        <w:rPr>
          <w:b/>
          <w:bCs/>
          <w:lang w:val="es-ES_tradnl"/>
        </w:rPr>
        <w:t xml:space="preserve"> también</w:t>
      </w:r>
      <w:r w:rsidRPr="004172CC">
        <w:rPr>
          <w:lang w:val="es-ES_tradnl"/>
        </w:rPr>
        <w:t xml:space="preserve"> el apoyo prestado por la Comisión Europea y el Centro Común de Investigación (CCI) en materia de desarrollo de capacidades, en particular la infraestructura, la investigación y los nuevos instrumentos para la medición del nivel del mar y el suministro de mediciones, especialmente para la fase 2 del proyecto </w:t>
      </w:r>
      <w:r w:rsidR="00BC51A1" w:rsidRPr="004172CC">
        <w:rPr>
          <w:lang w:val="es-ES_tradnl"/>
        </w:rPr>
        <w:t>“</w:t>
      </w:r>
      <w:r w:rsidRPr="004172CC">
        <w:rPr>
          <w:lang w:val="es-ES_tradnl"/>
        </w:rPr>
        <w:t>Last Mile</w:t>
      </w:r>
      <w:r w:rsidR="00BC51A1" w:rsidRPr="004172CC">
        <w:rPr>
          <w:lang w:val="es-ES_tradnl"/>
        </w:rPr>
        <w:t>”</w:t>
      </w:r>
      <w:r w:rsidRPr="004172CC">
        <w:rPr>
          <w:lang w:val="es-ES_tradnl"/>
        </w:rPr>
        <w:t>, ejecutado en Malta, y el apoyo prestado a la organización de la primera simulación completa de tsunamis en Marsaxlokk (Malta);</w:t>
      </w:r>
    </w:p>
    <w:p w14:paraId="42614058" w14:textId="5DE679A5" w:rsidR="00874F6E" w:rsidRPr="004172CC" w:rsidRDefault="00874F6E" w:rsidP="00762856">
      <w:pPr>
        <w:spacing w:after="240"/>
        <w:jc w:val="both"/>
        <w:rPr>
          <w:lang w:val="es-ES_tradnl"/>
        </w:rPr>
      </w:pPr>
      <w:r w:rsidRPr="004172CC">
        <w:rPr>
          <w:b/>
          <w:bCs/>
          <w:lang w:val="es-ES_tradnl"/>
        </w:rPr>
        <w:t>Aceptó</w:t>
      </w:r>
      <w:r w:rsidRPr="004172CC">
        <w:rPr>
          <w:lang w:val="es-ES_tradnl"/>
        </w:rPr>
        <w:t xml:space="preserve"> las recomendaciones adicionales de los grupos de trabajo y los equipos de trabajo que figuran en el apéndice;</w:t>
      </w:r>
    </w:p>
    <w:p w14:paraId="27EE405E" w14:textId="170CA0DB" w:rsidR="00874F6E" w:rsidRPr="004172CC" w:rsidRDefault="00874F6E" w:rsidP="00762856">
      <w:pPr>
        <w:spacing w:after="240"/>
        <w:jc w:val="both"/>
        <w:rPr>
          <w:lang w:val="es-ES_tradnl"/>
        </w:rPr>
      </w:pPr>
      <w:r w:rsidRPr="004172CC">
        <w:rPr>
          <w:b/>
          <w:bCs/>
          <w:lang w:val="es-ES_tradnl"/>
        </w:rPr>
        <w:t>Decidió</w:t>
      </w:r>
      <w:r w:rsidRPr="004172CC">
        <w:rPr>
          <w:lang w:val="es-ES_tradnl"/>
        </w:rPr>
        <w:t xml:space="preserve"> establecer al menos 10 comunidades reconocidas </w:t>
      </w:r>
      <w:r w:rsidR="00BC51A1" w:rsidRPr="004172CC">
        <w:rPr>
          <w:lang w:val="es-ES_tradnl"/>
        </w:rPr>
        <w:t>en el marco de</w:t>
      </w:r>
      <w:r w:rsidRPr="004172CC">
        <w:rPr>
          <w:lang w:val="es-ES_tradnl"/>
        </w:rPr>
        <w:t xml:space="preserve"> </w:t>
      </w:r>
      <w:r w:rsidR="00BC51A1" w:rsidRPr="004172CC">
        <w:rPr>
          <w:lang w:val="es-ES_tradnl"/>
        </w:rPr>
        <w:t>“</w:t>
      </w:r>
      <w:r w:rsidRPr="004172CC">
        <w:rPr>
          <w:lang w:val="es-ES_tradnl"/>
        </w:rPr>
        <w:t>Tsunami Ready</w:t>
      </w:r>
      <w:r w:rsidR="00BC51A1" w:rsidRPr="004172CC">
        <w:rPr>
          <w:lang w:val="es-ES_tradnl"/>
        </w:rPr>
        <w:t>”</w:t>
      </w:r>
      <w:r w:rsidRPr="004172CC">
        <w:rPr>
          <w:lang w:val="es-ES_tradnl"/>
        </w:rPr>
        <w:t xml:space="preserve"> en la región del Mediterráneo en los próximos dos años, a fin de contribuir a lograr el objetivo de que el 100 % de las comunidades con riesgo de tsunami estén preparadas y sean resilientes ante los tsunamis de aquí a 2030 mediante la ejecución del programa </w:t>
      </w:r>
      <w:r w:rsidR="00BC51A1" w:rsidRPr="004172CC">
        <w:rPr>
          <w:lang w:val="es-ES_tradnl"/>
        </w:rPr>
        <w:t>“</w:t>
      </w:r>
      <w:r w:rsidRPr="004172CC">
        <w:rPr>
          <w:lang w:val="es-ES_tradnl"/>
        </w:rPr>
        <w:t>Tsunami Ready</w:t>
      </w:r>
      <w:r w:rsidR="00BC51A1" w:rsidRPr="004172CC">
        <w:rPr>
          <w:lang w:val="es-ES_tradnl"/>
        </w:rPr>
        <w:t>”</w:t>
      </w:r>
      <w:r w:rsidRPr="004172CC">
        <w:rPr>
          <w:lang w:val="es-ES_tradnl"/>
        </w:rPr>
        <w:t xml:space="preserve"> de la COI/UNESCO y otras iniciativa</w:t>
      </w:r>
      <w:r w:rsidR="00BC51A1" w:rsidRPr="004172CC">
        <w:rPr>
          <w:lang w:val="es-ES_tradnl"/>
        </w:rPr>
        <w:t>s;</w:t>
      </w:r>
    </w:p>
    <w:p w14:paraId="7A282C2A" w14:textId="2087DDA9" w:rsidR="00874F6E" w:rsidRPr="004172CC" w:rsidRDefault="00874F6E" w:rsidP="00762856">
      <w:pPr>
        <w:spacing w:after="240"/>
        <w:jc w:val="both"/>
        <w:rPr>
          <w:lang w:val="es-ES_tradnl"/>
        </w:rPr>
      </w:pPr>
      <w:r w:rsidRPr="004172CC">
        <w:rPr>
          <w:b/>
          <w:bCs/>
          <w:lang w:val="es-ES_tradnl"/>
        </w:rPr>
        <w:t>Decidió también:</w:t>
      </w:r>
    </w:p>
    <w:p w14:paraId="7233352D" w14:textId="6F956E60" w:rsidR="00874F6E" w:rsidRPr="004172CC" w:rsidRDefault="00BC51A1" w:rsidP="00D15BAE">
      <w:pPr>
        <w:pBdr>
          <w:top w:val="nil"/>
          <w:left w:val="nil"/>
          <w:bottom w:val="nil"/>
          <w:right w:val="nil"/>
          <w:between w:val="nil"/>
        </w:pBdr>
        <w:spacing w:after="240"/>
        <w:ind w:left="567" w:hanging="567"/>
        <w:jc w:val="both"/>
        <w:rPr>
          <w:color w:val="000000"/>
          <w:lang w:val="es-ES_tradnl"/>
        </w:rPr>
      </w:pPr>
      <w:r w:rsidRPr="004172CC">
        <w:rPr>
          <w:lang w:val="es-ES_tradnl"/>
        </w:rPr>
        <w:t>i)</w:t>
      </w:r>
      <w:r w:rsidRPr="004172CC">
        <w:rPr>
          <w:lang w:val="es-ES_tradnl"/>
        </w:rPr>
        <w:tab/>
      </w:r>
      <w:r w:rsidR="00874F6E" w:rsidRPr="004172CC">
        <w:rPr>
          <w:lang w:val="es-ES_tradnl"/>
        </w:rPr>
        <w:t xml:space="preserve">continuar las actividades fusionadas de los grupos de trabajo 2 y 3, de </w:t>
      </w:r>
      <w:r w:rsidR="00D15BAE" w:rsidRPr="004172CC">
        <w:rPr>
          <w:lang w:val="es-ES_tradnl"/>
        </w:rPr>
        <w:t>conformidad</w:t>
      </w:r>
      <w:r w:rsidR="00874F6E" w:rsidRPr="004172CC">
        <w:rPr>
          <w:lang w:val="es-ES_tradnl"/>
        </w:rPr>
        <w:t xml:space="preserve"> con su mandato revisado (apéndice 1 de la decisión ICG/NEAMTWS-XVII.1);</w:t>
      </w:r>
    </w:p>
    <w:p w14:paraId="318BEB2C" w14:textId="02CDEAFF" w:rsidR="00874F6E" w:rsidRPr="004172CC" w:rsidRDefault="00D15BAE" w:rsidP="00D15BAE">
      <w:pPr>
        <w:pBdr>
          <w:top w:val="nil"/>
          <w:left w:val="nil"/>
          <w:bottom w:val="nil"/>
          <w:right w:val="nil"/>
          <w:between w:val="nil"/>
        </w:pBdr>
        <w:spacing w:after="240"/>
        <w:ind w:left="567" w:hanging="567"/>
        <w:jc w:val="both"/>
        <w:rPr>
          <w:color w:val="000000"/>
          <w:lang w:val="es-ES_tradnl"/>
        </w:rPr>
      </w:pPr>
      <w:r w:rsidRPr="004172CC">
        <w:rPr>
          <w:lang w:val="es-ES_tradnl"/>
        </w:rPr>
        <w:t>ii)</w:t>
      </w:r>
      <w:r w:rsidRPr="004172CC">
        <w:rPr>
          <w:lang w:val="es-ES_tradnl"/>
        </w:rPr>
        <w:tab/>
      </w:r>
      <w:r w:rsidR="00874F6E" w:rsidRPr="004172CC">
        <w:rPr>
          <w:lang w:val="es-ES_tradnl"/>
        </w:rPr>
        <w:t>mantener el Equipo de Trabajo sobre Documentación, de conformidad con su mandato revisado (apéndice 2 de la decisión ICG/NEAMTWS-XVII.1);</w:t>
      </w:r>
    </w:p>
    <w:p w14:paraId="5FC9B925" w14:textId="323A1788" w:rsidR="00874F6E" w:rsidRPr="004172CC" w:rsidRDefault="00D15BAE" w:rsidP="00D15BAE">
      <w:pPr>
        <w:pBdr>
          <w:top w:val="nil"/>
          <w:left w:val="nil"/>
          <w:bottom w:val="nil"/>
          <w:right w:val="nil"/>
          <w:between w:val="nil"/>
        </w:pBdr>
        <w:spacing w:after="240"/>
        <w:ind w:left="567" w:hanging="567"/>
        <w:jc w:val="both"/>
        <w:rPr>
          <w:color w:val="000000"/>
          <w:lang w:val="es-ES_tradnl"/>
        </w:rPr>
      </w:pPr>
      <w:r w:rsidRPr="004172CC">
        <w:rPr>
          <w:lang w:val="es-ES_tradnl"/>
        </w:rPr>
        <w:t>iii)</w:t>
      </w:r>
      <w:r w:rsidRPr="004172CC">
        <w:rPr>
          <w:lang w:val="es-ES_tradnl"/>
        </w:rPr>
        <w:tab/>
      </w:r>
      <w:r w:rsidR="00874F6E" w:rsidRPr="004172CC">
        <w:rPr>
          <w:lang w:val="es-ES_tradnl"/>
        </w:rPr>
        <w:t>mantener el Equipo de Trabajo sobre Simulaciones de Tsunamis, de conformidad con su mandato revisado (apéndice 3 de la decisión ICG/NEAMTWS-XVII.1);</w:t>
      </w:r>
    </w:p>
    <w:p w14:paraId="58D0A931" w14:textId="0761CAAA" w:rsidR="00874F6E" w:rsidRPr="004172CC" w:rsidRDefault="00D15BAE" w:rsidP="00D15BAE">
      <w:pPr>
        <w:pBdr>
          <w:top w:val="nil"/>
          <w:left w:val="nil"/>
          <w:bottom w:val="nil"/>
          <w:right w:val="nil"/>
          <w:between w:val="nil"/>
        </w:pBdr>
        <w:spacing w:after="240"/>
        <w:ind w:left="567" w:hanging="567"/>
        <w:jc w:val="both"/>
        <w:rPr>
          <w:color w:val="000000"/>
          <w:lang w:val="es-ES_tradnl"/>
        </w:rPr>
      </w:pPr>
      <w:r w:rsidRPr="004172CC">
        <w:rPr>
          <w:lang w:val="es-ES_tradnl"/>
        </w:rPr>
        <w:t>iv)</w:t>
      </w:r>
      <w:r w:rsidRPr="004172CC">
        <w:rPr>
          <w:lang w:val="es-ES_tradnl"/>
        </w:rPr>
        <w:tab/>
        <w:t>proseguir</w:t>
      </w:r>
      <w:r w:rsidR="00874F6E" w:rsidRPr="004172CC">
        <w:rPr>
          <w:lang w:val="es-ES_tradnl"/>
        </w:rPr>
        <w:t xml:space="preserve"> las actividades del Equipo de Trabajo sobre Operaciones, de conformidad con su mandato revisado (apéndice 4 de la decisión ICG/NEAMTWS-XVII.1);</w:t>
      </w:r>
    </w:p>
    <w:p w14:paraId="57F79417" w14:textId="76073660" w:rsidR="00874F6E" w:rsidRPr="004172CC" w:rsidRDefault="00D15BAE" w:rsidP="00D15BAE">
      <w:pPr>
        <w:pBdr>
          <w:top w:val="nil"/>
          <w:left w:val="nil"/>
          <w:bottom w:val="nil"/>
          <w:right w:val="nil"/>
          <w:between w:val="nil"/>
        </w:pBdr>
        <w:spacing w:after="240"/>
        <w:ind w:left="567" w:hanging="567"/>
        <w:jc w:val="both"/>
        <w:rPr>
          <w:color w:val="000000"/>
          <w:lang w:val="es-ES_tradnl"/>
        </w:rPr>
      </w:pPr>
      <w:r w:rsidRPr="004172CC">
        <w:rPr>
          <w:lang w:val="es-ES_tradnl"/>
        </w:rPr>
        <w:t>v)</w:t>
      </w:r>
      <w:r w:rsidRPr="004172CC">
        <w:rPr>
          <w:lang w:val="es-ES_tradnl"/>
        </w:rPr>
        <w:tab/>
      </w:r>
      <w:r w:rsidR="00874F6E" w:rsidRPr="004172CC">
        <w:rPr>
          <w:lang w:val="es-ES_tradnl"/>
        </w:rPr>
        <w:t xml:space="preserve">establecer oficialmente un equipo de trabajo sobre </w:t>
      </w:r>
      <w:r w:rsidRPr="004172CC">
        <w:rPr>
          <w:lang w:val="es-ES_tradnl"/>
        </w:rPr>
        <w:t>“</w:t>
      </w:r>
      <w:r w:rsidR="00874F6E" w:rsidRPr="004172CC">
        <w:rPr>
          <w:lang w:val="es-ES_tradnl"/>
        </w:rPr>
        <w:t>Tsunami Ready</w:t>
      </w:r>
      <w:r w:rsidRPr="004172CC">
        <w:rPr>
          <w:lang w:val="es-ES_tradnl"/>
        </w:rPr>
        <w:t>”</w:t>
      </w:r>
      <w:r w:rsidR="00874F6E" w:rsidRPr="004172CC">
        <w:rPr>
          <w:lang w:val="es-ES_tradnl"/>
        </w:rPr>
        <w:t xml:space="preserve"> con un mandato (apéndice 5 de la decisión ICG/NEAMTWS-XVII.1);</w:t>
      </w:r>
    </w:p>
    <w:p w14:paraId="4FF927A5" w14:textId="4DA8838B" w:rsidR="00874F6E" w:rsidRPr="004172CC" w:rsidRDefault="00D15BAE" w:rsidP="00D15BAE">
      <w:pPr>
        <w:pBdr>
          <w:top w:val="nil"/>
          <w:left w:val="nil"/>
          <w:bottom w:val="nil"/>
          <w:right w:val="nil"/>
          <w:between w:val="nil"/>
        </w:pBdr>
        <w:spacing w:after="240"/>
        <w:ind w:left="567" w:hanging="567"/>
        <w:jc w:val="both"/>
        <w:rPr>
          <w:color w:val="000000"/>
          <w:lang w:val="es-ES_tradnl"/>
        </w:rPr>
      </w:pPr>
      <w:r w:rsidRPr="004172CC">
        <w:rPr>
          <w:lang w:val="es-ES_tradnl"/>
        </w:rPr>
        <w:t>vi)</w:t>
      </w:r>
      <w:r w:rsidRPr="004172CC">
        <w:rPr>
          <w:lang w:val="es-ES_tradnl"/>
        </w:rPr>
        <w:tab/>
      </w:r>
      <w:r w:rsidR="00874F6E" w:rsidRPr="004172CC">
        <w:rPr>
          <w:lang w:val="es-ES_tradnl"/>
        </w:rPr>
        <w:t>proseguir las actividades del Comité de Dirección durante el periodo entre reuniones, de conformidad con su mandato revisado (apéndice 6 de la decisión ICG/NEAMTWS-XVII.1);</w:t>
      </w:r>
    </w:p>
    <w:p w14:paraId="2472D75C" w14:textId="3251EFFB" w:rsidR="00874F6E" w:rsidRPr="004172CC" w:rsidRDefault="00D15BAE" w:rsidP="00BC51A1">
      <w:pPr>
        <w:pBdr>
          <w:top w:val="nil"/>
          <w:left w:val="nil"/>
          <w:bottom w:val="nil"/>
          <w:right w:val="nil"/>
          <w:between w:val="nil"/>
        </w:pBdr>
        <w:spacing w:after="240"/>
        <w:jc w:val="both"/>
        <w:rPr>
          <w:color w:val="000000"/>
          <w:lang w:val="es-ES_tradnl"/>
        </w:rPr>
      </w:pPr>
      <w:r w:rsidRPr="004172CC">
        <w:rPr>
          <w:lang w:val="es-ES_tradnl"/>
        </w:rPr>
        <w:t>vii)</w:t>
      </w:r>
      <w:r w:rsidRPr="004172CC">
        <w:rPr>
          <w:lang w:val="es-ES_tradnl"/>
        </w:rPr>
        <w:tab/>
        <w:t>llevar a cabo</w:t>
      </w:r>
      <w:r w:rsidR="00874F6E" w:rsidRPr="004172CC">
        <w:rPr>
          <w:lang w:val="es-ES_tradnl"/>
        </w:rPr>
        <w:t xml:space="preserve"> NEAMWave23 en la primera semana de noviembre de 2023;</w:t>
      </w:r>
    </w:p>
    <w:p w14:paraId="75D02A9E" w14:textId="5D5A35F5" w:rsidR="00D15BAE" w:rsidRPr="004172CC" w:rsidRDefault="00874F6E" w:rsidP="00762856">
      <w:pPr>
        <w:spacing w:after="240"/>
        <w:jc w:val="both"/>
        <w:rPr>
          <w:lang w:val="es-ES_tradnl"/>
        </w:rPr>
      </w:pPr>
      <w:r w:rsidRPr="004172CC">
        <w:rPr>
          <w:b/>
          <w:bCs/>
          <w:lang w:val="es-ES_tradnl"/>
        </w:rPr>
        <w:t>Recomendó</w:t>
      </w:r>
      <w:r w:rsidRPr="004172CC">
        <w:rPr>
          <w:lang w:val="es-ES_tradnl"/>
        </w:rPr>
        <w:t xml:space="preserve"> que aumentara la participación de los Estados Miembros en las actividades del ICG, prestando especial atención a la educación, la sensibilización y la preparación con respecto a los tsunamis, </w:t>
      </w:r>
      <w:r w:rsidR="00D15BAE" w:rsidRPr="004172CC">
        <w:rPr>
          <w:lang w:val="es-ES_tradnl"/>
        </w:rPr>
        <w:t>que se siguiera</w:t>
      </w:r>
      <w:r w:rsidRPr="004172CC">
        <w:rPr>
          <w:lang w:val="es-ES_tradnl"/>
        </w:rPr>
        <w:t xml:space="preserve"> estudiando</w:t>
      </w:r>
      <w:r w:rsidR="00D15BAE" w:rsidRPr="004172CC">
        <w:rPr>
          <w:lang w:val="es-ES_tradnl"/>
        </w:rPr>
        <w:t xml:space="preserve"> la aplicación de forma experimental de “Tsunami Ready” en la región del Atlántico Nororiental y el Mediterráneo y que se compartieran las experiencias al respecto;</w:t>
      </w:r>
    </w:p>
    <w:p w14:paraId="0A15F804" w14:textId="00E698F5" w:rsidR="00874F6E" w:rsidRPr="004172CC" w:rsidRDefault="00874F6E" w:rsidP="00762856">
      <w:pPr>
        <w:spacing w:after="240"/>
        <w:jc w:val="both"/>
        <w:rPr>
          <w:b/>
          <w:lang w:val="es-ES_tradnl"/>
        </w:rPr>
      </w:pPr>
      <w:r w:rsidRPr="004172CC">
        <w:rPr>
          <w:b/>
          <w:bCs/>
          <w:lang w:val="es-ES_tradnl"/>
        </w:rPr>
        <w:t>Recomendó también que:</w:t>
      </w:r>
    </w:p>
    <w:p w14:paraId="07D87903" w14:textId="3D9AE1AF" w:rsidR="00874F6E" w:rsidRPr="004172CC" w:rsidRDefault="00D15BAE" w:rsidP="00D15BAE">
      <w:pPr>
        <w:pBdr>
          <w:top w:val="nil"/>
          <w:left w:val="nil"/>
          <w:bottom w:val="nil"/>
          <w:right w:val="nil"/>
          <w:between w:val="nil"/>
        </w:pBdr>
        <w:spacing w:after="240"/>
        <w:ind w:left="567" w:hanging="567"/>
        <w:jc w:val="both"/>
        <w:rPr>
          <w:color w:val="000000"/>
          <w:lang w:val="es-ES_tradnl"/>
        </w:rPr>
      </w:pPr>
      <w:r w:rsidRPr="004172CC">
        <w:rPr>
          <w:lang w:val="es-ES_tradnl"/>
        </w:rPr>
        <w:t>i)</w:t>
      </w:r>
      <w:r w:rsidRPr="004172CC">
        <w:rPr>
          <w:lang w:val="es-ES_tradnl"/>
        </w:rPr>
        <w:tab/>
      </w:r>
      <w:r w:rsidR="00874F6E" w:rsidRPr="004172CC">
        <w:rPr>
          <w:lang w:val="es-ES_tradnl"/>
        </w:rPr>
        <w:t>cada proveedor de servicios sobre tsunamis siguiera proporcionando información sobre el nivel de alerta basándose en sus mejores prácticas, en particular matrices de decisión (posiblemente diferentes), bases de datos sobre hipótesis u otros métodos, en el entendimiento de que esas metodologías deberían documentarse en la guía operacional para usuarios (</w:t>
      </w:r>
      <w:hyperlink r:id="rId7" w:history="1">
        <w:r w:rsidR="00874F6E" w:rsidRPr="004172CC">
          <w:rPr>
            <w:rStyle w:val="Hyperlink"/>
            <w:lang w:val="es-ES_tradnl"/>
          </w:rPr>
          <w:t>Operational Users Guide</w:t>
        </w:r>
      </w:hyperlink>
      <w:r w:rsidR="00874F6E" w:rsidRPr="004172CC">
        <w:rPr>
          <w:lang w:val="es-ES_tradnl"/>
        </w:rPr>
        <w:t>) del NEAMTWS;</w:t>
      </w:r>
    </w:p>
    <w:p w14:paraId="16A72D7A" w14:textId="1E03FA9D" w:rsidR="00874F6E" w:rsidRPr="004172CC" w:rsidRDefault="00D15BAE" w:rsidP="00D15BAE">
      <w:pPr>
        <w:pBdr>
          <w:top w:val="nil"/>
          <w:left w:val="nil"/>
          <w:bottom w:val="nil"/>
          <w:right w:val="nil"/>
          <w:between w:val="nil"/>
        </w:pBdr>
        <w:spacing w:after="240"/>
        <w:ind w:left="567" w:hanging="567"/>
        <w:jc w:val="both"/>
        <w:rPr>
          <w:color w:val="000000"/>
          <w:lang w:val="es-ES_tradnl"/>
        </w:rPr>
      </w:pPr>
      <w:r w:rsidRPr="004172CC">
        <w:rPr>
          <w:lang w:val="es-ES_tradnl"/>
        </w:rPr>
        <w:t>ii)</w:t>
      </w:r>
      <w:r w:rsidRPr="004172CC">
        <w:rPr>
          <w:lang w:val="es-ES_tradnl"/>
        </w:rPr>
        <w:tab/>
      </w:r>
      <w:r w:rsidR="003B50AD" w:rsidRPr="004172CC">
        <w:rPr>
          <w:lang w:val="es-ES_tradnl"/>
        </w:rPr>
        <w:t>los puntos de contacto de alerta contra los tsunamis (TWFP), en estrecha relación con sus centros nacionales de alerta contra los tsunamis (NTWC), según proceda, elaboraran procedimientos operativos estándar para poder gestionar los mensajes de alerta divergentes emitidos por los proveedores de servicios sobre tsunamis (TSP), de conformidad con el documento de orientación</w:t>
      </w:r>
      <w:r w:rsidR="00EB699B" w:rsidRPr="004172CC">
        <w:rPr>
          <w:lang w:val="es-ES_tradnl"/>
        </w:rPr>
        <w:t xml:space="preserve"> titulado</w:t>
      </w:r>
      <w:r w:rsidR="003B50AD" w:rsidRPr="004172CC">
        <w:rPr>
          <w:lang w:val="es-ES_tradnl"/>
        </w:rPr>
        <w:t xml:space="preserve"> “Guidelines on TSP Messages Uncertainty” (</w:t>
      </w:r>
      <w:r w:rsidR="00EB699B" w:rsidRPr="004172CC">
        <w:rPr>
          <w:lang w:val="es-ES_tradnl"/>
        </w:rPr>
        <w:t>D</w:t>
      </w:r>
      <w:r w:rsidR="003B50AD" w:rsidRPr="004172CC">
        <w:rPr>
          <w:lang w:val="es-ES_tradnl"/>
        </w:rPr>
        <w:t xml:space="preserve">irectrices en </w:t>
      </w:r>
      <w:r w:rsidR="003B50AD" w:rsidRPr="004172CC">
        <w:rPr>
          <w:lang w:val="es-ES_tradnl"/>
        </w:rPr>
        <w:lastRenderedPageBreak/>
        <w:t>caso de incertidumbre sobre los mensajes de los TSP), elaborado por el Grupo de Trabajo</w:t>
      </w:r>
      <w:r w:rsidR="00EB699B" w:rsidRPr="004172CC">
        <w:rPr>
          <w:lang w:val="es-ES_tradnl"/>
        </w:rPr>
        <w:t> </w:t>
      </w:r>
      <w:r w:rsidR="003B50AD" w:rsidRPr="004172CC">
        <w:rPr>
          <w:lang w:val="es-ES_tradnl"/>
        </w:rPr>
        <w:t>1 en 2017;</w:t>
      </w:r>
    </w:p>
    <w:p w14:paraId="26885C71" w14:textId="19B21834" w:rsidR="00874F6E" w:rsidRPr="004172CC" w:rsidRDefault="00D15BAE" w:rsidP="00D15BAE">
      <w:pPr>
        <w:pBdr>
          <w:top w:val="nil"/>
          <w:left w:val="nil"/>
          <w:bottom w:val="nil"/>
          <w:right w:val="nil"/>
          <w:between w:val="nil"/>
        </w:pBdr>
        <w:spacing w:after="240"/>
        <w:ind w:left="567" w:hanging="567"/>
        <w:jc w:val="both"/>
        <w:rPr>
          <w:color w:val="000000"/>
          <w:lang w:val="es-ES_tradnl"/>
        </w:rPr>
      </w:pPr>
      <w:r w:rsidRPr="004172CC">
        <w:rPr>
          <w:lang w:val="es-ES_tradnl"/>
        </w:rPr>
        <w:t>iii)</w:t>
      </w:r>
      <w:r w:rsidRPr="004172CC">
        <w:rPr>
          <w:lang w:val="es-ES_tradnl"/>
        </w:rPr>
        <w:tab/>
      </w:r>
      <w:r w:rsidR="003B50AD" w:rsidRPr="004172CC">
        <w:rPr>
          <w:lang w:val="es-ES_tradnl"/>
        </w:rPr>
        <w:t>todos los datos sobre el nivel del mar se pusieran a disposición de los TSP y los NTWC mediante acuerdos bilaterales entre los TSP y los NTWC, siempre que fuera posible;</w:t>
      </w:r>
    </w:p>
    <w:p w14:paraId="584F1A97" w14:textId="7996B0E1" w:rsidR="00874F6E" w:rsidRPr="004172CC" w:rsidRDefault="00D15BAE" w:rsidP="00D15BAE">
      <w:pPr>
        <w:pBdr>
          <w:top w:val="nil"/>
          <w:left w:val="nil"/>
          <w:bottom w:val="nil"/>
          <w:right w:val="nil"/>
          <w:between w:val="nil"/>
        </w:pBdr>
        <w:spacing w:after="240"/>
        <w:ind w:left="567" w:hanging="567"/>
        <w:jc w:val="both"/>
        <w:rPr>
          <w:color w:val="000000"/>
          <w:lang w:val="es-ES_tradnl"/>
        </w:rPr>
      </w:pPr>
      <w:r w:rsidRPr="004172CC">
        <w:rPr>
          <w:lang w:val="es-ES_tradnl"/>
        </w:rPr>
        <w:t>iv)</w:t>
      </w:r>
      <w:r w:rsidRPr="004172CC">
        <w:rPr>
          <w:lang w:val="es-ES_tradnl"/>
        </w:rPr>
        <w:tab/>
      </w:r>
      <w:r w:rsidR="003B50AD" w:rsidRPr="004172CC">
        <w:rPr>
          <w:lang w:val="es-ES_tradnl"/>
        </w:rPr>
        <w:t>aumentara el número de estaciones sísmicas y de medición del nivel del mar disponibles en el norte de África y, para el nivel del mar, especialmente teniendo en cuenta los tsunamis originados en zonas de no subducción, así como en fuentes no sísmicas, que aumentara la tasa de muestreo (hacia 1 sps) y se redujera la latencia a un minuto o menos en la medida de lo posible;</w:t>
      </w:r>
    </w:p>
    <w:p w14:paraId="6DBBEDE4" w14:textId="60BA3345" w:rsidR="00874F6E" w:rsidRPr="004172CC" w:rsidRDefault="00874F6E" w:rsidP="00762856">
      <w:pPr>
        <w:spacing w:after="240"/>
        <w:jc w:val="both"/>
        <w:rPr>
          <w:lang w:val="es-ES_tradnl"/>
        </w:rPr>
      </w:pPr>
      <w:r w:rsidRPr="004172CC">
        <w:rPr>
          <w:b/>
          <w:bCs/>
          <w:lang w:val="es-ES_tradnl"/>
        </w:rPr>
        <w:t>Alentó</w:t>
      </w:r>
      <w:r w:rsidR="00EB699B" w:rsidRPr="004172CC">
        <w:rPr>
          <w:b/>
          <w:bCs/>
          <w:lang w:val="es-ES_tradnl"/>
        </w:rPr>
        <w:t xml:space="preserve"> también</w:t>
      </w:r>
      <w:r w:rsidRPr="004172CC">
        <w:rPr>
          <w:lang w:val="es-ES_tradnl"/>
        </w:rPr>
        <w:t xml:space="preserve"> a los Estados Miembros a que acogieran la ICG/NEAMTWS-XVIII;</w:t>
      </w:r>
    </w:p>
    <w:p w14:paraId="26836740" w14:textId="7A672094" w:rsidR="00411EBD" w:rsidRPr="004172CC" w:rsidRDefault="00874F6E" w:rsidP="00EB699B">
      <w:pPr>
        <w:spacing w:after="240"/>
        <w:jc w:val="both"/>
        <w:rPr>
          <w:lang w:val="es-ES_tradnl"/>
        </w:rPr>
      </w:pPr>
      <w:r w:rsidRPr="004172CC">
        <w:rPr>
          <w:b/>
          <w:bCs/>
          <w:lang w:val="es-ES_tradnl"/>
        </w:rPr>
        <w:t>Agradeció</w:t>
      </w:r>
      <w:r w:rsidRPr="004172CC">
        <w:rPr>
          <w:lang w:val="es-ES_tradnl"/>
        </w:rPr>
        <w:t xml:space="preserve"> a la Secretaría </w:t>
      </w:r>
      <w:r w:rsidR="00EB699B" w:rsidRPr="004172CC">
        <w:rPr>
          <w:lang w:val="es-ES_tradnl"/>
        </w:rPr>
        <w:t>el haber acogido</w:t>
      </w:r>
      <w:r w:rsidRPr="004172CC">
        <w:rPr>
          <w:lang w:val="es-ES_tradnl"/>
        </w:rPr>
        <w:t xml:space="preserve"> la 17ª reunión en línea del ICG/NEAMTWS.</w:t>
      </w:r>
    </w:p>
    <w:sectPr w:rsidR="00411EBD" w:rsidRPr="004172CC" w:rsidSect="00762856">
      <w:headerReference w:type="default" r:id="rId8"/>
      <w:footerReference w:type="default" r:id="rId9"/>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8425" w14:textId="77777777" w:rsidR="00C86943" w:rsidRDefault="00C86943" w:rsidP="00874F6E">
      <w:r>
        <w:separator/>
      </w:r>
    </w:p>
  </w:endnote>
  <w:endnote w:type="continuationSeparator" w:id="0">
    <w:p w14:paraId="673B398D" w14:textId="77777777" w:rsidR="00C86943" w:rsidRDefault="00C86943" w:rsidP="0087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808674"/>
      <w:docPartObj>
        <w:docPartGallery w:val="Page Numbers (Bottom of Page)"/>
        <w:docPartUnique/>
      </w:docPartObj>
    </w:sdtPr>
    <w:sdtEndPr>
      <w:rPr>
        <w:noProof/>
      </w:rPr>
    </w:sdtEndPr>
    <w:sdtContent>
      <w:p w14:paraId="22350187" w14:textId="673190BB" w:rsidR="00874F6E" w:rsidRDefault="00874F6E">
        <w:pPr>
          <w:pStyle w:val="Footer"/>
          <w:jc w:val="center"/>
        </w:pPr>
        <w:r>
          <w:fldChar w:fldCharType="begin"/>
        </w:r>
        <w:r>
          <w:instrText xml:space="preserve"> PAGE   \* MERGEFORMAT </w:instrText>
        </w:r>
        <w:r>
          <w:fldChar w:fldCharType="separate"/>
        </w:r>
        <w:r w:rsidR="00E70DF9">
          <w:rPr>
            <w:noProof/>
          </w:rPr>
          <w:t>1</w:t>
        </w:r>
        <w:r>
          <w:rPr>
            <w:noProof/>
          </w:rPr>
          <w:fldChar w:fldCharType="end"/>
        </w:r>
      </w:p>
    </w:sdtContent>
  </w:sdt>
  <w:p w14:paraId="2318796E" w14:textId="77777777" w:rsidR="00874F6E" w:rsidRDefault="00874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C588" w14:textId="77777777" w:rsidR="00C86943" w:rsidRDefault="00C86943" w:rsidP="00874F6E">
      <w:r>
        <w:separator/>
      </w:r>
    </w:p>
  </w:footnote>
  <w:footnote w:type="continuationSeparator" w:id="0">
    <w:p w14:paraId="1DB1A3E1" w14:textId="77777777" w:rsidR="00C86943" w:rsidRDefault="00C86943" w:rsidP="0087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8B21" w14:textId="4AF4D3D5" w:rsidR="00874F6E" w:rsidRDefault="00874F6E">
    <w:pPr>
      <w:pStyle w:val="Header"/>
    </w:pPr>
    <w:r>
      <w:rPr>
        <w:lang w:val="es-ES"/>
      </w:rPr>
      <w:t>ICG/NEAMTWS-XVII/3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4BA1"/>
    <w:multiLevelType w:val="multilevel"/>
    <w:tmpl w:val="D63EA684"/>
    <w:lvl w:ilvl="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451E8E"/>
    <w:multiLevelType w:val="multilevel"/>
    <w:tmpl w:val="0658A1AE"/>
    <w:lvl w:ilvl="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10509E"/>
    <w:multiLevelType w:val="multilevel"/>
    <w:tmpl w:val="F1501D62"/>
    <w:lvl w:ilvl="0">
      <w:start w:val="1"/>
      <w:numFmt w:val="none"/>
      <w:lvlText w:val="i)"/>
      <w:lvlJc w:val="left"/>
      <w:pPr>
        <w:ind w:left="360" w:hanging="360"/>
      </w:pPr>
      <w:rPr>
        <w:rFonts w:ascii="Arial" w:hAnsi="Arial" w:hint="default"/>
        <w:b w:val="0"/>
        <w:i w:val="0"/>
        <w:caps w:val="0"/>
        <w:strike w:val="0"/>
        <w:dstrike w:val="0"/>
        <w:vanish w:val="0"/>
        <w:sz w:val="22"/>
        <w:vertAlign w:val="baseli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624E1D2F"/>
    <w:multiLevelType w:val="multilevel"/>
    <w:tmpl w:val="ED22C386"/>
    <w:lvl w:ilvl="0">
      <w:start w:val="1"/>
      <w:numFmt w:val="lowerRoman"/>
      <w:lvlText w:val="(%1)"/>
      <w:lvlJc w:val="left"/>
      <w:pPr>
        <w:ind w:left="1080" w:hanging="360"/>
      </w:pPr>
      <w:rPr>
        <w:rFonts w:ascii="Arial" w:hAnsi="Arial" w:hint="default"/>
        <w:b w:val="0"/>
        <w:i w:val="0"/>
        <w:caps w:val="0"/>
        <w:strike w:val="0"/>
        <w:dstrike w:val="0"/>
        <w:vanish w:val="0"/>
        <w:sz w:val="22"/>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567"/>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30"/>
    <w:rsid w:val="000715B6"/>
    <w:rsid w:val="00106094"/>
    <w:rsid w:val="0015339A"/>
    <w:rsid w:val="00316F30"/>
    <w:rsid w:val="003B50AD"/>
    <w:rsid w:val="003F427D"/>
    <w:rsid w:val="00411EBD"/>
    <w:rsid w:val="004172CC"/>
    <w:rsid w:val="0045634C"/>
    <w:rsid w:val="00521DA8"/>
    <w:rsid w:val="006300D4"/>
    <w:rsid w:val="006B0823"/>
    <w:rsid w:val="007235D0"/>
    <w:rsid w:val="00762856"/>
    <w:rsid w:val="007A60F0"/>
    <w:rsid w:val="007D428B"/>
    <w:rsid w:val="00815688"/>
    <w:rsid w:val="00874F6E"/>
    <w:rsid w:val="008A0B5E"/>
    <w:rsid w:val="008C3291"/>
    <w:rsid w:val="00926B6F"/>
    <w:rsid w:val="00986002"/>
    <w:rsid w:val="00A46DC5"/>
    <w:rsid w:val="00B562AE"/>
    <w:rsid w:val="00BC51A1"/>
    <w:rsid w:val="00C86943"/>
    <w:rsid w:val="00D15BAE"/>
    <w:rsid w:val="00D71657"/>
    <w:rsid w:val="00DE5FD2"/>
    <w:rsid w:val="00E2270A"/>
    <w:rsid w:val="00E70DF9"/>
    <w:rsid w:val="00EB699B"/>
    <w:rsid w:val="00F94A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48A624"/>
  <w15:chartTrackingRefBased/>
  <w15:docId w15:val="{2C5767FB-ADF3-4C40-874E-18FDAF7E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4F6E"/>
    <w:pPr>
      <w:spacing w:after="0" w:line="240" w:lineRule="auto"/>
    </w:pPr>
    <w:rPr>
      <w:rFonts w:ascii="Arial" w:eastAsia="Arial" w:hAnsi="Arial" w:cs="Arial"/>
      <w:lang w:val="en-CA"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F6E"/>
    <w:pPr>
      <w:tabs>
        <w:tab w:val="center" w:pos="4513"/>
        <w:tab w:val="right" w:pos="9026"/>
      </w:tabs>
    </w:pPr>
  </w:style>
  <w:style w:type="character" w:customStyle="1" w:styleId="HeaderChar">
    <w:name w:val="Header Char"/>
    <w:basedOn w:val="DefaultParagraphFont"/>
    <w:link w:val="Header"/>
    <w:uiPriority w:val="99"/>
    <w:rsid w:val="00874F6E"/>
    <w:rPr>
      <w:rFonts w:ascii="Arial" w:eastAsia="Arial" w:hAnsi="Arial" w:cs="Arial"/>
      <w:lang w:val="en-CA" w:eastAsia="es-ES"/>
    </w:rPr>
  </w:style>
  <w:style w:type="paragraph" w:styleId="Footer">
    <w:name w:val="footer"/>
    <w:basedOn w:val="Normal"/>
    <w:link w:val="FooterChar"/>
    <w:uiPriority w:val="99"/>
    <w:unhideWhenUsed/>
    <w:rsid w:val="00874F6E"/>
    <w:pPr>
      <w:tabs>
        <w:tab w:val="center" w:pos="4513"/>
        <w:tab w:val="right" w:pos="9026"/>
      </w:tabs>
    </w:pPr>
  </w:style>
  <w:style w:type="character" w:customStyle="1" w:styleId="FooterChar">
    <w:name w:val="Footer Char"/>
    <w:basedOn w:val="DefaultParagraphFont"/>
    <w:link w:val="Footer"/>
    <w:uiPriority w:val="99"/>
    <w:rsid w:val="00874F6E"/>
    <w:rPr>
      <w:rFonts w:ascii="Arial" w:eastAsia="Arial" w:hAnsi="Arial" w:cs="Arial"/>
      <w:lang w:val="en-CA" w:eastAsia="es-ES"/>
    </w:rPr>
  </w:style>
  <w:style w:type="character" w:styleId="CommentReference">
    <w:name w:val="annotation reference"/>
    <w:basedOn w:val="DefaultParagraphFont"/>
    <w:uiPriority w:val="99"/>
    <w:semiHidden/>
    <w:unhideWhenUsed/>
    <w:rsid w:val="00874F6E"/>
    <w:rPr>
      <w:sz w:val="16"/>
      <w:szCs w:val="16"/>
    </w:rPr>
  </w:style>
  <w:style w:type="paragraph" w:styleId="CommentText">
    <w:name w:val="annotation text"/>
    <w:basedOn w:val="Normal"/>
    <w:link w:val="CommentTextChar"/>
    <w:uiPriority w:val="99"/>
    <w:semiHidden/>
    <w:unhideWhenUsed/>
    <w:rsid w:val="00874F6E"/>
    <w:rPr>
      <w:sz w:val="20"/>
      <w:szCs w:val="20"/>
    </w:rPr>
  </w:style>
  <w:style w:type="character" w:customStyle="1" w:styleId="CommentTextChar">
    <w:name w:val="Comment Text Char"/>
    <w:basedOn w:val="DefaultParagraphFont"/>
    <w:link w:val="CommentText"/>
    <w:uiPriority w:val="99"/>
    <w:semiHidden/>
    <w:rsid w:val="00874F6E"/>
    <w:rPr>
      <w:rFonts w:ascii="Arial" w:eastAsia="Arial" w:hAnsi="Arial" w:cs="Arial"/>
      <w:sz w:val="20"/>
      <w:szCs w:val="20"/>
      <w:lang w:val="en-CA" w:eastAsia="es-ES"/>
    </w:rPr>
  </w:style>
  <w:style w:type="paragraph" w:styleId="CommentSubject">
    <w:name w:val="annotation subject"/>
    <w:basedOn w:val="CommentText"/>
    <w:next w:val="CommentText"/>
    <w:link w:val="CommentSubjectChar"/>
    <w:uiPriority w:val="99"/>
    <w:semiHidden/>
    <w:unhideWhenUsed/>
    <w:rsid w:val="00874F6E"/>
    <w:rPr>
      <w:b/>
      <w:bCs/>
    </w:rPr>
  </w:style>
  <w:style w:type="character" w:customStyle="1" w:styleId="CommentSubjectChar">
    <w:name w:val="Comment Subject Char"/>
    <w:basedOn w:val="CommentTextChar"/>
    <w:link w:val="CommentSubject"/>
    <w:uiPriority w:val="99"/>
    <w:semiHidden/>
    <w:rsid w:val="00874F6E"/>
    <w:rPr>
      <w:rFonts w:ascii="Arial" w:eastAsia="Arial" w:hAnsi="Arial" w:cs="Arial"/>
      <w:b/>
      <w:bCs/>
      <w:sz w:val="20"/>
      <w:szCs w:val="20"/>
      <w:lang w:val="en-CA" w:eastAsia="es-ES"/>
    </w:rPr>
  </w:style>
  <w:style w:type="paragraph" w:styleId="Revision">
    <w:name w:val="Revision"/>
    <w:hidden/>
    <w:uiPriority w:val="99"/>
    <w:semiHidden/>
    <w:rsid w:val="008C3291"/>
    <w:pPr>
      <w:spacing w:after="0" w:line="240" w:lineRule="auto"/>
    </w:pPr>
    <w:rPr>
      <w:rFonts w:ascii="Arial" w:eastAsia="Arial" w:hAnsi="Arial" w:cs="Arial"/>
      <w:lang w:val="en-CA" w:eastAsia="es-ES"/>
    </w:rPr>
  </w:style>
  <w:style w:type="character" w:styleId="Hyperlink">
    <w:name w:val="Hyperlink"/>
    <w:basedOn w:val="DefaultParagraphFont"/>
    <w:uiPriority w:val="99"/>
    <w:unhideWhenUsed/>
    <w:rsid w:val="008C3291"/>
    <w:rPr>
      <w:color w:val="0563C1" w:themeColor="hyperlink"/>
      <w:u w:val="single"/>
    </w:rPr>
  </w:style>
  <w:style w:type="character" w:customStyle="1" w:styleId="UnresolvedMention1">
    <w:name w:val="Unresolved Mention1"/>
    <w:basedOn w:val="DefaultParagraphFont"/>
    <w:uiPriority w:val="99"/>
    <w:semiHidden/>
    <w:unhideWhenUsed/>
    <w:rsid w:val="008C3291"/>
    <w:rPr>
      <w:color w:val="605E5C"/>
      <w:shd w:val="clear" w:color="auto" w:fill="E1DFDD"/>
    </w:rPr>
  </w:style>
  <w:style w:type="paragraph" w:styleId="ListParagraph">
    <w:name w:val="List Paragraph"/>
    <w:basedOn w:val="Normal"/>
    <w:uiPriority w:val="34"/>
    <w:qFormat/>
    <w:rsid w:val="00BC51A1"/>
    <w:pPr>
      <w:ind w:left="720"/>
      <w:contextualSpacing/>
    </w:pPr>
  </w:style>
  <w:style w:type="character" w:styleId="UnresolvedMention">
    <w:name w:val="Unresolved Mention"/>
    <w:basedOn w:val="DefaultParagraphFont"/>
    <w:uiPriority w:val="99"/>
    <w:semiHidden/>
    <w:unhideWhenUsed/>
    <w:rsid w:val="00D15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gv.it/cat/images/images/documenti/NEAMTWS-OpUG-version_2_0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Decisions and recommendations of the Integovernmental Coordination Group for the Tsunami Early Warning and Mitigation System in the North-Eastern Atlantic, Mediterranean and Connected Seas</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Decisiones y recomendaciones aprobadas por el ICG en su 17ª reunión en línea</dc:title>
  <dc:subject>ICG/NEAMTWS-XVII/3</dc:subject>
  <dc:creator>Boned, Patrice</dc:creator>
  <cp:keywords/>
  <dc:description/>
  <cp:lastModifiedBy>Boned, Patrice</cp:lastModifiedBy>
  <cp:revision>2</cp:revision>
  <dcterms:created xsi:type="dcterms:W3CDTF">2022-05-20T12:42:00Z</dcterms:created>
  <dcterms:modified xsi:type="dcterms:W3CDTF">2022-05-20T12:42:00Z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2022201435</vt:lpwstr>
  </property>
  <property fmtid="{D5CDD505-2E9C-101B-9397-08002B2CF9AE}" pid="3" name="Language">
    <vt:lpwstr>S</vt:lpwstr>
  </property>
  <property fmtid="{D5CDD505-2E9C-101B-9397-08002B2CF9AE}" pid="4" name="TranslatedWith">
    <vt:lpwstr>Mercury</vt:lpwstr>
  </property>
  <property fmtid="{D5CDD505-2E9C-101B-9397-08002B2CF9AE}" pid="5" name="GeneratedBy">
    <vt:lpwstr>pilar.valledor</vt:lpwstr>
  </property>
  <property fmtid="{D5CDD505-2E9C-101B-9397-08002B2CF9AE}" pid="6" name="GeneratedDate">
    <vt:lpwstr>05/16/2022 12:53:10</vt:lpwstr>
  </property>
  <property fmtid="{D5CDD505-2E9C-101B-9397-08002B2CF9AE}" pid="7" name="OriginalDocID">
    <vt:lpwstr>21c68aea-4a12-4e56-a986-ba411a3ea006</vt:lpwstr>
  </property>
</Properties>
</file>