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83CB" w14:textId="4B2A07F8" w:rsidR="00FA68D9" w:rsidRPr="00BD46FC" w:rsidRDefault="00FA68D9">
      <w:pPr>
        <w:rPr>
          <w:rFonts w:ascii="Arial" w:hAnsi="Arial" w:cs="Arial"/>
        </w:rPr>
      </w:pPr>
    </w:p>
    <w:tbl>
      <w:tblPr>
        <w:tblStyle w:val="TableGrid"/>
        <w:tblW w:w="8005" w:type="dxa"/>
        <w:jc w:val="center"/>
        <w:tblLook w:val="04A0" w:firstRow="1" w:lastRow="0" w:firstColumn="1" w:lastColumn="0" w:noHBand="0" w:noVBand="1"/>
      </w:tblPr>
      <w:tblGrid>
        <w:gridCol w:w="8005"/>
      </w:tblGrid>
      <w:tr w:rsidR="00FA68D9" w:rsidRPr="00BD46FC" w14:paraId="1709CCC6" w14:textId="77777777" w:rsidTr="005B0804">
        <w:trPr>
          <w:trHeight w:val="4689"/>
          <w:jc w:val="center"/>
        </w:trPr>
        <w:tc>
          <w:tcPr>
            <w:tcW w:w="8005" w:type="dxa"/>
          </w:tcPr>
          <w:p w14:paraId="33D8523D" w14:textId="2EFF265F" w:rsidR="001B5075" w:rsidRPr="00BD46FC" w:rsidRDefault="001B5075" w:rsidP="00866330">
            <w:pPr>
              <w:tabs>
                <w:tab w:val="clear" w:pos="567"/>
              </w:tabs>
              <w:snapToGrid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BD46FC">
              <w:rPr>
                <w:rFonts w:ascii="Arial" w:hAnsi="Arial" w:cs="Arial"/>
                <w:bCs/>
                <w:sz w:val="22"/>
                <w:szCs w:val="22"/>
                <w:u w:val="single"/>
              </w:rPr>
              <w:t>Резюме</w:t>
            </w:r>
          </w:p>
          <w:p w14:paraId="26382FE7" w14:textId="3198BA45" w:rsidR="002F2691" w:rsidRPr="00BD46FC" w:rsidRDefault="008E5D4A" w:rsidP="002F2691">
            <w:pPr>
              <w:widowControl w:val="0"/>
              <w:shd w:val="clear" w:color="auto" w:fill="FFFFFF"/>
              <w:adjustRightInd w:val="0"/>
              <w:spacing w:after="240"/>
              <w:ind w:right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BD46FC">
              <w:rPr>
                <w:rFonts w:ascii="Arial" w:hAnsi="Arial" w:cs="Arial"/>
                <w:sz w:val="22"/>
                <w:szCs w:val="22"/>
              </w:rPr>
              <w:t>В настоящем документе представлена информация об основных результатах деятельности в рамках Десятилетия, посвященного науке об океане, достигнутых в период с июня 2021</w:t>
            </w:r>
            <w:r w:rsidR="00FB5356">
              <w:rPr>
                <w:rFonts w:ascii="Arial" w:hAnsi="Arial" w:cs="Arial"/>
                <w:sz w:val="22"/>
                <w:szCs w:val="22"/>
              </w:rPr>
              <w:t> г.</w:t>
            </w:r>
            <w:r w:rsidRPr="00BD46FC">
              <w:rPr>
                <w:rFonts w:ascii="Arial" w:hAnsi="Arial" w:cs="Arial"/>
                <w:sz w:val="22"/>
                <w:szCs w:val="22"/>
              </w:rPr>
              <w:t xml:space="preserve"> по май 2022</w:t>
            </w:r>
            <w:r w:rsidR="00FB5356">
              <w:rPr>
                <w:rFonts w:ascii="Arial" w:hAnsi="Arial" w:cs="Arial"/>
                <w:sz w:val="22"/>
                <w:szCs w:val="22"/>
              </w:rPr>
              <w:t> г.</w:t>
            </w:r>
            <w:r w:rsidRPr="00BD46FC">
              <w:rPr>
                <w:rFonts w:ascii="Arial" w:hAnsi="Arial" w:cs="Arial"/>
                <w:sz w:val="22"/>
                <w:szCs w:val="22"/>
              </w:rPr>
              <w:t xml:space="preserve"> по четырем основным направлениям работы: (i) осуществление связанной с Десятилетием деятельности; (ii) структуры управления и координации; (iii) мобилизация ресурсов; (iv) взаимодействие с заинтересованными сторонами и информационно-пропагандистская работа. В документе обозначены основные сохраняющиеся проблемы и потенциальные возможности в рамках указанных направлений работы, а также сформулировано видение в отношении перспектив и прогноз на 2022-2023 гг. и последующий период.</w:t>
            </w:r>
          </w:p>
          <w:p w14:paraId="4E0F1C68" w14:textId="59BEE98F" w:rsidR="000F79E5" w:rsidRPr="00BD46FC" w:rsidRDefault="000F79E5" w:rsidP="002F2691">
            <w:pPr>
              <w:widowControl w:val="0"/>
              <w:shd w:val="clear" w:color="auto" w:fill="FFFFFF"/>
              <w:adjustRightInd w:val="0"/>
              <w:spacing w:after="240"/>
              <w:ind w:right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BD46FC">
              <w:rPr>
                <w:rFonts w:ascii="Arial" w:hAnsi="Arial" w:cs="Arial"/>
                <w:sz w:val="22"/>
                <w:szCs w:val="22"/>
              </w:rPr>
              <w:t>В добавлении к документу представлены итоги проведения второго запроса предложений на осуществление связанных с Десятилетием мероприятий, а также тематика третьего, проводимого в настоящее время запроса, прием заявок по которому завершится в августе 2022</w:t>
            </w:r>
            <w:r w:rsidR="00FB5356">
              <w:rPr>
                <w:rFonts w:ascii="Arial" w:hAnsi="Arial" w:cs="Arial"/>
                <w:sz w:val="22"/>
                <w:szCs w:val="22"/>
              </w:rPr>
              <w:t> г.</w:t>
            </w:r>
          </w:p>
          <w:p w14:paraId="4F1F8864" w14:textId="73B86732" w:rsidR="000F79E5" w:rsidRPr="00BD46FC" w:rsidRDefault="000F79E5" w:rsidP="002F2691">
            <w:pPr>
              <w:widowControl w:val="0"/>
              <w:shd w:val="clear" w:color="auto" w:fill="FFFFFF"/>
              <w:adjustRightInd w:val="0"/>
              <w:spacing w:after="240"/>
              <w:ind w:right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BD46FC">
              <w:rPr>
                <w:rFonts w:ascii="Arial" w:hAnsi="Arial" w:cs="Arial"/>
                <w:sz w:val="22"/>
                <w:szCs w:val="22"/>
                <w:u w:val="single"/>
              </w:rPr>
              <w:t>Финансовые последствия</w:t>
            </w:r>
            <w:r w:rsidRPr="00BD46FC">
              <w:rPr>
                <w:rFonts w:ascii="Arial" w:hAnsi="Arial" w:cs="Arial"/>
                <w:sz w:val="22"/>
                <w:szCs w:val="22"/>
              </w:rPr>
              <w:t>: Актуальные вопросы, касающиеся мобилизации ресурсов и финансовых затрат, рассматриваются в пп. 21-28.</w:t>
            </w:r>
          </w:p>
          <w:p w14:paraId="6C050125" w14:textId="5676CC48" w:rsidR="00FA68D9" w:rsidRPr="00BD46FC" w:rsidRDefault="002F2691" w:rsidP="00866330">
            <w:pPr>
              <w:tabs>
                <w:tab w:val="clear" w:pos="567"/>
              </w:tabs>
              <w:snapToGrid/>
              <w:spacing w:after="240"/>
              <w:jc w:val="both"/>
              <w:rPr>
                <w:rFonts w:ascii="Arial" w:eastAsia="Calibri" w:hAnsi="Arial" w:cs="Arial"/>
                <w:bCs/>
                <w:sz w:val="22"/>
                <w:u w:val="single"/>
              </w:rPr>
            </w:pPr>
            <w:r w:rsidRPr="00BD46FC">
              <w:rPr>
                <w:rFonts w:ascii="Arial" w:hAnsi="Arial" w:cs="Arial"/>
                <w:sz w:val="22"/>
                <w:u w:val="single"/>
              </w:rPr>
              <w:t>Предлагаемое решение</w:t>
            </w:r>
            <w:r w:rsidRPr="00BD46FC">
              <w:rPr>
                <w:rFonts w:ascii="Arial" w:hAnsi="Arial" w:cs="Arial"/>
                <w:sz w:val="22"/>
              </w:rPr>
              <w:t>:</w:t>
            </w:r>
            <w:r w:rsidRPr="00BD46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6FC">
              <w:rPr>
                <w:rFonts w:ascii="Arial" w:hAnsi="Arial" w:cs="Arial"/>
                <w:sz w:val="22"/>
              </w:rPr>
              <w:t>Исполнительному совету предлагается рассмотреть проект решения, упоминаемый в предварительном документе о принятых и предлагаемых мерах (документ IOC/EC-55/AP) как Реш. EC-55/4.1.</w:t>
            </w:r>
            <w:r w:rsidRPr="00BD46FC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</w:tbl>
    <w:p w14:paraId="69408A5B" w14:textId="0492D87A" w:rsidR="00D91E2D" w:rsidRPr="00BD46FC" w:rsidRDefault="00FA68D9" w:rsidP="00E86920">
      <w:pPr>
        <w:tabs>
          <w:tab w:val="clear" w:pos="567"/>
        </w:tabs>
        <w:snapToGrid/>
        <w:rPr>
          <w:rFonts w:ascii="Arial" w:eastAsia="Times New Roman" w:hAnsi="Arial" w:cs="Arial"/>
          <w:sz w:val="22"/>
          <w:szCs w:val="22"/>
        </w:rPr>
      </w:pPr>
      <w:r w:rsidRPr="00BD46FC">
        <w:rPr>
          <w:rFonts w:ascii="Arial" w:hAnsi="Arial" w:cs="Arial"/>
        </w:rPr>
        <w:br w:type="page"/>
      </w:r>
    </w:p>
    <w:p w14:paraId="2B00EFA1" w14:textId="31610650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</w:rPr>
      </w:pPr>
      <w:r w:rsidRPr="00BD46FC">
        <w:rPr>
          <w:rFonts w:cs="Arial"/>
        </w:rPr>
        <w:lastRenderedPageBreak/>
        <w:t>В декабре 2017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Генеральная Ассамблея Организации Объединенных Наций, основываясь на итогах работы, проделанной </w:t>
      </w:r>
      <w:r w:rsidR="00BD46FC" w:rsidRPr="00BD46FC">
        <w:rPr>
          <w:rFonts w:cs="Arial"/>
        </w:rPr>
        <w:t>государствами-членами</w:t>
      </w:r>
      <w:r w:rsidRPr="00BD46FC">
        <w:rPr>
          <w:rFonts w:cs="Arial"/>
        </w:rPr>
        <w:t xml:space="preserve"> и Секретариатом МОК, провозгласила период 2021-2030 гг. Десятилетием Организации Объединенных Наций, посвященным науке об океане в интересах устойчивого развития (далее «Десятилетие»). Провозглашение Десятилетия – это уникальная возможность осуществить кардинальные преобразования в сфере морских научных исследований и задействовать имеющийся у морской науки потенциал. Проведение Десятилетия благоприятно скажется на уровне финансирования науки со стороны государств и на их вкладе в развитие научно-инновационной деятельности в интересах достижения значимых для общества целей, а также позволит увязать финансовую поддержку сферы научных исследований с достижением глобальных целей, в том числе предусмотренных в Повестке дня на период до 2030</w:t>
      </w:r>
      <w:r w:rsidR="00FB5356">
        <w:rPr>
          <w:rFonts w:cs="Arial"/>
        </w:rPr>
        <w:t> г.</w:t>
      </w:r>
    </w:p>
    <w:p w14:paraId="54AD5D67" w14:textId="5F9E1EEA" w:rsidR="00BD46FC" w:rsidRDefault="002A33EB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</w:rPr>
      </w:pPr>
      <w:r w:rsidRPr="00BD46FC">
        <w:rPr>
          <w:rFonts w:cs="Arial"/>
        </w:rPr>
        <w:t>Во исполнение принятой Генеральной Ассамблеей ООН резолюци</w:t>
      </w:r>
      <w:r w:rsidR="00CF4C27">
        <w:rPr>
          <w:rFonts w:cs="Arial"/>
        </w:rPr>
        <w:t>и</w:t>
      </w:r>
      <w:r w:rsidRPr="00BD46FC">
        <w:rPr>
          <w:rFonts w:cs="Arial"/>
        </w:rPr>
        <w:t xml:space="preserve"> 72/73 и в соответствии с резолюцией МОК EC-LI.1, после завершения подготовительного этапа, информация о котором представлялась в документах </w:t>
      </w:r>
      <w:hyperlink r:id="rId8" w:history="1">
        <w:r w:rsidRPr="00BD46FC">
          <w:rPr>
            <w:rStyle w:val="Hyperlink"/>
            <w:rFonts w:cs="Arial"/>
          </w:rPr>
          <w:t>IOC-XXX/2 Annex 3</w:t>
        </w:r>
      </w:hyperlink>
      <w:r w:rsidRPr="00BD46FC">
        <w:rPr>
          <w:rFonts w:cs="Arial"/>
        </w:rPr>
        <w:t xml:space="preserve"> (2019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), </w:t>
      </w:r>
      <w:hyperlink r:id="rId9" w:history="1">
        <w:r w:rsidRPr="00BD46FC">
          <w:rPr>
            <w:rStyle w:val="Hyperlink"/>
            <w:rFonts w:cs="Arial"/>
          </w:rPr>
          <w:t>IOC/EC-53/4.1.Doc(1)Rev.</w:t>
        </w:r>
      </w:hyperlink>
      <w:r w:rsidRPr="00BD46FC">
        <w:rPr>
          <w:rFonts w:cs="Arial"/>
        </w:rPr>
        <w:t xml:space="preserve"> (2020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) и </w:t>
      </w:r>
      <w:hyperlink r:id="rId10" w:history="1">
        <w:r w:rsidRPr="00BD46FC">
          <w:rPr>
            <w:rStyle w:val="Hyperlink"/>
            <w:rFonts w:cs="Arial"/>
          </w:rPr>
          <w:t>IOC/A-31/3.7.Doc(2)</w:t>
        </w:r>
      </w:hyperlink>
      <w:r w:rsidRPr="00BD46FC">
        <w:rPr>
          <w:rFonts w:cs="Arial"/>
        </w:rPr>
        <w:t xml:space="preserve"> (2021</w:t>
      </w:r>
      <w:r w:rsidR="00FB5356">
        <w:rPr>
          <w:rFonts w:cs="Arial"/>
        </w:rPr>
        <w:t> г.</w:t>
      </w:r>
      <w:r w:rsidRPr="00BD46FC">
        <w:rPr>
          <w:rFonts w:cs="Arial"/>
        </w:rPr>
        <w:t>), в период с июня 2021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по май 2022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продолжилась интенсивная работа, связанная с проведением</w:t>
      </w:r>
      <w:r w:rsidR="00BD46FC">
        <w:rPr>
          <w:rFonts w:cs="Arial"/>
        </w:rPr>
        <w:t xml:space="preserve"> </w:t>
      </w:r>
      <w:r w:rsidRPr="00BD46FC">
        <w:rPr>
          <w:rFonts w:cs="Arial"/>
        </w:rPr>
        <w:t>Десятилетия Организации Объединенных Наций, посвященного науке об океане в интересах устойчивого развития (2021-2030 гг.).</w:t>
      </w:r>
    </w:p>
    <w:p w14:paraId="5645EE63" w14:textId="49080B7C" w:rsidR="002A4718" w:rsidRPr="00BD46FC" w:rsidRDefault="00E86920" w:rsidP="00E86920">
      <w:pPr>
        <w:pStyle w:val="Style2"/>
        <w:tabs>
          <w:tab w:val="clear" w:pos="1400"/>
          <w:tab w:val="left" w:pos="0"/>
        </w:tabs>
        <w:snapToGrid w:val="0"/>
        <w:ind w:left="0"/>
        <w:rPr>
          <w:rFonts w:cs="Arial"/>
          <w:b/>
          <w:bCs/>
        </w:rPr>
      </w:pPr>
      <w:r w:rsidRPr="00BD46FC">
        <w:rPr>
          <w:rFonts w:cs="Arial"/>
          <w:b/>
          <w:bCs/>
        </w:rPr>
        <w:t>Осуществление связанной с Десятилетием деятельности</w:t>
      </w:r>
    </w:p>
    <w:p w14:paraId="5777786E" w14:textId="72F074A5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</w:rPr>
      </w:pPr>
      <w:r w:rsidRPr="00BD46FC">
        <w:rPr>
          <w:rFonts w:cs="Arial"/>
        </w:rPr>
        <w:t>В июне 2021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были объявлены предварительные итоги проведения </w:t>
      </w:r>
      <w:hyperlink r:id="rId11" w:history="1">
        <w:r w:rsidRPr="00BD46FC">
          <w:rPr>
            <w:rFonts w:cs="Arial"/>
          </w:rPr>
          <w:t>первого запроса предложений на осуществление связанной с Десятилетием деятельности (запрос № 01/2020)</w:t>
        </w:r>
      </w:hyperlink>
      <w:r w:rsidRPr="00BD46FC">
        <w:rPr>
          <w:rFonts w:cs="Arial"/>
        </w:rPr>
        <w:t xml:space="preserve"> в отношении примерно 250 потенциальных мероприятий Десятилетия. Далее по мере обработки представленных заявок и принятия по ним решений в течение рассматриваемого периода было сделано еще несколько объявлений. На сегодняшний день в общей сложности одобрено более 170 предложений в отношении связанной с Десятилетием деятельности, включая 31 программу глобального характера, 98 проектов и 42 предложения об оказании поддержки. Кроме того, в программу Десятилетия было включено 15 мероприятий, осуществляемых по инициативе и под руководством партнеров по системе ООН. Информацию о деятельности в рамках Десятилетия, осуществляемой по инициативе и под руководством МОК, см. в документе IOC/INF-1418.</w:t>
      </w:r>
    </w:p>
    <w:p w14:paraId="01870DDB" w14:textId="77777777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</w:rPr>
      </w:pPr>
      <w:r w:rsidRPr="00BD46FC">
        <w:rPr>
          <w:rFonts w:cs="Arial"/>
        </w:rPr>
        <w:t>Утвержденные мероприятия касаются всех десяти сформулированных в отношении Десятилетия приоритетных задач, а в их осуществлении участвуют основные партнеры из более чем 40 стран мира. Несмотря на широкий географический охват указанной деятельностью, по-прежнему отмечается дисбаланс с точки зрения руководящего участия в ней партнеров из наименее развитых стран, в особенности стран Африки и малых островных развивающихся государств.</w:t>
      </w:r>
    </w:p>
    <w:p w14:paraId="55038772" w14:textId="4CADA333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</w:rPr>
      </w:pPr>
      <w:r w:rsidRPr="00BD46FC">
        <w:rPr>
          <w:rFonts w:cs="Arial"/>
        </w:rPr>
        <w:t>В октябре 2021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был объявлен второй запрос предложений на осуществление связанной с Десятилетием деятельности (запрос № 02/2021), прием заявок по которому завершился 31 января 2022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Тематический охват второго запроса определялся с учетом рекомендаций Временного консультативного совета по вопросам проведения Десятилетия и был ориентирован на решение следующих задач: (i) устранение численного дисбаланса мероприятий, утвержденных в рамках разных приоритетных задач Десятилетия науки об океане; (ii) оказание соответствующим глобальным механизмам информационного и экспертного содействия в выработке политики; (iii) запрос новых проектных заявок, а также предложений со стороны партнеров в отношении поддержки уже утвержденных к осуществлению в рамках Десятилетия программ. Запрос № 02/2021 касался сбора предложений по проектам для включения в одну из 25 утвержденных программ, направленных на решение первоочередных задач Десятилетия в области борьбы с загрязнением морской среды, рациональной эксплуатации и восстановления состояния морских экосистем, углубления понимания взаимосвязи между океаном и климатом.</w:t>
      </w:r>
    </w:p>
    <w:p w14:paraId="79C232AD" w14:textId="77777777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</w:rPr>
      </w:pPr>
      <w:r w:rsidRPr="00BD46FC">
        <w:rPr>
          <w:rFonts w:cs="Arial"/>
        </w:rPr>
        <w:lastRenderedPageBreak/>
        <w:t>Кроме того, в рамках запроса № 02/2021 было в экспериментальном порядке организовано два запроса предложений, подкрепленных финансовыми ресурсами, в качестве нового механизма мобилизации средств на цели Десятилетия. Речь идет о задействовании каналов финансирования по линии Фонда поддержки научных исследований группы компаний AXA, спонсирующей главным образом проекты в области повышения устойчивости прибрежных зон, и инициативы MeerWissen, направленной на развитие партнерского взаимодействия Германии и африканских государств в области изучения морской среды и внедрения природоориентированных технологий.</w:t>
      </w:r>
    </w:p>
    <w:p w14:paraId="06F4D1C4" w14:textId="57C583E9" w:rsidR="002A4718" w:rsidRPr="00BD46FC" w:rsidRDefault="007077C5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</w:rPr>
      </w:pPr>
      <w:r w:rsidRPr="00BD46FC">
        <w:rPr>
          <w:rFonts w:cs="Arial"/>
        </w:rPr>
        <w:t>В ходе проведения запроса от ведущих партнеров из 33 стран было получено 38 предложений об осуществлении программ и 134 предложения по проектам. Еще примерно 70 заявок было получено по линии подкрепленных финансированием компонентов данного запроса предложений. В настоящее время проводится рассмотрение поданных заявок, в том числе первого пакета предложений об осуществлении программ, представленных Консультативным советом по вопросам проведения Десятилетия. Оглашение первой части списка утвержденных заявок будет приурочено ко Всемирному дню океанов (8 июня 2022</w:t>
      </w:r>
      <w:r w:rsidR="00FB5356">
        <w:rPr>
          <w:rFonts w:cs="Arial"/>
        </w:rPr>
        <w:t> г.</w:t>
      </w:r>
      <w:r w:rsidRPr="00BD46FC">
        <w:rPr>
          <w:rFonts w:cs="Arial"/>
        </w:rPr>
        <w:t>).</w:t>
      </w:r>
    </w:p>
    <w:p w14:paraId="4008A4C7" w14:textId="43155E8F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</w:rPr>
        <w:t>Тематический охват третьего запроса предложений (запрос № 03/2022) был объявлен Консультативным советом по вопросам проведения Десятилетия 15 апреля 2022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по итогам состоявшегося обсуждения. Третий запрос ориентирован на осуществление программ, которые будут способствовать реализации первоочередных задач Десятилетия, связанных с неистощительным производством морского продовольствия и обеспечением экологичного морского хозяйствования. Кроме того, принимаются проектные заявки по осуществлению мероприятий в рамках 16 уже утвержденных программ. Наряду с этим в рамках третьего запроса принимаются предложения об оказании финансовой или нефинансовой поддержки на цели осуществления мероприятий Десятилетия в странах Африки и МОСРГ. Прием предложений в рамках запроса № 03/2022 завершится в конце августа 2022</w:t>
      </w:r>
      <w:r w:rsidR="00FB5356">
        <w:rPr>
          <w:rFonts w:cs="Arial"/>
        </w:rPr>
        <w:t> г.</w:t>
      </w:r>
      <w:r w:rsidRPr="00BD46FC">
        <w:rPr>
          <w:rFonts w:cs="Arial"/>
        </w:rPr>
        <w:t>, а оглашение списка утвержденных заявок ожидается в конце 2022 или в начале 2023</w:t>
      </w:r>
      <w:r w:rsidR="00FB5356">
        <w:rPr>
          <w:rFonts w:cs="Arial"/>
        </w:rPr>
        <w:t> г.</w:t>
      </w:r>
    </w:p>
    <w:p w14:paraId="5A61763D" w14:textId="21A62C70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</w:rPr>
      </w:pPr>
      <w:r w:rsidRPr="00BD46FC">
        <w:rPr>
          <w:rFonts w:cs="Arial"/>
        </w:rPr>
        <w:t>«Сообщества специалистов-практиков» представляют собой объединенные по тематическому или географическому признаку</w:t>
      </w:r>
      <w:r w:rsidR="00BD46FC">
        <w:rPr>
          <w:rFonts w:cs="Arial"/>
        </w:rPr>
        <w:t xml:space="preserve"> </w:t>
      </w:r>
      <w:r w:rsidRPr="00BD46FC">
        <w:rPr>
          <w:rFonts w:cs="Arial"/>
        </w:rPr>
        <w:t>группы лиц, специализирующихся в областях осуществляемой в рамках Десятилетия деятельности. Эти сообщества призваны содействовать совместному планированию и осуществлению деятельности, а также выявлять возможности для сопряжения усилий в интересах достижения общих целей. Каждому такому сообществу выделена отдельная цифровая дискуссионная площадка на портале Глобального форума заинтересованных сторон. В результате обсуждений с членами Временного консультативного совета по вопросам проведения Десятилетия был сформирован первоначальный список, включающий около 20 тематических и региональных сообществ специалистов-практиков, которые обеспечат платформу для обмена опытом и сотрудничества на уровне утвержденных в рамках Десятилетия направлений деятельности. В 2021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было официально объявлено о начале работы первого сообщества специалистов-практиков в области повышения устойчивости прибрежных экосистем и укрепления потенциала адаптации населения прибрежных районов. К настоящему времени начали функционировать еще четыре профильных сообщества, в том числе по вопросам глубоководных исследований, хозяйственного освоения Мирового океана, развития потенциала и изучения факторов стрессогенного воздействия на морскую среду. По мере включения в программу Десятилетия новых мероприятий и укрепления координационной поддержки в виде онлайновых платформ партнеров-исполнителей и центров сотрудничества в рамках Десятилетия, будут создаваться новые сообщества специалистов-практиков.</w:t>
      </w:r>
    </w:p>
    <w:p w14:paraId="52D1CBB4" w14:textId="791FF75C" w:rsidR="00E86920" w:rsidRPr="00BD46FC" w:rsidRDefault="00E86920" w:rsidP="00E86920">
      <w:pPr>
        <w:pStyle w:val="Style2"/>
        <w:tabs>
          <w:tab w:val="clear" w:pos="1400"/>
          <w:tab w:val="left" w:pos="0"/>
        </w:tabs>
        <w:snapToGrid w:val="0"/>
        <w:ind w:left="0"/>
        <w:rPr>
          <w:rFonts w:eastAsia="Arial" w:cs="Arial"/>
          <w:b/>
          <w:bCs/>
          <w:color w:val="000000" w:themeColor="text1"/>
        </w:rPr>
      </w:pPr>
      <w:r w:rsidRPr="00BD46FC">
        <w:rPr>
          <w:rFonts w:cs="Arial"/>
          <w:b/>
          <w:bCs/>
        </w:rPr>
        <w:t>Структуры управления и координации</w:t>
      </w:r>
    </w:p>
    <w:p w14:paraId="29E3435D" w14:textId="4308F639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r w:rsidRPr="00BD46FC">
        <w:rPr>
          <w:rFonts w:cs="Arial"/>
          <w:color w:val="000000" w:themeColor="text1"/>
        </w:rPr>
        <w:t>В течение рассматриваемого периода было проведено два совещания Временного консультативного совета по вопросам проведения Десятилетия (сентябрь и декабрь 2021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). В ходе указанных совещаний состоялось рассмотрение и были даны заключения в отношении утверждения связанных с Десятилетием программ, а также сформулированы рекомендации, </w:t>
      </w:r>
      <w:r w:rsidRPr="00BD46FC">
        <w:rPr>
          <w:rFonts w:cs="Arial"/>
          <w:color w:val="000000" w:themeColor="text1"/>
        </w:rPr>
        <w:lastRenderedPageBreak/>
        <w:t>касающиеся рамочных принципов мониторинга и оценки осуществляемой в рамках Десятилетия деятельности и начата подготовка к проведению второго запроса предложений на осуществление связанных с Десятилетием мероприятий (запрос № 02/2021).</w:t>
      </w:r>
    </w:p>
    <w:p w14:paraId="14F8BEAE" w14:textId="68C24264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</w:rPr>
        <w:t xml:space="preserve">Ассамблея МОК на своей 31-й сессии утвердила круг ведения Консультативного совета по вопросам проведения Десятилетия на основе проекта, представленного в документе </w:t>
      </w:r>
      <w:hyperlink r:id="rId12" w:history="1">
        <w:r w:rsidRPr="00BD46FC">
          <w:rPr>
            <w:rStyle w:val="Hyperlink"/>
            <w:rFonts w:cs="Arial"/>
          </w:rPr>
          <w:t>IOC-31/3.7.Doc(1)</w:t>
        </w:r>
      </w:hyperlink>
      <w:r w:rsidRPr="00BD46FC">
        <w:rPr>
          <w:rFonts w:cs="Arial"/>
        </w:rPr>
        <w:t>, в том числе процедуру отбора кандидатов на включение в состав Консультативного совета.</w:t>
      </w:r>
      <w:r w:rsidRPr="00BD46FC">
        <w:rPr>
          <w:rFonts w:cs="Arial"/>
          <w:color w:val="000000" w:themeColor="text1"/>
        </w:rPr>
        <w:t xml:space="preserve"> В период с 5 июля по 22 сентября 2021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был организован открытый прием кандидатур для отбора 15 экспертов в состав Консультативного совета. В рамках этой процедуры государствами – членами МОК-ЮНЕСКО, Организацией Объединенных Наций, учреждениями системы ООН, межправительственными организациями, а также в порядке самовыдвижения было представлено в общей сложности 243 кандидатуры. Исполнительный секретарь МОК сформировал специальную комиссию по отбору кандидатов, в состав которой вошли Председатель и должностные лица МОК, представляющие пять избирательных групп Комиссии. При технической поддержке Группы по координации проведения Десятилетия указанная специальная комиссия отобрала для включения в состав Консультативного совета по вопросам проведения Десятилетия 15 экспертов из 13 стран.</w:t>
      </w:r>
    </w:p>
    <w:p w14:paraId="00F168AA" w14:textId="74D895E3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  <w:color w:val="000000" w:themeColor="text1"/>
        </w:rPr>
        <w:t>В своих решениях комиссия по отбору руководствовалась критериями наличия у кандидатов необходимой квалификации, опыта, авторитета и объективности в отношении видения и целей Десятилетия, а также способности выполнять обязанности, предусмотренные в утвержденном круге ведения. Одним из важнейших принципов при этом была обязательная представленность различных секторов, в том числе научного сообщества, частного сектора, благотворительных организаций и правительственных структур. При отборе экспертов</w:t>
      </w:r>
      <w:r w:rsidR="007F0B8B" w:rsidRPr="007F0B8B">
        <w:rPr>
          <w:rFonts w:cs="Arial"/>
          <w:color w:val="000000" w:themeColor="text1"/>
        </w:rPr>
        <w:t xml:space="preserve"> </w:t>
      </w:r>
      <w:r w:rsidR="007F0B8B">
        <w:rPr>
          <w:rFonts w:cs="Arial"/>
          <w:color w:val="000000" w:themeColor="text1"/>
        </w:rPr>
        <w:t>–</w:t>
      </w:r>
      <w:r w:rsidR="007F0B8B" w:rsidRPr="007F0B8B">
        <w:rPr>
          <w:rFonts w:cs="Arial"/>
          <w:color w:val="000000" w:themeColor="text1"/>
        </w:rPr>
        <w:t xml:space="preserve"> </w:t>
      </w:r>
      <w:r w:rsidRPr="00BD46FC">
        <w:rPr>
          <w:rFonts w:cs="Arial"/>
          <w:color w:val="000000" w:themeColor="text1"/>
        </w:rPr>
        <w:t>членов Консультативного совета должное внимание было также уделено сбалансированности профессионального, географического, возрастного и гендерного аспектов.</w:t>
      </w:r>
    </w:p>
    <w:p w14:paraId="1B112120" w14:textId="37B13DA0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  <w:color w:val="000000" w:themeColor="text1"/>
        </w:rPr>
        <w:t>Помимо 15 экспертов-членов одно постоянное место в Консультативном совете по вопросам проведения Десятилетия будет закреплено за юрисконсультом ООН/ОВОМП, на которого возложены функции секретариата и координатора сети «ООН-океаны» и Конвенции Организации Объединенных Наций по морскому праву. Постоянное место в Совете будет также иметь Секретариат МОК в качестве координатора проведения Десятилетия. Еще три места были закреплены за учреждениями системы ООН. В январе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>, на основании согласованной с механизмом «ООН-океаны» процедуры, предусматривающей опрос учреждений системы ООН на предмет заинтересованности в получении места члена Совета, заполняемого на основе принципа ротации, Программа Организации Объединенных Наций по окружающей среде, Всемирная метеорологическая организация и Международный орган по морскому дну были утверждены в качестве учреждений, представляющих ООН в Консультативном совете 2022</w:t>
      </w:r>
      <w:r w:rsidR="00FB5356">
        <w:rPr>
          <w:rFonts w:cs="Arial"/>
          <w:color w:val="000000" w:themeColor="text1"/>
        </w:rPr>
        <w:t> г.</w:t>
      </w:r>
    </w:p>
    <w:p w14:paraId="2FC7298F" w14:textId="05C080B5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</w:rPr>
        <w:t>Консультативный совет по вопросам проведения Десятилетия был созван в январе 2022</w:t>
      </w:r>
      <w:r w:rsidR="00FB5356">
        <w:rPr>
          <w:rFonts w:cs="Arial"/>
        </w:rPr>
        <w:t> г.</w:t>
      </w:r>
      <w:r w:rsidR="00BD46FC">
        <w:rPr>
          <w:rFonts w:cs="Arial"/>
        </w:rPr>
        <w:t xml:space="preserve"> </w:t>
      </w:r>
      <w:r w:rsidRPr="00BD46FC">
        <w:rPr>
          <w:rFonts w:cs="Arial"/>
        </w:rPr>
        <w:t>на свое вводное инструктивное совещание. Первое рабочее совещание Совета про</w:t>
      </w:r>
      <w:r w:rsidR="00BD46FC">
        <w:rPr>
          <w:rFonts w:cs="Arial"/>
        </w:rPr>
        <w:t>шло</w:t>
      </w:r>
      <w:r w:rsidRPr="00BD46FC">
        <w:rPr>
          <w:rFonts w:cs="Arial"/>
        </w:rPr>
        <w:t xml:space="preserve"> в очном формате в марте 2022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(</w:t>
      </w:r>
      <w:hyperlink r:id="rId13" w:history="1">
        <w:r w:rsidRPr="00BD46FC">
          <w:rPr>
            <w:rStyle w:val="Hyperlink"/>
            <w:rFonts w:cs="Arial"/>
          </w:rPr>
          <w:t>IOC/2022/ODS/35</w:t>
        </w:r>
      </w:hyperlink>
      <w:r w:rsidRPr="00BD46FC">
        <w:rPr>
          <w:rFonts w:cs="Arial"/>
        </w:rPr>
        <w:t>).</w:t>
      </w:r>
      <w:r w:rsidRPr="00BD46FC">
        <w:rPr>
          <w:rFonts w:cs="Arial"/>
          <w:color w:val="000000" w:themeColor="text1"/>
        </w:rPr>
        <w:t xml:space="preserve"> В ходе первого совещания Совет обсудил рекомендации в отношении утверждения программ Десятилетия, отобранных по итогам второго запроса предложений (запрос № 02/2021), и обсудил ряд стратегически значимых вопросов, касающихся оценки хода проведения Десятилетия, мобилизации ресурсов, </w:t>
      </w:r>
      <w:r w:rsidR="00BD46FC">
        <w:rPr>
          <w:rFonts w:cs="Arial"/>
          <w:color w:val="000000" w:themeColor="text1"/>
        </w:rPr>
        <w:t>важности</w:t>
      </w:r>
      <w:r w:rsidRPr="00BD46FC">
        <w:rPr>
          <w:rFonts w:cs="Arial"/>
          <w:color w:val="000000" w:themeColor="text1"/>
        </w:rPr>
        <w:t xml:space="preserve"> использования знаний коренного и местного населения</w:t>
      </w:r>
      <w:r w:rsidR="00BD46FC">
        <w:rPr>
          <w:rFonts w:cs="Arial"/>
          <w:color w:val="000000" w:themeColor="text1"/>
        </w:rPr>
        <w:t xml:space="preserve"> при проведении</w:t>
      </w:r>
      <w:r w:rsidR="00BD46FC" w:rsidRPr="00BD46FC">
        <w:rPr>
          <w:rFonts w:cs="Arial"/>
          <w:color w:val="000000" w:themeColor="text1"/>
        </w:rPr>
        <w:t xml:space="preserve"> Десятилетия</w:t>
      </w:r>
      <w:r w:rsidRPr="00BD46FC">
        <w:rPr>
          <w:rFonts w:cs="Arial"/>
          <w:color w:val="000000" w:themeColor="text1"/>
        </w:rPr>
        <w:t xml:space="preserve">, а также способов расширения участия </w:t>
      </w:r>
      <w:r w:rsidR="00BD46FC">
        <w:rPr>
          <w:rFonts w:cs="Arial"/>
          <w:color w:val="000000" w:themeColor="text1"/>
        </w:rPr>
        <w:t xml:space="preserve">в его проведении </w:t>
      </w:r>
      <w:r w:rsidRPr="00BD46FC">
        <w:rPr>
          <w:rFonts w:cs="Arial"/>
          <w:color w:val="000000" w:themeColor="text1"/>
        </w:rPr>
        <w:t>малых островных развивающихся государств</w:t>
      </w:r>
      <w:r w:rsidR="00BD46FC">
        <w:rPr>
          <w:rFonts w:cs="Arial"/>
          <w:color w:val="000000" w:themeColor="text1"/>
        </w:rPr>
        <w:t xml:space="preserve"> (МОСРГ)</w:t>
      </w:r>
      <w:r w:rsidRPr="00BD46FC">
        <w:rPr>
          <w:rFonts w:cs="Arial"/>
          <w:color w:val="000000" w:themeColor="text1"/>
        </w:rPr>
        <w:t xml:space="preserve"> и наименее развитых стран</w:t>
      </w:r>
      <w:r w:rsidR="00BD46FC">
        <w:rPr>
          <w:rFonts w:cs="Arial"/>
          <w:color w:val="000000" w:themeColor="text1"/>
        </w:rPr>
        <w:t xml:space="preserve"> (НРС)</w:t>
      </w:r>
      <w:r w:rsidRPr="00BD46FC">
        <w:rPr>
          <w:rFonts w:cs="Arial"/>
          <w:color w:val="000000" w:themeColor="text1"/>
        </w:rPr>
        <w:t>. Правила и методы работы Совета представлены в документе IOC/INF-1414.</w:t>
      </w:r>
    </w:p>
    <w:p w14:paraId="0E4980CB" w14:textId="55B2AEA1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  <w:color w:val="000000" w:themeColor="text1"/>
        </w:rPr>
        <w:t xml:space="preserve">Созданная на базе Секретариата МОК-ЮНЕСКО Группа по координации проведения Десятилетия (ГКД) продолжила укрепляться благодаря прикомандированию </w:t>
      </w:r>
      <w:r w:rsidR="00BD46FC" w:rsidRPr="00BD46FC">
        <w:rPr>
          <w:rFonts w:cs="Arial"/>
          <w:color w:val="000000" w:themeColor="text1"/>
        </w:rPr>
        <w:t xml:space="preserve">Францией </w:t>
      </w:r>
      <w:r w:rsidRPr="00BD46FC">
        <w:rPr>
          <w:rFonts w:cs="Arial"/>
          <w:color w:val="000000" w:themeColor="text1"/>
        </w:rPr>
        <w:t xml:space="preserve">еще одного специалиста, а также </w:t>
      </w:r>
      <w:r w:rsidR="00BD46FC">
        <w:rPr>
          <w:rFonts w:cs="Arial"/>
          <w:color w:val="000000" w:themeColor="text1"/>
        </w:rPr>
        <w:t xml:space="preserve">благодаря </w:t>
      </w:r>
      <w:r w:rsidRPr="00BD46FC">
        <w:rPr>
          <w:rFonts w:cs="Arial"/>
          <w:color w:val="000000" w:themeColor="text1"/>
        </w:rPr>
        <w:t xml:space="preserve">временному предоставлению сотрудника компанией FUGRO. </w:t>
      </w:r>
      <w:r w:rsidR="00BD46FC">
        <w:rPr>
          <w:rFonts w:cs="Arial"/>
          <w:color w:val="000000" w:themeColor="text1"/>
        </w:rPr>
        <w:t>Вместе с тем</w:t>
      </w:r>
      <w:r w:rsidRPr="00BD46FC">
        <w:rPr>
          <w:rFonts w:cs="Arial"/>
          <w:color w:val="000000" w:themeColor="text1"/>
        </w:rPr>
        <w:t xml:space="preserve"> продолжает ощущаться</w:t>
      </w:r>
      <w:r w:rsidR="00BD46FC">
        <w:rPr>
          <w:rFonts w:cs="Arial"/>
          <w:color w:val="000000" w:themeColor="text1"/>
        </w:rPr>
        <w:t xml:space="preserve"> </w:t>
      </w:r>
      <w:r w:rsidR="00BD46FC" w:rsidRPr="00BD46FC">
        <w:rPr>
          <w:rFonts w:cs="Arial"/>
          <w:color w:val="000000" w:themeColor="text1"/>
        </w:rPr>
        <w:t>существенный дефицит квалифицированных кадров</w:t>
      </w:r>
      <w:r w:rsidRPr="00BD46FC">
        <w:rPr>
          <w:rFonts w:cs="Arial"/>
          <w:color w:val="000000" w:themeColor="text1"/>
        </w:rPr>
        <w:t xml:space="preserve">, а значительная часть работы по-прежнему обеспечивается внештатными экспертами, </w:t>
      </w:r>
      <w:r w:rsidRPr="00BD46FC">
        <w:rPr>
          <w:rFonts w:cs="Arial"/>
          <w:color w:val="000000" w:themeColor="text1"/>
        </w:rPr>
        <w:lastRenderedPageBreak/>
        <w:t>услуги которых финансируются за счет внебюджетных средств. В связи с этим для доукомплектования штата ГКД, обеспечения ее стабильной работы в течение Десятилетия и ее способности в полной мере выполнять возложенные на нее функции необходима дополнительная поддержка.</w:t>
      </w:r>
    </w:p>
    <w:p w14:paraId="3187EAA6" w14:textId="3C724B14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  <w:color w:val="000000" w:themeColor="text1"/>
        </w:rPr>
        <w:t xml:space="preserve">В течение рассматриваемого периода поступили предварительные заявки на участие, касавшиеся семи центров сотрудничества в рамках Десятилетия и четырех партнеров-исполнителей (IOC/INF-1413). Заявки в отношении центров сотрудничества касались создания тематических и региональных центров. </w:t>
      </w:r>
      <w:r w:rsidRPr="00BD46FC">
        <w:rPr>
          <w:rFonts w:cs="Arial"/>
        </w:rPr>
        <w:t xml:space="preserve">В настоящее время в соответствии с процедурой, изложенной в документе </w:t>
      </w:r>
      <w:hyperlink r:id="rId14" w:history="1">
        <w:r w:rsidRPr="00BD46FC">
          <w:rPr>
            <w:rStyle w:val="Hyperlink"/>
            <w:rFonts w:cs="Arial"/>
          </w:rPr>
          <w:t>IOC/2021/ODS/23Rev.</w:t>
        </w:r>
      </w:hyperlink>
      <w:r w:rsidRPr="00BD46FC">
        <w:rPr>
          <w:rFonts w:cs="Arial"/>
        </w:rPr>
        <w:t>, указанные заявки проходят этап оценки, в том числе на предмет целесообразности реализации поступивш</w:t>
      </w:r>
      <w:r w:rsidR="00BD46FC">
        <w:rPr>
          <w:rFonts w:cs="Arial"/>
        </w:rPr>
        <w:t>их</w:t>
      </w:r>
      <w:r w:rsidRPr="00BD46FC">
        <w:rPr>
          <w:rFonts w:cs="Arial"/>
        </w:rPr>
        <w:t xml:space="preserve"> предложени</w:t>
      </w:r>
      <w:r w:rsidR="00BD46FC">
        <w:rPr>
          <w:rFonts w:cs="Arial"/>
        </w:rPr>
        <w:t>й</w:t>
      </w:r>
      <w:r w:rsidRPr="00BD46FC">
        <w:rPr>
          <w:rFonts w:cs="Arial"/>
        </w:rPr>
        <w:t>.</w:t>
      </w:r>
      <w:r w:rsidR="00BD46FC">
        <w:rPr>
          <w:rFonts w:cs="Arial"/>
        </w:rPr>
        <w:t xml:space="preserve"> </w:t>
      </w:r>
      <w:r w:rsidRPr="00BD46FC">
        <w:rPr>
          <w:rFonts w:cs="Arial"/>
          <w:color w:val="000000" w:themeColor="text1"/>
        </w:rPr>
        <w:t xml:space="preserve">Две из четырех заявок от партнеров-исполнителей были одобрены, еще две находятся на рассмотрении. МОК выступила с предложением о создании трех бюро по координации проведения Десятилетия: одного бюро по вопросам океанографических наблюдений (при ГСНО), одного – по вопросам предоставления данных (при МООД), и регионального бюро на базе ВЕСТПАК. </w:t>
      </w:r>
      <w:r w:rsidRPr="00BD46FC">
        <w:rPr>
          <w:rFonts w:cs="Arial"/>
        </w:rPr>
        <w:t xml:space="preserve">Подробная информация в отношении структуры указанных бюро, а также их ресурсных потребностей представлена в документе </w:t>
      </w:r>
      <w:bookmarkStart w:id="0" w:name="_Hlk103076795"/>
      <w:r w:rsidRPr="00BD46FC">
        <w:rPr>
          <w:rFonts w:cs="Arial"/>
        </w:rPr>
        <w:t>IOC/INF-1413</w:t>
      </w:r>
      <w:bookmarkEnd w:id="0"/>
      <w:r w:rsidRPr="00BD46FC">
        <w:rPr>
          <w:rFonts w:cs="Arial"/>
        </w:rPr>
        <w:t>.</w:t>
      </w:r>
    </w:p>
    <w:p w14:paraId="5BDF9BC2" w14:textId="03E5B739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  <w:color w:val="000000" w:themeColor="text1"/>
        </w:rPr>
        <w:t xml:space="preserve">Шесть региональных программ стали партнерами по организации форумов, посвященных разработке и практической реализации региональных планов действий и проектов. Созданы региональные целевые группы для Арктики, бассейнов Тихого океана, Средиземноморья, Южного океана, западной тропической части Атлантического океана и западной части Тихого океана. </w:t>
      </w:r>
      <w:r w:rsidRPr="00BD46FC">
        <w:rPr>
          <w:rFonts w:cs="Arial"/>
        </w:rPr>
        <w:t>В мае 2022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в рамках организованной правительством Египта Всеафриканской конференции по определению приоритетных задач и развитию партнерского взаимодействия в </w:t>
      </w:r>
      <w:r w:rsidR="00370B35">
        <w:rPr>
          <w:rFonts w:cs="Arial"/>
        </w:rPr>
        <w:t>ходе проведения</w:t>
      </w:r>
      <w:r w:rsidRPr="00BD46FC">
        <w:rPr>
          <w:rFonts w:cs="Arial"/>
        </w:rPr>
        <w:t xml:space="preserve"> Десятилетия ООН, посвященного науке об океане в интересах устойчивого развития, было объявлено о создании региональной целевой группы по контролю за реализацией </w:t>
      </w:r>
      <w:hyperlink r:id="rId15" w:history="1">
        <w:r w:rsidRPr="00BD46FC">
          <w:rPr>
            <w:rStyle w:val="Hyperlink"/>
            <w:rFonts w:cs="Arial"/>
          </w:rPr>
          <w:t>африканской дорожной карты</w:t>
        </w:r>
      </w:hyperlink>
      <w:r w:rsidRPr="00BD46FC">
        <w:rPr>
          <w:rFonts w:cs="Arial"/>
        </w:rPr>
        <w:t xml:space="preserve"> Десятилетия науки об океане.</w:t>
      </w:r>
    </w:p>
    <w:p w14:paraId="62E448B9" w14:textId="6F42AD6B" w:rsidR="00E86920" w:rsidRPr="00BD46FC" w:rsidRDefault="00687A2A" w:rsidP="006810D1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  <w:color w:val="000000" w:themeColor="text1"/>
        </w:rPr>
        <w:t>На сегодняшний день учреждено 27 национальных комитетов по проведению Десятилетия, важнейших структур, созда</w:t>
      </w:r>
      <w:r w:rsidR="00370B35">
        <w:rPr>
          <w:rFonts w:cs="Arial"/>
          <w:color w:val="000000" w:themeColor="text1"/>
        </w:rPr>
        <w:t>ваемых</w:t>
      </w:r>
      <w:r w:rsidRPr="00BD46FC">
        <w:rPr>
          <w:rFonts w:cs="Arial"/>
          <w:color w:val="000000" w:themeColor="text1"/>
        </w:rPr>
        <w:t xml:space="preserve"> на добровольной основе и объедин</w:t>
      </w:r>
      <w:r w:rsidR="00370B35">
        <w:rPr>
          <w:rFonts w:cs="Arial"/>
          <w:color w:val="000000" w:themeColor="text1"/>
        </w:rPr>
        <w:t>яющих</w:t>
      </w:r>
      <w:r w:rsidRPr="00BD46FC">
        <w:rPr>
          <w:rFonts w:cs="Arial"/>
          <w:color w:val="000000" w:themeColor="text1"/>
        </w:rPr>
        <w:t xml:space="preserve"> заинтересованные стороны соответствующих государств с целью определения национальных приоритетов, поощрения связанной с Десятилетием деятельности и мобилизации на национальном уровне ресурсов на цели </w:t>
      </w:r>
      <w:r w:rsidR="00370B35">
        <w:rPr>
          <w:rFonts w:cs="Arial"/>
          <w:color w:val="000000" w:themeColor="text1"/>
        </w:rPr>
        <w:t xml:space="preserve">его </w:t>
      </w:r>
      <w:r w:rsidRPr="00BD46FC">
        <w:rPr>
          <w:rFonts w:cs="Arial"/>
          <w:color w:val="000000" w:themeColor="text1"/>
        </w:rPr>
        <w:t>проведения</w:t>
      </w:r>
      <w:r w:rsidR="00370B35">
        <w:rPr>
          <w:rFonts w:cs="Arial"/>
          <w:color w:val="000000" w:themeColor="text1"/>
        </w:rPr>
        <w:t xml:space="preserve">. </w:t>
      </w:r>
      <w:r w:rsidRPr="00BD46FC">
        <w:rPr>
          <w:rFonts w:cs="Arial"/>
          <w:color w:val="000000" w:themeColor="text1"/>
        </w:rPr>
        <w:t xml:space="preserve">Процесс создания национальных комитетов по проведению Десятилетия в НРС и МОСРГ идет не столь активно, в связи с чем на уровне уже действующих НК в настоящее время обсуждаются возможности оказания шефского содействия или поддержки с целью стимулирования учреждения в указанных регионах новых комитетов. </w:t>
      </w:r>
      <w:r w:rsidRPr="00BD46FC">
        <w:rPr>
          <w:rFonts w:cs="Arial"/>
        </w:rPr>
        <w:t>Сорок одно (41) государство-член приняло участие в опросе, посвященном сбору информации относительно деятельности, осуществляемой на национальном уровне в рамках Десятилетия науки об океане. Среди респондентов 23 государства-члена уже создали свои национальные комитеты по проведению Десятилетия, при этом восемь респондентов сообщили о таком намерении</w:t>
      </w:r>
      <w:r w:rsidR="00370B35">
        <w:rPr>
          <w:rFonts w:cs="Arial"/>
        </w:rPr>
        <w:t>,</w:t>
      </w:r>
      <w:r w:rsidRPr="00BD46FC">
        <w:rPr>
          <w:rFonts w:cs="Arial"/>
        </w:rPr>
        <w:t xml:space="preserve"> 88% респондентов заявили, что ведут активную информационную работу по тематике Десятилетия, 68% осуществляют связанные с Десятилетием программы и проекты, 88% стали инициаторами связанных с Десятилетием мероприятий, а 40% – предприняли усилия по реализации совместных инициатив. Около половины респондентов приняли участие в мобилизации ресурсов на цели Десятилетия, а 45% заявили о том, что ведут соответствующие консультации с национальными комитетами по проведению Десятилетия и региональными целевыми группами. Более половины респондентов отметили, что несмотря на предпринятые усилия их население </w:t>
      </w:r>
      <w:r w:rsidR="00370B35">
        <w:rPr>
          <w:rFonts w:cs="Arial"/>
        </w:rPr>
        <w:t>пока</w:t>
      </w:r>
      <w:r w:rsidRPr="00BD46FC">
        <w:rPr>
          <w:rFonts w:cs="Arial"/>
        </w:rPr>
        <w:t xml:space="preserve"> в недостаточной степени информировано о проводимом Десятилетии.</w:t>
      </w:r>
    </w:p>
    <w:p w14:paraId="0F3EA565" w14:textId="3747F6C6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  <w:shd w:val="clear" w:color="auto" w:fill="FFFFFF"/>
        </w:rPr>
      </w:pPr>
      <w:r w:rsidRPr="00BD46FC">
        <w:rPr>
          <w:rFonts w:cs="Arial"/>
          <w:color w:val="000000" w:themeColor="text1"/>
        </w:rPr>
        <w:t>В рассматриваемый период ценным вкладом в проводимую работу стали совещания неофициальных рабочих групп по коммуникации, технологиям, инновациям, мониторингу и оценке. В декабре 2021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в рамках Координационной платформы данных Десятилетия науки об океане была создана </w:t>
      </w:r>
      <w:r w:rsidR="00370B35">
        <w:rPr>
          <w:rFonts w:cs="Arial"/>
          <w:color w:val="000000" w:themeColor="text1"/>
        </w:rPr>
        <w:t>Г</w:t>
      </w:r>
      <w:r w:rsidRPr="00BD46FC">
        <w:rPr>
          <w:rFonts w:cs="Arial"/>
          <w:color w:val="000000" w:themeColor="text1"/>
        </w:rPr>
        <w:t>руппа по координации управления данными, призванная содействовать разработке и реализации стратегии Десятилетия в области использования данных, ин</w:t>
      </w:r>
      <w:r w:rsidRPr="00BD46FC">
        <w:rPr>
          <w:rFonts w:cs="Arial"/>
          <w:color w:val="000000" w:themeColor="text1"/>
        </w:rPr>
        <w:lastRenderedPageBreak/>
        <w:t>формации и знаний. В качестве компонента указанной платформы в настоящее время создается отраслевая группа по океанографическим данным, которая, как ожидается, начнет функционировать во второй половине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</w:t>
      </w:r>
      <w:r w:rsidRPr="00BD46FC">
        <w:rPr>
          <w:rFonts w:cs="Arial"/>
          <w:color w:val="000000" w:themeColor="text1"/>
          <w:shd w:val="clear" w:color="auto" w:fill="FFFFFF"/>
        </w:rPr>
        <w:t>Кроме того, частным сектором была учреждена целевая группа по содействию выработке стратегических подходов в вопросах взаимодействия с отраслевыми партнерами и изыскания новых возможностей для оказания финансовой и нефинансовой поддержки, а также вовлечения производственных отраслей в процесс совместного планирования связанных с Десятилетием мероприятий.</w:t>
      </w:r>
    </w:p>
    <w:p w14:paraId="11B45217" w14:textId="658A6A99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  <w:color w:val="000000" w:themeColor="text1"/>
        </w:rPr>
        <w:t>Наряду с этим создан реестр экспертов по вопросам Десятилетия науки об океане. Цель его создания – сформировать пул специалистов, которые будут оказывать Секретариату МОК помощь в определении основных целевых показателей для приоритетных задач Десятилетия, в рассмотрении предложений по осуществлению связанных с Десятилетием</w:t>
      </w:r>
      <w:r w:rsidR="00BD46FC">
        <w:rPr>
          <w:rFonts w:cs="Arial"/>
          <w:color w:val="000000" w:themeColor="text1"/>
        </w:rPr>
        <w:t xml:space="preserve"> </w:t>
      </w:r>
      <w:r w:rsidRPr="00BD46FC">
        <w:rPr>
          <w:rFonts w:cs="Arial"/>
          <w:color w:val="000000" w:themeColor="text1"/>
        </w:rPr>
        <w:t>программ, а также в работе регулярных механизмов оценки хода проведения Десятилетия, таких как запланированная на 2023</w:t>
      </w:r>
      <w:r w:rsidR="007F0B8B">
        <w:rPr>
          <w:rFonts w:cs="Arial"/>
          <w:color w:val="000000" w:themeColor="text1"/>
        </w:rPr>
        <w:t xml:space="preserve"> г.</w:t>
      </w:r>
      <w:r w:rsidR="00370B35">
        <w:rPr>
          <w:rFonts w:cs="Arial"/>
          <w:color w:val="000000" w:themeColor="text1"/>
        </w:rPr>
        <w:t xml:space="preserve"> или 20</w:t>
      </w:r>
      <w:r w:rsidRPr="00BD46FC">
        <w:rPr>
          <w:rFonts w:cs="Arial"/>
          <w:color w:val="000000" w:themeColor="text1"/>
        </w:rPr>
        <w:t>24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вторая Международная конференция, посвященная Десятилетию науки об океане.</w:t>
      </w:r>
    </w:p>
    <w:p w14:paraId="4DBDF7D9" w14:textId="10B77221" w:rsidR="00E86920" w:rsidRPr="00BD46FC" w:rsidRDefault="00E86920" w:rsidP="00E86920">
      <w:pPr>
        <w:pStyle w:val="Style2"/>
        <w:tabs>
          <w:tab w:val="clear" w:pos="1400"/>
          <w:tab w:val="left" w:pos="0"/>
        </w:tabs>
        <w:snapToGrid w:val="0"/>
        <w:ind w:left="0"/>
        <w:rPr>
          <w:rFonts w:eastAsia="Arial" w:cs="Arial"/>
          <w:b/>
          <w:bCs/>
          <w:color w:val="000000" w:themeColor="text1"/>
        </w:rPr>
      </w:pPr>
      <w:r w:rsidRPr="00BD46FC">
        <w:rPr>
          <w:rFonts w:cs="Arial"/>
          <w:b/>
          <w:bCs/>
        </w:rPr>
        <w:t>Мобилизация ресурсов и финансовые последствия</w:t>
      </w:r>
    </w:p>
    <w:p w14:paraId="02FA6B2A" w14:textId="77777777" w:rsid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</w:rPr>
      </w:pPr>
      <w:r w:rsidRPr="00BD46FC">
        <w:rPr>
          <w:rFonts w:cs="Arial"/>
        </w:rPr>
        <w:t>Целевую финансовую поддержку для обеспечения координации связанной с Десятилетием деятельности оказали в рассматриваемый период перечисленные ниже государства-члены/организации: Бельгия, Канада, Франция, Япония, Индия, Норвегия, Португалия, Республика Корея, Швеция, Норвежский совет по научным исследованиям и некоммерческая организация REV-Ocean.</w:t>
      </w:r>
    </w:p>
    <w:p w14:paraId="69508A27" w14:textId="19E50B97" w:rsidR="002A4718" w:rsidRPr="00BD46FC" w:rsidRDefault="00BD0A9C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  <w:shd w:val="clear" w:color="auto" w:fill="FFFFFF"/>
        </w:rPr>
      </w:pPr>
      <w:r w:rsidRPr="00BD46FC">
        <w:rPr>
          <w:rFonts w:cs="Arial"/>
          <w:color w:val="000000" w:themeColor="text1"/>
          <w:shd w:val="clear" w:color="auto" w:fill="FFFFFF"/>
        </w:rPr>
        <w:t>Мобилизация ресурсов в финансовой и нефинансовой форме остается важнейшим условием успешного проведения Десятилетия. Необходимо, в частности, обеспечить мобилизацию ресурсов на цели координации деятельности, причем как на центральном (Группа по координации проведения Десятилетия) и децентрализованном (бюро по координации проведения Десятилетия, центры сотрудничества в рамках Десятилетия) уровнях, так и координации работы, связанной с осуществлением утвержденных и будущих мероприятий. Подробная информация о текущих потребностях в ресурсах для осуществления связанных с Десятилетием мероприятий представлена в документе IOC/INF-1419.</w:t>
      </w:r>
    </w:p>
    <w:p w14:paraId="56927DAB" w14:textId="1A001257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  <w:shd w:val="clear" w:color="auto" w:fill="FFFFFF"/>
        </w:rPr>
      </w:pPr>
      <w:r w:rsidRPr="00BD46FC">
        <w:rPr>
          <w:rFonts w:cs="Arial"/>
        </w:rPr>
        <w:t xml:space="preserve">В рассматриваемый период увеличилось число членов </w:t>
      </w:r>
      <w:hyperlink r:id="rId16" w:history="1">
        <w:r w:rsidRPr="00BD46FC">
          <w:rPr>
            <w:rStyle w:val="Hyperlink"/>
            <w:rFonts w:cs="Arial"/>
            <w:shd w:val="clear" w:color="auto" w:fill="FFFFFF"/>
          </w:rPr>
          <w:t>Альянса в поддержку Десятилетия науки об океане</w:t>
        </w:r>
      </w:hyperlink>
      <w:r w:rsidRPr="00BD46FC">
        <w:rPr>
          <w:rFonts w:cs="Arial"/>
        </w:rPr>
        <w:t>, насчитывающем на сегодняшний день девять меценатов и 15 организаций.</w:t>
      </w:r>
      <w:r w:rsidRPr="00BD46FC">
        <w:rPr>
          <w:rFonts w:cs="Arial"/>
          <w:color w:val="000000" w:themeColor="text1"/>
          <w:shd w:val="clear" w:color="auto" w:fill="FFFFFF"/>
        </w:rPr>
        <w:t xml:space="preserve"> Регулярно проходят встречи шерп Альянса, в ходе которых ведется разработка планов его работы и обсуждаются возможности привлечения внимания к деятельности Альянса в рамках предстоящей в Лиссабоне (июнь 2022</w:t>
      </w:r>
      <w:r w:rsidR="00FB5356">
        <w:rPr>
          <w:rFonts w:cs="Arial"/>
          <w:color w:val="000000" w:themeColor="text1"/>
          <w:shd w:val="clear" w:color="auto" w:fill="FFFFFF"/>
        </w:rPr>
        <w:t> г.</w:t>
      </w:r>
      <w:r w:rsidRPr="00BD46FC">
        <w:rPr>
          <w:rFonts w:cs="Arial"/>
          <w:color w:val="000000" w:themeColor="text1"/>
          <w:shd w:val="clear" w:color="auto" w:fill="FFFFFF"/>
        </w:rPr>
        <w:t>) Конференции ООН по проблемам океанов.</w:t>
      </w:r>
    </w:p>
    <w:p w14:paraId="1331E93A" w14:textId="4B107A24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  <w:shd w:val="clear" w:color="auto" w:fill="FFFFFF"/>
        </w:rPr>
      </w:pPr>
      <w:r w:rsidRPr="00BD46FC">
        <w:rPr>
          <w:rFonts w:cs="Arial"/>
          <w:color w:val="000000" w:themeColor="text1"/>
          <w:shd w:val="clear" w:color="auto" w:fill="FFFFFF"/>
        </w:rPr>
        <w:t>Помимо упомянутых выше самофинансируемых компонентов второго запроса предложений (запрос № 02/2021) во взаимодействии с канадской сетью ArcticNet, министерством рыболовства и морских ресурсов Канады, Совместной программной инициативой в интересах здоровых и продуктивных морей и океанов (JPI Oceans) и правительством штата Западная Австралия было подготовлено еще четыре обеспеченных финансированием запроса предложений. В общей сложности с помощью этого механизма, доказавшего свою эффективность как среди финансирующих организаций, так и среди инициаторов связанной с Десятилетием деятельности, на осуществление мероприятий в рамках Десятилетия было мобилизовано около 15 млн. долл. США. На стадии начального обсуждения находятся и другие, подкрепленные финансированием запросы предложений на осуществление связанной с Десятилетием деятельности, в том числе способные обеспечить механизмы совместного и смешанного финансирования ряда партнерских проектов, осуществляемых на основе тематического или регионального подхода.</w:t>
      </w:r>
    </w:p>
    <w:p w14:paraId="642FEC49" w14:textId="2C1A536E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  <w:shd w:val="clear" w:color="auto" w:fill="FFFFFF"/>
        </w:rPr>
      </w:pPr>
      <w:r w:rsidRPr="00BD46FC">
        <w:rPr>
          <w:rFonts w:cs="Arial"/>
          <w:color w:val="000000" w:themeColor="text1"/>
          <w:shd w:val="clear" w:color="auto" w:fill="FFFFFF"/>
        </w:rPr>
        <w:t>В отчетный период были предприняты значительные усилия по привлечению средств благотворительных фондов, при этом на 1-3 июня 2022</w:t>
      </w:r>
      <w:r w:rsidR="00FB5356">
        <w:rPr>
          <w:rFonts w:cs="Arial"/>
          <w:color w:val="000000" w:themeColor="text1"/>
          <w:shd w:val="clear" w:color="auto" w:fill="FFFFFF"/>
        </w:rPr>
        <w:t> г.</w:t>
      </w:r>
      <w:r w:rsidRPr="00BD46FC">
        <w:rPr>
          <w:rFonts w:cs="Arial"/>
          <w:color w:val="000000" w:themeColor="text1"/>
          <w:shd w:val="clear" w:color="auto" w:fill="FFFFFF"/>
        </w:rPr>
        <w:t xml:space="preserve"> в Рабате, Марокко, запланировано очное </w:t>
      </w:r>
      <w:r w:rsidR="00370B35">
        <w:rPr>
          <w:rFonts w:cs="Arial"/>
          <w:color w:val="000000" w:themeColor="text1"/>
          <w:shd w:val="clear" w:color="auto" w:fill="FFFFFF"/>
        </w:rPr>
        <w:t>с</w:t>
      </w:r>
      <w:r w:rsidRPr="00BD46FC">
        <w:rPr>
          <w:rFonts w:cs="Arial"/>
          <w:color w:val="000000" w:themeColor="text1"/>
          <w:shd w:val="clear" w:color="auto" w:fill="FFFFFF"/>
        </w:rPr>
        <w:t xml:space="preserve">овещание фондов в поддержку Десятилетия науки об океане, организуемое Фондом </w:t>
      </w:r>
      <w:r w:rsidRPr="00BD46FC">
        <w:rPr>
          <w:rFonts w:cs="Arial"/>
          <w:color w:val="000000" w:themeColor="text1"/>
          <w:shd w:val="clear" w:color="auto" w:fill="FFFFFF"/>
        </w:rPr>
        <w:lastRenderedPageBreak/>
        <w:t>Мохаммеда VI по защите окружающей среды. В рамках этого мероприятия встретятся представители примерно 20 фондов, занимающихся предоставлением грантов, которые обсуд</w:t>
      </w:r>
      <w:r w:rsidR="00370B35">
        <w:rPr>
          <w:rFonts w:cs="Arial"/>
          <w:color w:val="000000" w:themeColor="text1"/>
          <w:shd w:val="clear" w:color="auto" w:fill="FFFFFF"/>
        </w:rPr>
        <w:t>ят</w:t>
      </w:r>
      <w:r w:rsidRPr="00BD46FC">
        <w:rPr>
          <w:rFonts w:cs="Arial"/>
          <w:color w:val="000000" w:themeColor="text1"/>
          <w:shd w:val="clear" w:color="auto" w:fill="FFFFFF"/>
        </w:rPr>
        <w:t xml:space="preserve"> возможности </w:t>
      </w:r>
      <w:r w:rsidR="00370B35" w:rsidRPr="00BD46FC">
        <w:rPr>
          <w:rFonts w:cs="Arial"/>
          <w:color w:val="000000" w:themeColor="text1"/>
          <w:shd w:val="clear" w:color="auto" w:fill="FFFFFF"/>
        </w:rPr>
        <w:t>дополнительн</w:t>
      </w:r>
      <w:r w:rsidR="00370B35">
        <w:rPr>
          <w:rFonts w:cs="Arial"/>
          <w:color w:val="000000" w:themeColor="text1"/>
          <w:shd w:val="clear" w:color="auto" w:fill="FFFFFF"/>
        </w:rPr>
        <w:t>ого</w:t>
      </w:r>
      <w:r w:rsidR="00370B35" w:rsidRPr="00BD46FC">
        <w:rPr>
          <w:rFonts w:cs="Arial"/>
          <w:color w:val="000000" w:themeColor="text1"/>
          <w:shd w:val="clear" w:color="auto" w:fill="FFFFFF"/>
        </w:rPr>
        <w:t xml:space="preserve"> </w:t>
      </w:r>
      <w:r w:rsidRPr="00BD46FC">
        <w:rPr>
          <w:rFonts w:cs="Arial"/>
          <w:color w:val="000000" w:themeColor="text1"/>
          <w:shd w:val="clear" w:color="auto" w:fill="FFFFFF"/>
        </w:rPr>
        <w:t xml:space="preserve">финансирования связанной с океаном деятельности, а также </w:t>
      </w:r>
      <w:r w:rsidR="00370B35">
        <w:rPr>
          <w:rFonts w:cs="Arial"/>
          <w:color w:val="000000" w:themeColor="text1"/>
          <w:shd w:val="clear" w:color="auto" w:fill="FFFFFF"/>
        </w:rPr>
        <w:t>перспективы</w:t>
      </w:r>
      <w:r w:rsidRPr="00BD46FC">
        <w:rPr>
          <w:rFonts w:cs="Arial"/>
          <w:color w:val="000000" w:themeColor="text1"/>
          <w:shd w:val="clear" w:color="auto" w:fill="FFFFFF"/>
        </w:rPr>
        <w:t xml:space="preserve"> участия благотворительных организаций в совместном ее планировании и в укреплении механизмов научно-политического взаимодействия.</w:t>
      </w:r>
    </w:p>
    <w:p w14:paraId="19E7C57A" w14:textId="77777777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  <w:color w:val="000000" w:themeColor="text1"/>
        </w:rPr>
        <w:t>Консультативный совет по вопросам проведения Десятилетия рекомендовал наращивать взаимодействие с многосторонними банками развития и международными финансовыми механизмами, а также разработать и реализовать с государствами-членами на более системной основе стратегию мобилизации ресурсов.</w:t>
      </w:r>
    </w:p>
    <w:p w14:paraId="3E94DBA7" w14:textId="784114FD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  <w:color w:val="000000" w:themeColor="text1"/>
          <w:shd w:val="clear" w:color="auto" w:fill="FFFFFF"/>
        </w:rPr>
        <w:t>Для сохранения нынешней динамики и поддержания уровня деятельности требуется незамедлительно мобилизовать дополнительные финансовые ресурсы или поддержку в натуральной форме на цели обеспечения полномасштабного финансирования деятельности Группы по координации проведения Десятилетия (см. IOC/INF-1418). Существенный объем ресурсов потребуется также для содействия непосредственному осуществлению связанных с Десятилетием</w:t>
      </w:r>
      <w:r w:rsidR="00BD46FC">
        <w:rPr>
          <w:rFonts w:cs="Arial"/>
          <w:color w:val="000000" w:themeColor="text1"/>
          <w:shd w:val="clear" w:color="auto" w:fill="FFFFFF"/>
        </w:rPr>
        <w:t xml:space="preserve"> </w:t>
      </w:r>
      <w:r w:rsidRPr="00BD46FC">
        <w:rPr>
          <w:rFonts w:cs="Arial"/>
          <w:color w:val="000000" w:themeColor="text1"/>
          <w:shd w:val="clear" w:color="auto" w:fill="FFFFFF"/>
        </w:rPr>
        <w:t>мероприятий; актуализированная оценка таких потребностей представлена в документе IOC/INF-1419.</w:t>
      </w:r>
    </w:p>
    <w:p w14:paraId="6FBB5DBF" w14:textId="77777777" w:rsidR="00E86920" w:rsidRPr="00BD46FC" w:rsidRDefault="00E86920" w:rsidP="00E86920">
      <w:pPr>
        <w:pStyle w:val="Style2"/>
        <w:tabs>
          <w:tab w:val="clear" w:pos="1400"/>
          <w:tab w:val="left" w:pos="0"/>
        </w:tabs>
        <w:snapToGrid w:val="0"/>
        <w:ind w:left="0"/>
        <w:rPr>
          <w:rFonts w:eastAsia="Arial" w:cs="Arial"/>
          <w:b/>
          <w:bCs/>
          <w:color w:val="000000" w:themeColor="text1"/>
        </w:rPr>
      </w:pPr>
      <w:r w:rsidRPr="00BD46FC">
        <w:rPr>
          <w:rFonts w:cs="Arial"/>
          <w:b/>
          <w:bCs/>
          <w:color w:val="000000" w:themeColor="text1"/>
        </w:rPr>
        <w:t>Взаимодействие с заинтересованными сторонами и информационно-пропагандистская работа</w:t>
      </w:r>
    </w:p>
    <w:p w14:paraId="7CFC8112" w14:textId="2CE33DB0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r w:rsidRPr="00BD46FC">
        <w:rPr>
          <w:rFonts w:cs="Arial"/>
          <w:color w:val="000000" w:themeColor="text1"/>
        </w:rPr>
        <w:t>В течение всего рассматриваемого периода продолжалось</w:t>
      </w:r>
      <w:r w:rsidR="00BD46FC">
        <w:rPr>
          <w:rFonts w:cs="Arial"/>
          <w:color w:val="000000" w:themeColor="text1"/>
        </w:rPr>
        <w:t xml:space="preserve"> </w:t>
      </w:r>
      <w:r w:rsidRPr="00BD46FC">
        <w:rPr>
          <w:rFonts w:cs="Arial"/>
          <w:color w:val="000000" w:themeColor="text1"/>
        </w:rPr>
        <w:t xml:space="preserve">взаимодействие с партнерами по системе ООН посредством участия в регулярно проводимых совещаниях механизма «ООН-океаны», а также участия </w:t>
      </w:r>
      <w:r w:rsidR="00370B35">
        <w:rPr>
          <w:rFonts w:cs="Arial"/>
          <w:color w:val="000000" w:themeColor="text1"/>
        </w:rPr>
        <w:t xml:space="preserve">в организованном </w:t>
      </w:r>
      <w:r w:rsidRPr="00BD46FC">
        <w:rPr>
          <w:rFonts w:cs="Arial"/>
          <w:color w:val="000000" w:themeColor="text1"/>
        </w:rPr>
        <w:t>совместно с «ООН-океаны» параллельном мероприятии в ходе 26-й сессии Конференции сторон РКИКООН (Глазго, ноябрь 2021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>). Как уже указывалось выше, в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ООН представлена в Совете по вопросам проведения Десятилетия тремя своими учреждениями (ЮНЕП, МСА и ВМО). В течение следующего отчетного периода повышенное внимание будет уделено расширению взаимодействия с учреждениями системы ООН.</w:t>
      </w:r>
    </w:p>
    <w:p w14:paraId="16200BEF" w14:textId="449B103A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r w:rsidRPr="00BD46FC">
        <w:rPr>
          <w:rFonts w:cs="Arial"/>
          <w:color w:val="000000" w:themeColor="text1"/>
        </w:rPr>
        <w:t xml:space="preserve">В настоящее время с заинтересованными партнерами, участниками деятельности и правообладателями обсуждается предложение в отношении </w:t>
      </w:r>
      <w:r w:rsidR="00370B35">
        <w:rPr>
          <w:rFonts w:cs="Arial"/>
          <w:color w:val="000000" w:themeColor="text1"/>
        </w:rPr>
        <w:t xml:space="preserve">создания </w:t>
      </w:r>
      <w:r w:rsidRPr="00BD46FC">
        <w:rPr>
          <w:rFonts w:cs="Arial"/>
          <w:color w:val="000000" w:themeColor="text1"/>
        </w:rPr>
        <w:t>рамочного механизма поддержки взаимодействия с носителями местных и эндогенных знаний. Указанный механизм предполагает реализацию варианта создания «сети сетей», а также специализированного профильного сообщества. В нем предусмотрены также основные руководящие принципы, которые обеспечат этически корректное взаимодействие с коренным</w:t>
      </w:r>
      <w:r w:rsidR="00950D30">
        <w:rPr>
          <w:rFonts w:cs="Arial"/>
          <w:color w:val="000000" w:themeColor="text1"/>
        </w:rPr>
        <w:t xml:space="preserve"> населением</w:t>
      </w:r>
      <w:r w:rsidRPr="00BD46FC">
        <w:rPr>
          <w:rFonts w:cs="Arial"/>
          <w:color w:val="000000" w:themeColor="text1"/>
        </w:rPr>
        <w:t xml:space="preserve"> и местными общинами на протяжении всего срока проведения Десятилетия науки об океане. Национальные комитеты Десятилетия вовлечены в эти дискуссии и призваны сыграть важную роль в дальнейшем развитии этой инициативы. Создание вышеупомянутой сети будет способствовать расширению возможностей озвучивания мнения коренных народов и связанных с океаном проблемных аспектов в рамках различных глобальных и региональных мероприятий, а также обеспечению системного эффекта взаимодействия с другими проводимыми ООН десятилетиями, такими как Международное десятилетие языков коренных народов (2022-2032 гг.).</w:t>
      </w:r>
    </w:p>
    <w:p w14:paraId="112339A3" w14:textId="4F2C2B49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r w:rsidRPr="00BD46FC">
        <w:rPr>
          <w:rFonts w:cs="Arial"/>
          <w:color w:val="000000" w:themeColor="text1"/>
        </w:rPr>
        <w:t>На протяжении всего Десятилетия планируется продолжить активное взаимодействие с начинающими специалистами-мореведами (НСМ). МОК-ЮНЕСКО финансирует полную ставку штатной должности координатора программы НСМ в рамках Десятилетия. С учетом приоритетных потребностей, выявленных в ходе глобального опроса НСМ, проведенного в 2019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в регионах Африки и Азии, были созданы региональные центры и организованы учебные курсы для НСМ.</w:t>
      </w:r>
    </w:p>
    <w:p w14:paraId="6ED6C445" w14:textId="2D9D9CF0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eastAsia="Arial" w:cs="Arial"/>
          <w:color w:val="000000" w:themeColor="text1"/>
        </w:rPr>
      </w:pPr>
      <w:r w:rsidRPr="00BD46FC">
        <w:rPr>
          <w:rFonts w:cs="Arial"/>
          <w:color w:val="000000" w:themeColor="text1"/>
        </w:rPr>
        <w:t>В течение рассматриваемого периода проводилась активная работа по взаимодействию с заинтересованными сторонами и информационному охвату целевых аудиторий. Очные или комбинированные мероприятия, посвященные различным аспектам Десятилетия науки об океане, были организованы в ходе Всемирного конгресса МСОП (Марсель, сентябрь 2021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), </w:t>
      </w:r>
      <w:r w:rsidRPr="00BD46FC">
        <w:rPr>
          <w:rFonts w:cs="Arial"/>
          <w:color w:val="000000" w:themeColor="text1"/>
        </w:rPr>
        <w:lastRenderedPageBreak/>
        <w:t>26-й сессии Конференции сторон РКИКООН (Глазго, ноябрь 2021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>) и Недел</w:t>
      </w:r>
      <w:r w:rsidR="00950D30">
        <w:rPr>
          <w:rFonts w:cs="Arial"/>
          <w:color w:val="000000" w:themeColor="text1"/>
        </w:rPr>
        <w:t>и</w:t>
      </w:r>
      <w:r w:rsidRPr="00BD46FC">
        <w:rPr>
          <w:rFonts w:cs="Arial"/>
          <w:color w:val="000000" w:themeColor="text1"/>
        </w:rPr>
        <w:t xml:space="preserve"> океана в Монако (Монако, март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>). Тема проведения Десятилетия науки об океане заняла центральное место в ходе состоявшегося в Бресте, Франция, в феврале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саммита «Единый океан». В рамках конференции «Наш океан» (Палау, апрель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) МОК-ЮНЕСКО взяла на себя обязательство по налаживанию новых программ партнерства и мобилизации ресурсов на цели проведения Десятилетия науки об океане в МОСРГ </w:t>
      </w:r>
      <w:r w:rsidR="00950D30">
        <w:rPr>
          <w:rFonts w:cs="Arial"/>
          <w:color w:val="000000" w:themeColor="text1"/>
        </w:rPr>
        <w:t>Т</w:t>
      </w:r>
      <w:r w:rsidRPr="00BD46FC">
        <w:rPr>
          <w:rFonts w:cs="Arial"/>
          <w:color w:val="000000" w:themeColor="text1"/>
        </w:rPr>
        <w:t>ихоокеанского региона. В рамках первой Международной конференции, посвященной Десятилетию науки об океане, в начале июня при поддержке Германии пройдет серия виртуальных онлайновых научно-практических конференций под названием «Лаборатории по проведению Десятилетия науки об океане». Их итоги будут представлены на Конференции ООН по проблемам океанов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(Лиссабон, июнь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>).</w:t>
      </w:r>
    </w:p>
    <w:p w14:paraId="40348008" w14:textId="4A7C3592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r w:rsidRPr="00BD46FC">
        <w:rPr>
          <w:rFonts w:cs="Arial"/>
        </w:rPr>
        <w:t>В октябре 2021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начал функционировать созданный МОК-ЮНЕСКО новый веб-сайт </w:t>
      </w:r>
      <w:hyperlink r:id="rId17">
        <w:r w:rsidRPr="00BD46FC">
          <w:rPr>
            <w:rFonts w:cs="Arial"/>
            <w:color w:val="000000" w:themeColor="text1"/>
          </w:rPr>
          <w:t>www.oceandecade.org</w:t>
        </w:r>
      </w:hyperlink>
      <w:r w:rsidRPr="00BD46FC">
        <w:rPr>
          <w:rFonts w:cs="Arial"/>
        </w:rPr>
        <w:t>.</w:t>
      </w:r>
      <w:r w:rsidRPr="00BD46FC">
        <w:rPr>
          <w:rFonts w:cs="Arial"/>
          <w:color w:val="000000" w:themeColor="text1"/>
        </w:rPr>
        <w:t xml:space="preserve"> В целях широкого распространения информации обо всех аспектах</w:t>
      </w:r>
      <w:r w:rsidR="00BD46FC">
        <w:rPr>
          <w:rFonts w:cs="Arial"/>
          <w:color w:val="000000" w:themeColor="text1"/>
        </w:rPr>
        <w:t xml:space="preserve"> </w:t>
      </w:r>
      <w:r w:rsidRPr="00BD46FC">
        <w:rPr>
          <w:rFonts w:cs="Arial"/>
          <w:color w:val="000000" w:themeColor="text1"/>
        </w:rPr>
        <w:t>деятельности специально назначенный веб-редактор обеспечивает на регулярной основе обновление содержания разделов сайта, посвященных последним событиям, мероприятиям и мобилизованным ресурсам. Ниже в таблице 1 представлена аналитическая информация об использовании указанного веб-сайта.</w:t>
      </w:r>
    </w:p>
    <w:p w14:paraId="39207B36" w14:textId="679DD5DE" w:rsidR="00E86920" w:rsidRPr="006810D1" w:rsidRDefault="00E86920" w:rsidP="00392029">
      <w:pPr>
        <w:spacing w:after="240"/>
        <w:jc w:val="center"/>
        <w:rPr>
          <w:rFonts w:ascii="Arial" w:hAnsi="Arial" w:cs="Arial"/>
          <w:b/>
          <w:bCs/>
          <w:sz w:val="22"/>
          <w:szCs w:val="22"/>
          <w:highlight w:val="white"/>
        </w:rPr>
      </w:pPr>
      <w:r w:rsidRPr="006810D1">
        <w:rPr>
          <w:rFonts w:ascii="Arial" w:hAnsi="Arial" w:cs="Arial"/>
          <w:b/>
          <w:bCs/>
          <w:sz w:val="22"/>
          <w:szCs w:val="22"/>
          <w:highlight w:val="white"/>
        </w:rPr>
        <w:t>Таблица 1. Аналитика веб-сайта за период с 1 января 2021</w:t>
      </w:r>
      <w:r w:rsidR="00FB5356" w:rsidRPr="006810D1">
        <w:rPr>
          <w:rFonts w:ascii="Arial" w:hAnsi="Arial" w:cs="Arial"/>
          <w:b/>
          <w:bCs/>
          <w:sz w:val="22"/>
          <w:szCs w:val="22"/>
          <w:highlight w:val="white"/>
        </w:rPr>
        <w:t> г.</w:t>
      </w:r>
      <w:r w:rsidRPr="006810D1">
        <w:rPr>
          <w:rFonts w:ascii="Arial" w:hAnsi="Arial" w:cs="Arial"/>
          <w:b/>
          <w:bCs/>
          <w:sz w:val="22"/>
          <w:szCs w:val="22"/>
          <w:highlight w:val="white"/>
        </w:rPr>
        <w:t xml:space="preserve"> по 22 апреля 2022</w:t>
      </w:r>
      <w:r w:rsidR="00FB5356" w:rsidRPr="006810D1">
        <w:rPr>
          <w:rFonts w:ascii="Arial" w:hAnsi="Arial" w:cs="Arial"/>
          <w:b/>
          <w:bCs/>
          <w:sz w:val="22"/>
          <w:szCs w:val="22"/>
          <w:highlight w:val="white"/>
        </w:rPr>
        <w:t> г.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E86920" w:rsidRPr="00BD46FC" w14:paraId="23335DB9" w14:textId="77777777" w:rsidTr="003002B4">
        <w:trPr>
          <w:trHeight w:val="465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AB52" w14:textId="77777777" w:rsidR="00E86920" w:rsidRPr="00BD46FC" w:rsidRDefault="00E86920" w:rsidP="0030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 w:rsidRPr="00BD46FC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Число уникальных пользователей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476D" w14:textId="77777777" w:rsidR="00E86920" w:rsidRPr="00BD46FC" w:rsidRDefault="00E86920" w:rsidP="0030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 w:rsidRPr="00BD46FC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Количество просмотров страниц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E3E2" w14:textId="1A8BD1BB" w:rsidR="00E86920" w:rsidRPr="00BD46FC" w:rsidRDefault="00E86920" w:rsidP="0030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 w:rsidRPr="00BD46FC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Средняя</w:t>
            </w:r>
            <w:r w:rsidR="006810D1">
              <w:rPr>
                <w:rFonts w:ascii="Arial" w:hAnsi="Arial" w:cs="Arial"/>
                <w:b/>
                <w:sz w:val="20"/>
                <w:szCs w:val="20"/>
                <w:highlight w:val="white"/>
              </w:rPr>
              <w:br/>
            </w:r>
            <w:r w:rsidRPr="00BD46FC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продолжительность просмотра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334A" w14:textId="03A2E522" w:rsidR="00E86920" w:rsidRPr="00BD46FC" w:rsidRDefault="00E86920" w:rsidP="0030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 w:rsidRPr="00BD46FC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Страны и</w:t>
            </w:r>
            <w:r w:rsidR="006810D1">
              <w:rPr>
                <w:rFonts w:ascii="Arial" w:hAnsi="Arial" w:cs="Arial"/>
                <w:b/>
                <w:sz w:val="20"/>
                <w:szCs w:val="20"/>
                <w:highlight w:val="white"/>
              </w:rPr>
              <w:br/>
            </w:r>
            <w:r w:rsidRPr="00BD46FC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территории</w:t>
            </w:r>
          </w:p>
        </w:tc>
      </w:tr>
      <w:tr w:rsidR="00E86920" w:rsidRPr="00BD46FC" w14:paraId="7611D69B" w14:textId="77777777" w:rsidTr="003002B4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52C2" w14:textId="77777777" w:rsidR="00E86920" w:rsidRPr="00BD46FC" w:rsidRDefault="00E86920" w:rsidP="0030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BD46FC">
              <w:rPr>
                <w:rFonts w:ascii="Arial" w:hAnsi="Arial" w:cs="Arial"/>
                <w:sz w:val="20"/>
                <w:szCs w:val="20"/>
                <w:highlight w:val="white"/>
              </w:rPr>
              <w:t>159 000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9A11" w14:textId="77777777" w:rsidR="00E86920" w:rsidRPr="00BD46FC" w:rsidRDefault="00E86920" w:rsidP="0030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BD46FC">
              <w:rPr>
                <w:rFonts w:ascii="Arial" w:hAnsi="Arial" w:cs="Arial"/>
                <w:sz w:val="20"/>
                <w:szCs w:val="20"/>
                <w:highlight w:val="white"/>
              </w:rPr>
              <w:t>539 506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63DB" w14:textId="77777777" w:rsidR="00E86920" w:rsidRPr="00BD46FC" w:rsidRDefault="00E86920" w:rsidP="0030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BD46FC">
              <w:rPr>
                <w:rFonts w:ascii="Arial" w:hAnsi="Arial" w:cs="Arial"/>
                <w:sz w:val="20"/>
                <w:szCs w:val="20"/>
                <w:highlight w:val="white"/>
              </w:rPr>
              <w:t>±1 мин. 52 сек.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8EC4" w14:textId="77777777" w:rsidR="00E86920" w:rsidRPr="00BD46FC" w:rsidRDefault="00E86920" w:rsidP="0030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BD46FC">
              <w:rPr>
                <w:rFonts w:ascii="Arial" w:hAnsi="Arial" w:cs="Arial"/>
                <w:sz w:val="20"/>
                <w:szCs w:val="20"/>
                <w:highlight w:val="white"/>
              </w:rPr>
              <w:t>233</w:t>
            </w:r>
          </w:p>
        </w:tc>
      </w:tr>
    </w:tbl>
    <w:p w14:paraId="2562FD9C" w14:textId="7FD4A6DD" w:rsidR="00E86920" w:rsidRPr="006810D1" w:rsidRDefault="00E86920" w:rsidP="006810D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  <w:bCs/>
          <w:sz w:val="20"/>
          <w:szCs w:val="20"/>
          <w:lang w:val="en-US"/>
        </w:rPr>
      </w:pPr>
      <w:r w:rsidRPr="006810D1">
        <w:rPr>
          <w:rFonts w:ascii="Arial" w:hAnsi="Arial" w:cs="Arial"/>
          <w:bCs/>
          <w:i/>
          <w:iCs/>
          <w:sz w:val="20"/>
          <w:szCs w:val="20"/>
        </w:rPr>
        <w:t>Источник</w:t>
      </w:r>
      <w:r w:rsidRPr="006810D1">
        <w:rPr>
          <w:rFonts w:ascii="Arial" w:hAnsi="Arial" w:cs="Arial"/>
          <w:bCs/>
          <w:sz w:val="20"/>
          <w:szCs w:val="20"/>
        </w:rPr>
        <w:t>: МОК-ЮНЕСКО.</w:t>
      </w:r>
    </w:p>
    <w:p w14:paraId="7599CA8F" w14:textId="0C51ED90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r w:rsidRPr="00BD46FC">
        <w:rPr>
          <w:rFonts w:cs="Arial"/>
        </w:rPr>
        <w:t>Параллельно была запущена интерактивная онлайн-платформа под названием «Глобальный форум заинтересованных сторон» (</w:t>
      </w:r>
      <w:hyperlink r:id="rId18">
        <w:r w:rsidRPr="00BD46FC">
          <w:rPr>
            <w:rFonts w:cs="Arial"/>
            <w:color w:val="000000" w:themeColor="text1"/>
          </w:rPr>
          <w:t>forum.oceandecade.org</w:t>
        </w:r>
      </w:hyperlink>
      <w:r w:rsidRPr="00BD46FC">
        <w:rPr>
          <w:rFonts w:cs="Arial"/>
        </w:rPr>
        <w:t>), функционирование которой обеспечивает штатный менеджер сообщества.</w:t>
      </w:r>
      <w:r w:rsidRPr="00BD46FC">
        <w:rPr>
          <w:rFonts w:cs="Arial"/>
          <w:color w:val="000000" w:themeColor="text1"/>
        </w:rPr>
        <w:t xml:space="preserve"> Глобальный форум заинтересованных сторон дает возможность людям, представляющим различные демографические группы по всему миру, активно участвовать в проведении Десятилетия, посвященного науке об океане. По состоянию на апрель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число его пользователей составляло 4060 человек из 139</w:t>
      </w:r>
      <w:r w:rsidR="00392029">
        <w:rPr>
          <w:rFonts w:cs="Arial"/>
          <w:color w:val="000000" w:themeColor="text1"/>
          <w:lang w:val="en-US"/>
        </w:rPr>
        <w:t> </w:t>
      </w:r>
      <w:r w:rsidRPr="00BD46FC">
        <w:rPr>
          <w:rFonts w:cs="Arial"/>
          <w:color w:val="000000" w:themeColor="text1"/>
        </w:rPr>
        <w:t>стран. Этот веб-сайт служит платформой для подачи заявок в рамках запросов предложений на осуществление связанной с Десятилетием деятельности, а также для представления на утверждение предложений об оказании поддержки в осуществлении связанной с Десятилетием деятельности и в организации мероприятий. Кроме того, форум является «цифровым домом» для сообществ специалистов-практиков, национальных комитетов по проведению Десятилетия, неофициальных рабочих групп, а также других групп заинтересованных сторон</w:t>
      </w:r>
      <w:r w:rsidR="00950D30">
        <w:rPr>
          <w:rFonts w:cs="Arial"/>
          <w:color w:val="000000" w:themeColor="text1"/>
        </w:rPr>
        <w:t xml:space="preserve">, </w:t>
      </w:r>
      <w:r w:rsidR="00950D30" w:rsidRPr="00BD46FC">
        <w:rPr>
          <w:rFonts w:cs="Arial"/>
          <w:color w:val="000000" w:themeColor="text1"/>
        </w:rPr>
        <w:t>участвующих в Десятилетии</w:t>
      </w:r>
      <w:r w:rsidRPr="00BD46FC">
        <w:rPr>
          <w:rFonts w:cs="Arial"/>
          <w:color w:val="000000" w:themeColor="text1"/>
        </w:rPr>
        <w:t>.</w:t>
      </w:r>
    </w:p>
    <w:p w14:paraId="0576632B" w14:textId="280C5536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r w:rsidRPr="00BD46FC">
        <w:rPr>
          <w:rFonts w:cs="Arial"/>
        </w:rPr>
        <w:t xml:space="preserve">Как следует из таблицы 2, за полтора года, истекшие с начала Десятилетия, в социальных сетях появилось более 22 500 подписчиков, начиная с представителей науки, правительственных структур и частного сектора и заканчивая меценатами и обычными гражданами. </w:t>
      </w:r>
      <w:bookmarkStart w:id="1" w:name="_heading=h.x262lmypw2mc"/>
      <w:bookmarkEnd w:id="1"/>
      <w:r w:rsidRPr="00BD46FC">
        <w:rPr>
          <w:rFonts w:cs="Arial"/>
        </w:rPr>
        <w:t xml:space="preserve">Наряду с этим было заключено пять партнерских соглашений со средствами массовой информации, благодаря </w:t>
      </w:r>
      <w:r w:rsidR="00950D30">
        <w:rPr>
          <w:rFonts w:cs="Arial"/>
        </w:rPr>
        <w:t>чему</w:t>
      </w:r>
      <w:r w:rsidRPr="00BD46FC">
        <w:rPr>
          <w:rFonts w:cs="Arial"/>
        </w:rPr>
        <w:t xml:space="preserve"> тема Десятилетия науки об океане получает освещение в глобальных электронных издания</w:t>
      </w:r>
      <w:r w:rsidR="00B3152B">
        <w:rPr>
          <w:rFonts w:cs="Arial"/>
        </w:rPr>
        <w:t>х</w:t>
      </w:r>
      <w:r w:rsidRPr="00BD46FC">
        <w:rPr>
          <w:rFonts w:cs="Arial"/>
        </w:rPr>
        <w:t xml:space="preserve"> и </w:t>
      </w:r>
      <w:r w:rsidR="00950D30">
        <w:rPr>
          <w:rFonts w:cs="Arial"/>
        </w:rPr>
        <w:t xml:space="preserve">в мировой </w:t>
      </w:r>
      <w:r w:rsidRPr="00BD46FC">
        <w:rPr>
          <w:rFonts w:cs="Arial"/>
        </w:rPr>
        <w:t>печатной прессе.</w:t>
      </w:r>
    </w:p>
    <w:p w14:paraId="29C725D7" w14:textId="2508E053" w:rsidR="00E86920" w:rsidRPr="00BD46FC" w:rsidRDefault="00E86920" w:rsidP="00392029">
      <w:pPr>
        <w:pStyle w:val="Style2"/>
        <w:keepNext/>
        <w:tabs>
          <w:tab w:val="clear" w:pos="1400"/>
          <w:tab w:val="left" w:pos="0"/>
        </w:tabs>
        <w:snapToGrid w:val="0"/>
        <w:ind w:left="0"/>
        <w:jc w:val="center"/>
        <w:rPr>
          <w:rFonts w:cs="Arial"/>
          <w:color w:val="000000" w:themeColor="text1"/>
        </w:rPr>
      </w:pPr>
      <w:r w:rsidRPr="00BD46FC">
        <w:rPr>
          <w:rFonts w:cs="Arial"/>
          <w:b/>
          <w:bCs/>
          <w:highlight w:val="white"/>
        </w:rPr>
        <w:lastRenderedPageBreak/>
        <w:t>Таблица 2. Анализ социальных сетей по состоянию на 22 апреля 2022</w:t>
      </w:r>
      <w:r w:rsidR="00FB5356">
        <w:rPr>
          <w:rFonts w:cs="Arial"/>
          <w:b/>
          <w:bCs/>
          <w:highlight w:val="white"/>
        </w:rPr>
        <w:t> г.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30"/>
        <w:gridCol w:w="1800"/>
        <w:gridCol w:w="1680"/>
        <w:gridCol w:w="1815"/>
        <w:gridCol w:w="1725"/>
      </w:tblGrid>
      <w:tr w:rsidR="00E86920" w:rsidRPr="00BD46FC" w14:paraId="0C9FAAC5" w14:textId="77777777" w:rsidTr="00597D9A">
        <w:trPr>
          <w:trHeight w:val="325"/>
        </w:trPr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6BF1" w14:textId="77777777" w:rsidR="00E86920" w:rsidRPr="00BD46FC" w:rsidRDefault="00E86920" w:rsidP="00392029">
            <w:pPr>
              <w:keepNext/>
              <w:spacing w:line="26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D74B" w14:textId="77777777" w:rsidR="00E86920" w:rsidRPr="00BD46FC" w:rsidRDefault="00E86920" w:rsidP="00392029">
            <w:pPr>
              <w:keepNext/>
              <w:spacing w:line="26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6FC">
              <w:rPr>
                <w:rFonts w:ascii="Arial" w:hAnsi="Arial" w:cs="Arial"/>
                <w:b/>
                <w:sz w:val="20"/>
                <w:szCs w:val="20"/>
              </w:rPr>
              <w:t>Twitter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0A73" w14:textId="77777777" w:rsidR="00E86920" w:rsidRPr="00BD46FC" w:rsidRDefault="00E86920" w:rsidP="00392029">
            <w:pPr>
              <w:keepNext/>
              <w:spacing w:line="26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6FC">
              <w:rPr>
                <w:rFonts w:ascii="Arial" w:hAnsi="Arial" w:cs="Arial"/>
                <w:b/>
                <w:sz w:val="20"/>
                <w:szCs w:val="20"/>
              </w:rPr>
              <w:t>Facebook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AC14" w14:textId="77777777" w:rsidR="00E86920" w:rsidRPr="00BD46FC" w:rsidRDefault="00E86920" w:rsidP="00392029">
            <w:pPr>
              <w:keepNext/>
              <w:spacing w:line="26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6FC">
              <w:rPr>
                <w:rFonts w:ascii="Arial" w:hAnsi="Arial" w:cs="Arial"/>
                <w:b/>
                <w:sz w:val="20"/>
                <w:szCs w:val="20"/>
              </w:rPr>
              <w:t>LinkedIn</w:t>
            </w:r>
          </w:p>
        </w:tc>
        <w:tc>
          <w:tcPr>
            <w:tcW w:w="17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4DFC" w14:textId="77777777" w:rsidR="00E86920" w:rsidRPr="00BD46FC" w:rsidRDefault="00E86920" w:rsidP="00392029">
            <w:pPr>
              <w:keepNext/>
              <w:spacing w:line="26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6FC">
              <w:rPr>
                <w:rFonts w:ascii="Arial" w:hAnsi="Arial" w:cs="Arial"/>
                <w:b/>
                <w:sz w:val="20"/>
                <w:szCs w:val="20"/>
              </w:rPr>
              <w:t>Instagram</w:t>
            </w:r>
          </w:p>
        </w:tc>
      </w:tr>
      <w:tr w:rsidR="00E86920" w:rsidRPr="00BD46FC" w14:paraId="6AAF6BA2" w14:textId="77777777" w:rsidTr="003002B4">
        <w:trPr>
          <w:trHeight w:val="165"/>
        </w:trPr>
        <w:tc>
          <w:tcPr>
            <w:tcW w:w="18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0288" w14:textId="02421198" w:rsidR="00E86920" w:rsidRPr="00BD46FC" w:rsidRDefault="00E86920" w:rsidP="00392029">
            <w:pPr>
              <w:keepNext/>
              <w:spacing w:line="26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6FC">
              <w:rPr>
                <w:rFonts w:ascii="Arial" w:hAnsi="Arial" w:cs="Arial"/>
                <w:b/>
                <w:sz w:val="20"/>
                <w:szCs w:val="20"/>
              </w:rPr>
              <w:t>Число</w:t>
            </w:r>
            <w:r w:rsidR="0039202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D46FC">
              <w:rPr>
                <w:rFonts w:ascii="Arial" w:hAnsi="Arial" w:cs="Arial"/>
                <w:b/>
                <w:sz w:val="20"/>
                <w:szCs w:val="20"/>
              </w:rPr>
              <w:t>подписчиков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19BC" w14:textId="77777777" w:rsidR="00E86920" w:rsidRPr="00BD46FC" w:rsidRDefault="00E86920" w:rsidP="00392029">
            <w:pPr>
              <w:keepNext/>
              <w:spacing w:line="26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FC">
              <w:rPr>
                <w:rFonts w:ascii="Arial" w:hAnsi="Arial" w:cs="Arial"/>
                <w:sz w:val="20"/>
                <w:szCs w:val="20"/>
              </w:rPr>
              <w:t>8 842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2494" w14:textId="77777777" w:rsidR="00E86920" w:rsidRPr="00BD46FC" w:rsidRDefault="00E86920" w:rsidP="00392029">
            <w:pPr>
              <w:keepNext/>
              <w:spacing w:line="26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FC">
              <w:rPr>
                <w:rFonts w:ascii="Arial" w:hAnsi="Arial" w:cs="Arial"/>
                <w:sz w:val="20"/>
                <w:szCs w:val="20"/>
              </w:rPr>
              <w:t>2 565</w:t>
            </w:r>
          </w:p>
          <w:p w14:paraId="78310F17" w14:textId="77777777" w:rsidR="00E86920" w:rsidRPr="00BD46FC" w:rsidRDefault="00E86920" w:rsidP="00392029">
            <w:pPr>
              <w:keepNext/>
              <w:spacing w:line="26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D095" w14:textId="77777777" w:rsidR="00E86920" w:rsidRPr="00BD46FC" w:rsidRDefault="00E86920" w:rsidP="00392029">
            <w:pPr>
              <w:keepNext/>
              <w:spacing w:line="26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FC">
              <w:rPr>
                <w:rFonts w:ascii="Arial" w:hAnsi="Arial" w:cs="Arial"/>
                <w:sz w:val="20"/>
                <w:szCs w:val="20"/>
              </w:rPr>
              <w:t>7 633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94E9" w14:textId="77777777" w:rsidR="00E86920" w:rsidRPr="00BD46FC" w:rsidRDefault="00E86920" w:rsidP="00392029">
            <w:pPr>
              <w:keepNext/>
              <w:spacing w:line="26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FC">
              <w:rPr>
                <w:rFonts w:ascii="Arial" w:hAnsi="Arial" w:cs="Arial"/>
                <w:sz w:val="20"/>
                <w:szCs w:val="20"/>
              </w:rPr>
              <w:t>3 914</w:t>
            </w:r>
          </w:p>
        </w:tc>
      </w:tr>
      <w:tr w:rsidR="00E86920" w:rsidRPr="00BD46FC" w14:paraId="7CE1942E" w14:textId="77777777" w:rsidTr="003002B4">
        <w:tc>
          <w:tcPr>
            <w:tcW w:w="18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90255" w14:textId="06488C3E" w:rsidR="00E86920" w:rsidRPr="00BD46FC" w:rsidRDefault="00E86920" w:rsidP="00EE7FAA">
            <w:pPr>
              <w:spacing w:line="26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46FC">
              <w:rPr>
                <w:rFonts w:ascii="Arial" w:hAnsi="Arial" w:cs="Arial"/>
                <w:b/>
                <w:bCs/>
                <w:sz w:val="20"/>
                <w:szCs w:val="20"/>
              </w:rPr>
              <w:t>Активность пользователей</w:t>
            </w:r>
            <w:r w:rsidR="00EE7FAA" w:rsidRPr="00EE7F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46FC">
              <w:rPr>
                <w:rFonts w:ascii="Arial" w:hAnsi="Arial" w:cs="Arial"/>
                <w:b/>
                <w:bCs/>
                <w:sz w:val="20"/>
                <w:szCs w:val="20"/>
              </w:rPr>
              <w:t>(проявление интереса + нажатие кнопкой мыши)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27F4" w14:textId="77777777" w:rsidR="00E86920" w:rsidRPr="00BD46FC" w:rsidRDefault="00E86920" w:rsidP="003002B4">
            <w:pPr>
              <w:spacing w:line="26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FC">
              <w:rPr>
                <w:rFonts w:ascii="Arial" w:hAnsi="Arial" w:cs="Arial"/>
                <w:sz w:val="20"/>
                <w:szCs w:val="20"/>
              </w:rPr>
              <w:t>44 110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BADE" w14:textId="77777777" w:rsidR="00E86920" w:rsidRPr="00BD46FC" w:rsidRDefault="00E86920" w:rsidP="003002B4">
            <w:pPr>
              <w:spacing w:line="26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FC">
              <w:rPr>
                <w:rFonts w:ascii="Arial" w:hAnsi="Arial" w:cs="Arial"/>
                <w:sz w:val="20"/>
                <w:szCs w:val="20"/>
              </w:rPr>
              <w:t>26 510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C0D2" w14:textId="77777777" w:rsidR="00E86920" w:rsidRPr="00BD46FC" w:rsidRDefault="00E86920" w:rsidP="003002B4">
            <w:pPr>
              <w:spacing w:line="26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6FC">
              <w:rPr>
                <w:rFonts w:ascii="Arial" w:hAnsi="Arial" w:cs="Arial"/>
                <w:sz w:val="20"/>
                <w:szCs w:val="20"/>
              </w:rPr>
              <w:t>68 022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20E3" w14:textId="5AF168B7" w:rsidR="00E86920" w:rsidRPr="00BD46FC" w:rsidRDefault="00E86920" w:rsidP="003002B4">
            <w:pPr>
              <w:spacing w:line="26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eading=h.kyqjg4d0ewb3"/>
            <w:bookmarkEnd w:id="2"/>
            <w:r w:rsidRPr="00BD46FC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392029">
              <w:rPr>
                <w:rFonts w:ascii="Arial" w:hAnsi="Arial" w:cs="Arial"/>
                <w:sz w:val="20"/>
                <w:szCs w:val="20"/>
              </w:rPr>
              <w:br/>
            </w:r>
            <w:r w:rsidRPr="00BD46FC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</w:tbl>
    <w:p w14:paraId="74FEA23E" w14:textId="50677CC5" w:rsidR="00E86920" w:rsidRPr="00392029" w:rsidRDefault="00E86920" w:rsidP="00392029">
      <w:pPr>
        <w:spacing w:after="240"/>
        <w:rPr>
          <w:rFonts w:ascii="Arial" w:hAnsi="Arial" w:cs="Arial"/>
          <w:sz w:val="20"/>
          <w:szCs w:val="20"/>
          <w:lang w:val="en-US"/>
        </w:rPr>
      </w:pPr>
      <w:r w:rsidRPr="00392029">
        <w:rPr>
          <w:rFonts w:ascii="Arial" w:hAnsi="Arial" w:cs="Arial"/>
          <w:bCs/>
          <w:i/>
          <w:iCs/>
          <w:sz w:val="20"/>
          <w:szCs w:val="20"/>
        </w:rPr>
        <w:t>Источник</w:t>
      </w:r>
      <w:r w:rsidRPr="00392029">
        <w:rPr>
          <w:rFonts w:ascii="Arial" w:hAnsi="Arial" w:cs="Arial"/>
          <w:bCs/>
          <w:sz w:val="20"/>
          <w:szCs w:val="20"/>
        </w:rPr>
        <w:t>:</w:t>
      </w:r>
      <w:r w:rsidRPr="00BD46FC">
        <w:rPr>
          <w:rFonts w:ascii="Arial" w:hAnsi="Arial" w:cs="Arial"/>
          <w:sz w:val="20"/>
          <w:szCs w:val="20"/>
        </w:rPr>
        <w:t xml:space="preserve"> МОК-ЮНЕСКО.</w:t>
      </w:r>
    </w:p>
    <w:p w14:paraId="67A31656" w14:textId="1B8D5298" w:rsidR="00E86920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bookmarkStart w:id="3" w:name="_heading=h.4v18ems62ufm"/>
      <w:bookmarkEnd w:id="3"/>
      <w:r w:rsidRPr="00BD46FC">
        <w:rPr>
          <w:rFonts w:cs="Arial"/>
          <w:color w:val="000000" w:themeColor="text1"/>
        </w:rPr>
        <w:t>Глобальная информационная кампания «Поколение океана» стартовала 4 апреля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и является общественной информационной кампанией Десятилетия. Кампания проводится по трем основным направлениям: мероприятия, люди, научные знания. Используя в качестве иллюстрации истории конкретных людей, представляющих различные слои общества и разные способы, с помощью которых они предпринимают конкретные шаги в защиту океана, информационная кампания «Поколение океана» призвана на конкретных примерах способствовать повышению осведомленности широких слоев населения о проблемах океана, требующих решения, и поощрять изменение моделей поведения на основе имеющихся научных данных и результат</w:t>
      </w:r>
      <w:r w:rsidR="00950D30">
        <w:rPr>
          <w:rFonts w:cs="Arial"/>
          <w:color w:val="000000" w:themeColor="text1"/>
        </w:rPr>
        <w:t>ов</w:t>
      </w:r>
      <w:r w:rsidRPr="00BD46FC">
        <w:rPr>
          <w:rFonts w:cs="Arial"/>
          <w:color w:val="000000" w:themeColor="text1"/>
        </w:rPr>
        <w:t xml:space="preserve"> исследований. </w:t>
      </w:r>
      <w:r w:rsidRPr="00BD46FC">
        <w:rPr>
          <w:rFonts w:cs="Arial"/>
        </w:rPr>
        <w:t>С момента начала кампании в апреле 2022</w:t>
      </w:r>
      <w:r w:rsidR="00FB5356">
        <w:rPr>
          <w:rFonts w:cs="Arial"/>
        </w:rPr>
        <w:t> г.</w:t>
      </w:r>
      <w:r w:rsidRPr="00BD46FC">
        <w:rPr>
          <w:rFonts w:cs="Arial"/>
        </w:rPr>
        <w:t xml:space="preserve"> число ее подписчиков на различных платформах социальных сетей составило 7 тыс. человек.</w:t>
      </w:r>
    </w:p>
    <w:p w14:paraId="769CDE25" w14:textId="77777777" w:rsidR="00E86920" w:rsidRPr="00BD46FC" w:rsidRDefault="00E86920" w:rsidP="00E86920">
      <w:pPr>
        <w:pStyle w:val="Style2"/>
        <w:tabs>
          <w:tab w:val="clear" w:pos="1400"/>
          <w:tab w:val="left" w:pos="0"/>
        </w:tabs>
        <w:snapToGrid w:val="0"/>
        <w:ind w:left="0"/>
        <w:rPr>
          <w:rFonts w:eastAsia="Arial" w:cs="Arial"/>
          <w:b/>
          <w:bCs/>
          <w:color w:val="000000" w:themeColor="text1"/>
        </w:rPr>
      </w:pPr>
      <w:r w:rsidRPr="00BD46FC">
        <w:rPr>
          <w:rFonts w:cs="Arial"/>
          <w:b/>
          <w:bCs/>
          <w:color w:val="000000" w:themeColor="text1"/>
        </w:rPr>
        <w:t>Общие подходы, актуальные вопросы и прогнозы</w:t>
      </w:r>
    </w:p>
    <w:p w14:paraId="267A148F" w14:textId="108F3880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r w:rsidRPr="00BD46FC">
        <w:rPr>
          <w:rFonts w:cs="Arial"/>
          <w:color w:val="000000" w:themeColor="text1"/>
        </w:rPr>
        <w:t>Конференция ООН по проблемам океанов, которая пройдет с 27 июня по 1 июля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в Лиссабоне, станет важной площадкой для привлечения к участию в связанной с Десятилетием науки об океане деятельности новых партнеров, а также для представления информации об осуществляемых мероприятиях и озвучивания новых инициатив и обязательств. В течение указанной недели запланировано проведение нескольких мероприятий, в том числе совещания высокого уровня представителей Альянса в поддержку Десятилетия науки об океане, которое пройдет под совместным председательством президентов Португалии и Кении. Двадцать седьмая сессии Конференции сторон РКИКООН (Шарм-эш-Шейх, ноябрь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) станет еще одним важным событием, в ходе которого обсуждение темы Десятилетия науки об океане будет использовано для привлечения внимания к основным проблемам, касающимся взаимосвязи между океаном и климатом, и вариантам их решения в странах Африки, а также </w:t>
      </w:r>
      <w:r w:rsidR="00950D30">
        <w:rPr>
          <w:rFonts w:cs="Arial"/>
          <w:color w:val="000000" w:themeColor="text1"/>
        </w:rPr>
        <w:t>станет мостом</w:t>
      </w:r>
      <w:r w:rsidRPr="00BD46FC">
        <w:rPr>
          <w:rFonts w:cs="Arial"/>
          <w:color w:val="000000" w:themeColor="text1"/>
        </w:rPr>
        <w:t xml:space="preserve"> к следующей дискусси</w:t>
      </w:r>
      <w:r w:rsidR="00C52599">
        <w:rPr>
          <w:rFonts w:cs="Arial"/>
          <w:color w:val="000000" w:themeColor="text1"/>
        </w:rPr>
        <w:t>и</w:t>
      </w:r>
      <w:r w:rsidRPr="00BD46FC">
        <w:rPr>
          <w:rFonts w:cs="Arial"/>
          <w:color w:val="000000" w:themeColor="text1"/>
        </w:rPr>
        <w:t>, которая пройдет в рамках организуемой в мае 2022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в Каире, Египет, Всеафриканской региональной конференции по определению приоритетных задач и неотложных потребностей континента в контексте проведения Десятилетия, посвященного науке об океане. В следующем отчетно</w:t>
      </w:r>
      <w:r w:rsidR="00C52599">
        <w:rPr>
          <w:rFonts w:cs="Arial"/>
          <w:color w:val="000000" w:themeColor="text1"/>
        </w:rPr>
        <w:t>м</w:t>
      </w:r>
      <w:r w:rsidRPr="00BD46FC">
        <w:rPr>
          <w:rFonts w:cs="Arial"/>
          <w:color w:val="000000" w:themeColor="text1"/>
        </w:rPr>
        <w:t xml:space="preserve"> периоде начнется подготовка второй Международной конференции, посвященной Десятилетию науки об океане, которая, как ожидается, пройдет в 2023</w:t>
      </w:r>
      <w:r w:rsidR="00C52599">
        <w:rPr>
          <w:rFonts w:cs="Arial"/>
          <w:color w:val="000000" w:themeColor="text1"/>
        </w:rPr>
        <w:t xml:space="preserve"> г.</w:t>
      </w:r>
      <w:r w:rsidRPr="00BD46FC">
        <w:rPr>
          <w:rFonts w:cs="Arial"/>
          <w:color w:val="000000" w:themeColor="text1"/>
        </w:rPr>
        <w:t xml:space="preserve"> или 2024</w:t>
      </w:r>
      <w:r w:rsidR="00FB5356">
        <w:rPr>
          <w:rFonts w:cs="Arial"/>
          <w:color w:val="000000" w:themeColor="text1"/>
        </w:rPr>
        <w:t> г.</w:t>
      </w:r>
      <w:r w:rsidRPr="00BD46FC">
        <w:rPr>
          <w:rFonts w:cs="Arial"/>
          <w:color w:val="000000" w:themeColor="text1"/>
        </w:rPr>
        <w:t xml:space="preserve"> В настоящее время среди государств-членов проводится опрос на предмет заинтересованност</w:t>
      </w:r>
      <w:r w:rsidR="00950D30">
        <w:rPr>
          <w:rFonts w:cs="Arial"/>
          <w:color w:val="000000" w:themeColor="text1"/>
        </w:rPr>
        <w:t>и</w:t>
      </w:r>
      <w:r w:rsidRPr="00BD46FC">
        <w:rPr>
          <w:rFonts w:cs="Arial"/>
          <w:color w:val="000000" w:themeColor="text1"/>
        </w:rPr>
        <w:t xml:space="preserve"> в проведении у себя этого мероприятия.</w:t>
      </w:r>
    </w:p>
    <w:p w14:paraId="4BBEA47B" w14:textId="6C71FEF2" w:rsidR="002A4718" w:rsidRPr="00BD46FC" w:rsidRDefault="00E86920" w:rsidP="00E86920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r w:rsidRPr="00BD46FC">
        <w:rPr>
          <w:rFonts w:cs="Arial"/>
          <w:color w:val="000000" w:themeColor="text1"/>
        </w:rPr>
        <w:t xml:space="preserve">В ближайшие месяцы Группа по координации проведения Десятилетия начнет последовательную работу с </w:t>
      </w:r>
      <w:r w:rsidR="00950D30">
        <w:rPr>
          <w:rFonts w:cs="Arial"/>
          <w:color w:val="000000" w:themeColor="text1"/>
        </w:rPr>
        <w:t>(</w:t>
      </w:r>
      <w:r w:rsidRPr="00BD46FC">
        <w:rPr>
          <w:rFonts w:cs="Arial"/>
          <w:color w:val="000000" w:themeColor="text1"/>
        </w:rPr>
        <w:t>включенными в реестр</w:t>
      </w:r>
      <w:r w:rsidR="00950D30">
        <w:rPr>
          <w:rFonts w:cs="Arial"/>
          <w:color w:val="000000" w:themeColor="text1"/>
        </w:rPr>
        <w:t>)</w:t>
      </w:r>
      <w:r w:rsidRPr="00BD46FC">
        <w:rPr>
          <w:rFonts w:cs="Arial"/>
          <w:color w:val="000000" w:themeColor="text1"/>
        </w:rPr>
        <w:t xml:space="preserve"> экспертами по тематике Десятилетия науки об океане на предмет определения набора основных ожидаемых результатов </w:t>
      </w:r>
      <w:r w:rsidR="00950D30">
        <w:rPr>
          <w:rFonts w:cs="Arial"/>
          <w:color w:val="000000" w:themeColor="text1"/>
        </w:rPr>
        <w:t xml:space="preserve">и </w:t>
      </w:r>
      <w:r w:rsidRPr="00BD46FC">
        <w:rPr>
          <w:rFonts w:cs="Arial"/>
          <w:color w:val="000000" w:themeColor="text1"/>
        </w:rPr>
        <w:t>целевых показателей по каждой из приоритетных задач Десятилетия. По итогам дискуссии, состоявшейся в рамках Консультативного совета по вопросам проведения Десятилетия, завершается разработка рамочного механизма мониторинга и оценки результативности проведения Десятилетия. С июля начнется его пилотное апробирование на мероприятиях, включенных в программу Десятилетия.</w:t>
      </w:r>
    </w:p>
    <w:p w14:paraId="6C76EB24" w14:textId="7667C4C5" w:rsidR="00D91E2D" w:rsidRPr="0051362D" w:rsidRDefault="00E86920" w:rsidP="0051362D">
      <w:pPr>
        <w:pStyle w:val="Style2"/>
        <w:numPr>
          <w:ilvl w:val="0"/>
          <w:numId w:val="23"/>
        </w:numPr>
        <w:tabs>
          <w:tab w:val="left" w:pos="0"/>
        </w:tabs>
        <w:snapToGrid w:val="0"/>
        <w:ind w:left="0" w:firstLine="0"/>
        <w:rPr>
          <w:rFonts w:cs="Arial"/>
          <w:color w:val="000000" w:themeColor="text1"/>
        </w:rPr>
      </w:pPr>
      <w:r w:rsidRPr="00BD46FC">
        <w:rPr>
          <w:rFonts w:cs="Arial"/>
          <w:color w:val="000000" w:themeColor="text1"/>
        </w:rPr>
        <w:lastRenderedPageBreak/>
        <w:t>Кроме того, в следующем году планируется сохранить акцент на мобилизации ресурсов с учетом сформулированной Консультативным советом по итогам обсуждений рекомендации о необходимости выстраивания на системной основе</w:t>
      </w:r>
      <w:r w:rsidR="00BD46FC">
        <w:rPr>
          <w:rFonts w:cs="Arial"/>
          <w:color w:val="000000" w:themeColor="text1"/>
        </w:rPr>
        <w:t xml:space="preserve"> </w:t>
      </w:r>
      <w:r w:rsidR="00950D30" w:rsidRPr="00BD46FC">
        <w:rPr>
          <w:rFonts w:cs="Arial"/>
          <w:color w:val="000000" w:themeColor="text1"/>
        </w:rPr>
        <w:t xml:space="preserve">взаимодействия </w:t>
      </w:r>
      <w:r w:rsidRPr="00BD46FC">
        <w:rPr>
          <w:rFonts w:cs="Arial"/>
          <w:color w:val="000000" w:themeColor="text1"/>
        </w:rPr>
        <w:t>с многосторонними банками развития и государствами-членами. Будет продолжена работа по укреплению Альянса в поддержку Десятилетия науки об океане, а также практика проведения совещаний фондов и целевой группы частного сектора. Работа по мобилизации ресурсов будет проводиться с акцентом на обеспечение активного участия МОК в связанной с Десятилетием деятельности, включая инициируемые и осуществляемые под руководством МОК мероприятия Управления по координации деятельности в целях развития (УКР) и мероприятия, включенные в программу Десятилетия. Кроме того, эта работа будет направлена на поощрение оказания дополнительной поддержки на цели координации и реализации проектов Десятилетия в странах Африки и МОСРГ Тихоокеанского региона.</w:t>
      </w:r>
    </w:p>
    <w:sectPr w:rsidR="00D91E2D" w:rsidRPr="0051362D" w:rsidSect="00866330">
      <w:headerReference w:type="even" r:id="rId19"/>
      <w:headerReference w:type="default" r:id="rId20"/>
      <w:headerReference w:type="first" r:id="rId21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EE7E" w14:textId="77777777" w:rsidR="00561268" w:rsidRDefault="00561268">
      <w:r>
        <w:separator/>
      </w:r>
    </w:p>
  </w:endnote>
  <w:endnote w:type="continuationSeparator" w:id="0">
    <w:p w14:paraId="6D53E469" w14:textId="77777777" w:rsidR="00561268" w:rsidRDefault="0056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129E" w14:textId="77777777" w:rsidR="00561268" w:rsidRDefault="00561268">
      <w:r>
        <w:separator/>
      </w:r>
    </w:p>
  </w:footnote>
  <w:footnote w:type="continuationSeparator" w:id="0">
    <w:p w14:paraId="3DD36B6D" w14:textId="77777777" w:rsidR="00561268" w:rsidRDefault="0056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EDCF" w14:textId="439F49F6" w:rsidR="00D91E2D" w:rsidRPr="00866330" w:rsidRDefault="00D91E2D" w:rsidP="00866330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>IOC/EC-55/4.1.Doc</w:t>
    </w:r>
    <w:sdt>
      <w:sdtPr>
        <w:rPr>
          <w:rFonts w:ascii="Arial" w:hAnsi="Arial" w:cs="Arial"/>
          <w:bCs/>
          <w:sz w:val="22"/>
          <w:szCs w:val="22"/>
        </w:rPr>
        <w:id w:val="-338006277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/>
            <w:bCs/>
            <w:sz w:val="22"/>
            <w:szCs w:val="22"/>
          </w:rPr>
          <w:t>(</w:t>
        </w:r>
        <w:r w:rsidR="00866330">
          <w:rPr>
            <w:rFonts w:ascii="Arial" w:hAnsi="Arial"/>
            <w:bCs/>
            <w:sz w:val="22"/>
            <w:szCs w:val="22"/>
            <w:lang w:val="en-US"/>
          </w:rPr>
          <w:t>1</w:t>
        </w:r>
        <w:r>
          <w:rPr>
            <w:rFonts w:ascii="Arial" w:hAnsi="Arial"/>
            <w:bCs/>
            <w:sz w:val="22"/>
            <w:szCs w:val="22"/>
          </w:rPr>
          <w:t>)</w:t>
        </w:r>
      </w:sdtContent>
    </w:sdt>
    <w:r w:rsidR="00866330">
      <w:rPr>
        <w:rFonts w:ascii="Arial" w:hAnsi="Arial" w:cs="Arial"/>
        <w:bCs/>
        <w:sz w:val="22"/>
        <w:szCs w:val="22"/>
        <w:lang w:val="en-US"/>
      </w:rPr>
      <w:t xml:space="preserve"> – </w:t>
    </w:r>
    <w:r w:rsidR="001E653E">
      <w:rPr>
        <w:rFonts w:asciiTheme="minorBidi" w:hAnsiTheme="minorBidi"/>
        <w:sz w:val="22"/>
        <w:szCs w:val="22"/>
      </w:rPr>
      <w:t xml:space="preserve">page </w:t>
    </w:r>
    <w:r w:rsidR="001E653E" w:rsidRPr="001E653E">
      <w:rPr>
        <w:rFonts w:asciiTheme="minorBidi" w:hAnsiTheme="minorBidi" w:cstheme="minorBidi"/>
        <w:sz w:val="22"/>
        <w:szCs w:val="22"/>
      </w:rPr>
      <w:fldChar w:fldCharType="begin"/>
    </w:r>
    <w:r w:rsidR="001E653E" w:rsidRPr="001E653E">
      <w:rPr>
        <w:rFonts w:asciiTheme="minorBidi" w:hAnsiTheme="minorBidi" w:cstheme="minorBidi"/>
        <w:sz w:val="22"/>
        <w:szCs w:val="22"/>
      </w:rPr>
      <w:instrText xml:space="preserve"> PAGE   \* MERGEFORMAT </w:instrText>
    </w:r>
    <w:r w:rsidR="001E653E" w:rsidRPr="001E653E">
      <w:rPr>
        <w:rFonts w:asciiTheme="minorBidi" w:hAnsiTheme="minorBidi" w:cstheme="minorBidi"/>
        <w:sz w:val="22"/>
        <w:szCs w:val="22"/>
      </w:rPr>
      <w:fldChar w:fldCharType="separate"/>
    </w:r>
    <w:r w:rsidR="00936308">
      <w:rPr>
        <w:rFonts w:asciiTheme="minorBidi" w:hAnsiTheme="minorBidi" w:cstheme="minorBidi"/>
        <w:sz w:val="22"/>
        <w:szCs w:val="22"/>
      </w:rPr>
      <w:t>6</w:t>
    </w:r>
    <w:r w:rsidR="001E653E" w:rsidRPr="001E653E">
      <w:rPr>
        <w:rFonts w:asciiTheme="minorBidi" w:hAnsiTheme="minorBidi" w:cstheme="minorBidi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9F58" w14:textId="1DF50941" w:rsidR="001E653E" w:rsidRPr="001E653E" w:rsidRDefault="001E653E" w:rsidP="00866330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>IOC/EC-55/4.1.Doc(1)</w:t>
    </w:r>
    <w:r w:rsidR="00866330">
      <w:rPr>
        <w:rFonts w:ascii="Arial" w:hAnsi="Arial" w:cs="Arial"/>
        <w:bCs/>
        <w:sz w:val="22"/>
        <w:szCs w:val="22"/>
        <w:lang w:val="en-US"/>
      </w:rPr>
      <w:t xml:space="preserve"> – </w:t>
    </w:r>
    <w:r>
      <w:rPr>
        <w:rFonts w:ascii="Arial" w:hAnsi="Arial"/>
        <w:bCs/>
        <w:sz w:val="22"/>
        <w:szCs w:val="22"/>
      </w:rPr>
      <w:t xml:space="preserve">page </w:t>
    </w:r>
    <w:r w:rsidRPr="001E653E">
      <w:rPr>
        <w:rFonts w:ascii="Arial" w:hAnsi="Arial" w:cs="Arial"/>
        <w:bCs/>
        <w:sz w:val="22"/>
        <w:szCs w:val="22"/>
      </w:rPr>
      <w:fldChar w:fldCharType="begin"/>
    </w:r>
    <w:r w:rsidRPr="001E653E">
      <w:rPr>
        <w:rFonts w:ascii="Arial" w:hAnsi="Arial" w:cs="Arial"/>
        <w:bCs/>
        <w:sz w:val="22"/>
        <w:szCs w:val="22"/>
      </w:rPr>
      <w:instrText xml:space="preserve"> PAGE   \* MERGEFORMAT </w:instrText>
    </w:r>
    <w:r w:rsidRPr="001E653E">
      <w:rPr>
        <w:rFonts w:ascii="Arial" w:hAnsi="Arial" w:cs="Arial"/>
        <w:bCs/>
        <w:sz w:val="22"/>
        <w:szCs w:val="22"/>
      </w:rPr>
      <w:fldChar w:fldCharType="separate"/>
    </w:r>
    <w:r w:rsidR="00936308">
      <w:rPr>
        <w:rFonts w:ascii="Arial" w:hAnsi="Arial" w:cs="Arial"/>
        <w:bCs/>
        <w:sz w:val="22"/>
        <w:szCs w:val="22"/>
      </w:rPr>
      <w:t>5</w:t>
    </w:r>
    <w:r w:rsidRPr="001E653E">
      <w:rPr>
        <w:rFonts w:ascii="Arial" w:hAnsi="Arial" w:cs="Arial"/>
        <w:bCs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07E" w14:textId="5D059A5F" w:rsidR="00E86920" w:rsidRPr="00BD46FC" w:rsidRDefault="00E86920" w:rsidP="00E86920">
    <w:pPr>
      <w:pStyle w:val="Marge"/>
      <w:tabs>
        <w:tab w:val="left" w:pos="5954"/>
      </w:tabs>
      <w:spacing w:after="0"/>
      <w:rPr>
        <w:rFonts w:ascii="Arial" w:hAnsi="Arial" w:cs="Arial"/>
        <w:b/>
        <w:sz w:val="36"/>
        <w:szCs w:val="36"/>
      </w:rPr>
    </w:pPr>
    <w:r w:rsidRPr="00BD46FC">
      <w:rPr>
        <w:rFonts w:ascii="Arial" w:hAnsi="Arial" w:cs="Arial"/>
        <w:sz w:val="22"/>
        <w:szCs w:val="22"/>
      </w:rPr>
      <w:t>Рассылается по списку</w:t>
    </w:r>
    <w:r w:rsidRPr="00BD46FC">
      <w:rPr>
        <w:rFonts w:ascii="Arial" w:hAnsi="Arial" w:cs="Arial"/>
      </w:rPr>
      <w:tab/>
    </w:r>
    <w:r w:rsidRPr="00BD46FC">
      <w:rPr>
        <w:rFonts w:ascii="Arial" w:hAnsi="Arial" w:cs="Arial"/>
        <w:b/>
        <w:sz w:val="36"/>
        <w:szCs w:val="36"/>
      </w:rPr>
      <w:t>IOC/EC-55/4.1.Doc(1)</w:t>
    </w:r>
  </w:p>
  <w:p w14:paraId="0FF31734" w14:textId="0C8D1B1A" w:rsidR="00BD46FC" w:rsidRPr="00BD46FC" w:rsidRDefault="00E86920" w:rsidP="00866330">
    <w:pPr>
      <w:pStyle w:val="Marge"/>
      <w:tabs>
        <w:tab w:val="left" w:pos="5954"/>
      </w:tabs>
      <w:spacing w:after="0"/>
      <w:ind w:left="5954"/>
      <w:jc w:val="left"/>
      <w:rPr>
        <w:rFonts w:ascii="Arial" w:hAnsi="Arial" w:cs="Arial"/>
        <w:sz w:val="22"/>
        <w:szCs w:val="22"/>
      </w:rPr>
    </w:pPr>
    <w:r w:rsidRPr="00BD46FC">
      <w:rPr>
        <w:rFonts w:ascii="Arial" w:hAnsi="Arial" w:cs="Arial"/>
        <w:b/>
        <w:noProof/>
        <w:snapToGrid/>
        <w:szCs w:val="22"/>
      </w:rPr>
      <w:drawing>
        <wp:anchor distT="0" distB="0" distL="114300" distR="114300" simplePos="0" relativeHeight="251659264" behindDoc="0" locked="0" layoutInCell="1" allowOverlap="1" wp14:anchorId="55770B56" wp14:editId="52FAC8F8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6FC">
      <w:rPr>
        <w:rFonts w:ascii="Arial" w:hAnsi="Arial" w:cs="Arial"/>
        <w:sz w:val="22"/>
        <w:szCs w:val="22"/>
      </w:rPr>
      <w:t>Париж, 10 мая 2022</w:t>
    </w:r>
    <w:r w:rsidR="00FB5356">
      <w:rPr>
        <w:rFonts w:ascii="Arial" w:hAnsi="Arial" w:cs="Arial"/>
        <w:sz w:val="22"/>
        <w:szCs w:val="22"/>
      </w:rPr>
      <w:t> г.</w:t>
    </w:r>
  </w:p>
  <w:p w14:paraId="64E9A3E6" w14:textId="1B99D382" w:rsidR="00E86920" w:rsidRPr="00BD46FC" w:rsidRDefault="00E86920" w:rsidP="00866330">
    <w:pPr>
      <w:pStyle w:val="Marge"/>
      <w:tabs>
        <w:tab w:val="left" w:pos="5954"/>
      </w:tabs>
      <w:ind w:left="5954"/>
      <w:jc w:val="left"/>
      <w:rPr>
        <w:rFonts w:ascii="Arial" w:hAnsi="Arial" w:cs="Arial"/>
        <w:sz w:val="22"/>
        <w:szCs w:val="22"/>
      </w:rPr>
    </w:pPr>
    <w:r w:rsidRPr="00BD46FC">
      <w:rPr>
        <w:rFonts w:ascii="Arial" w:hAnsi="Arial" w:cs="Arial"/>
        <w:sz w:val="22"/>
        <w:szCs w:val="22"/>
      </w:rPr>
      <w:t>Оригинал: английский</w:t>
    </w:r>
  </w:p>
  <w:p w14:paraId="724197FA" w14:textId="77777777" w:rsidR="00E86920" w:rsidRPr="00BD46FC" w:rsidRDefault="00E86920" w:rsidP="00E8692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</w:rPr>
    </w:pPr>
  </w:p>
  <w:p w14:paraId="59704176" w14:textId="77777777" w:rsidR="00E86920" w:rsidRPr="00BD46FC" w:rsidRDefault="00E86920" w:rsidP="00E8692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</w:rPr>
    </w:pPr>
  </w:p>
  <w:p w14:paraId="428C3E95" w14:textId="77777777" w:rsidR="00E86920" w:rsidRPr="00BD46FC" w:rsidRDefault="00E86920" w:rsidP="00E8692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</w:rPr>
    </w:pPr>
  </w:p>
  <w:p w14:paraId="1949B77E" w14:textId="77777777" w:rsidR="00E86920" w:rsidRPr="00BD46FC" w:rsidRDefault="00E86920" w:rsidP="00E8692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</w:rPr>
    </w:pPr>
  </w:p>
  <w:p w14:paraId="3C111CB0" w14:textId="5CBD5E56" w:rsidR="00E86920" w:rsidRDefault="00E86920" w:rsidP="00E8692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</w:rPr>
    </w:pPr>
  </w:p>
  <w:p w14:paraId="67D8F92F" w14:textId="77777777" w:rsidR="00BD46FC" w:rsidRPr="00BD46FC" w:rsidRDefault="00BD46FC" w:rsidP="00E8692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</w:rPr>
    </w:pPr>
  </w:p>
  <w:p w14:paraId="77866373" w14:textId="77777777" w:rsidR="00E86920" w:rsidRPr="00866330" w:rsidRDefault="00E86920" w:rsidP="00E8692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  <w:r w:rsidRPr="00866330">
      <w:rPr>
        <w:rFonts w:ascii="Arial" w:hAnsi="Arial" w:cs="Arial"/>
        <w:b/>
        <w:sz w:val="22"/>
        <w:szCs w:val="22"/>
      </w:rPr>
      <w:t>МЕЖПРАВИТЕЛЬСТВЕННАЯ ОКЕАНОГРАФИЧЕСКАЯ КОМИССИЯ</w:t>
    </w:r>
  </w:p>
  <w:p w14:paraId="79A238F9" w14:textId="77777777" w:rsidR="00E86920" w:rsidRPr="00866330" w:rsidRDefault="00E86920" w:rsidP="00E8692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 w:val="22"/>
        <w:szCs w:val="22"/>
      </w:rPr>
    </w:pPr>
    <w:r w:rsidRPr="00866330">
      <w:rPr>
        <w:rFonts w:ascii="Arial" w:hAnsi="Arial" w:cs="Arial"/>
        <w:bCs/>
        <w:sz w:val="22"/>
        <w:szCs w:val="22"/>
      </w:rPr>
      <w:t>(ЮНЕСКО)</w:t>
    </w:r>
  </w:p>
  <w:p w14:paraId="5F708E95" w14:textId="77777777" w:rsidR="00E86920" w:rsidRPr="00866330" w:rsidRDefault="00E86920" w:rsidP="00E8692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</w:p>
  <w:p w14:paraId="7C1ADA25" w14:textId="77777777" w:rsidR="00E86920" w:rsidRPr="00866330" w:rsidRDefault="00E86920" w:rsidP="00E86920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  <w:r w:rsidRPr="00866330">
      <w:rPr>
        <w:rFonts w:ascii="Arial" w:hAnsi="Arial" w:cs="Arial"/>
        <w:b/>
        <w:sz w:val="22"/>
        <w:szCs w:val="22"/>
      </w:rPr>
      <w:t>Пятьдесят пятая сессия Исполнительного совета</w:t>
    </w:r>
  </w:p>
  <w:p w14:paraId="2D2FAC7D" w14:textId="499AE7A8" w:rsidR="00E86920" w:rsidRPr="00866330" w:rsidRDefault="00E86920" w:rsidP="00E8692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</w:rPr>
    </w:pPr>
    <w:r w:rsidRPr="00866330">
      <w:rPr>
        <w:rFonts w:ascii="Arial" w:hAnsi="Arial" w:cs="Arial"/>
        <w:bCs/>
        <w:sz w:val="22"/>
        <w:szCs w:val="22"/>
      </w:rPr>
      <w:t>ЮНЕСКО, Париж, 14-17 июня 2022</w:t>
    </w:r>
    <w:r w:rsidR="00FB5356" w:rsidRPr="00866330">
      <w:rPr>
        <w:rFonts w:ascii="Arial" w:hAnsi="Arial" w:cs="Arial"/>
        <w:bCs/>
        <w:sz w:val="22"/>
        <w:szCs w:val="22"/>
      </w:rPr>
      <w:t> г.</w:t>
    </w:r>
  </w:p>
  <w:p w14:paraId="18F8F262" w14:textId="77777777" w:rsidR="00E86920" w:rsidRPr="00866330" w:rsidRDefault="00E86920" w:rsidP="00E8692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 w:val="22"/>
        <w:szCs w:val="22"/>
      </w:rPr>
    </w:pPr>
  </w:p>
  <w:p w14:paraId="21774B35" w14:textId="77777777" w:rsidR="00E86920" w:rsidRPr="00866330" w:rsidRDefault="00E86920" w:rsidP="00E86920">
    <w:pPr>
      <w:jc w:val="center"/>
      <w:rPr>
        <w:rFonts w:ascii="Arial" w:hAnsi="Arial" w:cs="Arial"/>
        <w:sz w:val="22"/>
        <w:szCs w:val="22"/>
      </w:rPr>
    </w:pPr>
  </w:p>
  <w:p w14:paraId="788CED2B" w14:textId="77777777" w:rsidR="00E86920" w:rsidRPr="00866330" w:rsidRDefault="00E86920" w:rsidP="00E86920">
    <w:pPr>
      <w:keepNext/>
      <w:widowControl w:val="0"/>
      <w:tabs>
        <w:tab w:val="right" w:pos="9540"/>
      </w:tabs>
      <w:adjustRightInd w:val="0"/>
      <w:jc w:val="both"/>
      <w:textAlignment w:val="baseline"/>
      <w:outlineLvl w:val="6"/>
      <w:rPr>
        <w:rFonts w:ascii="Arial" w:eastAsia="Times New Roman" w:hAnsi="Arial" w:cs="Arial"/>
        <w:sz w:val="22"/>
        <w:szCs w:val="22"/>
      </w:rPr>
    </w:pPr>
    <w:r w:rsidRPr="00866330">
      <w:rPr>
        <w:rFonts w:ascii="Arial" w:hAnsi="Arial" w:cs="Arial"/>
        <w:sz w:val="22"/>
        <w:szCs w:val="22"/>
        <w:u w:val="single"/>
      </w:rPr>
      <w:t xml:space="preserve">Пункт </w:t>
    </w:r>
    <w:r w:rsidRPr="00866330">
      <w:rPr>
        <w:rFonts w:ascii="Arial" w:hAnsi="Arial" w:cs="Arial"/>
        <w:b/>
        <w:sz w:val="22"/>
        <w:szCs w:val="22"/>
        <w:u w:val="single"/>
      </w:rPr>
      <w:t>4.1</w:t>
    </w:r>
    <w:r w:rsidRPr="00866330">
      <w:rPr>
        <w:rFonts w:ascii="Arial" w:hAnsi="Arial" w:cs="Arial"/>
        <w:sz w:val="22"/>
        <w:szCs w:val="22"/>
        <w:u w:val="single"/>
      </w:rPr>
      <w:t xml:space="preserve"> предварительной повестки дня</w:t>
    </w:r>
  </w:p>
  <w:p w14:paraId="51737E4F" w14:textId="77777777" w:rsidR="00E86920" w:rsidRPr="00BD46FC" w:rsidRDefault="00E86920" w:rsidP="00E8692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</w:rPr>
    </w:pPr>
  </w:p>
  <w:p w14:paraId="56C187EC" w14:textId="34D599D9" w:rsidR="00E86920" w:rsidRPr="00866330" w:rsidRDefault="00BD46FC" w:rsidP="00E8692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sz w:val="28"/>
        <w:szCs w:val="28"/>
      </w:rPr>
    </w:pPr>
    <w:r w:rsidRPr="00866330">
      <w:rPr>
        <w:rFonts w:ascii="Arial" w:hAnsi="Arial" w:cs="Arial"/>
        <w:b/>
        <w:bCs/>
        <w:sz w:val="28"/>
        <w:szCs w:val="28"/>
      </w:rPr>
      <w:t>Обзор хода проведения Десятилетия</w:t>
    </w:r>
    <w:r w:rsidR="00866330">
      <w:rPr>
        <w:rFonts w:ascii="Arial" w:hAnsi="Arial" w:cs="Arial"/>
        <w:b/>
        <w:bCs/>
        <w:sz w:val="28"/>
        <w:szCs w:val="28"/>
      </w:rPr>
      <w:br/>
    </w:r>
    <w:r w:rsidRPr="00866330">
      <w:rPr>
        <w:rFonts w:ascii="Arial" w:hAnsi="Arial" w:cs="Arial"/>
        <w:b/>
        <w:bCs/>
        <w:sz w:val="28"/>
        <w:szCs w:val="28"/>
      </w:rPr>
      <w:t>Организации Объединенных Наций, посвященного науке об океане в интересах устойчивого развития</w:t>
    </w:r>
    <w:r w:rsidRPr="00866330">
      <w:rPr>
        <w:rFonts w:ascii="Arial" w:hAnsi="Arial" w:cs="Arial"/>
        <w:b/>
        <w:bCs/>
        <w:sz w:val="28"/>
        <w:szCs w:val="28"/>
      </w:rPr>
      <w:br/>
      <w:t>(2021-2030 гг.)</w:t>
    </w:r>
  </w:p>
  <w:p w14:paraId="59883FCD" w14:textId="77777777" w:rsidR="00E86920" w:rsidRPr="00BD46FC" w:rsidRDefault="00E86920" w:rsidP="00E8692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</w:rPr>
    </w:pPr>
  </w:p>
  <w:p w14:paraId="5B0477DC" w14:textId="77777777" w:rsidR="00E86920" w:rsidRPr="00BD46FC" w:rsidRDefault="00E86920" w:rsidP="00E8692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Cs/>
        <w:szCs w:val="22"/>
      </w:rPr>
    </w:pPr>
  </w:p>
  <w:p w14:paraId="32EB95F8" w14:textId="77777777" w:rsidR="00D91E2D" w:rsidRPr="00BD46FC" w:rsidRDefault="00D91E2D" w:rsidP="00E8692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72E"/>
    <w:multiLevelType w:val="hybridMultilevel"/>
    <w:tmpl w:val="FC84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513E"/>
    <w:multiLevelType w:val="hybridMultilevel"/>
    <w:tmpl w:val="E97E1C0A"/>
    <w:lvl w:ilvl="0" w:tplc="BB48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789"/>
    <w:multiLevelType w:val="hybridMultilevel"/>
    <w:tmpl w:val="BAF29046"/>
    <w:lvl w:ilvl="0" w:tplc="55F4CEC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7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AD294C"/>
    <w:multiLevelType w:val="hybridMultilevel"/>
    <w:tmpl w:val="06206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4E4C50"/>
    <w:multiLevelType w:val="hybridMultilevel"/>
    <w:tmpl w:val="0D0CF51C"/>
    <w:lvl w:ilvl="0" w:tplc="F022E4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32CA9"/>
    <w:multiLevelType w:val="hybridMultilevel"/>
    <w:tmpl w:val="50843CD0"/>
    <w:lvl w:ilvl="0" w:tplc="05E2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  <w:num w:numId="15">
    <w:abstractNumId w:val="3"/>
  </w:num>
  <w:num w:numId="16">
    <w:abstractNumId w:val="8"/>
  </w:num>
  <w:num w:numId="17">
    <w:abstractNumId w:val="5"/>
  </w:num>
  <w:num w:numId="18">
    <w:abstractNumId w:val="2"/>
  </w:num>
  <w:num w:numId="19">
    <w:abstractNumId w:val="9"/>
  </w:num>
  <w:num w:numId="20">
    <w:abstractNumId w:val="11"/>
  </w:num>
  <w:num w:numId="21">
    <w:abstractNumId w:val="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5A88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54037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285A"/>
    <w:rsid w:val="00083369"/>
    <w:rsid w:val="00084EC3"/>
    <w:rsid w:val="00085FE9"/>
    <w:rsid w:val="00086071"/>
    <w:rsid w:val="0009246D"/>
    <w:rsid w:val="0009256F"/>
    <w:rsid w:val="00097CDF"/>
    <w:rsid w:val="000A6D08"/>
    <w:rsid w:val="000B1B44"/>
    <w:rsid w:val="000B40F3"/>
    <w:rsid w:val="000C3BB5"/>
    <w:rsid w:val="000D6EB3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0F79E5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20A2"/>
    <w:rsid w:val="0012374E"/>
    <w:rsid w:val="00123F7E"/>
    <w:rsid w:val="00131529"/>
    <w:rsid w:val="0013238B"/>
    <w:rsid w:val="00134711"/>
    <w:rsid w:val="00134935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5075"/>
    <w:rsid w:val="001B64AC"/>
    <w:rsid w:val="001B7DE0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E653E"/>
    <w:rsid w:val="001F65B3"/>
    <w:rsid w:val="001F65D5"/>
    <w:rsid w:val="001F6CF5"/>
    <w:rsid w:val="001F7EF6"/>
    <w:rsid w:val="00200519"/>
    <w:rsid w:val="0020169B"/>
    <w:rsid w:val="00203E48"/>
    <w:rsid w:val="0020573A"/>
    <w:rsid w:val="002063AE"/>
    <w:rsid w:val="00207581"/>
    <w:rsid w:val="00215B28"/>
    <w:rsid w:val="00216228"/>
    <w:rsid w:val="00225B52"/>
    <w:rsid w:val="00230818"/>
    <w:rsid w:val="00231994"/>
    <w:rsid w:val="00232596"/>
    <w:rsid w:val="00232FAE"/>
    <w:rsid w:val="0023308D"/>
    <w:rsid w:val="00237FCC"/>
    <w:rsid w:val="0024167D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52E1"/>
    <w:rsid w:val="00286B3B"/>
    <w:rsid w:val="002A05D9"/>
    <w:rsid w:val="002A33EB"/>
    <w:rsid w:val="002A3541"/>
    <w:rsid w:val="002A3623"/>
    <w:rsid w:val="002A364B"/>
    <w:rsid w:val="002A3D8C"/>
    <w:rsid w:val="002A4718"/>
    <w:rsid w:val="002B0438"/>
    <w:rsid w:val="002B0B65"/>
    <w:rsid w:val="002B2FB7"/>
    <w:rsid w:val="002B58F5"/>
    <w:rsid w:val="002C6A49"/>
    <w:rsid w:val="002D1F18"/>
    <w:rsid w:val="002D2062"/>
    <w:rsid w:val="002D41F6"/>
    <w:rsid w:val="002D4B35"/>
    <w:rsid w:val="002E0A07"/>
    <w:rsid w:val="002E0C7D"/>
    <w:rsid w:val="002E3B10"/>
    <w:rsid w:val="002E524A"/>
    <w:rsid w:val="002E558B"/>
    <w:rsid w:val="002E6FCC"/>
    <w:rsid w:val="002F0EB7"/>
    <w:rsid w:val="002F11B4"/>
    <w:rsid w:val="002F2691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55A0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0B35"/>
    <w:rsid w:val="003774D6"/>
    <w:rsid w:val="00382463"/>
    <w:rsid w:val="00392029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1F64"/>
    <w:rsid w:val="00425E51"/>
    <w:rsid w:val="0042612F"/>
    <w:rsid w:val="00431123"/>
    <w:rsid w:val="00437DB1"/>
    <w:rsid w:val="00441F29"/>
    <w:rsid w:val="00441FE3"/>
    <w:rsid w:val="00444A63"/>
    <w:rsid w:val="00450AA6"/>
    <w:rsid w:val="00452512"/>
    <w:rsid w:val="00452CFD"/>
    <w:rsid w:val="00453CE0"/>
    <w:rsid w:val="00463AB2"/>
    <w:rsid w:val="0047364D"/>
    <w:rsid w:val="004750C1"/>
    <w:rsid w:val="004768E8"/>
    <w:rsid w:val="00476A0C"/>
    <w:rsid w:val="00477409"/>
    <w:rsid w:val="0048119B"/>
    <w:rsid w:val="00481C77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1DCC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362D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268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97D9A"/>
    <w:rsid w:val="005A1B75"/>
    <w:rsid w:val="005A210B"/>
    <w:rsid w:val="005A7E87"/>
    <w:rsid w:val="005B0510"/>
    <w:rsid w:val="005B0804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2C7A"/>
    <w:rsid w:val="00613F3F"/>
    <w:rsid w:val="006140DB"/>
    <w:rsid w:val="00625EE0"/>
    <w:rsid w:val="00625FE6"/>
    <w:rsid w:val="00631D35"/>
    <w:rsid w:val="006327B2"/>
    <w:rsid w:val="006331C8"/>
    <w:rsid w:val="00637621"/>
    <w:rsid w:val="006417A7"/>
    <w:rsid w:val="00641D3D"/>
    <w:rsid w:val="00645699"/>
    <w:rsid w:val="00646F26"/>
    <w:rsid w:val="006502B2"/>
    <w:rsid w:val="00650A87"/>
    <w:rsid w:val="00654AA1"/>
    <w:rsid w:val="00657AC1"/>
    <w:rsid w:val="00657EB5"/>
    <w:rsid w:val="006625C0"/>
    <w:rsid w:val="006644A7"/>
    <w:rsid w:val="00666085"/>
    <w:rsid w:val="0067098E"/>
    <w:rsid w:val="00671A70"/>
    <w:rsid w:val="00672A6F"/>
    <w:rsid w:val="0067544A"/>
    <w:rsid w:val="006810D1"/>
    <w:rsid w:val="00681D60"/>
    <w:rsid w:val="00682998"/>
    <w:rsid w:val="00687A2A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D312D"/>
    <w:rsid w:val="006E0BCF"/>
    <w:rsid w:val="006E33FC"/>
    <w:rsid w:val="006E3403"/>
    <w:rsid w:val="006E3CA0"/>
    <w:rsid w:val="006E3CB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077C5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4650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4C1D"/>
    <w:rsid w:val="007C58F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B67"/>
    <w:rsid w:val="007F0B8B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3E81"/>
    <w:rsid w:val="00845462"/>
    <w:rsid w:val="00851937"/>
    <w:rsid w:val="00856ABB"/>
    <w:rsid w:val="008608E0"/>
    <w:rsid w:val="00864ABF"/>
    <w:rsid w:val="00866274"/>
    <w:rsid w:val="00866330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4407"/>
    <w:rsid w:val="008B544A"/>
    <w:rsid w:val="008B77EB"/>
    <w:rsid w:val="008C15AF"/>
    <w:rsid w:val="008C74FA"/>
    <w:rsid w:val="008D5C30"/>
    <w:rsid w:val="008E0DC5"/>
    <w:rsid w:val="008E280C"/>
    <w:rsid w:val="008E5D4A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58F7"/>
    <w:rsid w:val="009263CA"/>
    <w:rsid w:val="00926737"/>
    <w:rsid w:val="009278CB"/>
    <w:rsid w:val="00932C56"/>
    <w:rsid w:val="0093392C"/>
    <w:rsid w:val="00935F8E"/>
    <w:rsid w:val="00936308"/>
    <w:rsid w:val="00940BCB"/>
    <w:rsid w:val="00941FC7"/>
    <w:rsid w:val="00942E2B"/>
    <w:rsid w:val="0094308D"/>
    <w:rsid w:val="00945D12"/>
    <w:rsid w:val="00950D30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76954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1DDC"/>
    <w:rsid w:val="009A6B84"/>
    <w:rsid w:val="009A7F76"/>
    <w:rsid w:val="009B2FB5"/>
    <w:rsid w:val="009B33B9"/>
    <w:rsid w:val="009B4B8B"/>
    <w:rsid w:val="009B7ED9"/>
    <w:rsid w:val="009C32D0"/>
    <w:rsid w:val="009C5BA0"/>
    <w:rsid w:val="009D460D"/>
    <w:rsid w:val="009D5847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9F66B1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31D36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6564"/>
    <w:rsid w:val="00AA6FCA"/>
    <w:rsid w:val="00AB2387"/>
    <w:rsid w:val="00AB3439"/>
    <w:rsid w:val="00AB346C"/>
    <w:rsid w:val="00AB37B5"/>
    <w:rsid w:val="00AB5A78"/>
    <w:rsid w:val="00AB671E"/>
    <w:rsid w:val="00AC333C"/>
    <w:rsid w:val="00AC65C5"/>
    <w:rsid w:val="00AC7D27"/>
    <w:rsid w:val="00AD035C"/>
    <w:rsid w:val="00AD1EB6"/>
    <w:rsid w:val="00AD2EC9"/>
    <w:rsid w:val="00AD33E4"/>
    <w:rsid w:val="00AD64A4"/>
    <w:rsid w:val="00AD6B3B"/>
    <w:rsid w:val="00AE018F"/>
    <w:rsid w:val="00AE0B67"/>
    <w:rsid w:val="00AE187B"/>
    <w:rsid w:val="00AE26F5"/>
    <w:rsid w:val="00AE3537"/>
    <w:rsid w:val="00AE3F49"/>
    <w:rsid w:val="00AF6044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152B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6681F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D0A9C"/>
    <w:rsid w:val="00BD46FC"/>
    <w:rsid w:val="00BE1951"/>
    <w:rsid w:val="00BE2960"/>
    <w:rsid w:val="00BE4A26"/>
    <w:rsid w:val="00BE76AB"/>
    <w:rsid w:val="00C01CF5"/>
    <w:rsid w:val="00C021AC"/>
    <w:rsid w:val="00C0288A"/>
    <w:rsid w:val="00C0560F"/>
    <w:rsid w:val="00C073F3"/>
    <w:rsid w:val="00C161F8"/>
    <w:rsid w:val="00C16A4A"/>
    <w:rsid w:val="00C200DD"/>
    <w:rsid w:val="00C23624"/>
    <w:rsid w:val="00C26F58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2599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1ED7"/>
    <w:rsid w:val="00CD31B6"/>
    <w:rsid w:val="00CD50AB"/>
    <w:rsid w:val="00CD7729"/>
    <w:rsid w:val="00CE11E4"/>
    <w:rsid w:val="00CE43C1"/>
    <w:rsid w:val="00CE4E66"/>
    <w:rsid w:val="00CF2D0C"/>
    <w:rsid w:val="00CF4C27"/>
    <w:rsid w:val="00D02605"/>
    <w:rsid w:val="00D12711"/>
    <w:rsid w:val="00D1662F"/>
    <w:rsid w:val="00D204B7"/>
    <w:rsid w:val="00D2050E"/>
    <w:rsid w:val="00D36C3E"/>
    <w:rsid w:val="00D42688"/>
    <w:rsid w:val="00D45B02"/>
    <w:rsid w:val="00D473EA"/>
    <w:rsid w:val="00D50B1A"/>
    <w:rsid w:val="00D512DE"/>
    <w:rsid w:val="00D56566"/>
    <w:rsid w:val="00D57367"/>
    <w:rsid w:val="00D61A37"/>
    <w:rsid w:val="00D626CB"/>
    <w:rsid w:val="00D64782"/>
    <w:rsid w:val="00D67278"/>
    <w:rsid w:val="00D67B8D"/>
    <w:rsid w:val="00D74196"/>
    <w:rsid w:val="00D7566D"/>
    <w:rsid w:val="00D76E20"/>
    <w:rsid w:val="00D8125F"/>
    <w:rsid w:val="00D82235"/>
    <w:rsid w:val="00D86D5E"/>
    <w:rsid w:val="00D90453"/>
    <w:rsid w:val="00D91117"/>
    <w:rsid w:val="00D91E2D"/>
    <w:rsid w:val="00D922B1"/>
    <w:rsid w:val="00D923CC"/>
    <w:rsid w:val="00DA5F08"/>
    <w:rsid w:val="00DB22A5"/>
    <w:rsid w:val="00DB60D6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D5ADB"/>
    <w:rsid w:val="00DE0399"/>
    <w:rsid w:val="00DE271E"/>
    <w:rsid w:val="00DE569D"/>
    <w:rsid w:val="00DE6571"/>
    <w:rsid w:val="00DE7784"/>
    <w:rsid w:val="00DF0410"/>
    <w:rsid w:val="00DF39D8"/>
    <w:rsid w:val="00DF419A"/>
    <w:rsid w:val="00DF7F7A"/>
    <w:rsid w:val="00E01FDA"/>
    <w:rsid w:val="00E03C5A"/>
    <w:rsid w:val="00E04B7F"/>
    <w:rsid w:val="00E0531A"/>
    <w:rsid w:val="00E10342"/>
    <w:rsid w:val="00E117F3"/>
    <w:rsid w:val="00E13F41"/>
    <w:rsid w:val="00E154A0"/>
    <w:rsid w:val="00E15729"/>
    <w:rsid w:val="00E179CF"/>
    <w:rsid w:val="00E202A8"/>
    <w:rsid w:val="00E229C2"/>
    <w:rsid w:val="00E232D1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86920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E7FAA"/>
    <w:rsid w:val="00EF0BFF"/>
    <w:rsid w:val="00EF225C"/>
    <w:rsid w:val="00EF2790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4C0F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8D9"/>
    <w:rsid w:val="00FA6FB3"/>
    <w:rsid w:val="00FB4EDC"/>
    <w:rsid w:val="00FB5356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ru-RU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ru-RU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F4611"/>
    <w:rPr>
      <w:snapToGrid w:val="0"/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ru-RU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ru-RU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</w:rPr>
  </w:style>
  <w:style w:type="paragraph" w:styleId="ListParagraph">
    <w:name w:val="List Paragraph"/>
    <w:basedOn w:val="Normal"/>
    <w:uiPriority w:val="34"/>
    <w:qFormat/>
    <w:rsid w:val="009C5BA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5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6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34935"/>
    <w:rPr>
      <w:color w:val="800080" w:themeColor="followedHyperlink"/>
      <w:u w:val="single"/>
    </w:rPr>
  </w:style>
  <w:style w:type="paragraph" w:customStyle="1" w:styleId="Style2">
    <w:name w:val="Style2"/>
    <w:basedOn w:val="Normal"/>
    <w:link w:val="Style2Car"/>
    <w:qFormat/>
    <w:rsid w:val="00E86920"/>
    <w:pPr>
      <w:shd w:val="clear" w:color="auto" w:fill="FFFFFF"/>
      <w:tabs>
        <w:tab w:val="clear" w:pos="567"/>
        <w:tab w:val="num" w:pos="1400"/>
      </w:tabs>
      <w:snapToGrid/>
      <w:spacing w:after="240"/>
      <w:ind w:left="720"/>
      <w:jc w:val="both"/>
    </w:pPr>
    <w:rPr>
      <w:rFonts w:ascii="Arial" w:eastAsia="Times New Roman" w:hAnsi="Arial"/>
      <w:iCs/>
      <w:sz w:val="22"/>
      <w:szCs w:val="22"/>
      <w:lang w:eastAsia="en-US"/>
    </w:rPr>
  </w:style>
  <w:style w:type="character" w:customStyle="1" w:styleId="Style2Car">
    <w:name w:val="Style2 Car"/>
    <w:basedOn w:val="DefaultParagraphFont"/>
    <w:link w:val="Style2"/>
    <w:rsid w:val="00E86920"/>
    <w:rPr>
      <w:rFonts w:ascii="Arial" w:eastAsia="Times New Roman" w:hAnsi="Arial"/>
      <w:iCs/>
      <w:snapToGrid w:val="0"/>
      <w:sz w:val="22"/>
      <w:szCs w:val="22"/>
      <w:shd w:val="clear" w:color="auto" w:fill="FFFFFF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70144.locale=en" TargetMode="External"/><Relationship Id="rId13" Type="http://schemas.openxmlformats.org/officeDocument/2006/relationships/hyperlink" Target="https://unesdoc.unesco.org/ark:/48223/pf0000381227.locale=en" TargetMode="External"/><Relationship Id="rId18" Type="http://schemas.openxmlformats.org/officeDocument/2006/relationships/hyperlink" Target="https://forum.oceandecade.org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28442" TargetMode="External"/><Relationship Id="rId17" Type="http://schemas.openxmlformats.org/officeDocument/2006/relationships/hyperlink" Target="http://www.oceandecad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ceandecade.org/ocean-decade-allianc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c.unesco.org/news/call-decade-actions-no-01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esdoc.unesco.org/ark:/48223/pf0000381488.locale=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nesdoc.unesco.org/ark:/48223/pf0000379465.locale=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75002.locale=en" TargetMode="External"/><Relationship Id="rId14" Type="http://schemas.openxmlformats.org/officeDocument/2006/relationships/hyperlink" Target="https://oceanexpert.org/document/28497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B529-46A8-41D4-826D-401AB0FE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3999</Words>
  <Characters>28980</Characters>
  <Application>Microsoft Office Word</Application>
  <DocSecurity>0</DocSecurity>
  <Lines>241</Lines>
  <Paragraphs>65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32914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хода проведения Десятилетия_x000d_
Организации Объединенных Наций, посвященного науке об океане в интересах устойчивого развития_x000d_
(2021-2030 гг.)</dc:title>
  <dc:subject>IOC/EC-55/4.1 (Doc)1</dc:subject>
  <dc:creator>UNESCO</dc:creator>
  <cp:keywords>0</cp:keywords>
  <dc:description/>
  <cp:lastModifiedBy>Boned, Patrice</cp:lastModifiedBy>
  <cp:revision>2</cp:revision>
  <cp:lastPrinted>2022-05-02T09:16:00Z</cp:lastPrinted>
  <dcterms:created xsi:type="dcterms:W3CDTF">2022-05-17T10:07:00Z</dcterms:created>
  <dcterms:modified xsi:type="dcterms:W3CDTF">2022-05-17T10:07:00Z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JobDCPMS">
    <vt:lpwstr>2201404</vt:lpwstr>
  </property>
</Properties>
</file>