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94D8" w14:textId="77777777" w:rsidR="00E75CF6" w:rsidRPr="006D3998" w:rsidRDefault="00E75C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E1454" w14:paraId="6E70F37C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D9152E" w14:textId="77777777" w:rsidR="00467E3F" w:rsidRPr="006E1454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1502659F" w14:textId="67ED5818" w:rsidR="00737A18" w:rsidRPr="001370E4" w:rsidRDefault="000D16AC" w:rsidP="0037249C">
            <w:pPr>
              <w:pStyle w:val="Marge"/>
              <w:rPr>
                <w:rFonts w:cs="Arial"/>
                <w:szCs w:val="22"/>
              </w:rPr>
            </w:pPr>
            <w:r>
              <w:rPr>
                <w:lang w:val="ru"/>
              </w:rPr>
              <w:t>В соответствии со статьей 3.2 Устава Межправительственной океанографической комиссии (</w:t>
            </w:r>
            <w:hyperlink r:id="rId8" w:history="1">
              <w:r>
                <w:rPr>
                  <w:rStyle w:val="Hyperlink"/>
                  <w:rFonts w:cs="Arial"/>
                  <w:lang w:val="ru"/>
                </w:rPr>
                <w:t>IOC/INF/1148</w:t>
              </w:r>
            </w:hyperlink>
            <w:r>
              <w:rPr>
                <w:lang w:val="ru"/>
              </w:rPr>
              <w:t>) и статьей 49.2 Правил процедуры (</w:t>
            </w:r>
            <w:hyperlink r:id="rId9" w:history="1">
              <w:r>
                <w:rPr>
                  <w:rStyle w:val="Hyperlink"/>
                  <w:rFonts w:cs="Arial"/>
                  <w:lang w:val="ru"/>
                </w:rPr>
                <w:t>IOC/INF/1166</w:t>
              </w:r>
            </w:hyperlink>
            <w:r>
              <w:rPr>
                <w:lang w:val="ru"/>
              </w:rPr>
              <w:t xml:space="preserve">), МОК готовит регулярные доклады о своей деятельности и представляет их Генеральной конференции ЮНЕСКО. Настоящий доклад охватывает период 2020–2021 гг. и посвящен основным достижениям в осуществлении </w:t>
            </w:r>
            <w:r>
              <w:rPr>
                <w:szCs w:val="22"/>
                <w:lang w:val="ru"/>
              </w:rPr>
              <w:t>второго двухлетнего периода Программы и бюджета МОК на 2018–2021 гг., способствующим реализации Среднесрочной стратегии МОК на 2014–2021 гг. и Среднесрочной стратегии ЮНЕСКО на 2014–2021 гг. (документ 37 C/4) в отношении стратегической цели 5 «Содействие международному научному сотрудничеству по важнейшим проблемам устойчивого развития»</w:t>
            </w:r>
            <w:r>
              <w:rPr>
                <w:lang w:val="ru"/>
              </w:rPr>
              <w:t>.</w:t>
            </w:r>
            <w:r>
              <w:rPr>
                <w:szCs w:val="22"/>
                <w:lang w:val="ru"/>
              </w:rPr>
              <w:t xml:space="preserve"> </w:t>
            </w:r>
          </w:p>
          <w:p w14:paraId="5B3F6C6A" w14:textId="1B87EDE8" w:rsidR="00515584" w:rsidRPr="00EC753F" w:rsidRDefault="00515584" w:rsidP="001370E4">
            <w:pPr>
              <w:pStyle w:val="Marge"/>
              <w:rPr>
                <w:rFonts w:cs="Arial"/>
                <w:szCs w:val="22"/>
              </w:rPr>
            </w:pPr>
            <w:r>
              <w:rPr>
                <w:rFonts w:cs="Arial"/>
                <w:lang w:val="ru"/>
              </w:rPr>
              <w:t xml:space="preserve">После рассмотрения Ассамблеей доклад будет представлен 41-й сессии Генеральной конференции ЮНЕСКО в качестве документа 41 C/REP.9 с оговоркой, что с более подробной информацией, включая анализ по функциональным областям МОК, </w:t>
            </w:r>
            <w:r>
              <w:rPr>
                <w:rFonts w:cs="Arial"/>
                <w:szCs w:val="22"/>
                <w:lang w:val="ru"/>
              </w:rPr>
              <w:t>можно ознакомиться в докладе Исполнительного секретаря МОК 31-й сессии Ассамблеи МОК (</w:t>
            </w:r>
            <w:hyperlink r:id="rId10" w:history="1">
              <w:r>
                <w:rPr>
                  <w:rStyle w:val="Hyperlink"/>
                  <w:lang w:val="ru"/>
                </w:rPr>
                <w:t>IOC/A-31/3.2.Doc(1)</w:t>
              </w:r>
            </w:hyperlink>
            <w:r>
              <w:rPr>
                <w:rFonts w:cs="Arial"/>
                <w:color w:val="000000"/>
                <w:szCs w:val="22"/>
                <w:lang w:val="ru"/>
              </w:rPr>
              <w:t xml:space="preserve"> и </w:t>
            </w:r>
            <w:hyperlink r:id="rId11" w:history="1">
              <w:r>
                <w:rPr>
                  <w:rStyle w:val="Hyperlink"/>
                  <w:lang w:val="ru"/>
                </w:rPr>
                <w:t>Добавление</w:t>
              </w:r>
            </w:hyperlink>
            <w:r>
              <w:rPr>
                <w:rFonts w:cs="Arial"/>
                <w:color w:val="000000"/>
                <w:szCs w:val="22"/>
                <w:lang w:val="ru"/>
              </w:rPr>
              <w:t>).</w:t>
            </w:r>
          </w:p>
          <w:p w14:paraId="1082367C" w14:textId="189D02F3" w:rsidR="00515584" w:rsidRPr="006E1454" w:rsidRDefault="00515584" w:rsidP="00C008B0">
            <w:pPr>
              <w:pStyle w:val="Marge"/>
              <w:rPr>
                <w:rFonts w:cs="Arial"/>
                <w:szCs w:val="22"/>
              </w:rPr>
            </w:pPr>
            <w:r>
              <w:rPr>
                <w:rFonts w:cs="Arial"/>
                <w:u w:val="single"/>
                <w:lang w:val="ru"/>
              </w:rPr>
              <w:t>Предлагаемое(-ые) решение(-я)</w:t>
            </w:r>
            <w:r>
              <w:rPr>
                <w:rFonts w:cs="Arial"/>
                <w:lang w:val="ru"/>
              </w:rPr>
              <w:t xml:space="preserve"> представлено(-ы) в Документе о принятых и предлагаемых мерах (документ </w:t>
            </w:r>
            <w:hyperlink r:id="rId12" w:history="1">
              <w:r>
                <w:rPr>
                  <w:rStyle w:val="Hyperlink"/>
                  <w:rFonts w:cs="Arial"/>
                  <w:lang w:val="ru"/>
                </w:rPr>
                <w:t>IOC/A-31/AP Rev.</w:t>
              </w:r>
            </w:hyperlink>
            <w:r>
              <w:rPr>
                <w:rFonts w:cs="Arial"/>
                <w:lang w:val="ru"/>
              </w:rPr>
              <w:t xml:space="preserve">) 31-й сессии Ассамблеи МОК под номером </w:t>
            </w:r>
            <w:r>
              <w:rPr>
                <w:rFonts w:cs="Arial"/>
                <w:color w:val="000000"/>
                <w:lang w:val="ru"/>
              </w:rPr>
              <w:t>IOC/A-31/Реш.3.6</w:t>
            </w:r>
            <w:r>
              <w:rPr>
                <w:rFonts w:cs="Arial"/>
                <w:b/>
                <w:bCs/>
                <w:color w:val="000000"/>
                <w:lang w:val="ru"/>
              </w:rPr>
              <w:t xml:space="preserve"> </w:t>
            </w:r>
            <w:r>
              <w:rPr>
                <w:rFonts w:cs="Arial"/>
                <w:lang w:val="ru"/>
              </w:rPr>
              <w:t>.</w:t>
            </w:r>
          </w:p>
        </w:tc>
      </w:tr>
    </w:tbl>
    <w:p w14:paraId="7E39BDFA" w14:textId="2724C787" w:rsidR="00746B89" w:rsidRPr="006E1454" w:rsidRDefault="00746B89" w:rsidP="005C7A36">
      <w:pPr>
        <w:pStyle w:val="Heading3"/>
        <w:sectPr w:rsidR="00746B89" w:rsidRPr="006E1454" w:rsidSect="003F718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64B35EF4" w14:textId="77777777" w:rsidR="00C008B0" w:rsidRPr="0082023C" w:rsidRDefault="00C008B0" w:rsidP="00FC3532">
      <w:pPr>
        <w:spacing w:after="240"/>
        <w:jc w:val="both"/>
        <w:rPr>
          <w:b/>
          <w:bCs/>
          <w:i/>
          <w:iCs/>
        </w:rPr>
      </w:pPr>
      <w:r>
        <w:rPr>
          <w:b/>
          <w:bCs/>
          <w:i/>
          <w:iCs/>
          <w:lang w:val="ru"/>
        </w:rPr>
        <w:lastRenderedPageBreak/>
        <w:t xml:space="preserve">Основные достижения </w:t>
      </w:r>
    </w:p>
    <w:p w14:paraId="504EB4BF" w14:textId="4FFAFAFC" w:rsidR="00C008B0" w:rsidRPr="00831211" w:rsidRDefault="00C008B0" w:rsidP="002D52FA">
      <w:pPr>
        <w:spacing w:after="240"/>
        <w:jc w:val="both"/>
        <w:rPr>
          <w:rFonts w:asciiTheme="minorBidi" w:hAnsiTheme="minorBidi" w:cstheme="minorBidi"/>
          <w:snapToGrid/>
          <w:szCs w:val="22"/>
        </w:rPr>
      </w:pPr>
      <w:r>
        <w:rPr>
          <w:lang w:val="ru"/>
        </w:rPr>
        <w:t xml:space="preserve">В </w:t>
      </w:r>
      <w:r>
        <w:rPr>
          <w:rFonts w:asciiTheme="minorBidi" w:hAnsiTheme="minorBidi"/>
          <w:snapToGrid/>
          <w:szCs w:val="22"/>
          <w:lang w:val="ru"/>
        </w:rPr>
        <w:t>2020–2021 годах основное внимание Комиссии по-прежнему уделялось подготовке проведения Десятилетия ООН, посвященного науке об океане в интересах устойчивого развития (2020–2030 гг.). МОК приложила все силы для привлечения всех государств-членов, партнеров по системе ООН и ключевых заинтересованных сторон, представляющих гражданское общество, к участию в региональных и глобальных консультациях, стремясь не упустить уникальную возможность использовать достижения в области наук об океане, обеспечить лучшее понимание океанической системы и выработать научно обоснованные решения в целях реализации Повестки дня в области устойчивого развития на период до 2030 года. Эффективное задействование консультаций в рамках механизма «ООН-океаны» способствовало укреплению совместного подхода к обеспечению значимого разделения труда между партнерами МОК в системе ООН. Эта работа была успешно завершена, когда Генеральная Ассамблея Организации Объединенных Наций в декабре 2020 г. с удовлетворением приняла к сведению план проведения Десятилетия.</w:t>
      </w:r>
    </w:p>
    <w:p w14:paraId="7678D1C2" w14:textId="1BD4A17E" w:rsidR="00C008B0" w:rsidRPr="006E3870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Руководство МОК активно участвовало в переговорном процессе,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(БПНЮ). Учитывая новые возможности, открывающиеся в связи с проведением Десятилетия науки об океане, МОК обладает необходимым потенциалом для поддержки будущего соглашения, особенно в том, что касается развития потенциала наук об океане и передачи морской технологии, в целях обеспечения универсального характера этого документа и его соответствия потребностям всех его будущих сторон, в частности развивающихся стран. В октябре 2020 года в целях информирования о переговорном процессе Секретариат опубликовал неофициальный информационный документ об уже осуществленном и потенциальном вкладе МОК-ЮНЕСКО в процесс, связанный с БПНЮ (</w:t>
      </w:r>
      <w:hyperlink r:id="rId19" w:history="1">
        <w:r>
          <w:rPr>
            <w:rStyle w:val="Hyperlink"/>
            <w:rFonts w:asciiTheme="minorBidi" w:hAnsiTheme="minorBidi" w:cstheme="minorBidi"/>
            <w:sz w:val="22"/>
            <w:szCs w:val="22"/>
            <w:lang w:val="ru"/>
          </w:rPr>
          <w:t>IOC/INF-1387</w:t>
        </w:r>
      </w:hyperlink>
      <w:r>
        <w:rPr>
          <w:rFonts w:asciiTheme="minorBidi" w:hAnsiTheme="minorBidi" w:cstheme="minorBidi"/>
          <w:sz w:val="22"/>
          <w:szCs w:val="22"/>
          <w:lang w:val="ru"/>
        </w:rPr>
        <w:t>), в областях морских исследований, данных, развития потенциала и передачи морской технологии.</w:t>
      </w:r>
    </w:p>
    <w:p w14:paraId="1413FF88" w14:textId="728CED9D" w:rsidR="00C008B0" w:rsidRPr="00831211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Существенных успехов удалось добиться в обеспечении государств-членов методологическими инструментами оценки прогресса и представления отчетности по показателям ЦУР 14.3.1 и 14.a.1, в отношении которых на МОК возложена задача методической поддержки в рамках системы ООН. По случаю празднования 14 декабря 2020 года 60-й годовщины с момента создания МОК было выпущено второе издание </w:t>
      </w:r>
      <w:r>
        <w:rPr>
          <w:rFonts w:asciiTheme="minorBidi" w:hAnsiTheme="minorBidi" w:cstheme="minorBidi"/>
          <w:i/>
          <w:iCs/>
          <w:sz w:val="22"/>
          <w:szCs w:val="22"/>
          <w:lang w:val="ru"/>
        </w:rPr>
        <w:t>Научного доклада о Мировом океане</w:t>
      </w:r>
      <w:r>
        <w:rPr>
          <w:rFonts w:asciiTheme="minorBidi" w:hAnsiTheme="minorBidi" w:cstheme="minorBidi"/>
          <w:sz w:val="22"/>
          <w:szCs w:val="22"/>
          <w:lang w:val="ru"/>
        </w:rPr>
        <w:t xml:space="preserve"> (НДМО 2000). Помимо обеспечения прочной основы для измерения прогресса в достижении ЦУР 14.a в докладе содержатся исходные показатели уровня потенциала в области наук об океане и соответствующих инвестиций. Этот доклад будет служить средством мониторинга в рамках Десятилетия науки об океане.</w:t>
      </w:r>
    </w:p>
    <w:p w14:paraId="5E3EC837" w14:textId="238490BB" w:rsidR="00C008B0" w:rsidRPr="006E3870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Действуя в точках соприкосновения науки и политики, МОК смогла разработать консолидированную многостороннюю программу исследований и наблюдений за океаническим углеродом в поддержку осуществления соответствующих положений Рамочной конвенции ООН об изменении климата (РКИКООН) и ее Парижского соглашения. Она продолжила оказывать эффективную поддержку глобальной системе наблюдений за закислением океана и в настоящее время принимает у себя секретариат для координации деятельности международного партнерства по «Голубому углероду». В рамках работы межучрежденческой Группы экспертов ООН по научным аспектам защиты морской среды МОК совместно с ИМО приступила к разработке руководящих принципов по вопросам биозагрязнения и борьбы с распространением инвазивных морских видов.</w:t>
      </w:r>
    </w:p>
    <w:p w14:paraId="2993CE95" w14:textId="68862AD1" w:rsidR="00C008B0" w:rsidRPr="00831211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Во второй половине 2020 г. вторая оценка Мирового океана была одобрена государствами-членами ООН, которые также пришли к договоренности о проведении третьего цикла регулярного процесса глобального освещения и оценки состояния морской среды, включая социально-экономические аспекты (ГООМС) (2021–2025 гг.), призвав к </w:t>
      </w:r>
      <w:r>
        <w:rPr>
          <w:rFonts w:asciiTheme="minorBidi" w:hAnsiTheme="minorBidi" w:cstheme="minorBidi"/>
          <w:sz w:val="22"/>
          <w:szCs w:val="22"/>
          <w:lang w:val="ru"/>
        </w:rPr>
        <w:lastRenderedPageBreak/>
        <w:t>синергии с Десятилетием науки об океане в целях укрепления взаимосвязи науки и политики в отношении океана в рамках различных дисциплин и на всех уровнях.</w:t>
      </w:r>
    </w:p>
    <w:p w14:paraId="2668F37C" w14:textId="7E25861D" w:rsidR="00C008B0" w:rsidRPr="00831211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Основное внимание сообщества, занимающегося Глобальной системой наблюдений за океаном (ГСНО), было сосредоточено на налаживании партнерских связей и разработке концепций для трех программ ГСНО в рамках Десятилетия науки об океане: «Прогнозирование в прибрежных районах» (CoastPredict), «Наблюдаем вместе» и «Общая конфигурация наблюдений за океаном». Эти программы основываются на идее интеграции ГСНО в различные аспекты работы, создания партнерств для более эффективного осуществления деятельности в интересах науки и общества и проведения экспериментальных проектов в целях более эффективного обслуживания пользователей в научной и социальной областях. Центр оперативной технической поддержки OceanOPS (ранее СКОММОПС) опубликовал новую пятилетнюю стратегию и выпустил новое издание ежегодного резюме доклада о наблюдениях за океаном. В этом резюме сообщается о состоянии сетей наблюдений с точки зрения их реализации, метаданных и потока данных, стандартов и передовой практики, а также об их вкладе в оперативные, климатические и связанные со здоровьем океанов аспекты миссии ГСНО.</w:t>
      </w:r>
    </w:p>
    <w:p w14:paraId="2351AF38" w14:textId="70AD9077" w:rsidR="00C008B0" w:rsidRPr="00831211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Кроме того, сообщество специалистов по океаническим данным прилагает усилия для увеличения своего вклада в Десятилетие. В настоящее время ведется активная работа над планом конфигурации Системы океанических данных и информации (ОДИС). Началось осуществление трех новых крупных проектов: «Инфохаб-Океан» МОК, который будет уделять основное внимание Латинской Америке и Карибскому бассейну, Африке и МОСРГ Тихого океана, сеть оповещения о биозагрязнении вод у островов Тихого океана и Вторая глобальная академия «Океан-инструктор». Началась разработка двух приложений для визуализации данных – портала ГСНО «БиоЭко» и портала по вредоносному цветению водорослей. Информационная система по океаническому биоразнообразию, отметившая 20-летие своей деятельности, по-прежнему часто упоминалась в научной литературе как инструмент поддержки исследователей </w:t>
      </w:r>
    </w:p>
    <w:p w14:paraId="0FBBC2A6" w14:textId="72607D9C" w:rsidR="00C008B0" w:rsidRPr="00831211" w:rsidRDefault="00C008B0" w:rsidP="00242324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Разработка региональных систем предупреждения о цунами по-прежнему координировалась в рамках четырех региональных межправительственных групп (СПЦСВАСМ — северо-западная часть Атлантического океана, КАРИБ-СРП — Карибский бассейн и прилегающие районы, СПЦТО — Тихий океан и СПЦСПИО — Индийский океан). Рабочая группа по системам предупреждения о цунами и других опасных явлениях содействовала глобальному согласованию этих систем и установлению их стандартов. Секретариат МОК продолжал тесно сотрудничать с рабочими группами экспертов и государствами-членами в целях поддержки и укрепления региональных систем и осуществления соответствующих инициатив. 137 государств-членов, в том числе 28 МОСРГ и девять стран Африки, создали национальные координационные механизмы/центры предупреждения о цунами. В регионе Южно-Китайского моря был открыт региональный консультативный центр по цунами, выполняющий роль системы предупреждения о цунами для девяти стран региона. Национальные центры предупреждения о цунами в Греции, Италии, Португалии, Турции и Франции после проведения коллегиальной оценки их функций и достижений были аккредитованы в качестве региональных провайдеров данных слежения за цунами. В настоящее время в трех регионах (Карибский бассейн, Тихий океан и Индийский океан) в экспериментальном порядке осуществляется основанная на показателях эффективности программа по сертификации готовности к цунами на уровне общин. В рамках этой программы сертификаты получили более 25 общин в 15 странах, включая десять МОСРГ. </w:t>
      </w:r>
    </w:p>
    <w:p w14:paraId="2D068C8E" w14:textId="5454D829" w:rsidR="004B4ECA" w:rsidRPr="00831211" w:rsidRDefault="00C008B0" w:rsidP="006E3870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eastAsia="SimSun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МОК продолжала уделять особое внимание развитию потенциала своих государств-членов, в частности в рамках своих региональных вспомогательных органов – ВЕСТПАК, МОКАРИБ, МОКАФРИКА и ИОСИНДИО. В рамках второй Международной экспедиции в Индийском океане более 50 ученых из африканских стран приняли участие в исследовательских экспедициях, организованных Южной Африкой. Представители Кении, </w:t>
      </w:r>
      <w:r>
        <w:rPr>
          <w:rFonts w:asciiTheme="minorBidi" w:hAnsiTheme="minorBidi" w:cstheme="minorBidi"/>
          <w:sz w:val="22"/>
          <w:szCs w:val="22"/>
          <w:lang w:val="ru"/>
        </w:rPr>
        <w:lastRenderedPageBreak/>
        <w:t>Коморских Островов, Маврикия, Мадагаскара, Мозамбика, Объединенной Республики Танзании и Южной Африки прошли подготовку по составлению карт наводнений и эвакуации при цунами, а представители Кении, Коморских Островов, Мадагаскара, Объединенной Республики Танзании и Южной Африки отработали стандартные оперативные процедуры предупреждения о цунами и экстренного реагирования. Все имеющие выход к Индийскому океану африканские государства-члены приняли участие в учениях по цунами, а в Кении, Объединенной Республики Танзании и на Сейшельских Островах была проведена эвакуация населения. Потенциал в области подготовки кадров был существенно увеличен благодаря 16 региональным/специализированным учебным центрам Глобальной академии «Океан-инструктор» (ГАОИ), а также региональным учебно-исследовательским центрам ВЕСТПАК, которые в совокупности обеспечили подготовку почти 1000 человек. Кроме того, были проведены две оценки потребностей в области развития потенциала, которые позволят более целенаправленно осуществлять мероприятия по развитию потенциала посредством всех глобальных программ и региональных вспомогательных органов МОК и будут способствовать привлечению внебюджетных средств. В регионе ИОСИНДИО два центра категории 2 под эгидой ЮНЕСКО — в Исламской Республике Иран и Индии — вносят ценный вклад и обеспечивают региональное участие в программах. Соглашения, находящиеся на стадии переговоров с Южно-Тихоокеанским сообществом и Ассоциацией регионального сотрудничества стран Индийского океана, станут важным шагом в этом направлении.</w:t>
      </w:r>
    </w:p>
    <w:p w14:paraId="45703EFD" w14:textId="25C4F3E7" w:rsidR="00C008B0" w:rsidRPr="00831211" w:rsidRDefault="00C008B0" w:rsidP="006E3870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Десятилетие науки об океане представляет собой исключительную возможность для развивающихся стран укрепить свой потенциал в области океанических исследований в поддержку устойчивой экономики океана. МОК совместно с Ассоциацией морских наук западной части Индийского океана и секретариатом Найробийской конвенции (ООН по окружающей среде) организовала «Региональный консультативный семинар по проведению Десятилетия ООН, посвященного науке об океане в интересах устойчивого развития 2021–2030 гг., для Африки и прилегающих островных государств», который состоялся в Найроби при поддержке правительства Кении с 27 по 29 января 2020 г. Семинар, а также вебинар на тему «Совместное планирование научных знаний в интересах Африки» (3 ноября 2020 г.) позволили определить региональные потребности и приоритеты в плане преобразования систем знаний, ускорения передачи морских технологий, создания благоприятных условий для обучения и образования, содействия диалогу между наукой и политикой и наращивания потенциала в соответствии с инициативами Африканского союза. МОК при поддержке правительства Египта в настоящее время готовится к установочной конференции Десятилетия науки об океане в поддержку устойчивого развития Африки, которая состоится в декабре 2021 года. </w:t>
      </w:r>
    </w:p>
    <w:p w14:paraId="7E2D422E" w14:textId="0FCDA43C" w:rsidR="00C008B0" w:rsidRPr="00831211" w:rsidRDefault="00C008B0" w:rsidP="006E3870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План проведения Десятилетия будет также способствовать сопряжению усилий в рамках реализации ЦУР 5 (Гендерное равенство) и ЦУР 14 (Океаны) посредством пропаганды вклада женщин в развитие морских наук, расширения знаний человечества об океане и выработки обоснованных и учитывающих интересы всех групп населения решений. </w:t>
      </w:r>
      <w:r>
        <w:rPr>
          <w:rFonts w:asciiTheme="minorBidi" w:hAnsiTheme="minorBidi" w:cstheme="minorBidi"/>
          <w:i/>
          <w:iCs/>
          <w:sz w:val="22"/>
          <w:szCs w:val="22"/>
          <w:lang w:val="ru"/>
        </w:rPr>
        <w:t>Научный доклад о Мировом океане</w:t>
      </w:r>
      <w:r>
        <w:rPr>
          <w:rFonts w:asciiTheme="minorBidi" w:hAnsiTheme="minorBidi" w:cstheme="minorBidi"/>
          <w:sz w:val="22"/>
          <w:szCs w:val="22"/>
          <w:lang w:val="ru"/>
        </w:rPr>
        <w:t>, содержащий данные с разбивкой по полу, продолжил служить одним из механизмов мониторинга прогресса.</w:t>
      </w:r>
    </w:p>
    <w:p w14:paraId="1B4E6DBF" w14:textId="43941FE6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При поддержке со стороны правительства Швеции МОК создала платформу для распространения знаний об океане и подготовила комплект материалов, который на экспериментальной основе используется в школах 36 стран в рамках Сети ПАШ. В сотрудничестве с международной научной группой по «голубому углероду» МОК разработала методологию количественной оценки запасов «голубого углерода» в целях оказания поддержки в подготовке национальных докладов для РКИКООН и содействовала участию Организации в КС-24 и КС-25 посредством повышения осведомленности о роли океана в регулировании изменения климата. На первом совещании в ноябре 2020 г. Председатель и сотрудники МОК, а также эксперты Консультативного научно-технического органа Конвенции об охране подводного культурного наследия 2001 г. пришли к договоренности о совместной разработке стратегических рамок, определяющих приоритетные мероприятия для сообщества специалистов по подводному культурному наследию, которые могут вдохновить </w:t>
      </w:r>
      <w:r>
        <w:rPr>
          <w:rFonts w:asciiTheme="minorBidi" w:hAnsiTheme="minorBidi" w:cstheme="minorBidi"/>
          <w:sz w:val="22"/>
          <w:szCs w:val="22"/>
          <w:lang w:val="ru"/>
        </w:rPr>
        <w:lastRenderedPageBreak/>
        <w:t>и стимулировать мероприятия в рамках Десятилетия. Десятилетие науки об океане предоставит возможности и рамочную основу для активизации существующих и развития новых синергетических связей с использованием подхода, предполагающего взаимодействие с другими секторами.</w:t>
      </w:r>
    </w:p>
    <w:p w14:paraId="2AD4E7BE" w14:textId="7A1EC82B" w:rsidR="00C008B0" w:rsidRPr="00831211" w:rsidRDefault="00C008B0" w:rsidP="00FC3532">
      <w:pPr>
        <w:spacing w:after="240"/>
        <w:jc w:val="both"/>
        <w:rPr>
          <w:rFonts w:asciiTheme="minorBidi" w:hAnsiTheme="minorBidi" w:cstheme="minorBidi"/>
          <w:b/>
          <w:bCs/>
          <w:i/>
          <w:iCs/>
          <w:szCs w:val="22"/>
        </w:rPr>
      </w:pPr>
      <w:r>
        <w:rPr>
          <w:rFonts w:asciiTheme="minorBidi" w:hAnsiTheme="minorBidi" w:cstheme="minorBidi"/>
          <w:b/>
          <w:bCs/>
          <w:i/>
          <w:iCs/>
          <w:szCs w:val="22"/>
          <w:lang w:val="ru"/>
        </w:rPr>
        <w:t xml:space="preserve">Партнерские связи </w:t>
      </w:r>
    </w:p>
    <w:p w14:paraId="44CB3612" w14:textId="0DE34876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В 2018 г. в Найроби прошла конференция по устойчивой «голубой» экономике, с участниками которой МОК обменялась опытом оказания государствам поддержки в области морского пространственного планирования (МПП). МОК расширила свои партнерские связи с Европейской комиссией, выступив с новой совместной инициативой, направленной на содействие трансграничному МПП. После ее успешной реализации обсуждается новая совместная дорожная карта для МПП на период 2022–2025 гг. Глобальный экологический фонд остается важным партнером МОК в ряде ключевых областей деятельности, в рамках которой начато осуществление новых проектов в Саргассовом море и в связи с биозагрязнением. Активно развивается сотрудничество с МГО по вопросам ГЕБКО и картирования океана. Обе организации осуществляют надзор за разработкой проекта «Морское дно 2030» и обеспечат его вклад в план проведения Десятилетия. В течение 2020 г. активизировалось сотрудничество с Отделом ООН по вопросам океана и морскому праву (ОВОМП) для обеспечения согласованности плана проведения Десятилетия с положениями ЮНКЛОС, а также для содействия его рассмотрению Генеральной Ассамблеей ООН. </w:t>
      </w:r>
    </w:p>
    <w:p w14:paraId="42E62668" w14:textId="62009283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ab/>
        <w:t>Бельгия (правительство Фландрии), Канада, Китай, Норвегия, Португалия, Республика Корея, Соединенное Королевство, Швеция и Япония, а также некоммерческая организация RevOcean предоставили финансовую помощь на цели подготовки плана проведения Десятилетия. Норвегия оставалась основным донором нецелевых средств для специального счета МОК, содействуя осуществлению программы с акцентом на коллективно согласованные приоритеты. Дополнительный взнос Норвежского агентства по сотрудничеству в области развития в размере 2 млн. долл. США позволит значительно активизировать усилия МОК по развитию потенциала в интересах Африки и МОСРГ.</w:t>
      </w:r>
    </w:p>
    <w:p w14:paraId="125C43C4" w14:textId="35F4B927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ab/>
        <w:t>Бельгия (правительство Фландрии), Китай и Австралия продолжали оказывать поддержку основным бюро МОК и их программам в, соответственно, Остенде (Бельгия), Перте (Австралия) и в Подкомиссии МОК для западной части Тихого океана (ВЕСТПАК).</w:t>
      </w:r>
    </w:p>
    <w:p w14:paraId="78A083D3" w14:textId="086FE058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Успешно развивался ряд перспективных партнерств с частным сектором, в том числе на основе сотрудничества с Платформой действий деловых кругов в поддержку устойчивого освоения океана, созданной в рамках Глобального договора ООН. МОК установила партнерские связи с фондом Velux в целях налаживания сотрудничества с благотворительными организациями в рамках мероприятия по привлечению партнеров, которое состоялось в феврале 2020 г. в Королевской академии наук и литературы Дании. Были также подписаны соглашения с организацией RevOcean (включая ее службу данных при центре по проблематике четвертой промышленной революции) и с Институтом океана Шмидта. </w:t>
      </w:r>
    </w:p>
    <w:p w14:paraId="40EE3CC0" w14:textId="29B8B768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В развитие нашего вклада в работу конференции «Наш океан» (23–24 октября 2019 г., Осло, Норвегия) МОК объявила о создании Альянса в поддержку проведения Десятилетия Организации Объединенных Наций, посвященного науке об океане в интересах устойчивого развития (2021–2030 гг.). Работа этого альянса началась с виртуального мероприятия под названием «Прекрасный новый океан», в котором приняли участие эксперты и руководители со всего мира, занимающиеся вопросами океана, с целью привлечения внимания к стоящим перед ним огромным вызовам, а также возможностям, которые океанография может предложить человечеству для построения более совершенного и сильного мира после пандемии. В этом мероприятии, открытом Генеральным директором, приняли участие ряд членов-основателей Альянса в поддержку Десятилетия науки об океане, включая Его Превосходительство достопочтенного Ухуру Кеньятту, президента Кении, Ее </w:t>
      </w:r>
      <w:r>
        <w:rPr>
          <w:rFonts w:asciiTheme="minorBidi" w:hAnsiTheme="minorBidi" w:cstheme="minorBidi"/>
          <w:sz w:val="22"/>
          <w:szCs w:val="22"/>
          <w:lang w:val="ru"/>
        </w:rPr>
        <w:lastRenderedPageBreak/>
        <w:t>Превосходительство Эрну Солберг, премьер-министра Норвегии, Ее Королевское Высочество принцессу Марокко Лаллу Хаснаа, Его Светлость принц Монако Альберт II и Его Превосходительство достопочтенного Марселу Ребело де Соуза, президента Португалии, а также ведущие благотворительные организации, такие как Институт океана Шмидта и Фонд Бертарелли.</w:t>
      </w:r>
    </w:p>
    <w:p w14:paraId="0E9D5869" w14:textId="1294449E" w:rsidR="00C008B0" w:rsidRPr="00831211" w:rsidRDefault="00C008B0" w:rsidP="00FC3532">
      <w:pPr>
        <w:spacing w:after="240"/>
        <w:jc w:val="both"/>
        <w:rPr>
          <w:rFonts w:asciiTheme="minorBidi" w:hAnsiTheme="minorBidi" w:cstheme="minorBidi"/>
          <w:b/>
          <w:bCs/>
          <w:i/>
          <w:iCs/>
          <w:szCs w:val="22"/>
        </w:rPr>
      </w:pPr>
      <w:r>
        <w:rPr>
          <w:rFonts w:asciiTheme="minorBidi" w:hAnsiTheme="minorBidi" w:cstheme="minorBidi"/>
          <w:b/>
          <w:bCs/>
          <w:i/>
          <w:iCs/>
          <w:szCs w:val="22"/>
          <w:lang w:val="ru"/>
        </w:rPr>
        <w:t>Проблемы и коррективные меры</w:t>
      </w:r>
    </w:p>
    <w:p w14:paraId="455572A2" w14:textId="2E60C948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 xml:space="preserve">В целом наиболее сложная проблема, стоящая перед немногочисленным секретариатом Комиссии, связана с выполнением двойной задачи, заключающейся в привлечении средств, необходимых не только для сохранения ее основных оперативных программ, но и для выполнения руководящей и координирующей роли на этапе подготовки Десятилетия. В настоящее время прорабатываются новые подходы в отношении мобилизации ресурсов и информационно-просветительской работы с упором на разъяснении выгод, которые общество получит благодаря деятельности МОК, а также на демонстрации окупаемости инвестиций в сферу морских научных исследований и океанографических наблюдений. </w:t>
      </w:r>
    </w:p>
    <w:p w14:paraId="7A1B9D6B" w14:textId="52168C7C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ab/>
        <w:t xml:space="preserve">В коммуникации и информационно-просветительской деятельности ведется более активная работа по популяризации целей Десятилетия и привлечению более широкого круга заинтересованных сторон. </w:t>
      </w:r>
    </w:p>
    <w:p w14:paraId="107319A5" w14:textId="365FF7F6" w:rsidR="00C008B0" w:rsidRPr="00831211" w:rsidRDefault="00C008B0" w:rsidP="00FC3532">
      <w:pPr>
        <w:spacing w:after="240"/>
        <w:jc w:val="both"/>
        <w:rPr>
          <w:rFonts w:asciiTheme="minorBidi" w:hAnsiTheme="minorBidi" w:cstheme="minorBidi"/>
          <w:bCs/>
          <w:i/>
          <w:szCs w:val="22"/>
        </w:rPr>
      </w:pPr>
      <w:r>
        <w:rPr>
          <w:rFonts w:asciiTheme="minorBidi" w:hAnsiTheme="minorBidi" w:cstheme="minorBidi"/>
          <w:i/>
          <w:iCs/>
          <w:szCs w:val="22"/>
          <w:lang w:val="ru"/>
        </w:rPr>
        <w:t>Воздействие пандемии COVID-19 на осуществление положений документа 40 С/5</w:t>
      </w:r>
    </w:p>
    <w:p w14:paraId="2AAB8784" w14:textId="3BE41B7E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ab/>
        <w:t xml:space="preserve">Воздействие связанного с COVID-19 режима изоляции вызвало особую озабоченность в отношении оперативных программ МОК – Глобальной системы наблюдений за океаном и Международного обмена океанографическими данными и информацией, – предоставляющих важнейшую информацию, необходимую для морских, климатических и метеорологических прогнозов и предупреждений.  </w:t>
      </w:r>
    </w:p>
    <w:p w14:paraId="25501274" w14:textId="38FF8F09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ab/>
        <w:t xml:space="preserve">МОК провела ряд опросов и продолжила тесное сотрудничество со своими партнерами в соответствующих сообществах для оценки полного воздействия до конца 2021 года, обеспечив при этом перераспределение ресурсов в связи с отменой мероприятий и сокращением числа поездок. Однако становится все более очевидно, что в наборах глобальных океанических данных будут возникать пробелы в связи с отменой исследовательских рейсов, отсутствием технического обслуживания оборудования для наблюдений во время пандемии, сокращением персонала во время и, возможно, после пандемии, а также вероятным сокращением оперативных бюджетов. Мониторинг ситуации с данными будет осуществляться через портал данных НДМО. </w:t>
      </w:r>
    </w:p>
    <w:p w14:paraId="0BE0AD7B" w14:textId="3F1F1314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Межправительственная координация деятельности в рамках Глобальной системы предупреждения о цунами ограничилась в основном совещаниями в режиме онлайн, а совещания руководящих органов были перенесены на более поздние сроки или, при необходимости, проведены в режиме онлайн. Мероприятия были быстро адаптированы к новой рабочей рутине, в том числе путем: (i) подготовки руководящих принципов для служб предупреждения о цунами, эвакуации и предоставления укрытий во время COVID-19 и (ii) проведения обследования по оценке воздействия пандемии COVID-19 на сети сейсмических мареографов и датчиков цунами, а также на деятельность провайдеров связанных с ними услуг.</w:t>
      </w:r>
    </w:p>
    <w:p w14:paraId="456C0A25" w14:textId="262BB2B2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t>Наличие платформы электронного обучения Глобальной академии «Океан-инструктор» позволило уже в июне 2020 г. оперативно произвести необходимые корректировки и организовать учебные курсы в режиме онлайн, чтобы сохранить усилия МОК по созданию потенциала на запланированном уровне.</w:t>
      </w:r>
    </w:p>
    <w:p w14:paraId="5CCE0BB3" w14:textId="0F01FFFC" w:rsidR="00C008B0" w:rsidRPr="00831211" w:rsidRDefault="00C008B0" w:rsidP="00831211">
      <w:pPr>
        <w:pStyle w:val="ListParagraph"/>
        <w:numPr>
          <w:ilvl w:val="0"/>
          <w:numId w:val="27"/>
        </w:numPr>
        <w:snapToGrid w:val="0"/>
        <w:spacing w:after="240"/>
        <w:ind w:left="0" w:firstLine="0"/>
        <w:contextualSpacing w:val="0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 w:val="22"/>
          <w:szCs w:val="22"/>
          <w:lang w:val="ru"/>
        </w:rPr>
        <w:lastRenderedPageBreak/>
        <w:t>Некоторые из крупных совещаний ООН пришлось отложить до конца 2021 г. или до 2022 г., как в случае со второй Конференцией ООН по океану, перенесенной на 2022 г. Были определены альтернативные меры для сохранения взаимодействия с заинтересованными сторонами. Например, установочная конференция Десятилетия, проведение которой планировалось при поддержке правительства Германии, была преобразована в серию мероприятий высокого уровня и лабораторий Десятилетия, которые будут реализованы в течение 2021 г.</w:t>
      </w:r>
    </w:p>
    <w:sectPr w:rsidR="00C008B0" w:rsidRPr="00831211" w:rsidSect="003F7186">
      <w:headerReference w:type="even" r:id="rId20"/>
      <w:headerReference w:type="default" r:id="rId21"/>
      <w:headerReference w:type="first" r:id="rId22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2AC1" w14:textId="77777777" w:rsidR="001A037F" w:rsidRDefault="001A037F">
      <w:r>
        <w:separator/>
      </w:r>
    </w:p>
  </w:endnote>
  <w:endnote w:type="continuationSeparator" w:id="0">
    <w:p w14:paraId="02328075" w14:textId="77777777" w:rsidR="001A037F" w:rsidRDefault="001A037F">
      <w:r>
        <w:continuationSeparator/>
      </w:r>
    </w:p>
  </w:endnote>
  <w:endnote w:type="continuationNotice" w:id="1">
    <w:p w14:paraId="736FA55B" w14:textId="77777777" w:rsidR="001A037F" w:rsidRDefault="001A0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D238" w14:textId="77777777" w:rsidR="00831211" w:rsidRDefault="00831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0AB3" w14:textId="77777777" w:rsidR="00831211" w:rsidRDefault="00831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3331" w14:textId="77777777" w:rsidR="00831211" w:rsidRDefault="00831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D806C" w14:textId="77777777" w:rsidR="001A037F" w:rsidRDefault="001A037F">
      <w:r>
        <w:separator/>
      </w:r>
    </w:p>
  </w:footnote>
  <w:footnote w:type="continuationSeparator" w:id="0">
    <w:p w14:paraId="6DEB291B" w14:textId="77777777" w:rsidR="001A037F" w:rsidRDefault="001A037F">
      <w:r>
        <w:continuationSeparator/>
      </w:r>
    </w:p>
  </w:footnote>
  <w:footnote w:type="continuationNotice" w:id="1">
    <w:p w14:paraId="77BB6B2E" w14:textId="77777777" w:rsidR="001A037F" w:rsidRDefault="001A0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719C4" w14:textId="77777777" w:rsidR="00441140" w:rsidRPr="00C962F0" w:rsidRDefault="00441140">
    <w:pPr>
      <w:pStyle w:val="Header"/>
      <w:rPr>
        <w:szCs w:val="22"/>
      </w:rPr>
    </w:pPr>
    <w:r>
      <w:rPr>
        <w:szCs w:val="22"/>
        <w:lang w:val="ru"/>
      </w:rPr>
      <w:t xml:space="preserve">ICG/CARIBE-EWS II/WD </w:t>
    </w:r>
    <w:r>
      <w:rPr>
        <w:szCs w:val="22"/>
        <w:highlight w:val="cyan"/>
        <w:lang w:val="ru"/>
      </w:rPr>
      <w:t>__</w:t>
    </w:r>
  </w:p>
  <w:p w14:paraId="6A24548F" w14:textId="77777777" w:rsidR="00441140" w:rsidRPr="00C962F0" w:rsidRDefault="00441140">
    <w:pPr>
      <w:pStyle w:val="Header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D62A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IOC-XXIV/2 Annex </w:t>
    </w:r>
    <w:r>
      <w:rPr>
        <w:szCs w:val="22"/>
        <w:highlight w:val="yellow"/>
        <w:lang w:val="ru"/>
      </w:rPr>
      <w:t>__</w:t>
    </w:r>
  </w:p>
  <w:p w14:paraId="70AB0676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6C23CAB6" w14:textId="77777777" w:rsidR="00441140" w:rsidRPr="00DF2FB9" w:rsidRDefault="00441140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3D29B" w14:textId="23F14093" w:rsidR="00441140" w:rsidRPr="005E544C" w:rsidRDefault="00441140" w:rsidP="00831211">
    <w:pPr>
      <w:pStyle w:val="Marge"/>
      <w:tabs>
        <w:tab w:val="left" w:pos="7230"/>
        <w:tab w:val="left" w:pos="8080"/>
      </w:tabs>
      <w:spacing w:after="0"/>
      <w:rPr>
        <w:rFonts w:cs="Arial"/>
        <w:b/>
        <w:szCs w:val="22"/>
      </w:rPr>
    </w:pPr>
    <w:r>
      <w:rPr>
        <w:lang w:val="ru"/>
      </w:rPr>
      <w:tab/>
    </w:r>
  </w:p>
  <w:p w14:paraId="63D946BE" w14:textId="5AC62A6E" w:rsidR="000156E0" w:rsidRPr="00C008B0" w:rsidRDefault="00C008B0" w:rsidP="00831211">
    <w:pPr>
      <w:pStyle w:val="Marge"/>
      <w:tabs>
        <w:tab w:val="left" w:pos="6804"/>
        <w:tab w:val="left" w:pos="8080"/>
      </w:tabs>
      <w:spacing w:after="0"/>
      <w:rPr>
        <w:rFonts w:cs="Arial"/>
        <w:b/>
        <w:sz w:val="28"/>
        <w:szCs w:val="28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28"/>
        <w:szCs w:val="28"/>
        <w:lang w:val="ru"/>
      </w:rPr>
      <w:t>IOC/A-31/3.6.Doc</w:t>
    </w:r>
  </w:p>
  <w:p w14:paraId="217BCF53" w14:textId="70DEFFC0" w:rsidR="000156E0" w:rsidRPr="005E544C" w:rsidRDefault="000156E0" w:rsidP="00831211">
    <w:pPr>
      <w:tabs>
        <w:tab w:val="clear" w:pos="567"/>
        <w:tab w:val="left" w:pos="6804"/>
        <w:tab w:val="left" w:pos="8080"/>
      </w:tabs>
      <w:rPr>
        <w:rFonts w:cs="Arial"/>
        <w:szCs w:val="22"/>
      </w:rPr>
    </w:pPr>
    <w:r>
      <w:rPr>
        <w:rFonts w:cs="Arial"/>
        <w:szCs w:val="22"/>
        <w:lang w:val="ru"/>
      </w:rPr>
      <w:tab/>
      <w:t xml:space="preserve">Париж, 25 мая 2021 года </w:t>
    </w:r>
  </w:p>
  <w:p w14:paraId="25CD7700" w14:textId="77777777" w:rsidR="000156E0" w:rsidRPr="005E544C" w:rsidRDefault="000156E0" w:rsidP="00831211">
    <w:pPr>
      <w:tabs>
        <w:tab w:val="clear" w:pos="567"/>
        <w:tab w:val="left" w:pos="6804"/>
        <w:tab w:val="left" w:pos="8080"/>
      </w:tabs>
      <w:rPr>
        <w:rFonts w:cs="Arial"/>
        <w:szCs w:val="22"/>
      </w:rPr>
    </w:pPr>
    <w:r>
      <w:rPr>
        <w:rFonts w:cs="Arial"/>
        <w:szCs w:val="22"/>
        <w:lang w:val="ru"/>
      </w:rPr>
      <w:tab/>
      <w:t>Язык оригинала:</w:t>
    </w:r>
    <w:r>
      <w:rPr>
        <w:rFonts w:cs="Arial"/>
        <w:b/>
        <w:bCs/>
        <w:szCs w:val="22"/>
        <w:lang w:val="ru"/>
      </w:rPr>
      <w:t xml:space="preserve"> </w:t>
    </w:r>
    <w:r>
      <w:rPr>
        <w:rFonts w:cs="Arial"/>
        <w:szCs w:val="22"/>
        <w:lang w:val="ru"/>
      </w:rPr>
      <w:t xml:space="preserve">английский </w:t>
    </w:r>
  </w:p>
  <w:p w14:paraId="565AF84A" w14:textId="77777777" w:rsidR="000156E0" w:rsidRPr="005E544C" w:rsidRDefault="000156E0" w:rsidP="0083121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096"/>
        <w:tab w:val="left" w:pos="6480"/>
        <w:tab w:val="left" w:pos="6660"/>
        <w:tab w:val="left" w:pos="6804"/>
        <w:tab w:val="left" w:pos="7020"/>
        <w:tab w:val="left" w:pos="8080"/>
      </w:tabs>
      <w:rPr>
        <w:rFonts w:cs="Arial"/>
        <w:b/>
        <w:szCs w:val="22"/>
      </w:rPr>
    </w:pPr>
  </w:p>
  <w:p w14:paraId="7AF41F0C" w14:textId="77777777" w:rsidR="000156E0" w:rsidRPr="005E544C" w:rsidRDefault="000156E0" w:rsidP="000156E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/>
        <w:szCs w:val="22"/>
      </w:rPr>
    </w:pPr>
  </w:p>
  <w:p w14:paraId="02580C58" w14:textId="77777777" w:rsidR="000156E0" w:rsidRPr="00010BBB" w:rsidRDefault="000156E0" w:rsidP="000156E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noProof/>
        <w:lang w:val="ru"/>
      </w:rPr>
      <w:drawing>
        <wp:anchor distT="0" distB="0" distL="114300" distR="114300" simplePos="0" relativeHeight="251659264" behindDoc="1" locked="0" layoutInCell="1" allowOverlap="1" wp14:anchorId="66ECD9BE" wp14:editId="276A3085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1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lang w:val="ru"/>
      </w:rPr>
      <w:t>МЕЖПРАВИТЕЛЬСТВЕННАЯ ОКЕАНОГРАФИЧЕСКАЯ КОМИССИЯ</w:t>
    </w:r>
  </w:p>
  <w:p w14:paraId="06DE3E8D" w14:textId="77777777" w:rsidR="000156E0" w:rsidRPr="003561BE" w:rsidRDefault="000156E0" w:rsidP="000156E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bCs/>
        <w:sz w:val="24"/>
      </w:rPr>
    </w:pPr>
    <w:r>
      <w:rPr>
        <w:rFonts w:cs="Arial"/>
        <w:b/>
        <w:bCs/>
        <w:sz w:val="24"/>
        <w:lang w:val="ru"/>
      </w:rPr>
      <w:t>(ЮНЕСКО)</w:t>
    </w:r>
  </w:p>
  <w:p w14:paraId="17124BA5" w14:textId="77777777" w:rsidR="000156E0" w:rsidRPr="005E544C" w:rsidRDefault="000156E0" w:rsidP="000156E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33ECA7B0" w14:textId="77777777" w:rsidR="000156E0" w:rsidRPr="00010BBB" w:rsidRDefault="000156E0" w:rsidP="000156E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</w:p>
  <w:p w14:paraId="18E9E2B8" w14:textId="5E2D9BC1" w:rsidR="000156E0" w:rsidRPr="00BF254D" w:rsidRDefault="000156E0" w:rsidP="000156E0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cs="Arial"/>
        <w:b/>
      </w:rPr>
    </w:pPr>
    <w:r>
      <w:rPr>
        <w:rFonts w:cs="Arial"/>
        <w:b/>
        <w:bCs/>
        <w:lang w:val="ru"/>
      </w:rPr>
      <w:t>Тридцать первая сессия Ассамблеи</w:t>
    </w:r>
  </w:p>
  <w:p w14:paraId="5FAB6B85" w14:textId="17F8198D" w:rsidR="000156E0" w:rsidRDefault="000156E0" w:rsidP="000156E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  <w:r>
      <w:rPr>
        <w:rFonts w:cs="Arial"/>
        <w:lang w:val="ru"/>
      </w:rPr>
      <w:t>ЮНЕСКО, 14–25 июня 2021 года (в режиме онлайн)</w:t>
    </w:r>
  </w:p>
  <w:p w14:paraId="4E48B820" w14:textId="77777777" w:rsidR="000156E0" w:rsidRPr="005E544C" w:rsidRDefault="000156E0" w:rsidP="000156E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6CC8DDF" w14:textId="77777777" w:rsidR="000156E0" w:rsidRPr="005E544C" w:rsidRDefault="000156E0" w:rsidP="000156E0">
    <w:pPr>
      <w:jc w:val="center"/>
      <w:rPr>
        <w:rFonts w:cs="Arial"/>
        <w:szCs w:val="22"/>
      </w:rPr>
    </w:pPr>
  </w:p>
  <w:p w14:paraId="006B9396" w14:textId="77777777" w:rsidR="000156E0" w:rsidRDefault="000156E0" w:rsidP="000156E0">
    <w:pPr>
      <w:jc w:val="center"/>
      <w:rPr>
        <w:rFonts w:cs="Arial"/>
        <w:szCs w:val="22"/>
      </w:rPr>
    </w:pPr>
  </w:p>
  <w:p w14:paraId="3A09805D" w14:textId="77777777" w:rsidR="000156E0" w:rsidRDefault="000156E0" w:rsidP="000156E0">
    <w:pPr>
      <w:jc w:val="center"/>
      <w:rPr>
        <w:rFonts w:cs="Arial"/>
        <w:szCs w:val="22"/>
      </w:rPr>
    </w:pPr>
  </w:p>
  <w:p w14:paraId="198E4356" w14:textId="77777777" w:rsidR="000156E0" w:rsidRDefault="000156E0" w:rsidP="000156E0">
    <w:pPr>
      <w:jc w:val="center"/>
      <w:rPr>
        <w:rFonts w:cs="Arial"/>
        <w:szCs w:val="22"/>
      </w:rPr>
    </w:pPr>
  </w:p>
  <w:p w14:paraId="01B9E721" w14:textId="77777777" w:rsidR="000156E0" w:rsidRPr="005E544C" w:rsidRDefault="000156E0" w:rsidP="000156E0">
    <w:pPr>
      <w:jc w:val="center"/>
      <w:rPr>
        <w:rFonts w:cs="Arial"/>
        <w:szCs w:val="22"/>
      </w:rPr>
    </w:pPr>
  </w:p>
  <w:p w14:paraId="53E488E5" w14:textId="77777777" w:rsidR="000156E0" w:rsidRPr="005E544C" w:rsidRDefault="000156E0" w:rsidP="000156E0">
    <w:pPr>
      <w:jc w:val="center"/>
      <w:rPr>
        <w:rFonts w:cs="Arial"/>
        <w:szCs w:val="22"/>
      </w:rPr>
    </w:pPr>
  </w:p>
  <w:p w14:paraId="0164A3F9" w14:textId="1EFDE30E" w:rsidR="000156E0" w:rsidRPr="00831211" w:rsidRDefault="000156E0" w:rsidP="001370E4">
    <w:pPr>
      <w:pStyle w:val="Heading7"/>
      <w:tabs>
        <w:tab w:val="left" w:pos="6915"/>
      </w:tabs>
      <w:spacing w:line="240" w:lineRule="auto"/>
      <w:rPr>
        <w:rFonts w:cs="Arial"/>
        <w:sz w:val="24"/>
        <w:u w:val="none"/>
      </w:rPr>
    </w:pPr>
    <w:r>
      <w:rPr>
        <w:rFonts w:cs="Arial"/>
        <w:sz w:val="24"/>
        <w:u w:val="none"/>
        <w:lang w:val="ru"/>
      </w:rPr>
      <w:t xml:space="preserve">Пункт </w:t>
    </w:r>
    <w:r>
      <w:rPr>
        <w:rFonts w:cs="Arial"/>
        <w:b/>
        <w:bCs/>
        <w:sz w:val="24"/>
        <w:u w:val="none"/>
        <w:lang w:val="ru"/>
      </w:rPr>
      <w:t>3.6</w:t>
    </w:r>
    <w:r>
      <w:rPr>
        <w:rFonts w:cs="Arial"/>
        <w:sz w:val="24"/>
        <w:u w:val="none"/>
        <w:lang w:val="ru"/>
      </w:rPr>
      <w:t xml:space="preserve"> предварительной повестки дня</w:t>
    </w:r>
    <w:r>
      <w:rPr>
        <w:rFonts w:cs="Arial"/>
        <w:sz w:val="24"/>
        <w:u w:val="none"/>
        <w:lang w:val="ru"/>
      </w:rPr>
      <w:tab/>
    </w:r>
  </w:p>
  <w:p w14:paraId="0CF3255B" w14:textId="77777777" w:rsidR="000156E0" w:rsidRPr="005E544C" w:rsidRDefault="000156E0" w:rsidP="000156E0">
    <w:pPr>
      <w:rPr>
        <w:rFonts w:cs="Arial"/>
        <w:szCs w:val="22"/>
      </w:rPr>
    </w:pPr>
  </w:p>
  <w:p w14:paraId="1E581F27" w14:textId="77777777" w:rsidR="00441140" w:rsidRPr="005E544C" w:rsidRDefault="00441140" w:rsidP="00DF2FB9">
    <w:pPr>
      <w:rPr>
        <w:rFonts w:cs="Arial"/>
        <w:szCs w:val="22"/>
      </w:rPr>
    </w:pPr>
  </w:p>
  <w:p w14:paraId="35AFDEFB" w14:textId="764BC0CA" w:rsidR="00441140" w:rsidRPr="001370E4" w:rsidRDefault="00515584" w:rsidP="00515584">
    <w:pPr>
      <w:pStyle w:val="Docheading"/>
      <w:spacing w:after="0"/>
      <w:rPr>
        <w:color w:val="000000"/>
        <w:sz w:val="22"/>
        <w:szCs w:val="22"/>
      </w:rPr>
    </w:pPr>
    <w:r>
      <w:rPr>
        <w:color w:val="000000"/>
        <w:sz w:val="22"/>
        <w:szCs w:val="22"/>
        <w:lang w:val="ru"/>
      </w:rPr>
      <w:t xml:space="preserve">Доклад о деятельности МОК (2020–2021 гг.) </w:t>
    </w:r>
    <w:r>
      <w:rPr>
        <w:b w:val="0"/>
        <w:bCs w:val="0"/>
        <w:color w:val="000000"/>
        <w:sz w:val="22"/>
        <w:szCs w:val="22"/>
        <w:lang w:val="ru"/>
      </w:rPr>
      <w:br/>
    </w:r>
    <w:r>
      <w:rPr>
        <w:color w:val="000000"/>
        <w:sz w:val="22"/>
        <w:szCs w:val="22"/>
        <w:lang w:val="ru"/>
      </w:rPr>
      <w:t>для сорок первой Генеральной конференции ЮНЕСКО</w:t>
    </w:r>
  </w:p>
  <w:p w14:paraId="370A056C" w14:textId="77777777" w:rsidR="00441140" w:rsidRPr="00515584" w:rsidRDefault="00441140" w:rsidP="00DF2FB9">
    <w:pPr>
      <w:pStyle w:val="Header"/>
      <w:rPr>
        <w:rFonts w:cs="Arial"/>
        <w:b/>
        <w:szCs w:val="22"/>
      </w:rPr>
    </w:pPr>
  </w:p>
  <w:p w14:paraId="167EC998" w14:textId="77777777" w:rsidR="00441140" w:rsidRPr="005E544C" w:rsidRDefault="00441140">
    <w:pPr>
      <w:pStyle w:val="Head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7CCD8" w14:textId="3B4BFFA4" w:rsidR="00441140" w:rsidRPr="006842FA" w:rsidRDefault="00242324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IOC/A-31/3.6.Doc</w:t>
    </w:r>
  </w:p>
  <w:p w14:paraId="2D1A695D" w14:textId="50ED381E" w:rsidR="00441140" w:rsidRPr="006842FA" w:rsidRDefault="00441140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стр.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4</w:t>
    </w:r>
    <w:r>
      <w:rPr>
        <w:rStyle w:val="PageNumber"/>
        <w:rFonts w:cs="Arial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B358" w14:textId="6FE03567" w:rsidR="0037249C" w:rsidRPr="006842FA" w:rsidRDefault="00EA6689" w:rsidP="00831211">
    <w:pPr>
      <w:pStyle w:val="Header"/>
      <w:tabs>
        <w:tab w:val="clear" w:pos="8306"/>
      </w:tabs>
      <w:ind w:firstLine="7797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IOC/A-31/3.6.Doc</w:t>
    </w:r>
  </w:p>
  <w:p w14:paraId="4390F2C3" w14:textId="0773707A" w:rsidR="0037249C" w:rsidRPr="006842FA" w:rsidRDefault="006F0C64" w:rsidP="00831211">
    <w:pPr>
      <w:pStyle w:val="Header"/>
      <w:tabs>
        <w:tab w:val="clear" w:pos="8306"/>
      </w:tabs>
      <w:ind w:firstLine="7797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3</w:t>
    </w:r>
    <w:r>
      <w:rPr>
        <w:rStyle w:val="PageNumber"/>
        <w:rFonts w:cs="Arial"/>
        <w:sz w:val="20"/>
        <w:szCs w:val="20"/>
        <w:lang w:val="ru"/>
      </w:rPr>
      <w:fldChar w:fldCharType="end"/>
    </w:r>
  </w:p>
  <w:p w14:paraId="6AAB52E1" w14:textId="77777777" w:rsidR="00441140" w:rsidRPr="00424DE6" w:rsidRDefault="00441140" w:rsidP="00637672">
    <w:pPr>
      <w:pStyle w:val="Header"/>
      <w:ind w:left="8364"/>
      <w:rPr>
        <w:rFonts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5F5D" w14:textId="1634947A" w:rsidR="00441140" w:rsidRDefault="00242324" w:rsidP="00831211">
    <w:pPr>
      <w:pStyle w:val="Header"/>
      <w:tabs>
        <w:tab w:val="clear" w:pos="8306"/>
      </w:tabs>
      <w:ind w:right="400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IOC/A-31/3.6.Doc</w:t>
    </w:r>
  </w:p>
  <w:p w14:paraId="2BFAF427" w14:textId="2CF2E322" w:rsidR="00307660" w:rsidRPr="006842FA" w:rsidRDefault="004827E4" w:rsidP="00831211">
    <w:pPr>
      <w:pStyle w:val="Header"/>
      <w:ind w:left="7655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973"/>
    <w:multiLevelType w:val="hybridMultilevel"/>
    <w:tmpl w:val="B5FC1906"/>
    <w:lvl w:ilvl="0" w:tplc="C362FA3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08B5D50"/>
    <w:multiLevelType w:val="hybridMultilevel"/>
    <w:tmpl w:val="72964D36"/>
    <w:lvl w:ilvl="0" w:tplc="6B565D4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39E8"/>
    <w:multiLevelType w:val="hybridMultilevel"/>
    <w:tmpl w:val="62E8B2BC"/>
    <w:lvl w:ilvl="0" w:tplc="C0DC364A">
      <w:start w:val="1"/>
      <w:numFmt w:val="lowerRoman"/>
      <w:lvlText w:val="(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4513F4"/>
    <w:multiLevelType w:val="hybridMultilevel"/>
    <w:tmpl w:val="C7FA78FE"/>
    <w:lvl w:ilvl="0" w:tplc="280A53C2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7" w15:restartNumberingAfterBreak="0">
    <w:nsid w:val="30CC4714"/>
    <w:multiLevelType w:val="multilevel"/>
    <w:tmpl w:val="3F9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9" w15:restartNumberingAfterBreak="0">
    <w:nsid w:val="33D06747"/>
    <w:multiLevelType w:val="hybridMultilevel"/>
    <w:tmpl w:val="C4847498"/>
    <w:lvl w:ilvl="0" w:tplc="35405A98">
      <w:start w:val="5"/>
      <w:numFmt w:val="bullet"/>
      <w:lvlText w:val="-"/>
      <w:lvlJc w:val="left"/>
      <w:pPr>
        <w:ind w:left="1086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376F6CF5"/>
    <w:multiLevelType w:val="multilevel"/>
    <w:tmpl w:val="66C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D7D0D"/>
    <w:multiLevelType w:val="multilevel"/>
    <w:tmpl w:val="5B40FBF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709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6202C"/>
    <w:multiLevelType w:val="hybridMultilevel"/>
    <w:tmpl w:val="5C465BE8"/>
    <w:lvl w:ilvl="0" w:tplc="6B842CB8">
      <w:start w:val="1"/>
      <w:numFmt w:val="upperLetter"/>
      <w:lvlText w:val="%1."/>
      <w:lvlJc w:val="left"/>
      <w:pPr>
        <w:ind w:left="644" w:hanging="360"/>
      </w:pPr>
      <w:rPr>
        <w:rFonts w:ascii="Arial" w:eastAsia="Arial Unicode MS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04C64"/>
    <w:multiLevelType w:val="hybridMultilevel"/>
    <w:tmpl w:val="56C4212A"/>
    <w:lvl w:ilvl="0" w:tplc="AB30E35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768C1"/>
    <w:multiLevelType w:val="hybridMultilevel"/>
    <w:tmpl w:val="D3E809BA"/>
    <w:lvl w:ilvl="0" w:tplc="82E6549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1307C"/>
    <w:multiLevelType w:val="hybridMultilevel"/>
    <w:tmpl w:val="800A9C98"/>
    <w:lvl w:ilvl="0" w:tplc="E53853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256B"/>
    <w:multiLevelType w:val="multilevel"/>
    <w:tmpl w:val="A8647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44B35C5"/>
    <w:multiLevelType w:val="hybridMultilevel"/>
    <w:tmpl w:val="256E4662"/>
    <w:lvl w:ilvl="0" w:tplc="1AA6A1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87526"/>
    <w:multiLevelType w:val="multilevel"/>
    <w:tmpl w:val="023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76214"/>
    <w:multiLevelType w:val="multilevel"/>
    <w:tmpl w:val="5ECAF156"/>
    <w:lvl w:ilvl="0">
      <w:start w:val="1"/>
      <w:numFmt w:val="decimal"/>
      <w:lvlText w:val="%1."/>
      <w:lvlJc w:val="left"/>
      <w:pPr>
        <w:ind w:left="43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0" w:hanging="1584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13"/>
  </w:num>
  <w:num w:numId="7">
    <w:abstractNumId w:val="13"/>
  </w:num>
  <w:num w:numId="8">
    <w:abstractNumId w:val="19"/>
  </w:num>
  <w:num w:numId="9">
    <w:abstractNumId w:val="10"/>
  </w:num>
  <w:num w:numId="10">
    <w:abstractNumId w:val="7"/>
  </w:num>
  <w:num w:numId="11">
    <w:abstractNumId w:val="16"/>
  </w:num>
  <w:num w:numId="12">
    <w:abstractNumId w:val="17"/>
  </w:num>
  <w:num w:numId="13">
    <w:abstractNumId w:val="15"/>
  </w:num>
  <w:num w:numId="14">
    <w:abstractNumId w:val="12"/>
  </w:num>
  <w:num w:numId="15">
    <w:abstractNumId w:val="20"/>
  </w:num>
  <w:num w:numId="16">
    <w:abstractNumId w:val="9"/>
  </w:num>
  <w:num w:numId="17">
    <w:abstractNumId w:val="5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  <w:lvlOverride w:ilvl="0">
      <w:startOverride w:val="1"/>
    </w:lvlOverride>
  </w:num>
  <w:num w:numId="22">
    <w:abstractNumId w:val="13"/>
  </w:num>
  <w:num w:numId="23">
    <w:abstractNumId w:val="13"/>
  </w:num>
  <w:num w:numId="24">
    <w:abstractNumId w:val="6"/>
  </w:num>
  <w:num w:numId="25">
    <w:abstractNumId w:val="18"/>
  </w:num>
  <w:num w:numId="26">
    <w:abstractNumId w:val="13"/>
  </w:num>
  <w:num w:numId="2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AC"/>
    <w:rsid w:val="000021BC"/>
    <w:rsid w:val="00010BBB"/>
    <w:rsid w:val="000156E0"/>
    <w:rsid w:val="00020AA1"/>
    <w:rsid w:val="00040227"/>
    <w:rsid w:val="00062051"/>
    <w:rsid w:val="00076BD8"/>
    <w:rsid w:val="00085D6A"/>
    <w:rsid w:val="00085D85"/>
    <w:rsid w:val="000B276A"/>
    <w:rsid w:val="000B693C"/>
    <w:rsid w:val="000C2EE5"/>
    <w:rsid w:val="000C61A0"/>
    <w:rsid w:val="000C6E08"/>
    <w:rsid w:val="000D16AC"/>
    <w:rsid w:val="000D5B8F"/>
    <w:rsid w:val="000E3E1A"/>
    <w:rsid w:val="000F0254"/>
    <w:rsid w:val="001156AE"/>
    <w:rsid w:val="00123719"/>
    <w:rsid w:val="001241D7"/>
    <w:rsid w:val="0012479D"/>
    <w:rsid w:val="001370E4"/>
    <w:rsid w:val="00137E97"/>
    <w:rsid w:val="001448C4"/>
    <w:rsid w:val="00152A1B"/>
    <w:rsid w:val="00155BA3"/>
    <w:rsid w:val="00163192"/>
    <w:rsid w:val="00166397"/>
    <w:rsid w:val="00167158"/>
    <w:rsid w:val="001732BA"/>
    <w:rsid w:val="001877F5"/>
    <w:rsid w:val="00196052"/>
    <w:rsid w:val="00196F31"/>
    <w:rsid w:val="001A037F"/>
    <w:rsid w:val="001A58AE"/>
    <w:rsid w:val="001A63A0"/>
    <w:rsid w:val="001B3B24"/>
    <w:rsid w:val="001C21FC"/>
    <w:rsid w:val="001C2C69"/>
    <w:rsid w:val="001C6455"/>
    <w:rsid w:val="001D27FC"/>
    <w:rsid w:val="001D75DB"/>
    <w:rsid w:val="00203217"/>
    <w:rsid w:val="00223053"/>
    <w:rsid w:val="00242324"/>
    <w:rsid w:val="002579C2"/>
    <w:rsid w:val="002652F9"/>
    <w:rsid w:val="002A19EF"/>
    <w:rsid w:val="002B282C"/>
    <w:rsid w:val="002B7A48"/>
    <w:rsid w:val="002C7DE3"/>
    <w:rsid w:val="002D441C"/>
    <w:rsid w:val="002D52FA"/>
    <w:rsid w:val="002E0859"/>
    <w:rsid w:val="002E6768"/>
    <w:rsid w:val="00305778"/>
    <w:rsid w:val="00307660"/>
    <w:rsid w:val="003178E9"/>
    <w:rsid w:val="00317E5D"/>
    <w:rsid w:val="003404ED"/>
    <w:rsid w:val="0034156B"/>
    <w:rsid w:val="00347E19"/>
    <w:rsid w:val="0037184C"/>
    <w:rsid w:val="0037249C"/>
    <w:rsid w:val="0038059E"/>
    <w:rsid w:val="003805F5"/>
    <w:rsid w:val="003A7860"/>
    <w:rsid w:val="003D3711"/>
    <w:rsid w:val="003F7186"/>
    <w:rsid w:val="00413F17"/>
    <w:rsid w:val="00424DE6"/>
    <w:rsid w:val="0043609D"/>
    <w:rsid w:val="00441140"/>
    <w:rsid w:val="00451B96"/>
    <w:rsid w:val="004529B8"/>
    <w:rsid w:val="00467E3F"/>
    <w:rsid w:val="004827E4"/>
    <w:rsid w:val="0048449B"/>
    <w:rsid w:val="00497E20"/>
    <w:rsid w:val="004A135F"/>
    <w:rsid w:val="004A5784"/>
    <w:rsid w:val="004B4ECA"/>
    <w:rsid w:val="004C1625"/>
    <w:rsid w:val="004E0B15"/>
    <w:rsid w:val="004F7D6C"/>
    <w:rsid w:val="0050245B"/>
    <w:rsid w:val="00515584"/>
    <w:rsid w:val="00525395"/>
    <w:rsid w:val="005407B6"/>
    <w:rsid w:val="00547068"/>
    <w:rsid w:val="00587137"/>
    <w:rsid w:val="005B2FDF"/>
    <w:rsid w:val="005B57CA"/>
    <w:rsid w:val="005B5B97"/>
    <w:rsid w:val="005C7A36"/>
    <w:rsid w:val="005C7D76"/>
    <w:rsid w:val="005D0ADD"/>
    <w:rsid w:val="005E1C99"/>
    <w:rsid w:val="005E544C"/>
    <w:rsid w:val="005E6889"/>
    <w:rsid w:val="005F4D23"/>
    <w:rsid w:val="006110DA"/>
    <w:rsid w:val="0062678D"/>
    <w:rsid w:val="006308BD"/>
    <w:rsid w:val="00633EA5"/>
    <w:rsid w:val="00637672"/>
    <w:rsid w:val="00676F33"/>
    <w:rsid w:val="0068128E"/>
    <w:rsid w:val="006842FA"/>
    <w:rsid w:val="0068682C"/>
    <w:rsid w:val="00690A0C"/>
    <w:rsid w:val="00690FD2"/>
    <w:rsid w:val="00693199"/>
    <w:rsid w:val="00696079"/>
    <w:rsid w:val="006A761F"/>
    <w:rsid w:val="006B2FDD"/>
    <w:rsid w:val="006B4B95"/>
    <w:rsid w:val="006B59E2"/>
    <w:rsid w:val="006C18D9"/>
    <w:rsid w:val="006C1BDA"/>
    <w:rsid w:val="006C6449"/>
    <w:rsid w:val="006D3998"/>
    <w:rsid w:val="006E1454"/>
    <w:rsid w:val="006E3870"/>
    <w:rsid w:val="006E692F"/>
    <w:rsid w:val="006E7073"/>
    <w:rsid w:val="006F0C64"/>
    <w:rsid w:val="006F1F38"/>
    <w:rsid w:val="00735830"/>
    <w:rsid w:val="00737A18"/>
    <w:rsid w:val="00746B89"/>
    <w:rsid w:val="007471D6"/>
    <w:rsid w:val="00762C36"/>
    <w:rsid w:val="00785386"/>
    <w:rsid w:val="0079212B"/>
    <w:rsid w:val="007C1458"/>
    <w:rsid w:val="007E4F92"/>
    <w:rsid w:val="008048D2"/>
    <w:rsid w:val="00806C60"/>
    <w:rsid w:val="008302D7"/>
    <w:rsid w:val="00831211"/>
    <w:rsid w:val="00850CB1"/>
    <w:rsid w:val="00853565"/>
    <w:rsid w:val="00870CE7"/>
    <w:rsid w:val="008754BE"/>
    <w:rsid w:val="008849F0"/>
    <w:rsid w:val="0089077E"/>
    <w:rsid w:val="00891331"/>
    <w:rsid w:val="00893AD3"/>
    <w:rsid w:val="0089563B"/>
    <w:rsid w:val="008A6E5C"/>
    <w:rsid w:val="008B2DC6"/>
    <w:rsid w:val="008B384B"/>
    <w:rsid w:val="008B4705"/>
    <w:rsid w:val="008D2398"/>
    <w:rsid w:val="008E3DD1"/>
    <w:rsid w:val="008F0FBC"/>
    <w:rsid w:val="008F6942"/>
    <w:rsid w:val="009026D3"/>
    <w:rsid w:val="00937EF7"/>
    <w:rsid w:val="00952863"/>
    <w:rsid w:val="00961211"/>
    <w:rsid w:val="00966A0F"/>
    <w:rsid w:val="00980050"/>
    <w:rsid w:val="00980B08"/>
    <w:rsid w:val="00987BBD"/>
    <w:rsid w:val="00993CA4"/>
    <w:rsid w:val="009A62A9"/>
    <w:rsid w:val="009B63AB"/>
    <w:rsid w:val="009C0A89"/>
    <w:rsid w:val="009C13EF"/>
    <w:rsid w:val="009C15B1"/>
    <w:rsid w:val="009E6A03"/>
    <w:rsid w:val="009E78BB"/>
    <w:rsid w:val="009F2FC0"/>
    <w:rsid w:val="009F7769"/>
    <w:rsid w:val="00A11697"/>
    <w:rsid w:val="00A14093"/>
    <w:rsid w:val="00A203FC"/>
    <w:rsid w:val="00A25BC8"/>
    <w:rsid w:val="00A43E9C"/>
    <w:rsid w:val="00A67718"/>
    <w:rsid w:val="00A92572"/>
    <w:rsid w:val="00A92893"/>
    <w:rsid w:val="00A931AA"/>
    <w:rsid w:val="00AA2B13"/>
    <w:rsid w:val="00AC6BA4"/>
    <w:rsid w:val="00AD3D55"/>
    <w:rsid w:val="00AD494A"/>
    <w:rsid w:val="00B042BC"/>
    <w:rsid w:val="00B06427"/>
    <w:rsid w:val="00B55C66"/>
    <w:rsid w:val="00B722DE"/>
    <w:rsid w:val="00B818D2"/>
    <w:rsid w:val="00B83068"/>
    <w:rsid w:val="00B838FB"/>
    <w:rsid w:val="00BA76D9"/>
    <w:rsid w:val="00BB5D00"/>
    <w:rsid w:val="00BD6603"/>
    <w:rsid w:val="00BE35BA"/>
    <w:rsid w:val="00BE4427"/>
    <w:rsid w:val="00BF069C"/>
    <w:rsid w:val="00BF1838"/>
    <w:rsid w:val="00BF378D"/>
    <w:rsid w:val="00BF3835"/>
    <w:rsid w:val="00BF45BD"/>
    <w:rsid w:val="00BF6786"/>
    <w:rsid w:val="00BF67E7"/>
    <w:rsid w:val="00C008B0"/>
    <w:rsid w:val="00C05769"/>
    <w:rsid w:val="00C1002D"/>
    <w:rsid w:val="00C11C55"/>
    <w:rsid w:val="00C14DD3"/>
    <w:rsid w:val="00C16294"/>
    <w:rsid w:val="00C2635E"/>
    <w:rsid w:val="00C31853"/>
    <w:rsid w:val="00C42FFB"/>
    <w:rsid w:val="00C6486C"/>
    <w:rsid w:val="00C648D3"/>
    <w:rsid w:val="00C674AF"/>
    <w:rsid w:val="00C75B02"/>
    <w:rsid w:val="00C77DDE"/>
    <w:rsid w:val="00C86109"/>
    <w:rsid w:val="00C87727"/>
    <w:rsid w:val="00C962F0"/>
    <w:rsid w:val="00CD6EF7"/>
    <w:rsid w:val="00D013ED"/>
    <w:rsid w:val="00D06F71"/>
    <w:rsid w:val="00D166EE"/>
    <w:rsid w:val="00D2392E"/>
    <w:rsid w:val="00D265AD"/>
    <w:rsid w:val="00D27F78"/>
    <w:rsid w:val="00D36BDC"/>
    <w:rsid w:val="00D448A1"/>
    <w:rsid w:val="00D5049E"/>
    <w:rsid w:val="00D55FEC"/>
    <w:rsid w:val="00D859D0"/>
    <w:rsid w:val="00D91C09"/>
    <w:rsid w:val="00D92DD1"/>
    <w:rsid w:val="00D95CAD"/>
    <w:rsid w:val="00D96F5C"/>
    <w:rsid w:val="00DB1DFA"/>
    <w:rsid w:val="00DE35FF"/>
    <w:rsid w:val="00DE6237"/>
    <w:rsid w:val="00DF2FB9"/>
    <w:rsid w:val="00E454CD"/>
    <w:rsid w:val="00E55234"/>
    <w:rsid w:val="00E608A6"/>
    <w:rsid w:val="00E60CBC"/>
    <w:rsid w:val="00E63DEF"/>
    <w:rsid w:val="00E64936"/>
    <w:rsid w:val="00E75CF6"/>
    <w:rsid w:val="00E86189"/>
    <w:rsid w:val="00EA168C"/>
    <w:rsid w:val="00EA6689"/>
    <w:rsid w:val="00EA6DDF"/>
    <w:rsid w:val="00EC53C8"/>
    <w:rsid w:val="00EC753F"/>
    <w:rsid w:val="00EE0542"/>
    <w:rsid w:val="00EE11A0"/>
    <w:rsid w:val="00EF3957"/>
    <w:rsid w:val="00F10F21"/>
    <w:rsid w:val="00F13BAA"/>
    <w:rsid w:val="00F26226"/>
    <w:rsid w:val="00F269BB"/>
    <w:rsid w:val="00F271BF"/>
    <w:rsid w:val="00F463F2"/>
    <w:rsid w:val="00F47A40"/>
    <w:rsid w:val="00F50B8E"/>
    <w:rsid w:val="00F5447C"/>
    <w:rsid w:val="00F60A12"/>
    <w:rsid w:val="00F61201"/>
    <w:rsid w:val="00F66E0A"/>
    <w:rsid w:val="00F7009F"/>
    <w:rsid w:val="00F70FD9"/>
    <w:rsid w:val="00F74494"/>
    <w:rsid w:val="00F8186D"/>
    <w:rsid w:val="00F8204B"/>
    <w:rsid w:val="00F82282"/>
    <w:rsid w:val="00FB3901"/>
    <w:rsid w:val="00FC0813"/>
    <w:rsid w:val="00FC3532"/>
    <w:rsid w:val="00FC54E1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004E3B1"/>
  <w15:docId w15:val="{A465CC3F-A5D9-4589-9960-2E4B7FC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qFormat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37249C"/>
    <w:pPr>
      <w:tabs>
        <w:tab w:val="clear" w:pos="567"/>
        <w:tab w:val="left" w:pos="709"/>
      </w:tabs>
    </w:pPr>
    <w:rPr>
      <w:rFonts w:eastAsia="Arial Unicode MS" w:cs="Arial"/>
      <w:szCs w:val="22"/>
      <w:u w:val="single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37249C"/>
    <w:rPr>
      <w:rFonts w:ascii="Arial" w:eastAsia="Arial Unicode MS" w:hAnsi="Arial" w:cs="Arial"/>
      <w:snapToGrid w:val="0"/>
      <w:sz w:val="22"/>
      <w:szCs w:val="22"/>
      <w:u w:val="single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C60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95CAD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FC0"/>
    <w:rPr>
      <w:rFonts w:ascii="Arial" w:hAnsi="Arial"/>
      <w:snapToGrid w:val="0"/>
      <w:lang w:val="en-GB" w:eastAsia="en-US"/>
    </w:rPr>
  </w:style>
  <w:style w:type="paragraph" w:styleId="CommentText">
    <w:name w:val="annotation text"/>
    <w:basedOn w:val="Normal"/>
    <w:link w:val="CommentTextChar"/>
    <w:rsid w:val="009F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2FC0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2FC0"/>
    <w:pPr>
      <w:tabs>
        <w:tab w:val="clear" w:pos="567"/>
        <w:tab w:val="left" w:pos="709"/>
      </w:tabs>
    </w:pPr>
    <w:rPr>
      <w:rFonts w:ascii="Times New Roman" w:eastAsia="SimSun" w:hAnsi="Times New Roman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2FC0"/>
    <w:rPr>
      <w:rFonts w:ascii="Arial" w:eastAsia="SimSun" w:hAnsi="Arial"/>
      <w:b/>
      <w:bCs/>
      <w:snapToGrid w:val="0"/>
      <w:lang w:val="en-GB" w:eastAsia="zh-CN"/>
    </w:rPr>
  </w:style>
  <w:style w:type="paragraph" w:styleId="BalloonText">
    <w:name w:val="Balloon Text"/>
    <w:basedOn w:val="Normal"/>
    <w:link w:val="BalloonTextChar"/>
    <w:rsid w:val="00E75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CF6"/>
    <w:rPr>
      <w:rFonts w:ascii="Tahoma" w:hAnsi="Tahoma" w:cs="Tahoma"/>
      <w:snapToGrid w:val="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E35BA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hAnsi="Times New Roman"/>
      <w:snapToGrid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8956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1454"/>
    <w:rPr>
      <w:sz w:val="16"/>
      <w:szCs w:val="16"/>
    </w:rPr>
  </w:style>
  <w:style w:type="paragraph" w:styleId="Revision">
    <w:name w:val="Revision"/>
    <w:hidden/>
    <w:uiPriority w:val="99"/>
    <w:semiHidden/>
    <w:rsid w:val="006E1454"/>
    <w:rPr>
      <w:rFonts w:ascii="Arial" w:hAnsi="Arial"/>
      <w:snapToGrid w:val="0"/>
      <w:sz w:val="22"/>
      <w:szCs w:val="24"/>
      <w:lang w:val="en-GB" w:eastAsia="en-US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C008B0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6B6B6"/>
                                                <w:left w:val="single" w:sz="6" w:space="4" w:color="B6B6B6"/>
                                                <w:bottom w:val="single" w:sz="6" w:space="4" w:color="B6B6B6"/>
                                                <w:right w:val="single" w:sz="6" w:space="4" w:color="B6B6B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124367.locale=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2807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2830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oceanexpert.org/document/28078" TargetMode="External"/><Relationship Id="rId19" Type="http://schemas.openxmlformats.org/officeDocument/2006/relationships/hyperlink" Target="https://unesdoc.unesco.org/ark:/48223/pf0000374421.local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125186.locale=fr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oned\AppData\Local\Microsoft\Windows\Temporary%20Internet%20Files\Content.Outlook\U6GEGBZT\Template%20WD-IOC2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50D6-B2DB-48DC-88DF-1AEEF74B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0</TotalTime>
  <Pages>8</Pages>
  <Words>2642</Words>
  <Characters>18701</Characters>
  <Application>Microsoft Office Word</Application>
  <DocSecurity>4</DocSecurity>
  <Lines>155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Boned, Patrice</dc:creator>
  <cp:lastModifiedBy>Pastor Reyes, Ingrid</cp:lastModifiedBy>
  <cp:revision>2</cp:revision>
  <cp:lastPrinted>2021-05-26T08:45:00Z</cp:lastPrinted>
  <dcterms:created xsi:type="dcterms:W3CDTF">2021-06-17T06:32:00Z</dcterms:created>
  <dcterms:modified xsi:type="dcterms:W3CDTF">2021-06-17T06:32:00Z</dcterms:modified>
</cp:coreProperties>
</file>