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6069A" w14:paraId="783D5BA2" w14:textId="77777777">
        <w:trPr>
          <w:jc w:val="center"/>
        </w:trPr>
        <w:tc>
          <w:tcPr>
            <w:tcW w:w="7654" w:type="dxa"/>
            <w:tcMar>
              <w:top w:w="170" w:type="dxa"/>
              <w:left w:w="170" w:type="dxa"/>
              <w:bottom w:w="170" w:type="dxa"/>
              <w:right w:w="170" w:type="dxa"/>
            </w:tcMar>
          </w:tcPr>
          <w:p w14:paraId="731DC2B6" w14:textId="77777777" w:rsidR="00467E3F" w:rsidRPr="0066069A" w:rsidRDefault="00B83068" w:rsidP="00853565">
            <w:pPr>
              <w:pStyle w:val="Marge"/>
              <w:jc w:val="center"/>
              <w:rPr>
                <w:rFonts w:cs="Arial"/>
                <w:szCs w:val="22"/>
              </w:rPr>
            </w:pPr>
            <w:r>
              <w:rPr>
                <w:rFonts w:cs="Arial"/>
                <w:szCs w:val="22"/>
                <w:u w:val="single"/>
                <w:lang w:val="ru"/>
              </w:rPr>
              <w:t>Резюме</w:t>
            </w:r>
          </w:p>
          <w:p w14:paraId="57C3A798" w14:textId="1E87265A" w:rsidR="00467E3F" w:rsidRPr="0066069A" w:rsidRDefault="00237D81" w:rsidP="00F3505F">
            <w:pPr>
              <w:pStyle w:val="Marge"/>
              <w:rPr>
                <w:rFonts w:cs="Arial"/>
                <w:iCs/>
                <w:szCs w:val="22"/>
              </w:rPr>
            </w:pPr>
            <w:r>
              <w:rPr>
                <w:rFonts w:cs="Arial"/>
                <w:szCs w:val="22"/>
                <w:lang w:val="ru"/>
              </w:rPr>
              <w:t xml:space="preserve">Действующая Стратегия МОК в области РП (принятая в резолюции XXVIII-2) была разработана на период 2015–2021 гг. и, соответственно, срок ее действия истекает в конце декабря 2021 года. Группа экспертов МОК по развитию потенциала (ГЭ-РП) на своем втором заседании (октябрь 2020 г.) приняла решение учредить целевую группу ГЭ-РП, призванную определить необходимые изменения, которые могут потребоваться в действующей стратегии МОК в области развития потенциала (2015–2021 гг.), и представить доклад на рассмотрение Ассамблеи МОК на ее 31-й сессии. </w:t>
            </w:r>
          </w:p>
          <w:p w14:paraId="08014638" w14:textId="7D8EEF12" w:rsidR="00413F17" w:rsidRPr="0066069A" w:rsidRDefault="00467E3F" w:rsidP="00F3505F">
            <w:pPr>
              <w:pStyle w:val="Marge"/>
              <w:rPr>
                <w:rFonts w:cs="Arial"/>
                <w:szCs w:val="22"/>
              </w:rPr>
            </w:pPr>
            <w:r>
              <w:rPr>
                <w:rFonts w:cs="Arial"/>
                <w:szCs w:val="22"/>
                <w:u w:val="single"/>
                <w:lang w:val="ru"/>
              </w:rPr>
              <w:t>Цель документа</w:t>
            </w:r>
            <w:r>
              <w:rPr>
                <w:rFonts w:cs="Arial"/>
                <w:szCs w:val="22"/>
                <w:lang w:val="ru"/>
              </w:rPr>
              <w:t xml:space="preserve">: В настоящем документе обобщены выводы и рекомендации Целевой группы ГЭ-РП, представленные в документе </w:t>
            </w:r>
            <w:hyperlink r:id="rId8" w:history="1">
              <w:r>
                <w:rPr>
                  <w:rStyle w:val="Hyperlink"/>
                  <w:rFonts w:cs="Arial"/>
                  <w:szCs w:val="22"/>
                  <w:lang w:val="ru"/>
                </w:rPr>
                <w:t>IOC/INF-1396</w:t>
              </w:r>
            </w:hyperlink>
            <w:r>
              <w:rPr>
                <w:rFonts w:cs="Arial"/>
                <w:szCs w:val="22"/>
                <w:lang w:val="ru"/>
              </w:rPr>
              <w:t>. Исходя из этого анализа, Целевая группа рекомендует ГЭ-РП продолжить работу по пересмотру стратегии МОК в области РП на период 2023–2030 годов, продлив срок действия нынешней стратегии в области РП до 2023 года.</w:t>
            </w:r>
          </w:p>
          <w:p w14:paraId="64BC0013" w14:textId="14D64CF6" w:rsidR="00467E3F" w:rsidRPr="0066069A" w:rsidRDefault="00467E3F" w:rsidP="00F3505F">
            <w:pPr>
              <w:pStyle w:val="Marge"/>
              <w:rPr>
                <w:rFonts w:cs="Arial"/>
                <w:szCs w:val="22"/>
              </w:rPr>
            </w:pPr>
            <w:r>
              <w:rPr>
                <w:rFonts w:cs="Arial"/>
                <w:szCs w:val="22"/>
                <w:lang w:val="ru"/>
              </w:rPr>
              <w:t xml:space="preserve">(Прямые) финансовые и административные последствия отсутствуют. </w:t>
            </w:r>
          </w:p>
          <w:p w14:paraId="793819A9" w14:textId="71789F74" w:rsidR="00737A18" w:rsidRPr="0066069A" w:rsidRDefault="00413F17" w:rsidP="00AF709D">
            <w:pPr>
              <w:pStyle w:val="Marge"/>
              <w:spacing w:after="120"/>
              <w:rPr>
                <w:rFonts w:cs="Arial"/>
                <w:szCs w:val="22"/>
              </w:rPr>
            </w:pPr>
            <w:r>
              <w:rPr>
                <w:rFonts w:cs="Arial"/>
                <w:szCs w:val="22"/>
                <w:u w:val="single"/>
                <w:lang w:val="ru"/>
              </w:rPr>
              <w:t>Предлагаемое решение</w:t>
            </w:r>
            <w:r>
              <w:rPr>
                <w:rFonts w:cs="Arial"/>
                <w:szCs w:val="22"/>
                <w:lang w:val="ru"/>
              </w:rPr>
              <w:t xml:space="preserve"> представлено в документе о принятых и предлагаемых мерах (документ </w:t>
            </w:r>
            <w:hyperlink r:id="rId9" w:history="1">
              <w:r>
                <w:rPr>
                  <w:rStyle w:val="Hyperlink"/>
                  <w:lang w:val="ru"/>
                </w:rPr>
                <w:t>IOC/A-31/3.5.3</w:t>
              </w:r>
            </w:hyperlink>
            <w:r>
              <w:rPr>
                <w:rFonts w:cs="Arial"/>
                <w:szCs w:val="22"/>
                <w:lang w:val="ru"/>
              </w:rPr>
              <w:t xml:space="preserve">) под номером </w:t>
            </w:r>
            <w:r>
              <w:rPr>
                <w:rFonts w:cs="Arial"/>
                <w:szCs w:val="22"/>
                <w:u w:val="single"/>
                <w:lang w:val="ru"/>
              </w:rPr>
              <w:t>Реш. IOC-31/AP</w:t>
            </w:r>
            <w:r>
              <w:rPr>
                <w:rFonts w:cs="Arial"/>
                <w:szCs w:val="22"/>
                <w:lang w:val="ru"/>
              </w:rPr>
              <w:t>.</w:t>
            </w:r>
          </w:p>
        </w:tc>
      </w:tr>
    </w:tbl>
    <w:p w14:paraId="64F13DC6" w14:textId="77777777" w:rsidR="00746B89" w:rsidRPr="0066069A" w:rsidRDefault="00746B89" w:rsidP="00237D81">
      <w:pPr>
        <w:pStyle w:val="Heading3"/>
        <w:sectPr w:rsidR="00746B89" w:rsidRPr="0066069A" w:rsidSect="003F7186">
          <w:headerReference w:type="even" r:id="rId10"/>
          <w:headerReference w:type="default" r:id="rId11"/>
          <w:headerReference w:type="first" r:id="rId12"/>
          <w:type w:val="continuous"/>
          <w:pgSz w:w="11906" w:h="16838" w:code="9"/>
          <w:pgMar w:top="1418" w:right="1134" w:bottom="1134" w:left="1134" w:header="709" w:footer="680" w:gutter="0"/>
          <w:pgNumType w:start="1"/>
          <w:cols w:space="708"/>
          <w:titlePg/>
          <w:docGrid w:linePitch="360"/>
        </w:sectPr>
      </w:pPr>
    </w:p>
    <w:p w14:paraId="1182BB1D" w14:textId="77777777" w:rsidR="00A22797" w:rsidRPr="0066069A" w:rsidRDefault="00A22797" w:rsidP="00237D81">
      <w:pPr>
        <w:pStyle w:val="Heading3"/>
      </w:pPr>
      <w:r>
        <w:rPr>
          <w:lang w:val="ru"/>
        </w:rPr>
        <w:lastRenderedPageBreak/>
        <w:t>Введение</w:t>
      </w:r>
    </w:p>
    <w:p w14:paraId="6A11BACD" w14:textId="28F39501" w:rsidR="00A22797" w:rsidRPr="0066069A" w:rsidRDefault="00A22797" w:rsidP="00F71168">
      <w:pPr>
        <w:pStyle w:val="COI"/>
        <w:rPr>
          <w:rStyle w:val="None"/>
          <w:rFonts w:cs="Arial"/>
        </w:rPr>
      </w:pPr>
      <w:r>
        <w:rPr>
          <w:lang w:val="ru"/>
        </w:rPr>
        <w:t>Действующая Стратегия МОК в области развития потенциала (</w:t>
      </w:r>
      <w:hyperlink r:id="rId13" w:history="1">
        <w:r>
          <w:rPr>
            <w:rStyle w:val="Hyperlink"/>
            <w:lang w:val="ru"/>
          </w:rPr>
          <w:t>IOC/INF-1332</w:t>
        </w:r>
      </w:hyperlink>
      <w:r>
        <w:rPr>
          <w:lang w:val="ru"/>
        </w:rPr>
        <w:t>) была разработана на период 2015–2021 гг. Группа экспертов МОК по развитию потенциала (</w:t>
      </w:r>
      <w:hyperlink r:id="rId14" w:history="1">
        <w:r>
          <w:rPr>
            <w:rStyle w:val="Hyperlink0"/>
            <w:lang w:val="ru"/>
          </w:rPr>
          <w:t>доклад</w:t>
        </w:r>
      </w:hyperlink>
      <w:r>
        <w:rPr>
          <w:lang w:val="ru"/>
        </w:rPr>
        <w:t xml:space="preserve">) рассмотрела документы, которыми следует руководствоваться при пересмотре Стратегии на период после 2021 года, и </w:t>
      </w:r>
      <w:r>
        <w:rPr>
          <w:rStyle w:val="None"/>
          <w:rFonts w:cs="Arial"/>
          <w:lang w:val="ru"/>
        </w:rPr>
        <w:t>учредила для этого целевую группу. В настоящем документе представлены краткие выводы Группы и рекомендации для Ассамблеи МОК. Рассмотренные группой документы включают: (i) результаты второго опроса МОК на тему развития потенциала (сентябрь 2020 — январь 2021 гг.); (ii) главу о развитии потенциала Плана проведения Десятилетия ООН, посвященного науке об океане в интересах устойчивого развития (2021–2030 гг.)</w:t>
      </w:r>
      <w:hyperlink r:id="rId15" w:history="1"/>
      <w:r>
        <w:rPr>
          <w:rStyle w:val="None"/>
          <w:rFonts w:cs="Arial"/>
          <w:lang w:val="ru"/>
        </w:rPr>
        <w:t xml:space="preserve">; (iii) материалы консультаций с глобальными и региональными программами МОК, связанными с развитием потенциала; (iv) материалы консультаций со специализированными учреждениями ООН, МПО, не входящими в систему ООН, глобальными и региональными организациями, программами и проектами, НПО и партнерами из частного сектора. Кроме того, Группа рассмотрела результаты </w:t>
      </w:r>
      <w:hyperlink r:id="rId16" w:history="1">
        <w:r>
          <w:rPr>
            <w:rStyle w:val="Hyperlink"/>
            <w:i/>
            <w:iCs/>
            <w:lang w:val="ru"/>
          </w:rPr>
          <w:t>Научного доклада о Мировом океане</w:t>
        </w:r>
        <w:r>
          <w:rPr>
            <w:rStyle w:val="Hyperlink"/>
            <w:rFonts w:cs="Arial"/>
            <w:i/>
            <w:iCs/>
            <w:lang w:val="ru"/>
          </w:rPr>
          <w:t xml:space="preserve"> 2020 г.</w:t>
        </w:r>
      </w:hyperlink>
      <w:r>
        <w:rPr>
          <w:rStyle w:val="None"/>
          <w:rFonts w:cs="Arial"/>
          <w:lang w:val="ru"/>
        </w:rPr>
        <w:t xml:space="preserve"> Целевая группа работала заочно и провела два онлайн-совещания в декабре 2020 года и феврале 2021 года соответственно.</w:t>
      </w:r>
    </w:p>
    <w:p w14:paraId="2CB5E8E9" w14:textId="677D8EBA" w:rsidR="00A22797" w:rsidRPr="0066069A" w:rsidRDefault="00A22797" w:rsidP="00237D81">
      <w:pPr>
        <w:pStyle w:val="Heading3"/>
      </w:pPr>
      <w:r>
        <w:rPr>
          <w:rStyle w:val="None"/>
          <w:lang w:val="ru"/>
        </w:rPr>
        <w:t>Научный доклад о Мировом океане 2020 г.</w:t>
      </w:r>
    </w:p>
    <w:p w14:paraId="43BCD11A" w14:textId="309475ED" w:rsidR="00A22797" w:rsidRPr="0066069A" w:rsidRDefault="00C20C00" w:rsidP="00F71168">
      <w:pPr>
        <w:pStyle w:val="COI"/>
      </w:pPr>
      <w:r>
        <w:rPr>
          <w:lang w:val="ru"/>
        </w:rPr>
        <w:t>В 2020 году МОК опубликовала Научный доклад о Мировом океане — ресурс для широкого круга заинтересованных сторон, включая политиков и ученых, стремящихся понять и использовать потенциал наук об океане для решения глобальных проблем. Его выводы содержат сведения о глобальном состоянии потенциала наук об океане и поэтому имеют соответствующие последствия для политики устойчивого развития и предоставляют дополнительную информацию для пересмотра стратегии МОК в области РП.</w:t>
      </w:r>
    </w:p>
    <w:p w14:paraId="791EAD70" w14:textId="3759854D" w:rsidR="00C20C00" w:rsidRPr="0066069A" w:rsidRDefault="00C20C00" w:rsidP="00F3505F">
      <w:pPr>
        <w:pStyle w:val="COI"/>
        <w:spacing w:after="120"/>
      </w:pPr>
      <w:r>
        <w:rPr>
          <w:lang w:val="ru"/>
        </w:rPr>
        <w:t>На основании результатов НДМО-2020, касающихся развития потенциала, Целевая группа сформулировала следующие рекомендации:</w:t>
      </w:r>
    </w:p>
    <w:p w14:paraId="5052286A" w14:textId="560CA593" w:rsidR="00C20C00" w:rsidRPr="0066069A" w:rsidRDefault="00C20C00" w:rsidP="00F3505F">
      <w:pPr>
        <w:pStyle w:val="ListParagraph"/>
        <w:numPr>
          <w:ilvl w:val="0"/>
          <w:numId w:val="15"/>
        </w:numPr>
        <w:tabs>
          <w:tab w:val="clear" w:pos="567"/>
        </w:tabs>
        <w:spacing w:after="120"/>
        <w:ind w:left="1560" w:hanging="850"/>
        <w:contextualSpacing w:val="0"/>
      </w:pPr>
      <w:r>
        <w:rPr>
          <w:lang w:val="ru"/>
        </w:rPr>
        <w:t xml:space="preserve">Повысить текущий уровень финансирования наук об океане; </w:t>
      </w:r>
    </w:p>
    <w:p w14:paraId="7AE55820" w14:textId="0E8E1CFF" w:rsidR="00C20C00" w:rsidRPr="0066069A" w:rsidRDefault="00C20C00" w:rsidP="00F3505F">
      <w:pPr>
        <w:pStyle w:val="ListParagraph"/>
        <w:numPr>
          <w:ilvl w:val="0"/>
          <w:numId w:val="15"/>
        </w:numPr>
        <w:tabs>
          <w:tab w:val="clear" w:pos="567"/>
        </w:tabs>
        <w:spacing w:after="120"/>
        <w:ind w:left="1560" w:hanging="850"/>
        <w:contextualSpacing w:val="0"/>
      </w:pPr>
      <w:r>
        <w:rPr>
          <w:lang w:val="ru"/>
        </w:rPr>
        <w:t>Наладить постоянный сбор сопоставимых на международном уровне данных об инвестициях в науки об океане;</w:t>
      </w:r>
    </w:p>
    <w:p w14:paraId="4B72B9DD" w14:textId="4735EC16" w:rsidR="00C20C00" w:rsidRPr="0066069A" w:rsidRDefault="00C20C00" w:rsidP="00F3505F">
      <w:pPr>
        <w:pStyle w:val="ListParagraph"/>
        <w:numPr>
          <w:ilvl w:val="0"/>
          <w:numId w:val="15"/>
        </w:numPr>
        <w:tabs>
          <w:tab w:val="clear" w:pos="567"/>
        </w:tabs>
        <w:spacing w:after="120"/>
        <w:ind w:left="1560" w:hanging="850"/>
        <w:contextualSpacing w:val="0"/>
      </w:pPr>
      <w:r>
        <w:rPr>
          <w:lang w:val="ru"/>
        </w:rPr>
        <w:t xml:space="preserve">Содействовать совместной разработке наук об океане путем привлечения пользователей и производителей научной информации об океане; </w:t>
      </w:r>
    </w:p>
    <w:p w14:paraId="0B511F0B" w14:textId="2350EC16" w:rsidR="00C20C00" w:rsidRPr="0066069A" w:rsidRDefault="00C20C00" w:rsidP="00F3505F">
      <w:pPr>
        <w:pStyle w:val="ListParagraph"/>
        <w:numPr>
          <w:ilvl w:val="0"/>
          <w:numId w:val="15"/>
        </w:numPr>
        <w:tabs>
          <w:tab w:val="clear" w:pos="567"/>
        </w:tabs>
        <w:spacing w:after="120"/>
        <w:ind w:left="1560" w:hanging="850"/>
        <w:contextualSpacing w:val="0"/>
      </w:pPr>
      <w:r>
        <w:rPr>
          <w:lang w:val="ru"/>
        </w:rPr>
        <w:t xml:space="preserve">Содействовать развитию партнерских связей с участием многих заинтересованных сторон в области наук об океане и осуществлять передачу морской технологии; </w:t>
      </w:r>
    </w:p>
    <w:p w14:paraId="42208E9C" w14:textId="5ECCA266" w:rsidR="00C20C00" w:rsidRPr="0066069A" w:rsidRDefault="00C20C00" w:rsidP="00F3505F">
      <w:pPr>
        <w:pStyle w:val="ListParagraph"/>
        <w:numPr>
          <w:ilvl w:val="0"/>
          <w:numId w:val="15"/>
        </w:numPr>
        <w:tabs>
          <w:tab w:val="clear" w:pos="567"/>
        </w:tabs>
        <w:spacing w:after="120"/>
        <w:ind w:left="1560" w:hanging="850"/>
        <w:contextualSpacing w:val="0"/>
      </w:pPr>
      <w:r>
        <w:rPr>
          <w:lang w:val="ru"/>
        </w:rPr>
        <w:t xml:space="preserve">Двигаться в направлении развития потенциала в области наук об океане при равном участии всех стран, полов и возрастов, с использованием знаний местного и коренного населения; </w:t>
      </w:r>
    </w:p>
    <w:p w14:paraId="760BD78D" w14:textId="04A40D3E" w:rsidR="00C20C00" w:rsidRPr="0066069A" w:rsidRDefault="00C20C00" w:rsidP="00F3505F">
      <w:pPr>
        <w:pStyle w:val="ListParagraph"/>
        <w:numPr>
          <w:ilvl w:val="0"/>
          <w:numId w:val="15"/>
        </w:numPr>
        <w:tabs>
          <w:tab w:val="clear" w:pos="567"/>
        </w:tabs>
        <w:spacing w:after="120"/>
        <w:ind w:left="1560" w:hanging="850"/>
        <w:contextualSpacing w:val="0"/>
      </w:pPr>
      <w:r>
        <w:rPr>
          <w:lang w:val="ru"/>
        </w:rPr>
        <w:t xml:space="preserve">Разрабатывать стратегии и планы реализации для поддержки карьерных потребностей женщин и молодых ученых; </w:t>
      </w:r>
    </w:p>
    <w:p w14:paraId="3F59371B" w14:textId="2B814889" w:rsidR="00C20C00" w:rsidRPr="0066069A" w:rsidRDefault="00C20C00" w:rsidP="00F3505F">
      <w:pPr>
        <w:pStyle w:val="ListParagraph"/>
        <w:numPr>
          <w:ilvl w:val="0"/>
          <w:numId w:val="15"/>
        </w:numPr>
        <w:tabs>
          <w:tab w:val="clear" w:pos="567"/>
        </w:tabs>
        <w:spacing w:after="120"/>
        <w:ind w:left="1560" w:hanging="850"/>
        <w:contextualSpacing w:val="0"/>
      </w:pPr>
      <w:r>
        <w:rPr>
          <w:lang w:val="ru"/>
        </w:rPr>
        <w:t xml:space="preserve">Находить решения для устранения барьеров в интересах открытого доступа к океаническим данным; </w:t>
      </w:r>
    </w:p>
    <w:p w14:paraId="6F0F08D8" w14:textId="3ABED517" w:rsidR="00C20C00" w:rsidRPr="0066069A" w:rsidRDefault="00C20C00" w:rsidP="00F3505F">
      <w:pPr>
        <w:pStyle w:val="ListParagraph"/>
        <w:numPr>
          <w:ilvl w:val="0"/>
          <w:numId w:val="15"/>
        </w:numPr>
        <w:tabs>
          <w:tab w:val="clear" w:pos="567"/>
        </w:tabs>
        <w:spacing w:after="120"/>
        <w:ind w:left="1560" w:hanging="850"/>
        <w:contextualSpacing w:val="0"/>
      </w:pPr>
      <w:r>
        <w:rPr>
          <w:lang w:val="ru"/>
        </w:rPr>
        <w:t xml:space="preserve">Содействовать образованию и подготовке кадров в профессиях, связанных с науками об океане; </w:t>
      </w:r>
    </w:p>
    <w:p w14:paraId="26E4CB9B" w14:textId="70B1C63D" w:rsidR="00C20C00" w:rsidRPr="0066069A" w:rsidRDefault="00C20C00" w:rsidP="00F3505F">
      <w:pPr>
        <w:pStyle w:val="ListParagraph"/>
        <w:numPr>
          <w:ilvl w:val="0"/>
          <w:numId w:val="15"/>
        </w:numPr>
        <w:tabs>
          <w:tab w:val="clear" w:pos="567"/>
        </w:tabs>
        <w:ind w:left="1560" w:hanging="850"/>
      </w:pPr>
      <w:r>
        <w:rPr>
          <w:lang w:val="ru"/>
        </w:rPr>
        <w:t>Оценить воздействие пандемии COVID-19 на человеческий и технический потенциал в области наук об океане.</w:t>
      </w:r>
    </w:p>
    <w:p w14:paraId="774FCAAD" w14:textId="7932CC57" w:rsidR="00A22797" w:rsidRPr="0066069A" w:rsidRDefault="00237D81" w:rsidP="00237D81">
      <w:pPr>
        <w:pStyle w:val="Heading3"/>
      </w:pPr>
      <w:r>
        <w:rPr>
          <w:b w:val="0"/>
          <w:bCs w:val="0"/>
          <w:lang w:val="ru"/>
        </w:rPr>
        <w:lastRenderedPageBreak/>
        <w:br/>
      </w:r>
      <w:r>
        <w:rPr>
          <w:lang w:val="ru"/>
        </w:rPr>
        <w:t xml:space="preserve">Глава о развитии потенциала Плана проведения Десятилетия ООН, посвященного науке об океане в интересах устойчивого развития </w:t>
      </w:r>
    </w:p>
    <w:p w14:paraId="6CDFA068" w14:textId="340B6E88" w:rsidR="00C20C00" w:rsidRPr="0066069A" w:rsidRDefault="00C20C00" w:rsidP="00F71168">
      <w:pPr>
        <w:pStyle w:val="COI"/>
      </w:pPr>
      <w:r>
        <w:rPr>
          <w:lang w:val="ru"/>
        </w:rPr>
        <w:t>Десятилетие ООН, посвященное науке об океане в интересах устойчивого развития, обеспечит в рамках всей системы ООН благоприятные условия для поддержки стран в достижении их приоритетов, связанных с океаном, в соответствии с Повесткой дня на период до 2030 года. Оно будет способствовать преобразованию существующих и новых знаний и понимания в эффективные действия, способствующие усовершенствованию управления океаном, рациональному использованию и устойчивому развитию.</w:t>
      </w:r>
    </w:p>
    <w:p w14:paraId="5A1999F6" w14:textId="77777777" w:rsidR="00C20C00" w:rsidRPr="0066069A" w:rsidRDefault="00C20C00" w:rsidP="00F71168">
      <w:pPr>
        <w:pStyle w:val="COI"/>
      </w:pPr>
      <w:r>
        <w:rPr>
          <w:lang w:val="ru"/>
        </w:rPr>
        <w:t>Развитие потенциала (РП) является одним из основных принципов Десятилетия науки об океане. Его конечная цель — добиться равномерного распределения потенциала по всему миру, между поколениями и полами и тем самым устранить асимметрию в знаниях, навыках и доступе к технологиям. Важно, что усилия по развитию потенциала будут сосредоточены не только на потенциале научной деятельности, но и на потенциале понимания общественной значимости науки и использования науки в целях поддержки решений в интересах устойчивого развития. В этом смысле цели развития потенциала в рамках Десятилетия науки об океане охватывают не только ученых, но и конечных пользователей знаний, таких как правительства и политики.</w:t>
      </w:r>
    </w:p>
    <w:p w14:paraId="3F0D211F" w14:textId="2C511067" w:rsidR="00C20C00" w:rsidRPr="0066069A" w:rsidRDefault="005B7108" w:rsidP="00F3505F">
      <w:pPr>
        <w:pStyle w:val="COI"/>
        <w:spacing w:after="120"/>
      </w:pPr>
      <w:r>
        <w:rPr>
          <w:lang w:val="ru"/>
        </w:rPr>
        <w:t>На основании выводов, касающихся РП, Целевая группа определила следующие рекомендации:</w:t>
      </w:r>
    </w:p>
    <w:p w14:paraId="7413BF93" w14:textId="1E3012C3" w:rsidR="005B7108" w:rsidRPr="0066069A" w:rsidRDefault="005D30A9" w:rsidP="00F3505F">
      <w:pPr>
        <w:pStyle w:val="ListParagraph"/>
        <w:numPr>
          <w:ilvl w:val="0"/>
          <w:numId w:val="18"/>
        </w:numPr>
        <w:tabs>
          <w:tab w:val="clear" w:pos="567"/>
        </w:tabs>
        <w:spacing w:after="120"/>
        <w:ind w:left="1560" w:hanging="851"/>
        <w:contextualSpacing w:val="0"/>
      </w:pPr>
      <w:r>
        <w:rPr>
          <w:u w:val="single"/>
          <w:lang w:val="ru"/>
        </w:rPr>
        <w:t>Вывод 1: Развитие человеческих ресурсов</w:t>
      </w:r>
      <w:r>
        <w:rPr>
          <w:lang w:val="ru"/>
        </w:rPr>
        <w:t>: План проведения Десятилетия науки об океане включает новые аспекты, которые отсутствуют в действующей стратегии МОК в области РП. Они касаются онлайнового и дистанционного обучения, доказавшего свою важность в условиях пандемии COVID-19, подготовки преподавателей, интеграции наук об океане в учебные программы начальных и средних школ, включая информацию о карьере в области наук об океане, а также активного улучшения гендерного, поколенческого и географического разнообразия.</w:t>
      </w:r>
    </w:p>
    <w:p w14:paraId="4A45A271" w14:textId="354C9842" w:rsidR="005B7108" w:rsidRPr="0066069A" w:rsidRDefault="005D30A9" w:rsidP="00F3505F">
      <w:pPr>
        <w:pStyle w:val="ListParagraph"/>
        <w:numPr>
          <w:ilvl w:val="0"/>
          <w:numId w:val="18"/>
        </w:numPr>
        <w:tabs>
          <w:tab w:val="clear" w:pos="567"/>
        </w:tabs>
        <w:spacing w:after="120"/>
        <w:ind w:left="1560" w:hanging="850"/>
        <w:contextualSpacing w:val="0"/>
      </w:pPr>
      <w:r>
        <w:rPr>
          <w:u w:val="single"/>
          <w:lang w:val="ru"/>
        </w:rPr>
        <w:t>Вывод 2: Создание или улучшение доступа к физической инфраструктуре</w:t>
      </w:r>
      <w:r>
        <w:rPr>
          <w:lang w:val="ru"/>
        </w:rPr>
        <w:t>: Технология является одним из элементов, которые необходимо включить в стратегию МОК в области РП, в том числе мощные вычислительные системы и хранилища данных, цифровые системы связи и т. д.; развитие навыков для лидерства в области разработки технологий и инфраструктуры; содействие техническому и технологическому сотрудничеству, а также равноправный обмен между заинтересованными сторонами. Кроме того, как предлагается в Плане проведения Десятилетия науки об океане, существует потребность в низкоскоростных / низкотехнологичных инструментах в районах, где доступ к цифровым системам связи ограничен.</w:t>
      </w:r>
    </w:p>
    <w:p w14:paraId="12C7AE15" w14:textId="3E74E992" w:rsidR="005B7108" w:rsidRPr="0066069A" w:rsidRDefault="005D30A9" w:rsidP="00F3505F">
      <w:pPr>
        <w:pStyle w:val="ListParagraph"/>
        <w:numPr>
          <w:ilvl w:val="0"/>
          <w:numId w:val="18"/>
        </w:numPr>
        <w:tabs>
          <w:tab w:val="clear" w:pos="567"/>
        </w:tabs>
        <w:spacing w:after="120"/>
        <w:ind w:left="1560" w:hanging="850"/>
        <w:contextualSpacing w:val="0"/>
      </w:pPr>
      <w:r>
        <w:rPr>
          <w:u w:val="single"/>
          <w:lang w:val="ru"/>
        </w:rPr>
        <w:t>Вывод 3: Укрепление глобальных, региональных и субрегиональных механизмов:</w:t>
      </w:r>
      <w:r>
        <w:rPr>
          <w:lang w:val="ru"/>
        </w:rPr>
        <w:t xml:space="preserve"> Запрос предложений по проведению Десятилетия, имеющих преобразующий характер, требует укрепления глобальных, региональных и субрегиональных механизмов, которые необходимы для усиления тесного взаимодействия и обеспечения связи между глобальными и региональными и субрегиональными программами. План проведения Десятилетия науки об океане повышает их статус лидеров и усилителей развития потенциала, необходимый для успешной реализации программы и развития потенциала. Это важный элемент для расширения масштабов и ускорения усилий по РП, который может быть рассмотрен при пересмотре стратегии МОК в области РП.</w:t>
      </w:r>
    </w:p>
    <w:p w14:paraId="1585F309" w14:textId="04FD6F08" w:rsidR="005D30A9" w:rsidRPr="0066069A" w:rsidRDefault="005D30A9" w:rsidP="00F3505F">
      <w:pPr>
        <w:pStyle w:val="ListParagraph"/>
        <w:numPr>
          <w:ilvl w:val="0"/>
          <w:numId w:val="18"/>
        </w:numPr>
        <w:tabs>
          <w:tab w:val="clear" w:pos="567"/>
        </w:tabs>
        <w:spacing w:after="120"/>
        <w:ind w:left="1560" w:hanging="850"/>
        <w:contextualSpacing w:val="0"/>
      </w:pPr>
      <w:r>
        <w:rPr>
          <w:u w:val="single"/>
          <w:lang w:val="ru"/>
        </w:rPr>
        <w:t>Вывод 4: Содействие разработке политики в области океанических исследований в поддержку целей устойчивого развития</w:t>
      </w:r>
      <w:r>
        <w:rPr>
          <w:lang w:val="ru"/>
        </w:rPr>
        <w:t xml:space="preserve">: Оба документа </w:t>
      </w:r>
      <w:r>
        <w:rPr>
          <w:lang w:val="ru"/>
        </w:rPr>
        <w:lastRenderedPageBreak/>
        <w:t>подчеркивают важнейшую потребность в целенаправленных исследованиях в области естественных и социальных наук, которые углубляют понимание океанических процессов, помогают определить возможные решения критических проблем и предоставляют знания, необходимые для активизации преобразующих изменений в поведении людей в интересах устойчивого развития.</w:t>
      </w:r>
    </w:p>
    <w:p w14:paraId="546310B7" w14:textId="2BAF47D1" w:rsidR="005D30A9" w:rsidRPr="0066069A" w:rsidRDefault="005D30A9" w:rsidP="00F3505F">
      <w:pPr>
        <w:pStyle w:val="ListParagraph"/>
        <w:numPr>
          <w:ilvl w:val="0"/>
          <w:numId w:val="18"/>
        </w:numPr>
        <w:tabs>
          <w:tab w:val="clear" w:pos="567"/>
        </w:tabs>
        <w:spacing w:after="120"/>
        <w:ind w:left="1560" w:hanging="850"/>
        <w:contextualSpacing w:val="0"/>
      </w:pPr>
      <w:r>
        <w:rPr>
          <w:u w:val="single"/>
          <w:lang w:val="ru"/>
        </w:rPr>
        <w:t>Вывод 5: Повышение осведомленности и понимания, а также содействие обмену мнениями о роли и ценности океана</w:t>
      </w:r>
      <w:r>
        <w:rPr>
          <w:lang w:val="ru"/>
        </w:rPr>
        <w:t>: Хотя оба документа включают результаты, касающиеся наглядности и осведомленности, в действующей стратегии МОК в области РП, возможно, следует сделать акцент на содействии обмену мнениями о роли и ценности океана, как это указано в Плане проведения Десятилетия науки об океане, включая неформальное образование посредством музеев, зоопарков или океанариумов.</w:t>
      </w:r>
    </w:p>
    <w:p w14:paraId="78630828" w14:textId="7E62E467" w:rsidR="005D30A9" w:rsidRPr="0066069A" w:rsidRDefault="005D30A9" w:rsidP="00F3505F">
      <w:pPr>
        <w:pStyle w:val="ListParagraph"/>
        <w:numPr>
          <w:ilvl w:val="0"/>
          <w:numId w:val="18"/>
        </w:numPr>
        <w:tabs>
          <w:tab w:val="clear" w:pos="567"/>
        </w:tabs>
        <w:spacing w:after="240"/>
        <w:ind w:left="1560" w:hanging="851"/>
        <w:contextualSpacing w:val="0"/>
      </w:pPr>
      <w:r>
        <w:rPr>
          <w:u w:val="single"/>
          <w:lang w:val="ru"/>
        </w:rPr>
        <w:t>Вывод 6. Усиление устойчивой и долгосрочной мобилизации ресурсов</w:t>
      </w:r>
      <w:r>
        <w:rPr>
          <w:lang w:val="ru"/>
        </w:rPr>
        <w:t>: Этот вывод является наиболее похожим из шести в обоих документах. Тем не менее, в новой стратегии МОК в области РП, возможно, потребуется более подробно рассмотреть эту часть в контексте сетей, партнерств и сотрудничества, оптимизируя возможности для взаимодействия и обмена мнениями как одного из основных элементов мероприятий в рамках Десятилетия науки об океане.</w:t>
      </w:r>
    </w:p>
    <w:p w14:paraId="60479CFC" w14:textId="77777777" w:rsidR="00F71168" w:rsidRPr="0066069A" w:rsidRDefault="005D30A9" w:rsidP="00F71168">
      <w:pPr>
        <w:pStyle w:val="COI"/>
      </w:pPr>
      <w:r>
        <w:rPr>
          <w:lang w:val="ru"/>
        </w:rPr>
        <w:t xml:space="preserve">Хотя кризис COVID-19 не обошел стороной ни одну страну, наименее развитые страны (НРС), малые островные развивающиеся государства (МОСРГ) и развивающиеся страны, не имеющие выхода к морю (РСНВМ), оказались наиболее уязвимыми к воздействию пандемии из-за присущего им дефицита развития, что еще больше усугубляет их уязвимость к климатическим потрясениям. </w:t>
      </w:r>
    </w:p>
    <w:p w14:paraId="56B2CA9C" w14:textId="430B226C" w:rsidR="00F71168" w:rsidRPr="0066069A" w:rsidRDefault="005D30A9" w:rsidP="00F71168">
      <w:pPr>
        <w:pStyle w:val="COI"/>
      </w:pPr>
      <w:r>
        <w:rPr>
          <w:lang w:val="ru"/>
        </w:rPr>
        <w:t xml:space="preserve">Непосредственное воздействие пандемии COVID-19 на уровень бедности в странах, которые уже входили растущую долю крайне бедных стран в мире, оценивалось в соответствии с различными границами бедности (ЮНКТАД, 2020 г.). По оценкам, снижение темпов роста из-за вспышки пандемии приведет к тому, что в НРС и МОСРГ в абсолютную нищету попадут еще более 32 миллионов человек. </w:t>
      </w:r>
    </w:p>
    <w:p w14:paraId="1574F7EE" w14:textId="0968EC31" w:rsidR="005D30A9" w:rsidRPr="0066069A" w:rsidRDefault="005D30A9" w:rsidP="00F71168">
      <w:pPr>
        <w:pStyle w:val="COI"/>
      </w:pPr>
      <w:r>
        <w:rPr>
          <w:lang w:val="ru"/>
        </w:rPr>
        <w:t>Эти сообщества заслуживают плана развития потенциала, направленного на развитие производственного потенциала для их успешного структурного преобразования в целях формирования лучшего и более устойчивого и интегрированного будущего для беднейших стран мира. Пандемия показывает, что для снижения риска, предотвращения экономической разрухи и повышения устойчивости уязвимых стран необходимо международное сотрудничество. В основе Десятилетия ООН, посвященного науке об океане в интересах устойчивого развития, лежит задача не оставить без внимания ни одну страну, особенно наиболее уязвимые. Стратегические рамки развития потенциала в рамках Десятилетия науки об океане охватывают все географические регионы и область взаимодействия между сушей и морем. Они включают в себя, в том числе, НРС, МОСРГ и РСНВМ. В этом контексте План проведения Десятилетия науки об океане в решающей степени зависит от глобального наращивания потенциала и совместного использования ресурсов странами, находящимися на разных уровнях благосостояния и развития. Огромная потребность в большем объеме информации об океане на научном, правительственном, частном и общественном уровнях требует шага вперед в образовании в области океана на всех уровнях.</w:t>
      </w:r>
    </w:p>
    <w:p w14:paraId="210B76EC" w14:textId="049965A5" w:rsidR="00C20C00" w:rsidRPr="0066069A" w:rsidRDefault="00C20C00" w:rsidP="00237D81">
      <w:pPr>
        <w:pStyle w:val="Heading3"/>
      </w:pPr>
      <w:r>
        <w:rPr>
          <w:lang w:val="ru"/>
        </w:rPr>
        <w:t>Итоги второго исследования с целью оценки потребностей в РП (2020 г.)</w:t>
      </w:r>
    </w:p>
    <w:p w14:paraId="3396987F" w14:textId="7A9AAC3A" w:rsidR="005D30A9" w:rsidRPr="0066069A" w:rsidRDefault="005D30A9" w:rsidP="00F71168">
      <w:pPr>
        <w:pStyle w:val="COI"/>
      </w:pPr>
      <w:r>
        <w:rPr>
          <w:lang w:val="ru"/>
        </w:rPr>
        <w:t xml:space="preserve">В соответствии с решением IOC-XXX/11.1, принятым Ассамблеей МОК в июне 2019 года, 1 сентября 2020 года МОК выпустила </w:t>
      </w:r>
      <w:hyperlink r:id="rId17" w:history="1">
        <w:r>
          <w:rPr>
            <w:rStyle w:val="Hyperlink"/>
            <w:lang w:val="ru"/>
          </w:rPr>
          <w:t>Циркулярное письмо № 2803</w:t>
        </w:r>
      </w:hyperlink>
      <w:r>
        <w:rPr>
          <w:lang w:val="ru"/>
        </w:rPr>
        <w:t xml:space="preserve">, в котором предложила ГЭ-РП МОК продолжить работу по регулярной оценке потребностей государств-членов в развитии потенциала и приступила к проведению второго исследования с целью </w:t>
      </w:r>
      <w:r>
        <w:rPr>
          <w:lang w:val="ru"/>
        </w:rPr>
        <w:lastRenderedPageBreak/>
        <w:t>оценки потребностей в РП. Настоящее исследование с целью оценки потребностей в РП было подготовлено ГЭ-РП МОК и предназначено для оценки потребностей в развитии потенциала государств-членов, особенно, в том числе, МОСРГ и НРС, чтобы обеспечить вклад в план реализации и пересмотр Стратегии МОК в области РП на 2015–2021 годы (</w:t>
      </w:r>
      <w:hyperlink r:id="rId18" w:history="1">
        <w:r>
          <w:rPr>
            <w:rStyle w:val="Hyperlink"/>
            <w:lang w:val="ru"/>
          </w:rPr>
          <w:t>http://www.ioc-cd.org/cdstrategy</w:t>
        </w:r>
      </w:hyperlink>
      <w:r>
        <w:rPr>
          <w:lang w:val="ru"/>
        </w:rPr>
        <w:t>).</w:t>
      </w:r>
    </w:p>
    <w:p w14:paraId="1428F48E" w14:textId="4DA4AE29" w:rsidR="00C20C00" w:rsidRDefault="005D30A9" w:rsidP="00F71168">
      <w:pPr>
        <w:pStyle w:val="COI"/>
      </w:pPr>
      <w:r>
        <w:rPr>
          <w:lang w:val="ru"/>
        </w:rPr>
        <w:t>По состоянию на 1 февраля 2021 года в рамках исследования было получено 1004 ответа из 118 стран. Большинство респондентов ответили на опрос лично (72%), 21% принимали участие в качестве официальных представителей, 4% — координаторов МОК, 1% — координаторов по РП и 2% — в другом качестве. Что касается разбивки по группам заинтересованных сторон, то 30% респондентов были представлены исследователями океана и поставщиками исследовательских услуг, 23% — академическим персоналом высших учебных заведений и поставщиков образовательных услуг (24%), 16% — государственными служащими, 10% — студентами, а остальные группы составили менее 10%. Из 9096 электронных писем, которые были отправлены членам, внесенным в базу данных экспертов по вопросам океана, из 115 государств-членов, являющихся развивающимися странами, выбранными для этого опроса, было получено только 902 ответа, т. е. всего около 11%, что значительно ниже среднего показателя в 29% для онлайновых опросов. Было получено всего 20 ответов от 115 координаторов МОК и только 9 ответов от координаторов МОК по РП. 61% ответов поступили от мужчин, 37% — от женщин.</w:t>
      </w:r>
    </w:p>
    <w:p w14:paraId="41BA28BF" w14:textId="03D76015" w:rsidR="00862E4F" w:rsidRPr="0066069A" w:rsidRDefault="00862E4F" w:rsidP="00AD62D3">
      <w:pPr>
        <w:pStyle w:val="COI"/>
      </w:pPr>
      <w:r>
        <w:rPr>
          <w:lang w:val="ru"/>
        </w:rPr>
        <w:t xml:space="preserve">Подробные результаты итогов опроса доступны в режиме онлайн на специальном веб-сайте </w:t>
      </w:r>
      <w:hyperlink r:id="rId19" w:history="1">
        <w:r>
          <w:rPr>
            <w:rStyle w:val="Hyperlink"/>
            <w:lang w:val="ru"/>
          </w:rPr>
          <w:t>https://surveys.ioc-cd.org</w:t>
        </w:r>
      </w:hyperlink>
      <w:r>
        <w:rPr>
          <w:lang w:val="ru"/>
        </w:rPr>
        <w:t xml:space="preserve">. </w:t>
      </w:r>
    </w:p>
    <w:p w14:paraId="2C5B2377" w14:textId="62CDA8FB" w:rsidR="0042012F" w:rsidRPr="0066069A" w:rsidRDefault="0042012F" w:rsidP="00F71168">
      <w:pPr>
        <w:pStyle w:val="COI"/>
      </w:pPr>
      <w:r>
        <w:rPr>
          <w:lang w:val="ru"/>
        </w:rPr>
        <w:t xml:space="preserve">Результаты ранжирования каждым регионом своих соответствующих потребностей в развитии потенциала с точки зрения лидерства группы </w:t>
      </w:r>
      <w:r>
        <w:rPr>
          <w:u w:val="single"/>
          <w:lang w:val="ru"/>
        </w:rPr>
        <w:t xml:space="preserve">национальных координаторов МОК </w:t>
      </w:r>
      <w:r>
        <w:rPr>
          <w:lang w:val="ru"/>
        </w:rPr>
        <w:t xml:space="preserve">различаются по регионам. В Африке, например, основные потребности в РП связаны с «оборудованием и приборами для взятия проб в области наук об океане», в Латинской Америке и Карибском бассейне — с «доступом к высокопроизводительным вычислительным устройствам», в группе «Другие» — с финансированием и инвестициями, а в ВЕСТПАК на первое место выходят «юридические рамки, регулирование и обеспечение выполнения». Можно заметить, что группа </w:t>
      </w:r>
      <w:r>
        <w:rPr>
          <w:u w:val="single"/>
          <w:lang w:val="ru"/>
        </w:rPr>
        <w:t>координаторов по РП</w:t>
      </w:r>
      <w:r>
        <w:rPr>
          <w:lang w:val="ru"/>
        </w:rPr>
        <w:t xml:space="preserve"> также имеет практически такие же потребности в области РП, что и группа координаторов МОК. Что касается </w:t>
      </w:r>
      <w:r>
        <w:rPr>
          <w:u w:val="single"/>
          <w:lang w:val="ru"/>
        </w:rPr>
        <w:t>личной</w:t>
      </w:r>
      <w:r>
        <w:rPr>
          <w:lang w:val="ru"/>
        </w:rPr>
        <w:t xml:space="preserve"> группы, то стоит отметить, что их рейтинг несколько отличается от рейтинга «группы национальных координаторов», так как он сосредоточен на «финансировании и инвестициях», как и у представителей организационной группы, за которыми следует «оборудование для наблюдения за океаном».</w:t>
      </w:r>
    </w:p>
    <w:p w14:paraId="3F6C51FD" w14:textId="77777777" w:rsidR="0042012F" w:rsidRPr="0066069A" w:rsidRDefault="0042012F" w:rsidP="00F71168">
      <w:pPr>
        <w:pStyle w:val="COI"/>
      </w:pPr>
      <w:r>
        <w:rPr>
          <w:lang w:val="ru"/>
        </w:rPr>
        <w:t>Отсутствие ответов со стороны национальных координаторов МОК вызывает серьезную озабоченность, и группе было настоятельно рекомендовано изучить дополнительные способы обращения к странам, чтобы получить большее количество ответов и достичь статистически значимых результатов. Тем не менее, из первоначального анализа можно извлечь некоторые ценные результаты, включая выявленную потребность в специальном обучении, в том числе на базе судов, требующем практической научной подготовки.</w:t>
      </w:r>
    </w:p>
    <w:p w14:paraId="399234DF" w14:textId="7A7AFBFF" w:rsidR="0042012F" w:rsidRPr="0066069A" w:rsidRDefault="0042012F" w:rsidP="00F71168">
      <w:pPr>
        <w:pStyle w:val="COI"/>
      </w:pPr>
      <w:r>
        <w:rPr>
          <w:lang w:val="ru"/>
        </w:rPr>
        <w:t>Члены Целевой группы разделили мнение о том, что, несмотря на ограниченность результатов, они выявили важные вопросы, касающиеся слабой связи между координационными центрами и целевыми сообществами. Разница между индивидуально выраженными потребностями и потребностями, о которых сообщили национальные координаторы, выявила несоответствие между мнениями ученых и исследователей и мнениями чиновников более высокого уровня.</w:t>
      </w:r>
    </w:p>
    <w:p w14:paraId="6892F24C" w14:textId="77777777" w:rsidR="003630DC" w:rsidRDefault="0042012F" w:rsidP="00F3505F">
      <w:pPr>
        <w:pStyle w:val="COI"/>
        <w:spacing w:after="120"/>
      </w:pPr>
      <w:r>
        <w:rPr>
          <w:lang w:val="ru"/>
        </w:rPr>
        <w:t>Целевая группа рекомендовала:</w:t>
      </w:r>
    </w:p>
    <w:p w14:paraId="368CDD9D" w14:textId="788DC3E4" w:rsidR="0042012F" w:rsidRPr="0066069A" w:rsidRDefault="003630DC" w:rsidP="00F3505F">
      <w:pPr>
        <w:pStyle w:val="ListParagraph"/>
        <w:numPr>
          <w:ilvl w:val="0"/>
          <w:numId w:val="19"/>
        </w:numPr>
        <w:tabs>
          <w:tab w:val="clear" w:pos="567"/>
        </w:tabs>
        <w:spacing w:after="240"/>
        <w:ind w:left="1276" w:hanging="573"/>
        <w:contextualSpacing w:val="0"/>
      </w:pPr>
      <w:r>
        <w:rPr>
          <w:lang w:val="ru"/>
        </w:rPr>
        <w:t xml:space="preserve">продолжать работу со странами для получения большего количества ответов и достижения более статистически значимых </w:t>
      </w:r>
      <w:r>
        <w:rPr>
          <w:u w:val="single"/>
          <w:lang w:val="ru"/>
        </w:rPr>
        <w:t>результатов</w:t>
      </w:r>
      <w:r>
        <w:rPr>
          <w:lang w:val="ru"/>
        </w:rPr>
        <w:t xml:space="preserve">. Повторный анализ, при </w:t>
      </w:r>
      <w:r>
        <w:rPr>
          <w:lang w:val="ru"/>
        </w:rPr>
        <w:lastRenderedPageBreak/>
        <w:t>условии получения большего количества ответов от национальных координаторов и координаторов по РП, может быть проведен через несколько месяцев, а результаты могут быть пересмотрены.</w:t>
      </w:r>
    </w:p>
    <w:p w14:paraId="614F1823" w14:textId="3B8A195B" w:rsidR="00C20C00" w:rsidRPr="0066069A" w:rsidRDefault="00C20C00" w:rsidP="00237D81">
      <w:pPr>
        <w:pStyle w:val="Heading3"/>
      </w:pPr>
      <w:r>
        <w:rPr>
          <w:lang w:val="ru"/>
        </w:rPr>
        <w:t>Консультации с глобальными и региональными программами, а также специализированными учреждениями ООН, МПО, не входящими в ООН, глобальными и региональными проектами, НПО, частным сектором и т. д.</w:t>
      </w:r>
    </w:p>
    <w:p w14:paraId="5200E6CF" w14:textId="2A6E53BB" w:rsidR="00C20C00" w:rsidRPr="0066069A" w:rsidRDefault="00F3505F" w:rsidP="00F71168">
      <w:pPr>
        <w:pStyle w:val="COI"/>
      </w:pPr>
      <w:r>
        <w:rPr>
          <w:lang w:val="ru"/>
        </w:rPr>
        <w:t>Секторальным партнерам с учетом их стратегий и программ в области РП с помощью ряда вопросов был представлен набор партнеров со стратегиями и программами в области РП, которые могли бы сообщить Целевой группе ГЭ-РП о возможных пробелах, потенциальном добавлении/удалении элементов и других соображениях при пересмотре стратегии МОК в области РП.</w:t>
      </w:r>
    </w:p>
    <w:p w14:paraId="1C8C0AA9" w14:textId="48368F81" w:rsidR="00C20C00" w:rsidRPr="0066069A" w:rsidRDefault="0042012F" w:rsidP="00F71168">
      <w:pPr>
        <w:pStyle w:val="COI"/>
      </w:pPr>
      <w:r>
        <w:rPr>
          <w:lang w:val="ru"/>
        </w:rPr>
        <w:t>Полученные комментарии и предложения включали длинный список ссылок на конкретные инициативы в области РП, которые в той или иной степени связаны со стратегией МОК в области РП и с Десятилетием науки об океане. В обобщенном виде они касаются следующего:</w:t>
      </w:r>
    </w:p>
    <w:p w14:paraId="5F0DF4EC" w14:textId="0E3DC721"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ru"/>
        </w:rPr>
        <w:t>В целом важно выделить долгосрочные стратегии устойчивого РП. Скоординированные и объединенные инициативы, способные выделять финансовые ресурсы в долгосрочной перспективе и имеющие согласованные, интегрированные цели, способствуют РП. По сути, разрозненные кратковременные усилия, хотя и ценные, считаются гораздо менее эффективными. Это подразумевает долгосрочные рамки финансирования, которые особенно трудно мобилизовать.</w:t>
      </w:r>
    </w:p>
    <w:p w14:paraId="3579E790" w14:textId="77777777"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ru"/>
        </w:rPr>
        <w:t>Еще одним сквозным замечанием является необходимость разработки механизмов мониторинга, оценки и обучения для оценки качества и воздействия деятельности по развитию потенциала. Сюда входит также картирование текущей деятельности в области РП и выявление пробелов, которые необходимо устранить (например, в полярных регионах). Эти механизмы выиграют от скоординированных подходов различных организаций (см. ниже).</w:t>
      </w:r>
    </w:p>
    <w:p w14:paraId="20B55362" w14:textId="730D02AB"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ru"/>
        </w:rPr>
        <w:t>Также подчеркивается, что стратегии и инициативы в области РП должны укреплять существующие национальные и региональные ресурсы и сети для развития потенциала. Они должны работать с национальными институтами и университетами по подготовке кадров и использовать их, способствуя адаптации новых знаний к существующим учебным программам и избегая создания новых, внешних инициатив, которые, несмотря на свою ценность, могут подорвать существующий национальный потенциал в области РП.</w:t>
      </w:r>
    </w:p>
    <w:p w14:paraId="674CA8CC" w14:textId="64087190"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ru"/>
        </w:rPr>
        <w:t>Развитие потенциала будет также лучше обеспечиваться на основе партнерских связей между развитыми странами и МОСРГ и НРС, например, в целях устранения инфраструктурных пробелов и достижения социально-экономических преимуществ систем наблюдения за океаном в глобальном и региональном масштабах.</w:t>
      </w:r>
    </w:p>
    <w:p w14:paraId="02F47DEB" w14:textId="77777777" w:rsidR="0042012F" w:rsidRPr="0066069A" w:rsidRDefault="0042012F" w:rsidP="00F3505F">
      <w:pPr>
        <w:pStyle w:val="ListParagraph"/>
        <w:numPr>
          <w:ilvl w:val="0"/>
          <w:numId w:val="17"/>
        </w:numPr>
        <w:tabs>
          <w:tab w:val="clear" w:pos="567"/>
        </w:tabs>
        <w:spacing w:before="120" w:after="120"/>
        <w:ind w:left="1560" w:hanging="851"/>
        <w:contextualSpacing w:val="0"/>
      </w:pPr>
      <w:r>
        <w:rPr>
          <w:lang w:val="ru"/>
        </w:rPr>
        <w:t>Как четко указано в Плане проведения Десятилетия науки об океане, интеграция естественных наук и общественных дисциплин в комплексную оценку морской среды также должна стать общим принципом стратегий и инициатив в области РП. Устойчивое управление ресурсами требует понимания устройства морей и нашего использования этого ресурса через интегрированную систему, объединяющую природные и человеческие аспекты. Поэтому необходимы концептуальные рамки, интегрирующие гуманитарные и социальные науки в комплексные оценки морской среды.</w:t>
      </w:r>
    </w:p>
    <w:p w14:paraId="788F51BF" w14:textId="4B0AED77" w:rsidR="0042012F" w:rsidRPr="0066069A" w:rsidRDefault="00165C9E" w:rsidP="00F3505F">
      <w:pPr>
        <w:pStyle w:val="ListParagraph"/>
        <w:numPr>
          <w:ilvl w:val="0"/>
          <w:numId w:val="17"/>
        </w:numPr>
        <w:tabs>
          <w:tab w:val="clear" w:pos="567"/>
        </w:tabs>
        <w:spacing w:before="120" w:after="120"/>
        <w:ind w:left="1560" w:hanging="851"/>
        <w:contextualSpacing w:val="0"/>
      </w:pPr>
      <w:r>
        <w:rPr>
          <w:lang w:val="ru"/>
        </w:rPr>
        <w:lastRenderedPageBreak/>
        <w:t>Необходимо, чтобы такие глобальные проблемы, как изменение климата, биоразнообразие и утрата среды обитания, а также их воздействие на морские ресурсы и услуги занимали центральное место в стратегиях и инициативах в области РП.</w:t>
      </w:r>
    </w:p>
    <w:p w14:paraId="702C2FA3" w14:textId="1BD60566" w:rsidR="0042012F" w:rsidRPr="0066069A" w:rsidRDefault="0042012F" w:rsidP="00F3505F">
      <w:pPr>
        <w:pStyle w:val="ListParagraph"/>
        <w:numPr>
          <w:ilvl w:val="0"/>
          <w:numId w:val="17"/>
        </w:numPr>
        <w:tabs>
          <w:tab w:val="clear" w:pos="567"/>
        </w:tabs>
        <w:spacing w:before="120" w:after="120"/>
        <w:ind w:left="1560" w:hanging="851"/>
      </w:pPr>
      <w:r>
        <w:rPr>
          <w:lang w:val="ru"/>
        </w:rPr>
        <w:t>Кроме того, необходимо устранить барьеры для полного гендерного и географического разнообразия, а также гарантировать равный доступ к знаниям об океане, образованию в области океана, подготовке кадров и передаче морской технологии. Помимо этих общих замечаний были и другие вопросы, которые четко прослеживались в комментариях и которые кратко изложены ниже.</w:t>
      </w:r>
    </w:p>
    <w:p w14:paraId="7C99C86F" w14:textId="77777777" w:rsidR="00F71168" w:rsidRPr="0066069A" w:rsidRDefault="00F71168" w:rsidP="00F71168">
      <w:pPr>
        <w:pStyle w:val="ListParagraph"/>
        <w:tabs>
          <w:tab w:val="clear" w:pos="567"/>
          <w:tab w:val="left" w:pos="1134"/>
        </w:tabs>
        <w:ind w:left="1134"/>
      </w:pPr>
    </w:p>
    <w:p w14:paraId="40C80BFE" w14:textId="73C5B3F4" w:rsidR="005C506B" w:rsidRPr="0066069A" w:rsidRDefault="005C506B" w:rsidP="00237D81">
      <w:pPr>
        <w:pStyle w:val="Heading3"/>
      </w:pPr>
      <w:r>
        <w:rPr>
          <w:lang w:val="ru"/>
        </w:rPr>
        <w:t>Развитие потенциала в области политики и принятия решений</w:t>
      </w:r>
    </w:p>
    <w:p w14:paraId="7860ACED" w14:textId="315E2A78" w:rsidR="005C506B" w:rsidRPr="0066069A" w:rsidRDefault="005C506B" w:rsidP="00F71168">
      <w:pPr>
        <w:pStyle w:val="COI"/>
      </w:pPr>
      <w:r>
        <w:rPr>
          <w:lang w:val="ru"/>
        </w:rPr>
        <w:t>Развитие потенциала, ориентированное на политиков, должно быть приоритетным, являясь первым шагом для дальнейшего развития общих стратегий в области РП. В руководящих принципах РП должна упоминаться необходимость долгосрочных устойчивых стратегий в области развития потенциала как на национальном уровне, так и в области международной координации. Отсутствие долгосрочных устойчивых стратегий, а не только финансирования, рассматривается как основной фактор, препятствующий успешному развитию потенциала. Помимо финансирования, имеющего, несомненно, большое значение, другие аспекты, такие как высокая ротация персонала, представляющего или отвечающего за координацию на национальном уровне (например, Национальные контакты по цунами), часто препятствуют эффективной деятельности по развитию потенциала.</w:t>
      </w:r>
    </w:p>
    <w:p w14:paraId="2FD7094B" w14:textId="77777777" w:rsidR="005C506B" w:rsidRPr="0066069A" w:rsidRDefault="005C506B" w:rsidP="00F71168">
      <w:pPr>
        <w:pStyle w:val="COI"/>
      </w:pPr>
      <w:r>
        <w:rPr>
          <w:lang w:val="ru"/>
        </w:rPr>
        <w:t>Кроме того, взаимодействие политики и науки имеет важное значение для разработки и реализации правовых и институциональных рамок управления океаном, в которых наука является центральным компонентом. РП, ориентированное на разработку политики, должно включать в себя четкое понимание социально-экономических выгод от продуктов и услуг, предоставляемых океаном. Морское пространственное планирование, схемы комплексного управления прибрежными зонами, охраняемые морские районы и управление океаном в целом должны основываться на научных знаниях. Поэтому крайне важно, чтобы политики имели четкое представление об этой зависимости уже на первом этапе разработки надежных стратегий в области РП на национальном уровне.</w:t>
      </w:r>
    </w:p>
    <w:p w14:paraId="3747B949" w14:textId="678C4C33" w:rsidR="0042012F" w:rsidRPr="0066069A" w:rsidRDefault="005C506B" w:rsidP="00F71168">
      <w:pPr>
        <w:pStyle w:val="COI"/>
      </w:pPr>
      <w:r>
        <w:rPr>
          <w:lang w:val="ru"/>
        </w:rPr>
        <w:t>РП для политиков призвано помочь поддержать государства-члены в реализации ЦУР и других ключевых процессов ООН, которые будут опираться на надежную океанологию при обосновании принятия решений в следующем десятилетии (например, БПНЮ, глобальная рамочная программа КБР по биоразнообразию после 2020 года).</w:t>
      </w:r>
    </w:p>
    <w:p w14:paraId="07D06870" w14:textId="46A967EF" w:rsidR="00A22797" w:rsidRPr="0066069A" w:rsidRDefault="005C506B" w:rsidP="00237D81">
      <w:pPr>
        <w:pStyle w:val="Heading3"/>
      </w:pPr>
      <w:r>
        <w:rPr>
          <w:lang w:val="ru"/>
        </w:rPr>
        <w:t>МОСРГ, НРС и РСНВМ</w:t>
      </w:r>
    </w:p>
    <w:p w14:paraId="31EB5948" w14:textId="77777777" w:rsidR="00D85DBC" w:rsidRDefault="005C506B" w:rsidP="00F3505F">
      <w:pPr>
        <w:pStyle w:val="COI"/>
        <w:spacing w:after="120"/>
      </w:pPr>
      <w:r>
        <w:rPr>
          <w:lang w:val="ru"/>
        </w:rPr>
        <w:t xml:space="preserve">Хотя МОСРГ, НРС и РСНВМ уже являются приоритетом в стратегии МОК в области РП, эта роль должна быть конкретизирована и усилена путем: </w:t>
      </w:r>
    </w:p>
    <w:p w14:paraId="680BFB07" w14:textId="316DB2B7" w:rsidR="00D85DBC" w:rsidRDefault="005C506B" w:rsidP="00F3505F">
      <w:pPr>
        <w:pStyle w:val="COI"/>
        <w:numPr>
          <w:ilvl w:val="0"/>
          <w:numId w:val="20"/>
        </w:numPr>
        <w:spacing w:after="120"/>
        <w:ind w:left="1400"/>
      </w:pPr>
      <w:r>
        <w:rPr>
          <w:lang w:val="ru"/>
        </w:rPr>
        <w:t xml:space="preserve">укрепления взаимодействия науки и политики посредством разработки и/или предоставления инструментов поддержки принятия решений и инклюзивных процессов вовлечения заинтересованных сторон для разработки научно обоснованной политики и компромиссов, достижения консенсуса и комплексных решений; </w:t>
      </w:r>
    </w:p>
    <w:p w14:paraId="7390A0EF" w14:textId="586DDB1D" w:rsidR="00D85DBC" w:rsidRDefault="005C506B" w:rsidP="00F3505F">
      <w:pPr>
        <w:pStyle w:val="COI"/>
        <w:numPr>
          <w:ilvl w:val="0"/>
          <w:numId w:val="20"/>
        </w:numPr>
        <w:spacing w:after="120"/>
        <w:ind w:left="1400"/>
      </w:pPr>
      <w:r>
        <w:rPr>
          <w:lang w:val="ru"/>
        </w:rPr>
        <w:t xml:space="preserve">поощрения политики, способствующей технологической модернизации. Укрепление науки и технологий и увеличение инвестиций в базовые и смежные исследовательские учреждения / институты являются центральными и приоритетными элементами будущей устойчивости этих стран; </w:t>
      </w:r>
    </w:p>
    <w:p w14:paraId="0DFBFA9A" w14:textId="097BD010" w:rsidR="00D85DBC" w:rsidRDefault="005C506B" w:rsidP="00F3505F">
      <w:pPr>
        <w:pStyle w:val="COI"/>
        <w:numPr>
          <w:ilvl w:val="0"/>
          <w:numId w:val="20"/>
        </w:numPr>
        <w:spacing w:after="120"/>
        <w:ind w:left="1400"/>
      </w:pPr>
      <w:r>
        <w:rPr>
          <w:lang w:val="ru"/>
        </w:rPr>
        <w:t xml:space="preserve">укрепления и подчеркивания ключевой роли океанологии, имеющей важное значение для создания инструментов, необходимых для устранения коренных </w:t>
      </w:r>
      <w:r>
        <w:rPr>
          <w:lang w:val="ru"/>
        </w:rPr>
        <w:lastRenderedPageBreak/>
        <w:t xml:space="preserve">причин существующей уязвимости и выявления рисков безопасности, связанных с климатом и океанической средой, с которыми сталкиваются прибрежные районы, в частности МОСРГ; </w:t>
      </w:r>
    </w:p>
    <w:p w14:paraId="6C052013" w14:textId="6DE9B832" w:rsidR="005C506B" w:rsidRPr="0066069A" w:rsidRDefault="005C506B" w:rsidP="00F3505F">
      <w:pPr>
        <w:pStyle w:val="COI"/>
        <w:numPr>
          <w:ilvl w:val="0"/>
          <w:numId w:val="20"/>
        </w:numPr>
        <w:ind w:left="1400"/>
      </w:pPr>
      <w:r>
        <w:rPr>
          <w:lang w:val="ru"/>
        </w:rPr>
        <w:t>содействие взаимодействию между Десятилетием ООН, посвященным науке об океане в интересах устойчивого развития, и Десятилетием ООН по восстановлению экосистем. Океанология дает информацию для восстановления прибрежных экосистем, и в этом контексте следует признать уникальную уязвимость МОСРГ.</w:t>
      </w:r>
    </w:p>
    <w:p w14:paraId="6A89E8B9" w14:textId="4094F954" w:rsidR="00A22797" w:rsidRPr="0066069A" w:rsidRDefault="005C506B" w:rsidP="00237D81">
      <w:pPr>
        <w:pStyle w:val="Heading3"/>
      </w:pPr>
      <w:r>
        <w:rPr>
          <w:lang w:val="ru"/>
        </w:rPr>
        <w:t>Сотрудничество и объединение со стратегиями в области РП других организаций системы ООН, региональных и национальных учреждений</w:t>
      </w:r>
    </w:p>
    <w:p w14:paraId="2E2DD0FA" w14:textId="02C8FCC1" w:rsidR="005C506B" w:rsidRPr="0066069A" w:rsidRDefault="005C506B" w:rsidP="00F71168">
      <w:pPr>
        <w:pStyle w:val="COI"/>
      </w:pPr>
      <w:r>
        <w:rPr>
          <w:lang w:val="ru"/>
        </w:rPr>
        <w:t>Наука является неотъемлемой частью правовых и институциональных вопросов, связанных с океаном, на всех уровнях управления. Поэтому другие организации системы ООН, региональные и национальные учреждения, имеющие общие или конкретные интересы в области океана, часто включают науки об океане в свои стратегии в области РП. Поэтому чрезвычайно важно обеспечить высокую степень координации между стратегиями организаций системы ООН в области РП, подкрепленную более широким участием государств-членов, с тем чтобы избежать дублирования усилий и обеспечить взаимодействие мероприятий, партнерств и ресурсов, включая экспертные знания и инфраструктуру. Эта координация должна осуществляться не только на глобальном уровне, но и, что очень важно, между региональными программами, подкомиссиями или региональными комитетами и мероприятиями, вплоть до национального уровня. Такая координация должна перерасти в стратегическое партнерство в области РП для обеспечения надежных, долгосрочных стратегий и программ в области РП и должна охватывать широкий ряд вопросов, уже рассмотренных в Стратегии МОК в области РП и предложенных в настоящем документе (управление данными и доступ к данным, научные методологии, наблюдение за океаном, РП, ориентированное на политиков, приоритет МОСРГ и НРС, гендерные вопросы, традиционные знания и знания коренных народов и т. д.).</w:t>
      </w:r>
    </w:p>
    <w:p w14:paraId="4CA57D8F" w14:textId="5B9AA0E5" w:rsidR="005C506B" w:rsidRPr="0066069A" w:rsidRDefault="005C506B" w:rsidP="00F71168">
      <w:pPr>
        <w:pStyle w:val="COI"/>
      </w:pPr>
      <w:r>
        <w:rPr>
          <w:lang w:val="ru"/>
        </w:rPr>
        <w:t>Принимая во внимание роль океанологии в деле содействия устойчивому развитию, стратегия в области РП также должна быть согласована с инициативами и программами, связанными с управлением экосистемами (например, с глобальной рамочной программой КБР по биоразнообразию после 2020 года, экосистемной оценкой Системы эколого-экономического учета ООН, геопарками, биосферными заповедниками и объектами всемирного наследия), устойчивым развитием (например, координация между ЭСКАТО ООН и ВЕСТПАК или согласование стратегии МОК в области РП с Рамочной программой сотрудничества в области устойчивого развития) или путем оказания помощи странам в укреплении их способности собирать, управлять, анализировать и использовать данные из различных источников (например, в сотрудничестве с Департаментом ООН по экономическим и социальным вопросам и национальными статистическими службами). При координации стратегий в области РП необходимо учитывать два сквозных аспекта: (i) связь с частным сектором по вопросам партнерских возможностей обучения; (ii) создание условий для работы с несколькими донорами.</w:t>
      </w:r>
    </w:p>
    <w:p w14:paraId="561B6208" w14:textId="6A5A9FE2" w:rsidR="005C506B" w:rsidRPr="0066069A" w:rsidRDefault="005C506B" w:rsidP="00237D81">
      <w:pPr>
        <w:pStyle w:val="Heading3"/>
      </w:pPr>
      <w:r>
        <w:rPr>
          <w:lang w:val="ru"/>
        </w:rPr>
        <w:t>Гендерная проблематика, традиционные виды деятельности и наследие коренных народов</w:t>
      </w:r>
    </w:p>
    <w:p w14:paraId="2690AC2A" w14:textId="4F1EF758" w:rsidR="005C506B" w:rsidRPr="0066069A" w:rsidRDefault="005C506B" w:rsidP="00F71168">
      <w:pPr>
        <w:pStyle w:val="COI"/>
      </w:pPr>
      <w:r>
        <w:rPr>
          <w:lang w:val="ru"/>
        </w:rPr>
        <w:t xml:space="preserve">Стратегия МОК в области РП должна, в целом, предусматривать усиление роли гендерного фактора, традиционных знаний и знаний коренных народов и социальной интеграции. Это предполагает: (i) привлечение коренных народов и учет их прав, интересов, потребностей в информации об океане и ценных традиционных знаний в рамках усилий по наблюдению за океаном и соответствующей политики в области управления океаном; (ii) социальную интеграцию. Обеспечение понимания и удовлетворения потребностей социально незащищенных групп, таких как коренные народы, инвалиды, пожилые люди, молодежь и женщины, путем устранения барьеров для полного гендерного, поколенческого и </w:t>
      </w:r>
      <w:r>
        <w:rPr>
          <w:lang w:val="ru"/>
        </w:rPr>
        <w:lastRenderedPageBreak/>
        <w:t>географического разнообразия, а также обеспечение справедливого и доступного океана для всех.</w:t>
      </w:r>
    </w:p>
    <w:p w14:paraId="7203C9C0" w14:textId="0D40EE38" w:rsidR="005C506B" w:rsidRPr="0066069A" w:rsidRDefault="005C506B" w:rsidP="00237D81">
      <w:pPr>
        <w:pStyle w:val="Heading3"/>
      </w:pPr>
      <w:r>
        <w:rPr>
          <w:lang w:val="ru"/>
        </w:rPr>
        <w:t>Хранение, управление и доступ к данным</w:t>
      </w:r>
    </w:p>
    <w:p w14:paraId="4E62FBB3" w14:textId="77777777" w:rsidR="009B06F7" w:rsidRDefault="00B4254D" w:rsidP="00F71168">
      <w:pPr>
        <w:pStyle w:val="COI"/>
      </w:pPr>
      <w:r>
        <w:rPr>
          <w:lang w:val="ru"/>
        </w:rPr>
        <w:t xml:space="preserve">Достижения в области управления данными и информацией являются одним из ключевых моментов Десятилетия науки об океане. Доступ к данным обычно включен в глобальные стратегические планы и глобальные политики. Однако меньше внимания уделяется (в том числе в Стратегии МОК в области РП) поддержке создания и поддержания совместимых наборов океанических данных на национальном уровне и их оперативной совместимости в национальном контексте. Необходимо, чтобы МОСРГ и НРС имели открытый доступ к данным, созданным развитыми странами, но не менее важно, чтобы они могли надлежащим образом управлять данными, которые создают сами. Это необходимо для развития научных знаний в целях их собственного использования, поддержки управления их океаническими продуктами и услугами и снижения масштабов понимания и управления глобальными процессами, такими как изменение океана и климата. </w:t>
      </w:r>
    </w:p>
    <w:p w14:paraId="43058437" w14:textId="77777777" w:rsidR="009B06F7" w:rsidRDefault="00B4254D" w:rsidP="00F3505F">
      <w:pPr>
        <w:pStyle w:val="COI"/>
        <w:spacing w:after="120"/>
      </w:pPr>
      <w:r>
        <w:rPr>
          <w:lang w:val="ru"/>
        </w:rPr>
        <w:t xml:space="preserve">Поэтому стратегия в области РП должна обеспечивать: </w:t>
      </w:r>
    </w:p>
    <w:p w14:paraId="7D975995" w14:textId="19EE9515" w:rsidR="009B06F7" w:rsidRDefault="002D4F49" w:rsidP="00F3505F">
      <w:pPr>
        <w:pStyle w:val="COI"/>
        <w:numPr>
          <w:ilvl w:val="0"/>
          <w:numId w:val="21"/>
        </w:numPr>
        <w:tabs>
          <w:tab w:val="clear" w:pos="709"/>
        </w:tabs>
        <w:spacing w:after="120"/>
        <w:ind w:left="1418"/>
      </w:pPr>
      <w:r>
        <w:rPr>
          <w:lang w:val="ru"/>
        </w:rPr>
        <w:t xml:space="preserve">поддержку создания и поддержания совместимых наборов морских данных в сотрудничестве с другими международными/межправительственными организациями; </w:t>
      </w:r>
    </w:p>
    <w:p w14:paraId="1FBBC445" w14:textId="70DA0DE2" w:rsidR="009B06F7" w:rsidRDefault="002D4F49" w:rsidP="00F3505F">
      <w:pPr>
        <w:pStyle w:val="COI"/>
        <w:numPr>
          <w:ilvl w:val="0"/>
          <w:numId w:val="21"/>
        </w:numPr>
        <w:tabs>
          <w:tab w:val="clear" w:pos="709"/>
        </w:tabs>
        <w:spacing w:after="120"/>
        <w:ind w:left="1418"/>
      </w:pPr>
      <w:r>
        <w:rPr>
          <w:lang w:val="ru"/>
        </w:rPr>
        <w:t xml:space="preserve">разработку совместимых платформ и сервисов данных с открытым доступом в сотрудничестве с другими международными/межправительственными организациями; </w:t>
      </w:r>
    </w:p>
    <w:p w14:paraId="12AE60E4" w14:textId="78538D56" w:rsidR="00B4254D" w:rsidRPr="0066069A" w:rsidRDefault="002D4F49" w:rsidP="00F3505F">
      <w:pPr>
        <w:pStyle w:val="COI"/>
        <w:numPr>
          <w:ilvl w:val="0"/>
          <w:numId w:val="21"/>
        </w:numPr>
        <w:tabs>
          <w:tab w:val="clear" w:pos="709"/>
        </w:tabs>
        <w:ind w:left="1418"/>
      </w:pPr>
      <w:r>
        <w:rPr>
          <w:lang w:val="ru"/>
        </w:rPr>
        <w:t>выявление и извлечение данных и информации, которые недоступны на цифровых платформах и поэтому могут быть подвержены риску утраты. Все эти компоненты направлены на дальнейшее развитие общего и стандартизированного международного подхода к устойчивым знаниям об океанах в рамках стратегий в области РП.</w:t>
      </w:r>
    </w:p>
    <w:p w14:paraId="73951C87" w14:textId="519CEE29" w:rsidR="005C506B" w:rsidRPr="0066069A" w:rsidRDefault="002D4F49" w:rsidP="00237D81">
      <w:pPr>
        <w:pStyle w:val="Heading3"/>
      </w:pPr>
      <w:r>
        <w:rPr>
          <w:lang w:val="ru"/>
        </w:rPr>
        <w:t>Другие общие рекомендации</w:t>
      </w:r>
    </w:p>
    <w:p w14:paraId="630F9C48" w14:textId="7D44BF99" w:rsidR="002D4F49" w:rsidRPr="0066069A" w:rsidRDefault="002D4F49" w:rsidP="00F71168">
      <w:pPr>
        <w:pStyle w:val="COI"/>
      </w:pPr>
      <w:r>
        <w:rPr>
          <w:lang w:val="ru"/>
        </w:rPr>
        <w:t xml:space="preserve">Результаты обзора, проведенного Целевой группой для обоснования необходимости пересмотра стратегии МОК в области РП, позволили выявить жизненно важные элементы, которые должны быть включены в пересмотренную стратегию МОК в области РП, с тем чтобы она обеспечивала развитие потенциала, необходимого в рамках Десятилетия науки об океане. При разработке пересмотренной стратегии МОК в области РП следует обратить внимание на соответствующую форму и структуру с идеальной длиной, достаточной для того, чтобы целевая аудитория заинтересовалась и прочла документ. </w:t>
      </w:r>
    </w:p>
    <w:p w14:paraId="240784B2" w14:textId="77777777" w:rsidR="009B06F7" w:rsidRDefault="002D4F49" w:rsidP="00F3505F">
      <w:pPr>
        <w:pStyle w:val="COI"/>
        <w:spacing w:after="120"/>
      </w:pPr>
      <w:r>
        <w:rPr>
          <w:lang w:val="ru"/>
        </w:rPr>
        <w:t xml:space="preserve">Целевая группа рекомендует: </w:t>
      </w:r>
    </w:p>
    <w:p w14:paraId="36D2D164" w14:textId="013828D0" w:rsidR="009B06F7" w:rsidRDefault="002D4F49" w:rsidP="00F3505F">
      <w:pPr>
        <w:pStyle w:val="COI"/>
        <w:numPr>
          <w:ilvl w:val="0"/>
          <w:numId w:val="25"/>
        </w:numPr>
        <w:tabs>
          <w:tab w:val="clear" w:pos="709"/>
        </w:tabs>
        <w:spacing w:after="120"/>
        <w:ind w:left="1418"/>
      </w:pPr>
      <w:r>
        <w:rPr>
          <w:lang w:val="ru"/>
        </w:rPr>
        <w:t xml:space="preserve">ГЭ-РП продолжать работу по пересмотру стратегии МОК в области РП на 2023–2030 гг. Действующая стратегия может быть продлена до 2023 года, чтобы обеспечить достаточное количество времени для проработки этого важного вопроса; </w:t>
      </w:r>
    </w:p>
    <w:p w14:paraId="32A21E76" w14:textId="62825D98" w:rsidR="009B06F7" w:rsidRDefault="009B06F7" w:rsidP="00F3505F">
      <w:pPr>
        <w:pStyle w:val="COI"/>
        <w:numPr>
          <w:ilvl w:val="0"/>
          <w:numId w:val="25"/>
        </w:numPr>
        <w:tabs>
          <w:tab w:val="clear" w:pos="709"/>
        </w:tabs>
        <w:spacing w:after="120"/>
        <w:ind w:left="1418"/>
      </w:pPr>
      <w:r>
        <w:rPr>
          <w:lang w:val="ru"/>
        </w:rPr>
        <w:t xml:space="preserve">пересмотреть круг ведения ГЭ-РП, чтобы обеспечить продолжение работы по пересмотру стратегии МОК в области развития потенциала и подготовке предложения для представления на 32-й сессии Ассамблеи МОК в июне 2023 года; </w:t>
      </w:r>
    </w:p>
    <w:p w14:paraId="4CD415FC" w14:textId="4017C2F7" w:rsidR="009B06F7" w:rsidRDefault="009B06F7" w:rsidP="00F3505F">
      <w:pPr>
        <w:pStyle w:val="COI"/>
        <w:numPr>
          <w:ilvl w:val="0"/>
          <w:numId w:val="25"/>
        </w:numPr>
        <w:tabs>
          <w:tab w:val="clear" w:pos="709"/>
        </w:tabs>
        <w:spacing w:after="120"/>
        <w:ind w:left="1418"/>
      </w:pPr>
      <w:r>
        <w:rPr>
          <w:lang w:val="ru"/>
        </w:rPr>
        <w:t xml:space="preserve">рассмотреть вопрос о повышении наглядности и охвата пересмотренной стратегии МОК в области РП, с тем чтобы целевая аудитория ознакомилась с документом и восприняла его как руководство по осуществлению деятельности в области развития потенциала; </w:t>
      </w:r>
    </w:p>
    <w:p w14:paraId="6B122810" w14:textId="3CD3B213" w:rsidR="002D4F49" w:rsidRPr="0066069A" w:rsidRDefault="00F3505F" w:rsidP="00F3505F">
      <w:pPr>
        <w:pStyle w:val="COI"/>
        <w:numPr>
          <w:ilvl w:val="0"/>
          <w:numId w:val="25"/>
        </w:numPr>
        <w:tabs>
          <w:tab w:val="clear" w:pos="709"/>
        </w:tabs>
        <w:ind w:left="1417"/>
      </w:pPr>
      <w:r>
        <w:rPr>
          <w:lang w:val="ru"/>
        </w:rPr>
        <w:lastRenderedPageBreak/>
        <w:t>рассмотреть возможность разработки краткой аналитической записки, включающей основные положения, для более широкого охвата аудитории.</w:t>
      </w:r>
    </w:p>
    <w:p w14:paraId="0DE3C6AE" w14:textId="77777777" w:rsidR="00853565" w:rsidRPr="0066069A" w:rsidRDefault="00003B31" w:rsidP="00237D81">
      <w:pPr>
        <w:pStyle w:val="Heading3"/>
      </w:pPr>
      <w:r>
        <w:rPr>
          <w:lang w:val="ru"/>
        </w:rPr>
        <w:t>Предлагаемое решение</w:t>
      </w:r>
    </w:p>
    <w:p w14:paraId="62416108" w14:textId="0D7E6CFA" w:rsidR="002D4F49" w:rsidRPr="0066069A" w:rsidRDefault="00477601" w:rsidP="00F71168">
      <w:pPr>
        <w:pStyle w:val="COI"/>
      </w:pPr>
      <w:r>
        <w:rPr>
          <w:lang w:val="ru"/>
        </w:rPr>
        <w:t>С учетом вышеизложенного, предлагаемое решение представлено в документе о принятых и предлагаемых мерах (документ  IOC/A-31/AP) под номером IOC/A-31/Реш.3.5.3.</w:t>
      </w:r>
    </w:p>
    <w:p w14:paraId="7649BAD4" w14:textId="17D50584" w:rsidR="0068682C" w:rsidRPr="0066069A" w:rsidRDefault="0068682C" w:rsidP="00F71168">
      <w:pPr>
        <w:pStyle w:val="COI"/>
        <w:numPr>
          <w:ilvl w:val="0"/>
          <w:numId w:val="0"/>
        </w:numPr>
      </w:pPr>
    </w:p>
    <w:sectPr w:rsidR="0068682C" w:rsidRPr="0066069A" w:rsidSect="003F7186">
      <w:headerReference w:type="even" r:id="rId20"/>
      <w:headerReference w:type="default" r:id="rId21"/>
      <w:headerReference w:type="first" r:id="rId22"/>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5C4AE" w14:textId="77777777" w:rsidR="008E2DB6" w:rsidRDefault="008E2DB6">
      <w:r>
        <w:separator/>
      </w:r>
    </w:p>
  </w:endnote>
  <w:endnote w:type="continuationSeparator" w:id="0">
    <w:p w14:paraId="4ADF6603" w14:textId="77777777" w:rsidR="008E2DB6" w:rsidRDefault="008E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0A881" w14:textId="77777777" w:rsidR="008E2DB6" w:rsidRDefault="008E2DB6">
      <w:r>
        <w:separator/>
      </w:r>
    </w:p>
  </w:footnote>
  <w:footnote w:type="continuationSeparator" w:id="0">
    <w:p w14:paraId="355C05A1" w14:textId="77777777" w:rsidR="008E2DB6" w:rsidRDefault="008E2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0E6C6" w14:textId="77777777" w:rsidR="00020AA1" w:rsidRPr="00C962F0" w:rsidRDefault="00020AA1">
    <w:pPr>
      <w:pStyle w:val="Header"/>
      <w:rPr>
        <w:szCs w:val="22"/>
      </w:rPr>
    </w:pPr>
    <w:r>
      <w:rPr>
        <w:szCs w:val="22"/>
        <w:lang w:val="ru"/>
      </w:rPr>
      <w:t xml:space="preserve">ICG/CARIBE-EWS II/WD </w:t>
    </w:r>
    <w:r>
      <w:rPr>
        <w:szCs w:val="22"/>
        <w:highlight w:val="cyan"/>
        <w:lang w:val="ru"/>
      </w:rPr>
      <w:t>__</w:t>
    </w:r>
  </w:p>
  <w:p w14:paraId="027229CD" w14:textId="77777777" w:rsidR="00020AA1" w:rsidRPr="00C962F0" w:rsidRDefault="00020AA1">
    <w:pPr>
      <w:pStyle w:val="Header"/>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2</w:t>
    </w:r>
    <w:r>
      <w:rPr>
        <w:rStyle w:val="PageNumber"/>
        <w:szCs w:val="22"/>
        <w:lang w:val="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9FF47" w14:textId="77777777" w:rsidR="00020AA1" w:rsidRPr="00746B89" w:rsidRDefault="00020AA1" w:rsidP="00DF2FB9">
    <w:pPr>
      <w:pStyle w:val="Header"/>
      <w:tabs>
        <w:tab w:val="clear" w:pos="8306"/>
      </w:tabs>
      <w:rPr>
        <w:szCs w:val="22"/>
      </w:rPr>
    </w:pPr>
    <w:r>
      <w:rPr>
        <w:szCs w:val="22"/>
        <w:lang w:val="ru"/>
      </w:rPr>
      <w:t xml:space="preserve">IOC-XXIV/2 Annex </w:t>
    </w:r>
    <w:r>
      <w:rPr>
        <w:szCs w:val="22"/>
        <w:highlight w:val="yellow"/>
        <w:lang w:val="ru"/>
      </w:rPr>
      <w:t>__</w:t>
    </w:r>
  </w:p>
  <w:p w14:paraId="41232308" w14:textId="77777777" w:rsidR="00020AA1" w:rsidRPr="00746B89" w:rsidRDefault="00020AA1" w:rsidP="00DF2FB9">
    <w:pPr>
      <w:pStyle w:val="Header"/>
      <w:tabs>
        <w:tab w:val="clear" w:pos="8306"/>
      </w:tabs>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3</w:t>
    </w:r>
    <w:r>
      <w:rPr>
        <w:rStyle w:val="PageNumber"/>
        <w:szCs w:val="22"/>
        <w:lang w:val="ru"/>
      </w:rPr>
      <w:fldChar w:fldCharType="end"/>
    </w:r>
  </w:p>
  <w:p w14:paraId="7C03B462"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7553" w14:textId="7FD35D3F" w:rsidR="00020AA1" w:rsidRPr="005E544C" w:rsidRDefault="00020AA1" w:rsidP="005742D0">
    <w:pPr>
      <w:pStyle w:val="Marge"/>
      <w:tabs>
        <w:tab w:val="left" w:pos="6096"/>
      </w:tabs>
      <w:spacing w:after="0"/>
      <w:rPr>
        <w:rFonts w:cs="Arial"/>
        <w:b/>
        <w:szCs w:val="22"/>
      </w:rPr>
    </w:pPr>
    <w:r>
      <w:rPr>
        <w:rFonts w:cs="Arial"/>
        <w:szCs w:val="22"/>
        <w:lang w:val="ru"/>
      </w:rPr>
      <w:t>Рассылается по списку</w:t>
    </w:r>
    <w:r>
      <w:rPr>
        <w:rFonts w:cs="Arial"/>
        <w:szCs w:val="22"/>
        <w:lang w:val="ru"/>
      </w:rPr>
      <w:tab/>
    </w:r>
    <w:r>
      <w:rPr>
        <w:rFonts w:cs="Arial"/>
        <w:b/>
        <w:bCs/>
        <w:sz w:val="36"/>
        <w:szCs w:val="36"/>
        <w:lang w:val="ru"/>
      </w:rPr>
      <w:t>IOC-31/3.5.3</w:t>
    </w:r>
    <w:r>
      <w:rPr>
        <w:rFonts w:cs="Arial"/>
        <w:b/>
        <w:bCs/>
        <w:i/>
        <w:iCs/>
        <w:sz w:val="36"/>
        <w:szCs w:val="36"/>
        <w:lang w:val="ru"/>
      </w:rPr>
      <w:t>.</w:t>
    </w:r>
    <w:r>
      <w:rPr>
        <w:rFonts w:cs="Arial"/>
        <w:b/>
        <w:bCs/>
        <w:sz w:val="36"/>
        <w:szCs w:val="36"/>
        <w:lang w:val="ru"/>
      </w:rPr>
      <w:t>Doc</w:t>
    </w:r>
  </w:p>
  <w:p w14:paraId="4202E9E1" w14:textId="739DCC8B" w:rsidR="00020AA1" w:rsidRPr="005E544C" w:rsidRDefault="00020AA1" w:rsidP="005742D0">
    <w:pPr>
      <w:tabs>
        <w:tab w:val="clear" w:pos="567"/>
        <w:tab w:val="left" w:pos="6096"/>
      </w:tabs>
      <w:jc w:val="both"/>
      <w:rPr>
        <w:rFonts w:cs="Arial"/>
        <w:szCs w:val="22"/>
      </w:rPr>
    </w:pPr>
    <w:r>
      <w:rPr>
        <w:rFonts w:cs="Arial"/>
        <w:szCs w:val="22"/>
        <w:lang w:val="ru"/>
      </w:rPr>
      <w:tab/>
      <w:t>Париж, 28 апреля 2021 г.</w:t>
    </w:r>
  </w:p>
  <w:p w14:paraId="04D32D37" w14:textId="77777777" w:rsidR="00020AA1" w:rsidRPr="005E544C" w:rsidRDefault="00020AA1" w:rsidP="005742D0">
    <w:pPr>
      <w:tabs>
        <w:tab w:val="clear" w:pos="567"/>
        <w:tab w:val="left" w:pos="6096"/>
      </w:tabs>
      <w:jc w:val="both"/>
      <w:rPr>
        <w:rFonts w:cs="Arial"/>
        <w:szCs w:val="22"/>
      </w:rPr>
    </w:pPr>
    <w:r>
      <w:rPr>
        <w:rFonts w:cs="Arial"/>
        <w:szCs w:val="22"/>
        <w:lang w:val="ru"/>
      </w:rPr>
      <w:tab/>
      <w:t>Язык оригинала: английский</w:t>
    </w:r>
  </w:p>
  <w:p w14:paraId="347A4D9B" w14:textId="77777777" w:rsidR="00020AA1" w:rsidRPr="005E544C"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52FFF6BE" w14:textId="77777777" w:rsidR="00020AA1" w:rsidRPr="005E544C" w:rsidRDefault="00020AA1"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0A9C325" w14:textId="77777777" w:rsidR="00020AA1" w:rsidRPr="005742D0" w:rsidRDefault="00D5049E"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ru"/>
      </w:rPr>
      <w:drawing>
        <wp:anchor distT="0" distB="0" distL="114300" distR="114300" simplePos="0" relativeHeight="251666432" behindDoc="1" locked="0" layoutInCell="1" allowOverlap="1" wp14:anchorId="06F03337" wp14:editId="47E97948">
          <wp:simplePos x="0" y="0"/>
          <wp:positionH relativeFrom="column">
            <wp:posOffset>-142240</wp:posOffset>
          </wp:positionH>
          <wp:positionV relativeFrom="paragraph">
            <wp:posOffset>1270</wp:posOffset>
          </wp:positionV>
          <wp:extent cx="1714500" cy="881380"/>
          <wp:effectExtent l="0" t="0" r="0" b="0"/>
          <wp:wrapSquare wrapText="bothSides"/>
          <wp:docPr id="9"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ru"/>
      </w:rPr>
      <w:t>МЕЖПРАВИТЕЛЬСТВЕННАЯ ОКЕАНОГРАФИЧЕСКАЯ КОМИССИЯ</w:t>
    </w:r>
  </w:p>
  <w:p w14:paraId="4BB04067" w14:textId="77777777" w:rsidR="00020AA1" w:rsidRPr="005742D0" w:rsidRDefault="00020AA1"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ru"/>
      </w:rPr>
      <w:t>(ЮНЕСКО)</w:t>
    </w:r>
  </w:p>
  <w:p w14:paraId="43A380B7" w14:textId="77777777" w:rsidR="00020AA1" w:rsidRPr="005742D0" w:rsidRDefault="00020AA1"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728DC964" w14:textId="77777777" w:rsidR="005742D0"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ru"/>
      </w:rPr>
      <w:t>Тридцать первая сессия Ассамблеи</w:t>
    </w:r>
  </w:p>
  <w:p w14:paraId="4473E429" w14:textId="77777777" w:rsidR="00020AA1" w:rsidRPr="005742D0" w:rsidRDefault="005742D0"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ru"/>
      </w:rPr>
      <w:t>ЮНЕСКО, 14–25 июня 2021 года</w:t>
    </w:r>
  </w:p>
  <w:p w14:paraId="2D04C2DA" w14:textId="77777777" w:rsidR="00020AA1" w:rsidRPr="005E544C" w:rsidRDefault="00020AA1"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2AB3E363" w14:textId="77777777" w:rsidR="00020AA1" w:rsidRPr="005E544C" w:rsidRDefault="00020AA1" w:rsidP="00DF2FB9">
    <w:pPr>
      <w:jc w:val="center"/>
      <w:rPr>
        <w:rFonts w:cs="Arial"/>
        <w:szCs w:val="22"/>
      </w:rPr>
    </w:pPr>
  </w:p>
  <w:p w14:paraId="52271DA9" w14:textId="77777777" w:rsidR="00020AA1" w:rsidRDefault="00020AA1" w:rsidP="00DF2FB9">
    <w:pPr>
      <w:jc w:val="center"/>
      <w:rPr>
        <w:rFonts w:cs="Arial"/>
        <w:szCs w:val="22"/>
      </w:rPr>
    </w:pPr>
  </w:p>
  <w:p w14:paraId="41A9CE49" w14:textId="77777777" w:rsidR="00020AA1" w:rsidRDefault="00020AA1" w:rsidP="00DF2FB9">
    <w:pPr>
      <w:jc w:val="center"/>
      <w:rPr>
        <w:rFonts w:cs="Arial"/>
        <w:szCs w:val="22"/>
      </w:rPr>
    </w:pPr>
  </w:p>
  <w:p w14:paraId="2A5BA3F5" w14:textId="77777777" w:rsidR="00020AA1" w:rsidRDefault="00020AA1" w:rsidP="00DF2FB9">
    <w:pPr>
      <w:jc w:val="center"/>
      <w:rPr>
        <w:rFonts w:cs="Arial"/>
        <w:szCs w:val="22"/>
      </w:rPr>
    </w:pPr>
  </w:p>
  <w:p w14:paraId="18ADB4E4" w14:textId="77777777" w:rsidR="00020AA1" w:rsidRPr="005E544C" w:rsidRDefault="00020AA1" w:rsidP="00DF2FB9">
    <w:pPr>
      <w:jc w:val="center"/>
      <w:rPr>
        <w:rFonts w:cs="Arial"/>
        <w:szCs w:val="22"/>
      </w:rPr>
    </w:pPr>
  </w:p>
  <w:p w14:paraId="5B013BDC" w14:textId="77777777" w:rsidR="00020AA1" w:rsidRPr="005E544C" w:rsidRDefault="00020AA1" w:rsidP="00DF2FB9">
    <w:pPr>
      <w:jc w:val="center"/>
      <w:rPr>
        <w:rFonts w:cs="Arial"/>
        <w:szCs w:val="22"/>
      </w:rPr>
    </w:pPr>
  </w:p>
  <w:p w14:paraId="59624721" w14:textId="3A083F5B" w:rsidR="00020AA1" w:rsidRPr="008D2398" w:rsidRDefault="00020AA1" w:rsidP="00DF2FB9">
    <w:pPr>
      <w:pStyle w:val="Heading7"/>
      <w:tabs>
        <w:tab w:val="right" w:pos="9540"/>
      </w:tabs>
      <w:rPr>
        <w:rFonts w:cs="Arial"/>
        <w:sz w:val="24"/>
        <w:u w:val="none"/>
      </w:rPr>
    </w:pPr>
    <w:r>
      <w:rPr>
        <w:rFonts w:cs="Arial"/>
        <w:sz w:val="24"/>
        <w:lang w:val="ru"/>
      </w:rPr>
      <w:t>Пункт 3.5.3 предварительной повестки дня</w:t>
    </w:r>
  </w:p>
  <w:p w14:paraId="2A4F9F85" w14:textId="77777777" w:rsidR="00020AA1" w:rsidRPr="005E544C" w:rsidRDefault="00020AA1" w:rsidP="00DF2FB9">
    <w:pPr>
      <w:rPr>
        <w:rFonts w:cs="Arial"/>
        <w:szCs w:val="22"/>
      </w:rPr>
    </w:pPr>
  </w:p>
  <w:p w14:paraId="4BA785AF" w14:textId="77777777" w:rsidR="00020AA1" w:rsidRPr="005E544C" w:rsidRDefault="00020AA1" w:rsidP="00DF2FB9">
    <w:pPr>
      <w:rPr>
        <w:rFonts w:cs="Arial"/>
        <w:szCs w:val="22"/>
      </w:rPr>
    </w:pPr>
  </w:p>
  <w:p w14:paraId="41814D5B" w14:textId="77777777" w:rsidR="00A22797" w:rsidRPr="00A22797" w:rsidRDefault="00A22797" w:rsidP="00A22797">
    <w:pPr>
      <w:pStyle w:val="Header"/>
      <w:jc w:val="center"/>
      <w:rPr>
        <w:rFonts w:cs="Arial"/>
        <w:b/>
        <w:bCs/>
        <w:caps/>
        <w:sz w:val="24"/>
      </w:rPr>
    </w:pPr>
    <w:r>
      <w:rPr>
        <w:rFonts w:cs="Arial"/>
        <w:b/>
        <w:bCs/>
        <w:caps/>
        <w:sz w:val="24"/>
        <w:lang w:val="ru"/>
      </w:rPr>
      <w:t>Основные выводы и рекомендации Группы экспертов по развитию потенциала для пересмотра стратегии МОК в области развития потенциала</w:t>
    </w:r>
  </w:p>
  <w:p w14:paraId="16E12544" w14:textId="77777777" w:rsidR="00020AA1" w:rsidRPr="005E544C" w:rsidRDefault="00020AA1" w:rsidP="00DF2FB9">
    <w:pPr>
      <w:pStyle w:val="Header"/>
      <w:rPr>
        <w:rFonts w:cs="Arial"/>
        <w:szCs w:val="22"/>
      </w:rPr>
    </w:pPr>
  </w:p>
  <w:p w14:paraId="565F5494" w14:textId="77777777" w:rsidR="00020AA1" w:rsidRPr="005E544C" w:rsidRDefault="00020AA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086B5" w14:textId="09BD4C81" w:rsidR="00A22797" w:rsidRPr="006842FA" w:rsidRDefault="00A22797" w:rsidP="00A22797">
    <w:pPr>
      <w:pStyle w:val="Header"/>
      <w:rPr>
        <w:rFonts w:cs="Arial"/>
        <w:sz w:val="20"/>
        <w:szCs w:val="20"/>
      </w:rPr>
    </w:pPr>
    <w:r>
      <w:rPr>
        <w:rFonts w:cs="Arial"/>
        <w:sz w:val="20"/>
        <w:szCs w:val="20"/>
        <w:lang w:val="ru"/>
      </w:rPr>
      <w:t>IOC/A-31/3.5.3.Doc</w:t>
    </w:r>
  </w:p>
  <w:p w14:paraId="431D53E0" w14:textId="77777777" w:rsidR="00020AA1" w:rsidRPr="006842FA" w:rsidRDefault="00003B31" w:rsidP="00A22797">
    <w:pPr>
      <w:pStyle w:val="Header"/>
      <w:tabs>
        <w:tab w:val="clear" w:pos="8306"/>
      </w:tabs>
      <w:jc w:val="both"/>
      <w:rPr>
        <w:rFonts w:cs="Arial"/>
        <w:sz w:val="20"/>
        <w:szCs w:val="20"/>
      </w:rPr>
    </w:pPr>
    <w:r>
      <w:rPr>
        <w:rFonts w:cs="Arial"/>
        <w:sz w:val="20"/>
        <w:szCs w:val="20"/>
        <w:lang w:val="ru"/>
      </w:rPr>
      <w:t>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noProof/>
        <w:sz w:val="20"/>
        <w:szCs w:val="20"/>
        <w:lang w:val="ru"/>
      </w:rPr>
      <w:t>6</w:t>
    </w:r>
    <w:r>
      <w:rPr>
        <w:rStyle w:val="PageNumber"/>
        <w:rFonts w:cs="Arial"/>
        <w:sz w:val="20"/>
        <w:szCs w:val="20"/>
        <w:lang w:val="r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8157" w14:textId="50B51A45" w:rsidR="00020AA1" w:rsidRPr="00003B31" w:rsidRDefault="005742D0" w:rsidP="00921813">
    <w:pPr>
      <w:pStyle w:val="Header"/>
      <w:tabs>
        <w:tab w:val="clear" w:pos="8306"/>
      </w:tabs>
      <w:ind w:left="7655"/>
      <w:rPr>
        <w:rFonts w:cs="Arial"/>
        <w:szCs w:val="22"/>
      </w:rPr>
    </w:pPr>
    <w:r>
      <w:rPr>
        <w:rFonts w:cs="Arial"/>
        <w:sz w:val="20"/>
        <w:szCs w:val="20"/>
        <w:lang w:val="ru"/>
      </w:rPr>
      <w:t>IOC/A-31</w:t>
    </w:r>
    <w:r>
      <w:rPr>
        <w:rFonts w:cs="Arial"/>
        <w:color w:val="000000" w:themeColor="text1"/>
        <w:sz w:val="20"/>
        <w:szCs w:val="20"/>
        <w:lang w:val="ru"/>
      </w:rPr>
      <w:t>/3.5.3.Doc</w:t>
    </w:r>
  </w:p>
  <w:p w14:paraId="2097B881" w14:textId="77777777" w:rsidR="00020AA1" w:rsidRPr="00FC2521" w:rsidRDefault="00003B31" w:rsidP="00921813">
    <w:pPr>
      <w:pStyle w:val="Header"/>
      <w:tabs>
        <w:tab w:val="clear" w:pos="8306"/>
      </w:tabs>
      <w:ind w:left="7655"/>
      <w:rPr>
        <w:rFonts w:cs="Arial"/>
        <w:sz w:val="20"/>
        <w:szCs w:val="22"/>
      </w:rPr>
    </w:pPr>
    <w:r>
      <w:rPr>
        <w:rFonts w:cs="Arial"/>
        <w:sz w:val="20"/>
        <w:szCs w:val="22"/>
        <w:lang w:val="ru"/>
      </w:rPr>
      <w:t>страница </w:t>
    </w:r>
    <w:r>
      <w:rPr>
        <w:rStyle w:val="PageNumber"/>
        <w:rFonts w:cs="Arial"/>
        <w:sz w:val="20"/>
        <w:szCs w:val="22"/>
        <w:lang w:val="ru"/>
      </w:rPr>
      <w:fldChar w:fldCharType="begin"/>
    </w:r>
    <w:r>
      <w:rPr>
        <w:rStyle w:val="PageNumber"/>
        <w:rFonts w:cs="Arial"/>
        <w:sz w:val="20"/>
        <w:szCs w:val="22"/>
        <w:lang w:val="ru"/>
      </w:rPr>
      <w:instrText xml:space="preserve"> PAGE </w:instrText>
    </w:r>
    <w:r>
      <w:rPr>
        <w:rStyle w:val="PageNumber"/>
        <w:rFonts w:cs="Arial"/>
        <w:sz w:val="20"/>
        <w:szCs w:val="22"/>
        <w:lang w:val="ru"/>
      </w:rPr>
      <w:fldChar w:fldCharType="separate"/>
    </w:r>
    <w:r>
      <w:rPr>
        <w:rStyle w:val="PageNumber"/>
        <w:rFonts w:cs="Arial"/>
        <w:noProof/>
        <w:sz w:val="20"/>
        <w:szCs w:val="22"/>
        <w:lang w:val="ru"/>
      </w:rPr>
      <w:t>7</w:t>
    </w:r>
    <w:r>
      <w:rPr>
        <w:rStyle w:val="PageNumber"/>
        <w:rFonts w:cs="Arial"/>
        <w:sz w:val="20"/>
        <w:szCs w:val="22"/>
        <w:lang w:val="ru"/>
      </w:rPr>
      <w:fldChar w:fldCharType="end"/>
    </w:r>
  </w:p>
  <w:p w14:paraId="778DF4CB" w14:textId="77777777" w:rsidR="00020AA1" w:rsidRPr="00FC2521" w:rsidRDefault="00020AA1" w:rsidP="00921813">
    <w:pPr>
      <w:pStyle w:val="Header"/>
      <w:ind w:left="7655"/>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9D869" w14:textId="77F8D005" w:rsidR="00020AA1" w:rsidRPr="006842FA" w:rsidRDefault="005742D0" w:rsidP="00294AD5">
    <w:pPr>
      <w:pStyle w:val="Header"/>
      <w:jc w:val="right"/>
      <w:rPr>
        <w:rFonts w:cs="Arial"/>
        <w:sz w:val="20"/>
        <w:szCs w:val="20"/>
      </w:rPr>
    </w:pPr>
    <w:r>
      <w:rPr>
        <w:rFonts w:cs="Arial"/>
        <w:sz w:val="20"/>
        <w:szCs w:val="20"/>
        <w:lang w:val="ru"/>
      </w:rPr>
      <w:t>IOC/A-31/3.5.3.Doc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94D7D53"/>
    <w:multiLevelType w:val="hybridMultilevel"/>
    <w:tmpl w:val="5680DE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8B2AA5"/>
    <w:multiLevelType w:val="hybridMultilevel"/>
    <w:tmpl w:val="5680DE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5" w15:restartNumberingAfterBreak="0">
    <w:nsid w:val="10971903"/>
    <w:multiLevelType w:val="hybridMultilevel"/>
    <w:tmpl w:val="5680DEB8"/>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A01A9"/>
    <w:multiLevelType w:val="hybridMultilevel"/>
    <w:tmpl w:val="D0EC6F9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AC4F8A"/>
    <w:multiLevelType w:val="hybridMultilevel"/>
    <w:tmpl w:val="5B66B068"/>
    <w:lvl w:ilvl="0" w:tplc="6AD4CF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662F0B"/>
    <w:multiLevelType w:val="hybridMultilevel"/>
    <w:tmpl w:val="C8423952"/>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9E0737"/>
    <w:multiLevelType w:val="hybridMultilevel"/>
    <w:tmpl w:val="1DB86B5A"/>
    <w:lvl w:ilvl="0" w:tplc="D000461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1" w15:restartNumberingAfterBreak="0">
    <w:nsid w:val="4372203B"/>
    <w:multiLevelType w:val="hybridMultilevel"/>
    <w:tmpl w:val="9E64072A"/>
    <w:lvl w:ilvl="0" w:tplc="D39CC0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CC6501"/>
    <w:multiLevelType w:val="hybridMultilevel"/>
    <w:tmpl w:val="068CAC1A"/>
    <w:lvl w:ilvl="0" w:tplc="08090001">
      <w:start w:val="1"/>
      <w:numFmt w:val="bullet"/>
      <w:lvlText w:val=""/>
      <w:lvlJc w:val="left"/>
      <w:pPr>
        <w:ind w:left="720" w:hanging="360"/>
      </w:pPr>
      <w:rPr>
        <w:rFonts w:ascii="Symbol" w:hAnsi="Symbol" w:hint="default"/>
      </w:rPr>
    </w:lvl>
    <w:lvl w:ilvl="1" w:tplc="CEB6A9FC">
      <w:numFmt w:val="bullet"/>
      <w:lvlText w:val="•"/>
      <w:lvlJc w:val="left"/>
      <w:pPr>
        <w:ind w:left="1780" w:hanging="700"/>
      </w:pPr>
      <w:rPr>
        <w:rFonts w:ascii="Arial" w:eastAsia="Arial Unicode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204C64"/>
    <w:multiLevelType w:val="hybridMultilevel"/>
    <w:tmpl w:val="11D6BD2A"/>
    <w:lvl w:ilvl="0" w:tplc="88129AC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945B27"/>
    <w:multiLevelType w:val="hybridMultilevel"/>
    <w:tmpl w:val="83AA95A8"/>
    <w:lvl w:ilvl="0" w:tplc="0F8AA590">
      <w:start w:val="1"/>
      <w:numFmt w:val="lowerRoman"/>
      <w:lvlText w:val="(%1) "/>
      <w:lvlJc w:val="left"/>
      <w:pPr>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D0723D"/>
    <w:multiLevelType w:val="hybridMultilevel"/>
    <w:tmpl w:val="5B66B068"/>
    <w:lvl w:ilvl="0" w:tplc="6AD4CF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447A0F"/>
    <w:multiLevelType w:val="hybridMultilevel"/>
    <w:tmpl w:val="66485CCC"/>
    <w:lvl w:ilvl="0" w:tplc="D354CD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3032FDE"/>
    <w:multiLevelType w:val="hybridMultilevel"/>
    <w:tmpl w:val="3934F2A8"/>
    <w:lvl w:ilvl="0" w:tplc="040C000F">
      <w:start w:val="1"/>
      <w:numFmt w:val="decimal"/>
      <w:lvlText w:val="%1."/>
      <w:lvlJc w:val="left"/>
      <w:pPr>
        <w:ind w:left="687" w:hanging="403"/>
      </w:pPr>
      <w:rPr>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BA5128">
      <w:start w:val="1"/>
      <w:numFmt w:val="lowerLetter"/>
      <w:lvlText w:val="%2."/>
      <w:lvlJc w:val="left"/>
      <w:pPr>
        <w:ind w:left="139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FE9F28">
      <w:start w:val="1"/>
      <w:numFmt w:val="lowerRoman"/>
      <w:lvlText w:val="%3."/>
      <w:lvlJc w:val="left"/>
      <w:pPr>
        <w:ind w:left="2108"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0807BC">
      <w:start w:val="1"/>
      <w:numFmt w:val="decimal"/>
      <w:lvlText w:val="%4."/>
      <w:lvlJc w:val="left"/>
      <w:pPr>
        <w:ind w:left="283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6ADBE8">
      <w:start w:val="1"/>
      <w:numFmt w:val="lowerLetter"/>
      <w:lvlText w:val="%5."/>
      <w:lvlJc w:val="left"/>
      <w:pPr>
        <w:ind w:left="355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F44836">
      <w:start w:val="1"/>
      <w:numFmt w:val="lowerRoman"/>
      <w:lvlText w:val="%6."/>
      <w:lvlJc w:val="left"/>
      <w:pPr>
        <w:ind w:left="4268" w:hanging="3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EE95DA">
      <w:start w:val="1"/>
      <w:numFmt w:val="decimal"/>
      <w:lvlText w:val="%7."/>
      <w:lvlJc w:val="left"/>
      <w:pPr>
        <w:ind w:left="499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E0936">
      <w:start w:val="1"/>
      <w:numFmt w:val="lowerLetter"/>
      <w:lvlText w:val="%8."/>
      <w:lvlJc w:val="left"/>
      <w:pPr>
        <w:ind w:left="5715"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5FA22E0">
      <w:start w:val="1"/>
      <w:numFmt w:val="lowerRoman"/>
      <w:lvlText w:val="%9."/>
      <w:lvlJc w:val="left"/>
      <w:pPr>
        <w:ind w:left="6428" w:hanging="3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63C5320"/>
    <w:multiLevelType w:val="hybridMultilevel"/>
    <w:tmpl w:val="80DE37EA"/>
    <w:lvl w:ilvl="0" w:tplc="0F8AA590">
      <w:start w:val="1"/>
      <w:numFmt w:val="lowerRoman"/>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983D6A"/>
    <w:multiLevelType w:val="hybridMultilevel"/>
    <w:tmpl w:val="851C2B36"/>
    <w:lvl w:ilvl="0" w:tplc="0F8AA590">
      <w:start w:val="1"/>
      <w:numFmt w:val="lowerRoman"/>
      <w:lvlText w:val="(%1) "/>
      <w:lvlJc w:val="left"/>
      <w:pPr>
        <w:ind w:left="720" w:hanging="360"/>
      </w:pPr>
      <w:rPr>
        <w:rFonts w:hint="default"/>
      </w:rPr>
    </w:lvl>
    <w:lvl w:ilvl="1" w:tplc="CEB6A9FC">
      <w:numFmt w:val="bullet"/>
      <w:lvlText w:val="•"/>
      <w:lvlJc w:val="left"/>
      <w:pPr>
        <w:ind w:left="1780" w:hanging="700"/>
      </w:pPr>
      <w:rPr>
        <w:rFonts w:ascii="Arial" w:eastAsia="Arial Unicode MS"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0"/>
  </w:num>
  <w:num w:numId="4">
    <w:abstractNumId w:val="2"/>
  </w:num>
  <w:num w:numId="5">
    <w:abstractNumId w:val="4"/>
  </w:num>
  <w:num w:numId="6">
    <w:abstractNumId w:val="13"/>
  </w:num>
  <w:num w:numId="7">
    <w:abstractNumId w:val="13"/>
  </w:num>
  <w:num w:numId="8">
    <w:abstractNumId w:val="12"/>
  </w:num>
  <w:num w:numId="9">
    <w:abstractNumId w:val="19"/>
  </w:num>
  <w:num w:numId="10">
    <w:abstractNumId w:val="9"/>
  </w:num>
  <w:num w:numId="11">
    <w:abstractNumId w:val="17"/>
  </w:num>
  <w:num w:numId="12">
    <w:abstractNumId w:val="14"/>
  </w:num>
  <w:num w:numId="13">
    <w:abstractNumId w:val="16"/>
  </w:num>
  <w:num w:numId="14">
    <w:abstractNumId w:val="8"/>
  </w:num>
  <w:num w:numId="15">
    <w:abstractNumId w:val="5"/>
  </w:num>
  <w:num w:numId="16">
    <w:abstractNumId w:val="6"/>
  </w:num>
  <w:num w:numId="17">
    <w:abstractNumId w:val="18"/>
  </w:num>
  <w:num w:numId="18">
    <w:abstractNumId w:val="1"/>
  </w:num>
  <w:num w:numId="19">
    <w:abstractNumId w:val="3"/>
  </w:num>
  <w:num w:numId="20">
    <w:abstractNumId w:val="11"/>
  </w:num>
  <w:num w:numId="21">
    <w:abstractNumId w:val="15"/>
  </w:num>
  <w:num w:numId="22">
    <w:abstractNumId w:val="13"/>
    <w:lvlOverride w:ilvl="0">
      <w:startOverride w:val="1"/>
    </w:lvlOverride>
  </w:num>
  <w:num w:numId="23">
    <w:abstractNumId w:val="13"/>
    <w:lvlOverride w:ilvl="0">
      <w:startOverride w:val="1"/>
    </w:lvlOverride>
  </w:num>
  <w:num w:numId="24">
    <w:abstractNumId w:val="13"/>
  </w:num>
  <w:num w:numId="2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797"/>
    <w:rsid w:val="00003B31"/>
    <w:rsid w:val="00010BBB"/>
    <w:rsid w:val="000111F1"/>
    <w:rsid w:val="00020AA1"/>
    <w:rsid w:val="00085D6A"/>
    <w:rsid w:val="000A5038"/>
    <w:rsid w:val="000F0254"/>
    <w:rsid w:val="00123719"/>
    <w:rsid w:val="001241D7"/>
    <w:rsid w:val="00137E97"/>
    <w:rsid w:val="00143148"/>
    <w:rsid w:val="001448C4"/>
    <w:rsid w:val="00155393"/>
    <w:rsid w:val="00165C9E"/>
    <w:rsid w:val="00167158"/>
    <w:rsid w:val="00167849"/>
    <w:rsid w:val="00196052"/>
    <w:rsid w:val="001B3B24"/>
    <w:rsid w:val="001C6455"/>
    <w:rsid w:val="0021210D"/>
    <w:rsid w:val="00226419"/>
    <w:rsid w:val="00237D81"/>
    <w:rsid w:val="00294AD5"/>
    <w:rsid w:val="0029635F"/>
    <w:rsid w:val="002C7DE3"/>
    <w:rsid w:val="002D4F49"/>
    <w:rsid w:val="002E0859"/>
    <w:rsid w:val="002F5C2F"/>
    <w:rsid w:val="0034156B"/>
    <w:rsid w:val="00355412"/>
    <w:rsid w:val="003561BE"/>
    <w:rsid w:val="003630DC"/>
    <w:rsid w:val="003805F5"/>
    <w:rsid w:val="003A7860"/>
    <w:rsid w:val="003D3711"/>
    <w:rsid w:val="003F55CF"/>
    <w:rsid w:val="003F638D"/>
    <w:rsid w:val="003F7186"/>
    <w:rsid w:val="004031FB"/>
    <w:rsid w:val="00413F17"/>
    <w:rsid w:val="0042012F"/>
    <w:rsid w:val="00424DE6"/>
    <w:rsid w:val="004529B8"/>
    <w:rsid w:val="00467E3F"/>
    <w:rsid w:val="00477601"/>
    <w:rsid w:val="0048497E"/>
    <w:rsid w:val="004A135F"/>
    <w:rsid w:val="004B2D4B"/>
    <w:rsid w:val="004C1625"/>
    <w:rsid w:val="004E75F6"/>
    <w:rsid w:val="004F7D6C"/>
    <w:rsid w:val="00547030"/>
    <w:rsid w:val="005742D0"/>
    <w:rsid w:val="005B7108"/>
    <w:rsid w:val="005C46FA"/>
    <w:rsid w:val="005C506B"/>
    <w:rsid w:val="005C7A36"/>
    <w:rsid w:val="005C7D76"/>
    <w:rsid w:val="005D30A9"/>
    <w:rsid w:val="005E544C"/>
    <w:rsid w:val="006110DA"/>
    <w:rsid w:val="00633EA5"/>
    <w:rsid w:val="0066069A"/>
    <w:rsid w:val="006842FA"/>
    <w:rsid w:val="0068682C"/>
    <w:rsid w:val="00690A0C"/>
    <w:rsid w:val="00690FD2"/>
    <w:rsid w:val="00693199"/>
    <w:rsid w:val="006B4B95"/>
    <w:rsid w:val="006C18D9"/>
    <w:rsid w:val="006C6449"/>
    <w:rsid w:val="006D0A98"/>
    <w:rsid w:val="006E3C9F"/>
    <w:rsid w:val="00737A18"/>
    <w:rsid w:val="007451E5"/>
    <w:rsid w:val="00746B89"/>
    <w:rsid w:val="0079212B"/>
    <w:rsid w:val="008048D2"/>
    <w:rsid w:val="0081004E"/>
    <w:rsid w:val="008338A6"/>
    <w:rsid w:val="00853565"/>
    <w:rsid w:val="00862E4F"/>
    <w:rsid w:val="008A6E5C"/>
    <w:rsid w:val="008B384B"/>
    <w:rsid w:val="008D2398"/>
    <w:rsid w:val="008E2DB6"/>
    <w:rsid w:val="008F4909"/>
    <w:rsid w:val="008F6942"/>
    <w:rsid w:val="009026D3"/>
    <w:rsid w:val="00903030"/>
    <w:rsid w:val="00921813"/>
    <w:rsid w:val="00991C92"/>
    <w:rsid w:val="00993CA4"/>
    <w:rsid w:val="009B06F7"/>
    <w:rsid w:val="009B63AB"/>
    <w:rsid w:val="009C0A89"/>
    <w:rsid w:val="009C15B1"/>
    <w:rsid w:val="009E6A03"/>
    <w:rsid w:val="009F3A67"/>
    <w:rsid w:val="009F7769"/>
    <w:rsid w:val="00A11697"/>
    <w:rsid w:val="00A22797"/>
    <w:rsid w:val="00A25BC8"/>
    <w:rsid w:val="00A607A3"/>
    <w:rsid w:val="00AD3D55"/>
    <w:rsid w:val="00AF709D"/>
    <w:rsid w:val="00B4254D"/>
    <w:rsid w:val="00B722DE"/>
    <w:rsid w:val="00B83068"/>
    <w:rsid w:val="00BC3345"/>
    <w:rsid w:val="00BD6603"/>
    <w:rsid w:val="00BF069C"/>
    <w:rsid w:val="00BF3835"/>
    <w:rsid w:val="00C1002D"/>
    <w:rsid w:val="00C20C00"/>
    <w:rsid w:val="00C22FC4"/>
    <w:rsid w:val="00C2635E"/>
    <w:rsid w:val="00C3684D"/>
    <w:rsid w:val="00C4032B"/>
    <w:rsid w:val="00C540EA"/>
    <w:rsid w:val="00C6486C"/>
    <w:rsid w:val="00C648D3"/>
    <w:rsid w:val="00C75B02"/>
    <w:rsid w:val="00C962F0"/>
    <w:rsid w:val="00CC5BEE"/>
    <w:rsid w:val="00D013ED"/>
    <w:rsid w:val="00D36BDC"/>
    <w:rsid w:val="00D5049E"/>
    <w:rsid w:val="00D55FEC"/>
    <w:rsid w:val="00D85DBC"/>
    <w:rsid w:val="00DC516C"/>
    <w:rsid w:val="00DD0880"/>
    <w:rsid w:val="00DF2FB9"/>
    <w:rsid w:val="00E63DEF"/>
    <w:rsid w:val="00E64936"/>
    <w:rsid w:val="00EE0542"/>
    <w:rsid w:val="00F3505F"/>
    <w:rsid w:val="00F463F2"/>
    <w:rsid w:val="00F71168"/>
    <w:rsid w:val="00F8186D"/>
    <w:rsid w:val="00FA5A76"/>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640E8A"/>
  <w15:docId w15:val="{CD66A838-D9C7-3045-896E-9E9B2FCA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237D81"/>
    <w:pPr>
      <w:keepNext/>
      <w:keepLines/>
      <w:spacing w:after="240"/>
      <w:outlineLvl w:val="2"/>
    </w:pPr>
    <w:rPr>
      <w:rFonts w:eastAsia="Arial Unicode MS" w:cs="Arial"/>
      <w:b/>
      <w:bCs/>
      <w:szCs w:val="22"/>
      <w:lang w:val="en-US"/>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semiHidden/>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semiHidden/>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F71168"/>
    <w:pPr>
      <w:numPr>
        <w:numId w:val="2"/>
      </w:numPr>
      <w:tabs>
        <w:tab w:val="clear" w:pos="567"/>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F71168"/>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customStyle="1" w:styleId="UnresolvedMention1">
    <w:name w:val="Unresolved Mention1"/>
    <w:basedOn w:val="DefaultParagraphFont"/>
    <w:uiPriority w:val="99"/>
    <w:semiHidden/>
    <w:unhideWhenUsed/>
    <w:rsid w:val="005742D0"/>
    <w:rPr>
      <w:color w:val="605E5C"/>
      <w:shd w:val="clear" w:color="auto" w:fill="E1DFDD"/>
    </w:rPr>
  </w:style>
  <w:style w:type="character" w:customStyle="1" w:styleId="Hyperlink0">
    <w:name w:val="Hyperlink.0"/>
    <w:rsid w:val="00A22797"/>
    <w:rPr>
      <w:rFonts w:ascii="Arial" w:eastAsia="Arial" w:hAnsi="Arial" w:cs="Arial"/>
      <w:caps w:val="0"/>
      <w:smallCaps w:val="0"/>
      <w:strike w:val="0"/>
      <w:dstrike w:val="0"/>
      <w:color w:val="0563C1"/>
      <w:u w:val="single" w:color="0563C1"/>
      <w:vertAlign w:val="baseline"/>
      <w14:textOutline w14:w="0" w14:cap="rnd" w14:cmpd="sng" w14:algn="ctr">
        <w14:noFill/>
        <w14:prstDash w14:val="solid"/>
        <w14:bevel/>
      </w14:textOutline>
    </w:rPr>
  </w:style>
  <w:style w:type="character" w:customStyle="1" w:styleId="None">
    <w:name w:val="None"/>
    <w:rsid w:val="00A22797"/>
  </w:style>
  <w:style w:type="paragraph" w:styleId="ListParagraph">
    <w:name w:val="List Paragraph"/>
    <w:basedOn w:val="Normal"/>
    <w:uiPriority w:val="34"/>
    <w:qFormat/>
    <w:rsid w:val="00F71168"/>
    <w:pPr>
      <w:ind w:left="720"/>
      <w:contextualSpacing/>
    </w:pPr>
  </w:style>
  <w:style w:type="paragraph" w:styleId="BalloonText">
    <w:name w:val="Balloon Text"/>
    <w:basedOn w:val="Normal"/>
    <w:link w:val="BalloonTextChar"/>
    <w:semiHidden/>
    <w:unhideWhenUsed/>
    <w:rsid w:val="00165C9E"/>
    <w:rPr>
      <w:rFonts w:ascii="Segoe UI" w:hAnsi="Segoe UI" w:cs="Segoe UI"/>
      <w:sz w:val="18"/>
      <w:szCs w:val="18"/>
    </w:rPr>
  </w:style>
  <w:style w:type="character" w:customStyle="1" w:styleId="BalloonTextChar">
    <w:name w:val="Balloon Text Char"/>
    <w:basedOn w:val="DefaultParagraphFont"/>
    <w:link w:val="BalloonText"/>
    <w:semiHidden/>
    <w:rsid w:val="00165C9E"/>
    <w:rPr>
      <w:rFonts w:ascii="Segoe UI" w:hAnsi="Segoe UI" w:cs="Segoe UI"/>
      <w:snapToGrid w:val="0"/>
      <w:sz w:val="18"/>
      <w:szCs w:val="18"/>
      <w:lang w:val="en-GB" w:eastAsia="en-US"/>
    </w:rPr>
  </w:style>
  <w:style w:type="character" w:styleId="UnresolvedMention">
    <w:name w:val="Unresolved Mention"/>
    <w:basedOn w:val="DefaultParagraphFont"/>
    <w:uiPriority w:val="99"/>
    <w:semiHidden/>
    <w:unhideWhenUsed/>
    <w:rsid w:val="00862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087551">
      <w:bodyDiv w:val="1"/>
      <w:marLeft w:val="0"/>
      <w:marRight w:val="0"/>
      <w:marTop w:val="0"/>
      <w:marBottom w:val="0"/>
      <w:divBdr>
        <w:top w:val="none" w:sz="0" w:space="0" w:color="auto"/>
        <w:left w:val="none" w:sz="0" w:space="0" w:color="auto"/>
        <w:bottom w:val="none" w:sz="0" w:space="0" w:color="auto"/>
        <w:right w:val="none" w:sz="0" w:space="0" w:color="auto"/>
      </w:divBdr>
    </w:div>
    <w:div w:id="1979409211">
      <w:bodyDiv w:val="1"/>
      <w:marLeft w:val="0"/>
      <w:marRight w:val="0"/>
      <w:marTop w:val="0"/>
      <w:marBottom w:val="0"/>
      <w:divBdr>
        <w:top w:val="none" w:sz="0" w:space="0" w:color="auto"/>
        <w:left w:val="none" w:sz="0" w:space="0" w:color="auto"/>
        <w:bottom w:val="none" w:sz="0" w:space="0" w:color="auto"/>
        <w:right w:val="none" w:sz="0" w:space="0" w:color="auto"/>
      </w:divBdr>
      <w:divsChild>
        <w:div w:id="2111972747">
          <w:marLeft w:val="0"/>
          <w:marRight w:val="0"/>
          <w:marTop w:val="0"/>
          <w:marBottom w:val="0"/>
          <w:divBdr>
            <w:top w:val="none" w:sz="0" w:space="0" w:color="auto"/>
            <w:left w:val="none" w:sz="0" w:space="0" w:color="auto"/>
            <w:bottom w:val="none" w:sz="0" w:space="0" w:color="auto"/>
            <w:right w:val="none" w:sz="0" w:space="0" w:color="auto"/>
          </w:divBdr>
        </w:div>
      </w:divsChild>
    </w:div>
    <w:div w:id="205923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6755" TargetMode="External"/><Relationship Id="rId13" Type="http://schemas.openxmlformats.org/officeDocument/2006/relationships/hyperlink" Target="https://unesdoc.unesco.org/ark:/48223/pf0000244047.locale=fr" TargetMode="External"/><Relationship Id="rId18" Type="http://schemas.openxmlformats.org/officeDocument/2006/relationships/hyperlink" Target="http://www.ioc-cd.org/cdstrategy"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legacy.ioc-unesco.org/index.php?option=com_oe&amp;task=viewDocumentRecord&amp;docID=27027" TargetMode="External"/><Relationship Id="rId2" Type="http://schemas.openxmlformats.org/officeDocument/2006/relationships/numbering" Target="numbering.xml"/><Relationship Id="rId16" Type="http://schemas.openxmlformats.org/officeDocument/2006/relationships/hyperlink" Target="https://unesdoc.unesco.org/ark:/48223/pf0000375147.locale=fr"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nesdoc.unesco.org/ark:/48223/pf0000377082.page=30"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surveys.ioc-cd.org" TargetMode="External"/><Relationship Id="rId4" Type="http://schemas.openxmlformats.org/officeDocument/2006/relationships/settings" Target="settings.xml"/><Relationship Id="rId9" Type="http://schemas.openxmlformats.org/officeDocument/2006/relationships/hyperlink" Target="https://oceanexpert.org/document/28075" TargetMode="External"/><Relationship Id="rId14" Type="http://schemas.openxmlformats.org/officeDocument/2006/relationships/hyperlink" Target="https://www.ioc-cd.org/index.php?option=com_oe&amp;task=viewDocumentRecord&amp;docID=27430" TargetMode="Externa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78CDF-FA77-4624-A33D-37E6D3CE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3684</Words>
  <Characters>25114</Characters>
  <Application>Microsoft Office Word</Application>
  <DocSecurity>4</DocSecurity>
  <Lines>209</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Peter Pissierssens</dc:creator>
  <cp:lastModifiedBy>Pastor Reyes, Ingrid</cp:lastModifiedBy>
  <cp:revision>2</cp:revision>
  <cp:lastPrinted>2002-06-12T09:28:00Z</cp:lastPrinted>
  <dcterms:created xsi:type="dcterms:W3CDTF">2021-06-10T15:58:00Z</dcterms:created>
  <dcterms:modified xsi:type="dcterms:W3CDTF">2021-06-10T15:58:00Z</dcterms:modified>
</cp:coreProperties>
</file>