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7525A8" w14:paraId="67B6F247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58A450" w14:textId="77777777" w:rsidR="00467E3F" w:rsidRPr="007525A8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66A47983" w14:textId="2AD903ED" w:rsidR="00467E3F" w:rsidRPr="007525A8" w:rsidRDefault="00823C91" w:rsidP="00294AD5">
            <w:pPr>
              <w:pStyle w:val="Marge"/>
              <w:spacing w:after="120"/>
              <w:rPr>
                <w:rFonts w:cs="Arial"/>
                <w:iCs/>
                <w:szCs w:val="22"/>
              </w:rPr>
            </w:pPr>
            <w:r>
              <w:rPr>
                <w:lang w:val="ru"/>
              </w:rPr>
              <w:t xml:space="preserve">МОК своей </w:t>
            </w:r>
            <w:hyperlink r:id="rId8" w:history="1">
              <w:r>
                <w:rPr>
                  <w:rStyle w:val="Hyperlink"/>
                  <w:rFonts w:cs="Arial"/>
                  <w:szCs w:val="22"/>
                  <w:lang w:val="ru"/>
                </w:rPr>
                <w:t>Резолюцией XXVI-8</w:t>
              </w:r>
            </w:hyperlink>
            <w:r>
              <w:rPr>
                <w:rFonts w:cs="Arial"/>
                <w:szCs w:val="22"/>
                <w:lang w:val="ru"/>
              </w:rPr>
              <w:t xml:space="preserve">(2011 г.) создала Руководящий комитет ГСНО и поручила ему «подготовить двухгодичный план работы для рассмотрения руководящими органами МОК и утверждения Ассамблеей». </w:t>
            </w:r>
          </w:p>
          <w:p w14:paraId="602FEB7C" w14:textId="5BB9D40F" w:rsidR="00A42F1D" w:rsidRPr="007525A8" w:rsidRDefault="00467E3F" w:rsidP="00C8507A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Цель документа</w:t>
            </w:r>
            <w:r>
              <w:rPr>
                <w:rFonts w:cs="Arial"/>
                <w:szCs w:val="22"/>
                <w:lang w:val="ru"/>
              </w:rPr>
              <w:t xml:space="preserve">: В настоящем рабочем резюме Плана реализации основной группы ГСНО описывается запланированная на период от одного до пяти лет деятельность компонентов основной группы ГСНО (Руководящий комитет, группы, команды и Бюро ГСНО). Он включает деятельность в рамках ГСНО, позволяет провести анализ в направлении реализации </w:t>
            </w:r>
            <w:r>
              <w:rPr>
                <w:rFonts w:cs="Arial"/>
                <w:i/>
                <w:iCs/>
                <w:szCs w:val="22"/>
                <w:lang w:val="ru"/>
              </w:rPr>
              <w:t>Стратегии Глобальной системы наблюдений за океаном на период до 2030 года</w:t>
            </w:r>
            <w:r>
              <w:rPr>
                <w:rFonts w:cs="Arial"/>
                <w:szCs w:val="22"/>
                <w:lang w:val="ru"/>
              </w:rPr>
              <w:t xml:space="preserve"> (</w:t>
            </w:r>
            <w:hyperlink r:id="rId9" w:history="1">
              <w:r>
                <w:rPr>
                  <w:rStyle w:val="Hyperlink"/>
                  <w:rFonts w:cs="Arial"/>
                  <w:szCs w:val="22"/>
                  <w:lang w:val="ru"/>
                </w:rPr>
                <w:t>IOC/BRO/2019/5 rev</w:t>
              </w:r>
            </w:hyperlink>
            <w:r>
              <w:rPr>
                <w:rFonts w:cs="Arial"/>
                <w:szCs w:val="22"/>
                <w:lang w:val="ru"/>
              </w:rPr>
              <w:t xml:space="preserve">.), обеспечивает понимание ресурсов, необходимых для осуществления этой реализации, и того, как ГСНО может лучше структурировать свою внутреннюю деятельность с этой целью, а также отражает новый комплексный процесс планирования и отслеживания работы ГСНО. </w:t>
            </w:r>
          </w:p>
          <w:p w14:paraId="14D4AFED" w14:textId="0928059F" w:rsidR="00467E3F" w:rsidRPr="007525A8" w:rsidRDefault="009C035C" w:rsidP="009C035C">
            <w:pPr>
              <w:pStyle w:val="Marge"/>
              <w:spacing w:after="120"/>
              <w:ind w:hanging="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 xml:space="preserve">Ассамблее предлагается отметить большую амбициозность данного плана реализации, его определенные последствия для ресурсов, а также необходимость укрепления партнерских отношений и структур обеспечения поддержки. Государствам-членам рекомендуется сотрудничать с ГСНО, чтобы определить, как они могут помочь в реализации проекта и чего их вклад позволит нам вместе достичь. </w:t>
            </w:r>
          </w:p>
          <w:p w14:paraId="17FB879E" w14:textId="13E88131" w:rsidR="00467E3F" w:rsidRPr="007525A8" w:rsidRDefault="00467E3F" w:rsidP="000C58F2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>: Финансовые и административные последствия деятельности находятся в рамках регулярного бюджета МОК и любых внебюджетных средств и взносов в натуральной форме, которые могут быть определены.</w:t>
            </w:r>
          </w:p>
          <w:p w14:paraId="21DAF35D" w14:textId="12711584" w:rsidR="00737A18" w:rsidRPr="007525A8" w:rsidRDefault="00413F17" w:rsidP="00003B31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szCs w:val="22"/>
                <w:u w:val="single"/>
                <w:lang w:val="ru"/>
              </w:rPr>
              <w:t>Предлагаемое решение</w:t>
            </w:r>
            <w:r>
              <w:rPr>
                <w:szCs w:val="22"/>
                <w:lang w:val="ru"/>
              </w:rPr>
              <w:t xml:space="preserve"> представлено в документе о принятых и предлагаемых мерах (документ </w:t>
            </w:r>
            <w:hyperlink r:id="rId10" w:history="1">
              <w:r>
                <w:rPr>
                  <w:rStyle w:val="Hyperlink"/>
                  <w:rFonts w:cs="Arial"/>
                  <w:szCs w:val="22"/>
                  <w:lang w:val="ru"/>
                </w:rPr>
                <w:t>IOC/A-31/AP Rev.2</w:t>
              </w:r>
            </w:hyperlink>
            <w:r>
              <w:rPr>
                <w:szCs w:val="22"/>
                <w:lang w:val="ru"/>
              </w:rPr>
              <w:t xml:space="preserve">) под номером </w:t>
            </w:r>
            <w:r>
              <w:rPr>
                <w:lang w:val="ru"/>
              </w:rPr>
              <w:t>Реш. A-31/3.5.2</w:t>
            </w:r>
            <w:r>
              <w:rPr>
                <w:szCs w:val="22"/>
                <w:lang w:val="ru"/>
              </w:rPr>
              <w:t>.</w:t>
            </w:r>
          </w:p>
        </w:tc>
      </w:tr>
    </w:tbl>
    <w:p w14:paraId="7079702C" w14:textId="77777777" w:rsidR="00746B89" w:rsidRPr="007525A8" w:rsidRDefault="00746B89" w:rsidP="005C7A36">
      <w:pPr>
        <w:pStyle w:val="Heading3"/>
        <w:sectPr w:rsidR="00746B89" w:rsidRPr="007525A8" w:rsidSect="003F7186">
          <w:headerReference w:type="even" r:id="rId11"/>
          <w:headerReference w:type="default" r:id="rId12"/>
          <w:headerReference w:type="first" r:id="rId13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3EC84229" w14:textId="77777777" w:rsidR="003C64EB" w:rsidRPr="007525A8" w:rsidRDefault="003C64EB" w:rsidP="003C64EB">
      <w:pPr>
        <w:pStyle w:val="Heading3"/>
      </w:pPr>
      <w:r>
        <w:rPr>
          <w:lang w:val="ru"/>
        </w:rPr>
        <w:lastRenderedPageBreak/>
        <w:t>Введение</w:t>
      </w:r>
    </w:p>
    <w:p w14:paraId="57A5C226" w14:textId="5FB0E151" w:rsidR="009162AC" w:rsidRPr="007525A8" w:rsidRDefault="009162AC" w:rsidP="002B7A3F">
      <w:pPr>
        <w:pStyle w:val="COI"/>
      </w:pPr>
      <w:r>
        <w:rPr>
          <w:bCs w:val="0"/>
          <w:lang w:val="ru"/>
        </w:rPr>
        <w:t xml:space="preserve">Цель Плана реализации Основной группы Глобальной системы наблюдений за океаном (ГСНО) — отразить процесс планирования, который воплощает в жизнь и формирует программу реализации </w:t>
      </w:r>
      <w:hyperlink r:id="rId14" w:history="1">
        <w:r>
          <w:rPr>
            <w:rStyle w:val="Hyperlink"/>
            <w:bCs w:val="0"/>
            <w:i/>
            <w:iCs/>
            <w:lang w:val="ru"/>
          </w:rPr>
          <w:t>Стратегии Глобальной системы наблюдений за океаном на период до 2030 года</w:t>
        </w:r>
      </w:hyperlink>
      <w:r>
        <w:rPr>
          <w:bCs w:val="0"/>
          <w:i/>
          <w:iCs/>
          <w:u w:val="single"/>
          <w:lang w:val="ru"/>
        </w:rPr>
        <w:t>.</w:t>
      </w:r>
      <w:r>
        <w:rPr>
          <w:bCs w:val="0"/>
          <w:lang w:val="ru"/>
        </w:rPr>
        <w:t xml:space="preserve"> Основное внимание в нем уделяется деятельности основной группы ГСНО, в состав которой входят:</w:t>
      </w:r>
    </w:p>
    <w:p w14:paraId="18ACE719" w14:textId="4797B16E" w:rsidR="009162AC" w:rsidRPr="007525A8" w:rsidRDefault="0002051C" w:rsidP="00C8507A">
      <w:pPr>
        <w:pStyle w:val="ListBullet2"/>
        <w:tabs>
          <w:tab w:val="clear" w:pos="567"/>
          <w:tab w:val="clear" w:pos="851"/>
          <w:tab w:val="left" w:pos="709"/>
          <w:tab w:val="num" w:pos="1276"/>
        </w:tabs>
        <w:ind w:left="1276" w:hanging="567"/>
        <w:jc w:val="both"/>
      </w:pPr>
      <w:r>
        <w:rPr>
          <w:u w:val="single"/>
          <w:lang w:val="ru"/>
        </w:rPr>
        <w:t>Руководящий комитет ГСНО,</w:t>
      </w:r>
      <w:r>
        <w:rPr>
          <w:lang w:val="ru"/>
        </w:rPr>
        <w:t xml:space="preserve"> обеспечивающий руководство основной группой ГСНО в реализации ее стратегических целей и налаживании внешних партнерских связей; </w:t>
      </w:r>
    </w:p>
    <w:p w14:paraId="3C2A5B63" w14:textId="7A34198E" w:rsidR="009162AC" w:rsidRPr="007525A8" w:rsidRDefault="009162AC" w:rsidP="00C8507A">
      <w:pPr>
        <w:pStyle w:val="ListBullet2"/>
        <w:tabs>
          <w:tab w:val="clear" w:pos="851"/>
          <w:tab w:val="num" w:pos="1276"/>
        </w:tabs>
        <w:ind w:left="1276" w:hanging="567"/>
        <w:jc w:val="both"/>
      </w:pPr>
      <w:r>
        <w:rPr>
          <w:u w:val="single"/>
          <w:lang w:val="ru"/>
        </w:rPr>
        <w:t>Группы экспертов</w:t>
      </w:r>
      <w:r>
        <w:rPr>
          <w:lang w:val="ru"/>
        </w:rPr>
        <w:t>: группы по физике и наблюдениям за океаном в интересах изучения климата (ГЭНОК), биогеохимии (группа БГХ) и биологии и экосистемам (Группа БиоЭко), являющиеся жизненно важными для определения потребностей пользователей и оценки системы;</w:t>
      </w:r>
    </w:p>
    <w:p w14:paraId="4000AC5F" w14:textId="652D2C7C" w:rsidR="009162AC" w:rsidRPr="007525A8" w:rsidRDefault="0002051C" w:rsidP="00C8507A">
      <w:pPr>
        <w:pStyle w:val="ListBullet2"/>
        <w:tabs>
          <w:tab w:val="clear" w:pos="851"/>
          <w:tab w:val="num" w:pos="1276"/>
        </w:tabs>
        <w:ind w:left="1276" w:hanging="567"/>
        <w:jc w:val="both"/>
      </w:pPr>
      <w:r>
        <w:rPr>
          <w:u w:val="single"/>
          <w:lang w:val="ru"/>
        </w:rPr>
        <w:t>Группа по координации наблюдений (ГКН) ГСНО</w:t>
      </w:r>
      <w:r>
        <w:rPr>
          <w:lang w:val="ru"/>
        </w:rPr>
        <w:t>, повышающая эффективность реализации ГСНО путем координации системы через 12 глобальных сетей наблюдений и OceanOPS;</w:t>
      </w:r>
    </w:p>
    <w:p w14:paraId="74E19652" w14:textId="015BDFEF" w:rsidR="009162AC" w:rsidRPr="007525A8" w:rsidRDefault="0002051C" w:rsidP="00C8507A">
      <w:pPr>
        <w:pStyle w:val="ListBullet2"/>
        <w:tabs>
          <w:tab w:val="clear" w:pos="851"/>
          <w:tab w:val="num" w:pos="1276"/>
        </w:tabs>
        <w:ind w:left="1276" w:hanging="567"/>
        <w:jc w:val="both"/>
      </w:pPr>
      <w:r>
        <w:rPr>
          <w:u w:val="single"/>
          <w:lang w:val="ru"/>
        </w:rPr>
        <w:t>Экспертная группа ГСНО по оперативным системам прогнозирования состояния океана,</w:t>
      </w:r>
      <w:r>
        <w:rPr>
          <w:lang w:val="ru"/>
        </w:rPr>
        <w:t xml:space="preserve"> направляющая инициативы по повышению потенциала, качества и совместимости продуктов прогнозирования на основе океанических моделей;</w:t>
      </w:r>
    </w:p>
    <w:p w14:paraId="0D50B184" w14:textId="77777777" w:rsidR="009162AC" w:rsidRPr="007525A8" w:rsidRDefault="009162AC" w:rsidP="00C8507A">
      <w:pPr>
        <w:pStyle w:val="ListBullet2"/>
        <w:tabs>
          <w:tab w:val="clear" w:pos="851"/>
          <w:tab w:val="num" w:pos="1276"/>
        </w:tabs>
        <w:ind w:left="1276" w:hanging="567"/>
        <w:jc w:val="both"/>
      </w:pPr>
      <w:r>
        <w:rPr>
          <w:u w:val="single"/>
          <w:lang w:val="ru"/>
        </w:rPr>
        <w:t>Региональные альянсы ГСНО (РАГ),</w:t>
      </w:r>
      <w:r>
        <w:rPr>
          <w:lang w:val="ru"/>
        </w:rPr>
        <w:t xml:space="preserve"> определяющие, обеспечивающие и развивающие океанический мониторинг и услуги ГСНО для удовлетворения региональных и национальных приоритетов;</w:t>
      </w:r>
    </w:p>
    <w:p w14:paraId="6BB6D3D1" w14:textId="77777777" w:rsidR="009162AC" w:rsidRPr="007525A8" w:rsidRDefault="009162AC" w:rsidP="00C8507A">
      <w:pPr>
        <w:pStyle w:val="ListBullet2"/>
        <w:tabs>
          <w:tab w:val="clear" w:pos="851"/>
          <w:tab w:val="num" w:pos="1276"/>
        </w:tabs>
        <w:ind w:left="1276" w:hanging="567"/>
        <w:jc w:val="both"/>
      </w:pPr>
      <w:r>
        <w:rPr>
          <w:u w:val="single"/>
          <w:lang w:val="ru"/>
        </w:rPr>
        <w:t>Проекты ГСНО,</w:t>
      </w:r>
      <w:r>
        <w:rPr>
          <w:lang w:val="ru"/>
        </w:rPr>
        <w:t xml:space="preserve"> продвигающие инновации и способствующие расширению системы наблюдений, предоставления услуг и продуктов путем освоения новых областей и возможностей;</w:t>
      </w:r>
    </w:p>
    <w:p w14:paraId="6BA6C3DB" w14:textId="551B18F9" w:rsidR="009162AC" w:rsidRPr="007525A8" w:rsidRDefault="009162AC" w:rsidP="00C8507A">
      <w:pPr>
        <w:pStyle w:val="ListBullet2"/>
        <w:tabs>
          <w:tab w:val="clear" w:pos="851"/>
          <w:tab w:val="num" w:pos="1276"/>
        </w:tabs>
        <w:ind w:left="1276" w:hanging="567"/>
        <w:jc w:val="both"/>
      </w:pPr>
      <w:r>
        <w:rPr>
          <w:u w:val="single"/>
          <w:lang w:val="ru"/>
        </w:rPr>
        <w:t>Бюро ГСНО,</w:t>
      </w:r>
      <w:r>
        <w:rPr>
          <w:lang w:val="ru"/>
        </w:rPr>
        <w:t xml:space="preserve"> представляющее собой команду по координации между компонентами ГСНО, которая работает с полной занятостью, чтобы обеспечить функционирование основной команды ГСНО и наладить связь между ГСНО, партнерами, спонсорами и сектором наблюдений. Основная функция координации между компонентами ГСНО принадлежит МОК.</w:t>
      </w:r>
    </w:p>
    <w:p w14:paraId="11AB0B3C" w14:textId="71B7E0E1" w:rsidR="009162AC" w:rsidRPr="007525A8" w:rsidRDefault="009162AC" w:rsidP="002B7A3F">
      <w:pPr>
        <w:pStyle w:val="COI"/>
      </w:pPr>
      <w:r>
        <w:rPr>
          <w:bCs w:val="0"/>
          <w:lang w:val="ru"/>
        </w:rPr>
        <w:t xml:space="preserve">Полный План реализации ГСНО представлял собой рабочий документ для 10-го совещания Руководящего комитета ГСНО (26–29 апреля 2021 года, </w:t>
      </w:r>
      <w:hyperlink r:id="rId15" w:history="1">
        <w:r>
          <w:rPr>
            <w:rStyle w:val="Hyperlink"/>
            <w:bCs w:val="0"/>
            <w:lang w:val="ru"/>
          </w:rPr>
          <w:t>goosocean.org/goos-sc-10-1</w:t>
        </w:r>
      </w:hyperlink>
      <w:r>
        <w:rPr>
          <w:bCs w:val="0"/>
          <w:lang w:val="ru"/>
        </w:rPr>
        <w:t>) и содержал подробную информацию о 58 мероприятиях, включая руководителей из Основной группы ГСНО, предлагаемую работу, результаты и воздействие, партнеров, необходимые ресурсы и зависимости. Такое интегрированное представление о деятельности основной группы ГСНО обеспечило Руководящему комитету наглядность действий по реализации Стратегии на период до 2030 года, что позволило расставить приоритеты, выявить пробелы, установить партнерские отношения и обеспечить управление ими, а также понять ресурсные и структурные последствия. Предстоит работа по полной интеграции работы проектов ГСНО в процесс планирования.</w:t>
      </w:r>
    </w:p>
    <w:p w14:paraId="1A81C667" w14:textId="04825201" w:rsidR="0002051C" w:rsidRPr="007525A8" w:rsidRDefault="0002051C" w:rsidP="002B7A3F">
      <w:pPr>
        <w:pStyle w:val="COI"/>
      </w:pPr>
      <w:r>
        <w:rPr>
          <w:bCs w:val="0"/>
          <w:lang w:val="ru"/>
        </w:rPr>
        <w:t xml:space="preserve">С началом Десятилетия науки об океане работа ГСНО обрела беспрецедентную важность. ГСНО определила три ключевые области деятельности, включающие необходимые преобразования. Эти программы ГСНО — «Совместное планирование наблюдений за океаном», «Прогнозирование в прибрежных районах (CoastPredict)» и «Наблюдаем вместе» — являются первыми из серии программ, которые будут активно способствовать проведению Десятилетия науки об океане и решению его приоритетных задач </w:t>
      </w:r>
      <w:r>
        <w:rPr>
          <w:bCs w:val="0"/>
          <w:lang w:val="ru"/>
        </w:rPr>
        <w:lastRenderedPageBreak/>
        <w:t>в области наблюдений за океаном. Эти программы интегрированы в мероприятия и представляют основные виды деятельности, которые будут осуществляться в рамках ГСНО в течение десяти лет, а также средства для развития партнерства. По мере продвижения программ будет развиваться их вклад в достижение стратегических целей и взаимодействие с другими мероприятиями ГСНО. При наличии финансирования эти программы способны поддержать крупные преобразовательные инициативы для ГСНО и сообщества, связанного с наблюдениями за океаном.</w:t>
      </w:r>
    </w:p>
    <w:p w14:paraId="4DE21BA1" w14:textId="169094A2" w:rsidR="00BB4185" w:rsidRPr="007525A8" w:rsidRDefault="00BB4185" w:rsidP="002B7A3F">
      <w:pPr>
        <w:pStyle w:val="COI"/>
      </w:pPr>
      <w:r>
        <w:rPr>
          <w:bCs w:val="0"/>
          <w:lang w:val="ru"/>
        </w:rPr>
        <w:t>Настоящее рабочее резюме представляет государствам-членам Ассамблеи МОК высокоуровневый анализ приоритетов для осуществления и последствий для ресурсов. Реализация будет зависеть от ресурсов, предоставляемых через МОК и ВМО, а также от внебюджетной поддержки и поддержки в натуральной форме, которая может быть предоставлена государствами-членами и партнерскими организациями.</w:t>
      </w:r>
    </w:p>
    <w:p w14:paraId="6B21461B" w14:textId="34C289DF" w:rsidR="003C64EB" w:rsidRPr="007525A8" w:rsidRDefault="0002051C" w:rsidP="005C7A36">
      <w:pPr>
        <w:pStyle w:val="Heading3"/>
      </w:pPr>
      <w:r>
        <w:rPr>
          <w:lang w:val="ru"/>
        </w:rPr>
        <w:t>Мероприятия, рассматриваемые в рамках стратегических целей ГСНО</w:t>
      </w:r>
    </w:p>
    <w:p w14:paraId="06B8E052" w14:textId="33730FC5" w:rsidR="005B5174" w:rsidRPr="007525A8" w:rsidRDefault="005B5174" w:rsidP="002B7A3F">
      <w:pPr>
        <w:pStyle w:val="COI"/>
      </w:pPr>
      <w:r>
        <w:rPr>
          <w:bCs w:val="0"/>
          <w:lang w:val="ru"/>
        </w:rPr>
        <w:t>В следующей таблице перечислены 58 мероприятий Плана реализации и их уровень (крупные мероприятия в рамках ГСНО, многокомпонентные, однокомпонентные мероприятия и программы в рамках Десятилетия науки об океане), сгруппированные в соответствии с одиннадцатью стратегическим целям (СЦ) ГСНО.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836"/>
      </w:tblGrid>
      <w:tr w:rsidR="00343EFA" w:rsidRPr="006F399F" w14:paraId="2BA8253C" w14:textId="77777777" w:rsidTr="00C8507A">
        <w:trPr>
          <w:tblHeader/>
        </w:trPr>
        <w:tc>
          <w:tcPr>
            <w:tcW w:w="1129" w:type="dxa"/>
          </w:tcPr>
          <w:p w14:paraId="2EDFABD5" w14:textId="399AAE72" w:rsidR="00343EFA" w:rsidRPr="006F399F" w:rsidRDefault="00343EFA" w:rsidP="00C8507A">
            <w:pPr>
              <w:pStyle w:val="COI"/>
              <w:numPr>
                <w:ilvl w:val="0"/>
                <w:numId w:val="0"/>
              </w:numPr>
            </w:pPr>
            <w:r>
              <w:rPr>
                <w:bCs w:val="0"/>
                <w:lang w:val="ru"/>
              </w:rPr>
              <w:t>Номер</w:t>
            </w:r>
          </w:p>
        </w:tc>
        <w:tc>
          <w:tcPr>
            <w:tcW w:w="6663" w:type="dxa"/>
          </w:tcPr>
          <w:p w14:paraId="55CFC5CC" w14:textId="3A9AB833" w:rsidR="00343EFA" w:rsidRPr="006F399F" w:rsidRDefault="00343EFA" w:rsidP="002B7A3F">
            <w:pPr>
              <w:pStyle w:val="COI"/>
              <w:numPr>
                <w:ilvl w:val="0"/>
                <w:numId w:val="0"/>
              </w:numPr>
            </w:pPr>
            <w:r>
              <w:rPr>
                <w:bCs w:val="0"/>
                <w:lang w:val="ru"/>
              </w:rPr>
              <w:t>Мероприятие</w:t>
            </w:r>
          </w:p>
        </w:tc>
        <w:tc>
          <w:tcPr>
            <w:tcW w:w="1836" w:type="dxa"/>
          </w:tcPr>
          <w:p w14:paraId="1EE3FE86" w14:textId="5E39920F" w:rsidR="00343EFA" w:rsidRPr="006F399F" w:rsidRDefault="00343EFA" w:rsidP="002B7A3F">
            <w:pPr>
              <w:pStyle w:val="COI"/>
              <w:numPr>
                <w:ilvl w:val="0"/>
                <w:numId w:val="0"/>
              </w:numPr>
            </w:pPr>
            <w:r>
              <w:rPr>
                <w:bCs w:val="0"/>
                <w:lang w:val="ru"/>
              </w:rPr>
              <w:t>Уровень</w:t>
            </w:r>
          </w:p>
        </w:tc>
      </w:tr>
      <w:tr w:rsidR="00B6431D" w:rsidRPr="006F399F" w14:paraId="09B9D65C" w14:textId="77777777" w:rsidTr="00C8507A">
        <w:trPr>
          <w:tblHeader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2D6152FF" w14:textId="69EA14D1" w:rsidR="00B6431D" w:rsidRPr="006F399F" w:rsidRDefault="00B6431D" w:rsidP="002B7A3F">
            <w:pPr>
              <w:pStyle w:val="COI"/>
              <w:numPr>
                <w:ilvl w:val="0"/>
                <w:numId w:val="0"/>
              </w:numPr>
              <w:ind w:left="28"/>
            </w:pPr>
            <w:r>
              <w:rPr>
                <w:bCs w:val="0"/>
                <w:lang w:val="ru"/>
              </w:rPr>
              <w:t>Цель: Углубление вовлеченности и воздействия</w:t>
            </w:r>
          </w:p>
        </w:tc>
      </w:tr>
      <w:tr w:rsidR="00343EFA" w:rsidRPr="006F399F" w14:paraId="74BFF2DF" w14:textId="77777777" w:rsidTr="00770E7F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E4D40E8" w14:textId="2B627CF3" w:rsidR="00343EFA" w:rsidRPr="006F399F" w:rsidRDefault="00770E7F" w:rsidP="002B7A3F">
            <w:pPr>
              <w:pStyle w:val="COI"/>
              <w:numPr>
                <w:ilvl w:val="0"/>
                <w:numId w:val="0"/>
              </w:numPr>
              <w:ind w:left="28"/>
            </w:pPr>
            <w:bookmarkStart w:id="0" w:name="SO_1"/>
            <w:r>
              <w:rPr>
                <w:b/>
                <w:lang w:val="ru"/>
              </w:rPr>
              <w:t>СЦ1</w:t>
            </w:r>
            <w:bookmarkEnd w:id="0"/>
            <w:r>
              <w:rPr>
                <w:bCs w:val="0"/>
                <w:lang w:val="ru"/>
              </w:rPr>
              <w:t>. Укрепление партнерских отношений для повышения качества прогнозов, услуг и научных оценок</w:t>
            </w:r>
          </w:p>
        </w:tc>
      </w:tr>
      <w:tr w:rsidR="0031621C" w:rsidRPr="006F399F" w14:paraId="345E42ED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013B9C8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1.1</w:t>
            </w:r>
          </w:p>
        </w:tc>
        <w:tc>
          <w:tcPr>
            <w:tcW w:w="6663" w:type="dxa"/>
            <w:noWrap/>
            <w:hideMark/>
          </w:tcPr>
          <w:p w14:paraId="2FCAF98F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Оценка РАГ для прогнозов и услуг</w:t>
            </w:r>
          </w:p>
        </w:tc>
        <w:tc>
          <w:tcPr>
            <w:tcW w:w="1836" w:type="dxa"/>
            <w:hideMark/>
          </w:tcPr>
          <w:p w14:paraId="18D4BCDE" w14:textId="2B6ED7A7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78A556EA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F3A535E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1.2</w:t>
            </w:r>
          </w:p>
        </w:tc>
        <w:tc>
          <w:tcPr>
            <w:tcW w:w="6663" w:type="dxa"/>
            <w:noWrap/>
            <w:hideMark/>
          </w:tcPr>
          <w:p w14:paraId="1B9D0BC0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Партнерские отношения для осуществления</w:t>
            </w:r>
          </w:p>
        </w:tc>
        <w:tc>
          <w:tcPr>
            <w:tcW w:w="1836" w:type="dxa"/>
            <w:hideMark/>
          </w:tcPr>
          <w:p w14:paraId="72D88CFA" w14:textId="11DF418A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43EFA" w:rsidRPr="006F399F" w14:paraId="38C1813D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465151F2" w14:textId="0AB0196E" w:rsidR="00343EFA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1" w:name="SO_2"/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СЦ2</w:t>
            </w: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: </w:t>
            </w:r>
            <w:bookmarkEnd w:id="1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Наращивание информационно-просветительской деятельности и работы по повышению наглядности с заинтересованными сторонами путем взаимодействия с ключевыми пользователями и национальными донорами</w:t>
            </w:r>
          </w:p>
        </w:tc>
      </w:tr>
      <w:tr w:rsidR="0031621C" w:rsidRPr="006F399F" w14:paraId="61B5D9BF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A045833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2.1</w:t>
            </w:r>
          </w:p>
        </w:tc>
        <w:tc>
          <w:tcPr>
            <w:tcW w:w="6663" w:type="dxa"/>
            <w:noWrap/>
            <w:hideMark/>
          </w:tcPr>
          <w:p w14:paraId="13B88CD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Ценность проекта наблюдений за океаном</w:t>
            </w:r>
          </w:p>
        </w:tc>
        <w:tc>
          <w:tcPr>
            <w:tcW w:w="1836" w:type="dxa"/>
            <w:hideMark/>
          </w:tcPr>
          <w:p w14:paraId="2A001F19" w14:textId="7A4DAC6C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649068AB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86F622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2.2</w:t>
            </w:r>
          </w:p>
        </w:tc>
        <w:tc>
          <w:tcPr>
            <w:tcW w:w="6663" w:type="dxa"/>
            <w:noWrap/>
            <w:hideMark/>
          </w:tcPr>
          <w:p w14:paraId="0415765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План информационного обеспечения ГСНО</w:t>
            </w:r>
          </w:p>
        </w:tc>
        <w:tc>
          <w:tcPr>
            <w:tcW w:w="1836" w:type="dxa"/>
            <w:hideMark/>
          </w:tcPr>
          <w:p w14:paraId="4669D154" w14:textId="445BFF12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197F2BB6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30C4A3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2.3</w:t>
            </w:r>
          </w:p>
        </w:tc>
        <w:tc>
          <w:tcPr>
            <w:tcW w:w="6663" w:type="dxa"/>
            <w:noWrap/>
            <w:hideMark/>
          </w:tcPr>
          <w:p w14:paraId="59877DD0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Разработка роли национального координатора ГСНО</w:t>
            </w:r>
          </w:p>
        </w:tc>
        <w:tc>
          <w:tcPr>
            <w:tcW w:w="1836" w:type="dxa"/>
            <w:hideMark/>
          </w:tcPr>
          <w:p w14:paraId="3DF274FF" w14:textId="1494CA1B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5408CE20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EBCAD2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2.4</w:t>
            </w:r>
          </w:p>
        </w:tc>
        <w:tc>
          <w:tcPr>
            <w:tcW w:w="6663" w:type="dxa"/>
            <w:noWrap/>
            <w:hideMark/>
          </w:tcPr>
          <w:p w14:paraId="674A6D7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Разработка</w:t>
            </w:r>
            <w:r>
              <w:rPr>
                <w:rFonts w:asciiTheme="minorBidi" w:hAnsiTheme="minorBidi" w:cstheme="minorBidi"/>
                <w:i/>
                <w:iCs/>
                <w:snapToGrid/>
                <w:szCs w:val="22"/>
                <w:lang w:val="ru"/>
              </w:rPr>
              <w:t xml:space="preserve"> Карточки оценки системы наблюдений за океаном</w:t>
            </w:r>
          </w:p>
        </w:tc>
        <w:tc>
          <w:tcPr>
            <w:tcW w:w="1836" w:type="dxa"/>
            <w:hideMark/>
          </w:tcPr>
          <w:p w14:paraId="2D55EA43" w14:textId="26D1A44B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43EFA" w:rsidRPr="006F399F" w14:paraId="6D3E58DB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68C51EE0" w14:textId="23BACAF2" w:rsidR="00343EFA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2" w:name="SO_3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СЦ3</w:t>
            </w:r>
            <w:bookmarkEnd w:id="2"/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:</w:t>
            </w: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 Регулярный анализ воздействия системы для оценки ее соответствия цели</w:t>
            </w:r>
          </w:p>
        </w:tc>
      </w:tr>
      <w:tr w:rsidR="0031621C" w:rsidRPr="006F399F" w14:paraId="2D46AECE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0D88DE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3.1</w:t>
            </w:r>
          </w:p>
        </w:tc>
        <w:tc>
          <w:tcPr>
            <w:tcW w:w="6663" w:type="dxa"/>
            <w:noWrap/>
            <w:hideMark/>
          </w:tcPr>
          <w:p w14:paraId="3EC87617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Доклады о состоянии сети</w:t>
            </w:r>
          </w:p>
        </w:tc>
        <w:tc>
          <w:tcPr>
            <w:tcW w:w="1836" w:type="dxa"/>
            <w:hideMark/>
          </w:tcPr>
          <w:p w14:paraId="2B67196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555C3240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0BACF0A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3.2</w:t>
            </w:r>
          </w:p>
        </w:tc>
        <w:tc>
          <w:tcPr>
            <w:tcW w:w="6663" w:type="dxa"/>
            <w:noWrap/>
            <w:hideMark/>
          </w:tcPr>
          <w:p w14:paraId="0497F12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Оценка и контрольные показатели системы наблюдений</w:t>
            </w:r>
          </w:p>
        </w:tc>
        <w:tc>
          <w:tcPr>
            <w:tcW w:w="1836" w:type="dxa"/>
            <w:hideMark/>
          </w:tcPr>
          <w:p w14:paraId="540B6CDD" w14:textId="20DD1434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57DEB499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4D00A488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3.3</w:t>
            </w:r>
          </w:p>
        </w:tc>
        <w:tc>
          <w:tcPr>
            <w:tcW w:w="6663" w:type="dxa"/>
            <w:noWrap/>
            <w:hideMark/>
          </w:tcPr>
          <w:p w14:paraId="2CB4C2BC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Оценка и контрольные показания прогнозирования состояния океана</w:t>
            </w:r>
          </w:p>
        </w:tc>
        <w:tc>
          <w:tcPr>
            <w:tcW w:w="1836" w:type="dxa"/>
            <w:hideMark/>
          </w:tcPr>
          <w:p w14:paraId="2D9F6B2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07101BAF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5C32DF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3.4</w:t>
            </w:r>
          </w:p>
        </w:tc>
        <w:tc>
          <w:tcPr>
            <w:tcW w:w="6663" w:type="dxa"/>
            <w:noWrap/>
            <w:hideMark/>
          </w:tcPr>
          <w:p w14:paraId="7BC75B81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Глобальная карта систем прогнозирования состояния океана</w:t>
            </w:r>
          </w:p>
        </w:tc>
        <w:tc>
          <w:tcPr>
            <w:tcW w:w="1836" w:type="dxa"/>
            <w:hideMark/>
          </w:tcPr>
          <w:p w14:paraId="2A0E70F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E0EE005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002B04A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3.5</w:t>
            </w:r>
          </w:p>
        </w:tc>
        <w:tc>
          <w:tcPr>
            <w:tcW w:w="6663" w:type="dxa"/>
            <w:noWrap/>
            <w:hideMark/>
          </w:tcPr>
          <w:p w14:paraId="5231C4B3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Разработка интерактивной карты сетей и метаданных для биологического мониторинга</w:t>
            </w:r>
          </w:p>
        </w:tc>
        <w:tc>
          <w:tcPr>
            <w:tcW w:w="1836" w:type="dxa"/>
            <w:hideMark/>
          </w:tcPr>
          <w:p w14:paraId="5A53DB3F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1517706B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BB4FB6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3.6</w:t>
            </w:r>
          </w:p>
        </w:tc>
        <w:tc>
          <w:tcPr>
            <w:tcW w:w="6663" w:type="dxa"/>
            <w:noWrap/>
            <w:hideMark/>
          </w:tcPr>
          <w:p w14:paraId="691C90B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Система глобальных показателей состояния океана</w:t>
            </w:r>
          </w:p>
        </w:tc>
        <w:tc>
          <w:tcPr>
            <w:tcW w:w="1836" w:type="dxa"/>
            <w:hideMark/>
          </w:tcPr>
          <w:p w14:paraId="07E91D58" w14:textId="70B2BE20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1BA24C54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F407C3B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3.7</w:t>
            </w:r>
          </w:p>
        </w:tc>
        <w:tc>
          <w:tcPr>
            <w:tcW w:w="6663" w:type="dxa"/>
            <w:noWrap/>
            <w:hideMark/>
          </w:tcPr>
          <w:p w14:paraId="27EAC897" w14:textId="74EA61D7" w:rsidR="00343EFA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Совместное планирование наблюдений за океаном </w:t>
            </w:r>
          </w:p>
        </w:tc>
        <w:tc>
          <w:tcPr>
            <w:tcW w:w="1836" w:type="dxa"/>
            <w:hideMark/>
          </w:tcPr>
          <w:p w14:paraId="751E0492" w14:textId="78490606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Прогр. в рамках Десятилетия</w:t>
            </w:r>
          </w:p>
        </w:tc>
      </w:tr>
      <w:tr w:rsidR="00770E7F" w:rsidRPr="006F399F" w14:paraId="3455E188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4AE0FCFA" w14:textId="1C05685E" w:rsidR="00770E7F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3" w:name="SO_4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lastRenderedPageBreak/>
              <w:t>СЦ4</w:t>
            </w:r>
            <w:bookmarkEnd w:id="3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: Углубление знаний и обмена информацией об услугах и продуктах в целях стимуляции их использования на местах</w:t>
            </w:r>
          </w:p>
        </w:tc>
      </w:tr>
      <w:tr w:rsidR="0031621C" w:rsidRPr="006F399F" w14:paraId="0223BB7C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C56EC96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4.1</w:t>
            </w:r>
          </w:p>
        </w:tc>
        <w:tc>
          <w:tcPr>
            <w:tcW w:w="6663" w:type="dxa"/>
            <w:noWrap/>
            <w:hideMark/>
          </w:tcPr>
          <w:p w14:paraId="6DBF0790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Комплект материалов/Руководство по оперативным системам мониторинга и прогнозирования состояния океана</w:t>
            </w:r>
          </w:p>
        </w:tc>
        <w:tc>
          <w:tcPr>
            <w:tcW w:w="1836" w:type="dxa"/>
            <w:hideMark/>
          </w:tcPr>
          <w:p w14:paraId="54920DAE" w14:textId="3454C8B8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22812E25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FDC2D6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4.2</w:t>
            </w:r>
          </w:p>
        </w:tc>
        <w:tc>
          <w:tcPr>
            <w:tcW w:w="6663" w:type="dxa"/>
            <w:noWrap/>
            <w:hideMark/>
          </w:tcPr>
          <w:p w14:paraId="2CC6D2D0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Продукты интеграции данных между РАГ</w:t>
            </w:r>
          </w:p>
        </w:tc>
        <w:tc>
          <w:tcPr>
            <w:tcW w:w="1836" w:type="dxa"/>
            <w:hideMark/>
          </w:tcPr>
          <w:p w14:paraId="629252D9" w14:textId="33A50878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32812122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50D3F6B7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4.3</w:t>
            </w:r>
          </w:p>
        </w:tc>
        <w:tc>
          <w:tcPr>
            <w:tcW w:w="6663" w:type="dxa"/>
            <w:noWrap/>
            <w:hideMark/>
          </w:tcPr>
          <w:p w14:paraId="6EACA9F0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 Создание и продвижение портфеля продуктов и услуг ГСНО для центров прогнозирования состояния океана</w:t>
            </w:r>
          </w:p>
        </w:tc>
        <w:tc>
          <w:tcPr>
            <w:tcW w:w="1836" w:type="dxa"/>
            <w:hideMark/>
          </w:tcPr>
          <w:p w14:paraId="710045C2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B6431D" w:rsidRPr="006F399F" w14:paraId="1DAD9FE9" w14:textId="77777777" w:rsidTr="00B6431D">
        <w:trPr>
          <w:trHeight w:val="283"/>
        </w:trPr>
        <w:tc>
          <w:tcPr>
            <w:tcW w:w="9628" w:type="dxa"/>
            <w:gridSpan w:val="3"/>
            <w:shd w:val="clear" w:color="auto" w:fill="D9D9D9" w:themeFill="background1" w:themeFillShade="D9"/>
            <w:noWrap/>
          </w:tcPr>
          <w:p w14:paraId="734448E6" w14:textId="15197FA3" w:rsidR="00B6431D" w:rsidRPr="00C8507A" w:rsidRDefault="00B6431D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snapToGrid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Цель: Поддержка интеграции и осуществления</w:t>
            </w:r>
          </w:p>
        </w:tc>
      </w:tr>
      <w:tr w:rsidR="00770E7F" w:rsidRPr="006F399F" w14:paraId="188E5646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1B90AECB" w14:textId="07B37585" w:rsidR="00770E7F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4" w:name="SO_5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СЦ5</w:t>
            </w:r>
            <w:bookmarkEnd w:id="4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: Обеспечение авторитетного руководства проектированием интегрированной системы наблюдения с синтезом постоянно изменяющихся требований и выявлением пробелов</w:t>
            </w:r>
          </w:p>
        </w:tc>
      </w:tr>
      <w:tr w:rsidR="0031621C" w:rsidRPr="006F399F" w14:paraId="0FCD276A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EE0E05B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5.1</w:t>
            </w:r>
          </w:p>
        </w:tc>
        <w:tc>
          <w:tcPr>
            <w:tcW w:w="6663" w:type="dxa"/>
            <w:noWrap/>
            <w:hideMark/>
          </w:tcPr>
          <w:p w14:paraId="340BD615" w14:textId="74BCA514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Организация управления основными океаническими переменными (ООП) / основными климатическими переменными (ОКП) и ГСНК</w:t>
            </w:r>
          </w:p>
        </w:tc>
        <w:tc>
          <w:tcPr>
            <w:tcW w:w="1836" w:type="dxa"/>
            <w:hideMark/>
          </w:tcPr>
          <w:p w14:paraId="4520A0FF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2F942CA7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4C6DB9A4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5.2</w:t>
            </w:r>
          </w:p>
        </w:tc>
        <w:tc>
          <w:tcPr>
            <w:tcW w:w="6663" w:type="dxa"/>
            <w:noWrap/>
            <w:hideMark/>
          </w:tcPr>
          <w:p w14:paraId="2877A1E5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Обзор ООП ГСНО</w:t>
            </w:r>
          </w:p>
        </w:tc>
        <w:tc>
          <w:tcPr>
            <w:tcW w:w="1836" w:type="dxa"/>
            <w:hideMark/>
          </w:tcPr>
          <w:p w14:paraId="108A957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1B7E939E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281CE4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5.3</w:t>
            </w:r>
          </w:p>
        </w:tc>
        <w:tc>
          <w:tcPr>
            <w:tcW w:w="6663" w:type="dxa"/>
            <w:noWrap/>
            <w:hideMark/>
          </w:tcPr>
          <w:p w14:paraId="28D3117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Оценка и обзоры системы наблюдений</w:t>
            </w:r>
          </w:p>
        </w:tc>
        <w:tc>
          <w:tcPr>
            <w:tcW w:w="1836" w:type="dxa"/>
            <w:hideMark/>
          </w:tcPr>
          <w:p w14:paraId="445211B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 </w:t>
            </w:r>
          </w:p>
        </w:tc>
      </w:tr>
      <w:tr w:rsidR="0031621C" w:rsidRPr="006F399F" w14:paraId="5F010AAE" w14:textId="77777777" w:rsidTr="0031621C">
        <w:trPr>
          <w:trHeight w:val="283"/>
        </w:trPr>
        <w:tc>
          <w:tcPr>
            <w:tcW w:w="1129" w:type="dxa"/>
            <w:vMerge w:val="restart"/>
            <w:noWrap/>
            <w:hideMark/>
          </w:tcPr>
          <w:p w14:paraId="61F1CAB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 </w:t>
            </w:r>
          </w:p>
        </w:tc>
        <w:tc>
          <w:tcPr>
            <w:tcW w:w="6663" w:type="dxa"/>
            <w:noWrap/>
            <w:hideMark/>
          </w:tcPr>
          <w:p w14:paraId="13FAE923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5.3.1 Стратегия в отношении циклов нагрева океана и пресной воды</w:t>
            </w:r>
          </w:p>
        </w:tc>
        <w:tc>
          <w:tcPr>
            <w:tcW w:w="1836" w:type="dxa"/>
            <w:hideMark/>
          </w:tcPr>
          <w:p w14:paraId="1BCE9399" w14:textId="5D42C453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73C75DDB" w14:textId="77777777" w:rsidTr="0031621C">
        <w:trPr>
          <w:trHeight w:val="283"/>
        </w:trPr>
        <w:tc>
          <w:tcPr>
            <w:tcW w:w="1129" w:type="dxa"/>
            <w:vMerge/>
            <w:hideMark/>
          </w:tcPr>
          <w:p w14:paraId="4603949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</w:p>
        </w:tc>
        <w:tc>
          <w:tcPr>
            <w:tcW w:w="6663" w:type="dxa"/>
            <w:noWrap/>
            <w:hideMark/>
          </w:tcPr>
          <w:p w14:paraId="12686DD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5.3.2 Оценка системы наблюдений и стратегия в отношении взаимодействия океана и атмосферы и пограничных слоев</w:t>
            </w:r>
          </w:p>
        </w:tc>
        <w:tc>
          <w:tcPr>
            <w:tcW w:w="1836" w:type="dxa"/>
            <w:hideMark/>
          </w:tcPr>
          <w:p w14:paraId="4B4A12FD" w14:textId="65729119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6DAE52AC" w14:textId="77777777" w:rsidTr="0031621C">
        <w:trPr>
          <w:trHeight w:val="283"/>
        </w:trPr>
        <w:tc>
          <w:tcPr>
            <w:tcW w:w="1129" w:type="dxa"/>
            <w:vMerge/>
            <w:hideMark/>
          </w:tcPr>
          <w:p w14:paraId="4268949E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</w:p>
        </w:tc>
        <w:tc>
          <w:tcPr>
            <w:tcW w:w="6663" w:type="dxa"/>
            <w:noWrap/>
            <w:hideMark/>
          </w:tcPr>
          <w:p w14:paraId="411A4731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5.3.3 Оценка системы наблюдений и стратегия в отношении пограничных систем</w:t>
            </w:r>
          </w:p>
        </w:tc>
        <w:tc>
          <w:tcPr>
            <w:tcW w:w="1836" w:type="dxa"/>
            <w:hideMark/>
          </w:tcPr>
          <w:p w14:paraId="2829FBD1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7D633CA4" w14:textId="77777777" w:rsidTr="0031621C">
        <w:trPr>
          <w:trHeight w:val="283"/>
        </w:trPr>
        <w:tc>
          <w:tcPr>
            <w:tcW w:w="1129" w:type="dxa"/>
            <w:vMerge/>
            <w:hideMark/>
          </w:tcPr>
          <w:p w14:paraId="53A670D7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</w:p>
        </w:tc>
        <w:tc>
          <w:tcPr>
            <w:tcW w:w="6663" w:type="dxa"/>
            <w:noWrap/>
            <w:hideMark/>
          </w:tcPr>
          <w:p w14:paraId="3343D8B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5.3.4 Проект оптимальной системы наблюдения за углеродным потоком</w:t>
            </w:r>
          </w:p>
        </w:tc>
        <w:tc>
          <w:tcPr>
            <w:tcW w:w="1836" w:type="dxa"/>
            <w:hideMark/>
          </w:tcPr>
          <w:p w14:paraId="4CDE0B45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7E63C7D4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31A52F7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5.4</w:t>
            </w:r>
          </w:p>
        </w:tc>
        <w:tc>
          <w:tcPr>
            <w:tcW w:w="6663" w:type="dxa"/>
            <w:noWrap/>
            <w:hideMark/>
          </w:tcPr>
          <w:p w14:paraId="03EDC372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Рамки оценки и обзора ГСНО</w:t>
            </w:r>
          </w:p>
        </w:tc>
        <w:tc>
          <w:tcPr>
            <w:tcW w:w="1836" w:type="dxa"/>
            <w:hideMark/>
          </w:tcPr>
          <w:p w14:paraId="536FAD9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67303EF6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54F61CE1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5.5</w:t>
            </w:r>
          </w:p>
        </w:tc>
        <w:tc>
          <w:tcPr>
            <w:tcW w:w="6663" w:type="dxa"/>
            <w:noWrap/>
            <w:hideMark/>
          </w:tcPr>
          <w:p w14:paraId="00BED02A" w14:textId="2C74E429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Координация региональных сетей/ Резюме OceanObs'19 </w:t>
            </w:r>
          </w:p>
        </w:tc>
        <w:tc>
          <w:tcPr>
            <w:tcW w:w="1836" w:type="dxa"/>
            <w:hideMark/>
          </w:tcPr>
          <w:p w14:paraId="3344885E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6598D42E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40EC4D47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5.6</w:t>
            </w:r>
          </w:p>
        </w:tc>
        <w:tc>
          <w:tcPr>
            <w:tcW w:w="6663" w:type="dxa"/>
            <w:noWrap/>
            <w:hideMark/>
          </w:tcPr>
          <w:p w14:paraId="445D8026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Проектирование системы наблюдений на основе ООП</w:t>
            </w:r>
          </w:p>
        </w:tc>
        <w:tc>
          <w:tcPr>
            <w:tcW w:w="1836" w:type="dxa"/>
            <w:hideMark/>
          </w:tcPr>
          <w:p w14:paraId="520A0619" w14:textId="4596EF79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770E7F" w:rsidRPr="006F399F" w14:paraId="28DDD77D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014400C3" w14:textId="3A4EF6D8" w:rsidR="00770E7F" w:rsidRPr="00C8507A" w:rsidRDefault="00770E7F" w:rsidP="007525A8">
            <w:pPr>
              <w:keepNext/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5" w:name="SO_6"/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СЦ6</w:t>
            </w: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: </w:t>
            </w:r>
            <w:bookmarkEnd w:id="5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Поддержка, углубление и расширение внедрения системы наблюдений через ГСНО и партнерские сообщества с популяризацией стандартов и передовой практики, а также с разработкой контрольных показаний для оценки прогресса</w:t>
            </w:r>
          </w:p>
        </w:tc>
      </w:tr>
      <w:tr w:rsidR="0031621C" w:rsidRPr="006F399F" w14:paraId="12CC91AF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310E684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6.1</w:t>
            </w:r>
          </w:p>
        </w:tc>
        <w:tc>
          <w:tcPr>
            <w:tcW w:w="6663" w:type="dxa"/>
            <w:noWrap/>
            <w:hideMark/>
          </w:tcPr>
          <w:p w14:paraId="2A682ED2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Реализация междисциплинарной инициативы VOICE</w:t>
            </w:r>
          </w:p>
        </w:tc>
        <w:tc>
          <w:tcPr>
            <w:tcW w:w="1836" w:type="dxa"/>
            <w:hideMark/>
          </w:tcPr>
          <w:p w14:paraId="79D8F21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4F3DE110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4CFDAFEE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6.2</w:t>
            </w:r>
          </w:p>
        </w:tc>
        <w:tc>
          <w:tcPr>
            <w:tcW w:w="6663" w:type="dxa"/>
            <w:noWrap/>
            <w:hideMark/>
          </w:tcPr>
          <w:p w14:paraId="3B5310A2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Одобренные ГСНО передовые практики, доступные для всех ООП и платформ</w:t>
            </w:r>
          </w:p>
        </w:tc>
        <w:tc>
          <w:tcPr>
            <w:tcW w:w="1836" w:type="dxa"/>
            <w:hideMark/>
          </w:tcPr>
          <w:p w14:paraId="7CB1E227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26A91118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3EFF61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6.3</w:t>
            </w:r>
          </w:p>
        </w:tc>
        <w:tc>
          <w:tcPr>
            <w:tcW w:w="6663" w:type="dxa"/>
            <w:noWrap/>
            <w:hideMark/>
          </w:tcPr>
          <w:p w14:paraId="77BF6FB8" w14:textId="67AFC828" w:rsidR="00343EFA" w:rsidRPr="00C8507A" w:rsidRDefault="007525A8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Пространства решений для наблюдений за океаном в ИЭЗ</w:t>
            </w:r>
          </w:p>
        </w:tc>
        <w:tc>
          <w:tcPr>
            <w:tcW w:w="1836" w:type="dxa"/>
            <w:hideMark/>
          </w:tcPr>
          <w:p w14:paraId="062DD09F" w14:textId="74637A18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5754D63D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F019B7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6.4</w:t>
            </w:r>
          </w:p>
        </w:tc>
        <w:tc>
          <w:tcPr>
            <w:tcW w:w="6663" w:type="dxa"/>
            <w:noWrap/>
            <w:hideMark/>
          </w:tcPr>
          <w:p w14:paraId="3BB4E9BC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Перспективная и существующая интеграция сетей</w:t>
            </w:r>
          </w:p>
        </w:tc>
        <w:tc>
          <w:tcPr>
            <w:tcW w:w="1836" w:type="dxa"/>
            <w:hideMark/>
          </w:tcPr>
          <w:p w14:paraId="2677A72B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13741E3D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CABD626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6.5</w:t>
            </w:r>
          </w:p>
        </w:tc>
        <w:tc>
          <w:tcPr>
            <w:tcW w:w="6663" w:type="dxa"/>
            <w:noWrap/>
            <w:hideMark/>
          </w:tcPr>
          <w:p w14:paraId="1743508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Разработка и/или поддержание в актуальном состоянии справочного каталога оборудования</w:t>
            </w:r>
          </w:p>
        </w:tc>
        <w:tc>
          <w:tcPr>
            <w:tcW w:w="1836" w:type="dxa"/>
            <w:hideMark/>
          </w:tcPr>
          <w:p w14:paraId="0C7584CB" w14:textId="2C5D96BF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FCF9A79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8B8D05E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6.6</w:t>
            </w:r>
          </w:p>
        </w:tc>
        <w:tc>
          <w:tcPr>
            <w:tcW w:w="6663" w:type="dxa"/>
            <w:noWrap/>
            <w:hideMark/>
          </w:tcPr>
          <w:p w14:paraId="151E878F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Усовершенствование БГХ и БиоЭко-наблюдений в глобальных сетях</w:t>
            </w:r>
          </w:p>
        </w:tc>
        <w:tc>
          <w:tcPr>
            <w:tcW w:w="1836" w:type="dxa"/>
            <w:hideMark/>
          </w:tcPr>
          <w:p w14:paraId="4F433185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2D6BE7A1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A660806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6.7</w:t>
            </w:r>
          </w:p>
        </w:tc>
        <w:tc>
          <w:tcPr>
            <w:tcW w:w="6663" w:type="dxa"/>
            <w:noWrap/>
            <w:hideMark/>
          </w:tcPr>
          <w:p w14:paraId="774E8F8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Управление вопросами охраны окружающей среды</w:t>
            </w:r>
          </w:p>
        </w:tc>
        <w:tc>
          <w:tcPr>
            <w:tcW w:w="1836" w:type="dxa"/>
            <w:hideMark/>
          </w:tcPr>
          <w:p w14:paraId="1BE4A3C8" w14:textId="1D6CFA00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0BDE598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FA1D944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6.8</w:t>
            </w:r>
          </w:p>
        </w:tc>
        <w:tc>
          <w:tcPr>
            <w:tcW w:w="6663" w:type="dxa"/>
            <w:noWrap/>
            <w:hideMark/>
          </w:tcPr>
          <w:p w14:paraId="1F18CE03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Взаимное сопоставление и стандарты</w:t>
            </w:r>
          </w:p>
        </w:tc>
        <w:tc>
          <w:tcPr>
            <w:tcW w:w="1836" w:type="dxa"/>
            <w:hideMark/>
          </w:tcPr>
          <w:p w14:paraId="15A4076F" w14:textId="78BF98F4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12128AD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01DE1DF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lastRenderedPageBreak/>
              <w:t>6.9</w:t>
            </w:r>
          </w:p>
        </w:tc>
        <w:tc>
          <w:tcPr>
            <w:tcW w:w="6663" w:type="dxa"/>
            <w:noWrap/>
            <w:hideMark/>
          </w:tcPr>
          <w:p w14:paraId="356EDFD6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Координация и расширение наблюдений за биогеохимией поверхностного слоя океана</w:t>
            </w:r>
          </w:p>
        </w:tc>
        <w:tc>
          <w:tcPr>
            <w:tcW w:w="1836" w:type="dxa"/>
            <w:hideMark/>
          </w:tcPr>
          <w:p w14:paraId="798DD49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7FECEEFF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002258E2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6.10</w:t>
            </w:r>
          </w:p>
        </w:tc>
        <w:tc>
          <w:tcPr>
            <w:tcW w:w="6663" w:type="dxa"/>
            <w:noWrap/>
            <w:hideMark/>
          </w:tcPr>
          <w:p w14:paraId="40B87605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CoastPredict</w:t>
            </w:r>
          </w:p>
        </w:tc>
        <w:tc>
          <w:tcPr>
            <w:tcW w:w="1836" w:type="dxa"/>
            <w:hideMark/>
          </w:tcPr>
          <w:p w14:paraId="7F948630" w14:textId="02C6174F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Прогр. в рамках Десятилетия</w:t>
            </w:r>
          </w:p>
        </w:tc>
      </w:tr>
      <w:tr w:rsidR="0031621C" w:rsidRPr="006F399F" w14:paraId="4244C020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F99ADBD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6.11</w:t>
            </w:r>
          </w:p>
        </w:tc>
        <w:tc>
          <w:tcPr>
            <w:tcW w:w="6663" w:type="dxa"/>
            <w:noWrap/>
            <w:hideMark/>
          </w:tcPr>
          <w:p w14:paraId="05AB044E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Создание биоэкологического сообщества</w:t>
            </w:r>
          </w:p>
        </w:tc>
        <w:tc>
          <w:tcPr>
            <w:tcW w:w="1836" w:type="dxa"/>
            <w:hideMark/>
          </w:tcPr>
          <w:p w14:paraId="0CD0D33F" w14:textId="695BC95E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770E7F" w:rsidRPr="006F399F" w14:paraId="3EA2A86B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5E24A389" w14:textId="584C496E" w:rsidR="00770E7F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6" w:name="SO_7"/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СЦ7</w:t>
            </w:r>
            <w:bookmarkEnd w:id="6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: Обеспечение доступности для поиска, взаимодействия и повторного использования информации и данных наблюдений за океаном ГСНО с надлежащим качеством и задержкой</w:t>
            </w:r>
          </w:p>
        </w:tc>
      </w:tr>
      <w:tr w:rsidR="0031621C" w:rsidRPr="006F399F" w14:paraId="58328F46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28B53DB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7.1</w:t>
            </w:r>
          </w:p>
        </w:tc>
        <w:tc>
          <w:tcPr>
            <w:tcW w:w="6663" w:type="dxa"/>
            <w:noWrap/>
            <w:hideMark/>
          </w:tcPr>
          <w:p w14:paraId="161CD64C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Сети ГКН по картированию потоков данных</w:t>
            </w:r>
          </w:p>
        </w:tc>
        <w:tc>
          <w:tcPr>
            <w:tcW w:w="1836" w:type="dxa"/>
            <w:hideMark/>
          </w:tcPr>
          <w:p w14:paraId="6B55DE00" w14:textId="51A578EB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A17CC71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6AF5237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7.2</w:t>
            </w:r>
          </w:p>
        </w:tc>
        <w:tc>
          <w:tcPr>
            <w:tcW w:w="6663" w:type="dxa"/>
            <w:noWrap/>
            <w:hideMark/>
          </w:tcPr>
          <w:p w14:paraId="2EF1BD0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Глобальные сети стандартизации метаданных</w:t>
            </w:r>
          </w:p>
        </w:tc>
        <w:tc>
          <w:tcPr>
            <w:tcW w:w="1836" w:type="dxa"/>
            <w:hideMark/>
          </w:tcPr>
          <w:p w14:paraId="0AEDA677" w14:textId="541CAE28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3A6789F4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C66D863" w14:textId="6B5205C0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7.3</w:t>
            </w:r>
          </w:p>
        </w:tc>
        <w:tc>
          <w:tcPr>
            <w:tcW w:w="6663" w:type="dxa"/>
            <w:noWrap/>
            <w:hideMark/>
          </w:tcPr>
          <w:p w14:paraId="40883AC3" w14:textId="44B3930E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Поддержка Глобального центра сбора данных для биогеохимических (БГХ) ООП</w:t>
            </w:r>
          </w:p>
        </w:tc>
        <w:tc>
          <w:tcPr>
            <w:tcW w:w="1836" w:type="dxa"/>
            <w:hideMark/>
          </w:tcPr>
          <w:p w14:paraId="45431AC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31621C" w:rsidRPr="006F399F" w14:paraId="12FE3272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12435ED" w14:textId="381D671D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7.4</w:t>
            </w:r>
          </w:p>
        </w:tc>
        <w:tc>
          <w:tcPr>
            <w:tcW w:w="6663" w:type="dxa"/>
            <w:noWrap/>
            <w:hideMark/>
          </w:tcPr>
          <w:p w14:paraId="5535883C" w14:textId="5B099402" w:rsidR="00343EFA" w:rsidRPr="00C8507A" w:rsidRDefault="00775F1E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Стратегия Группы по координации наблюдений в отношении данных </w:t>
            </w:r>
          </w:p>
        </w:tc>
        <w:tc>
          <w:tcPr>
            <w:tcW w:w="1836" w:type="dxa"/>
            <w:hideMark/>
          </w:tcPr>
          <w:p w14:paraId="01B8360D" w14:textId="197FEDB7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72C41B50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CE1E8DA" w14:textId="5BCF48EA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7.5</w:t>
            </w:r>
          </w:p>
        </w:tc>
        <w:tc>
          <w:tcPr>
            <w:tcW w:w="6663" w:type="dxa"/>
            <w:noWrap/>
            <w:hideMark/>
          </w:tcPr>
          <w:p w14:paraId="41AECED5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Создание прототипа OpenGTS</w:t>
            </w:r>
          </w:p>
        </w:tc>
        <w:tc>
          <w:tcPr>
            <w:tcW w:w="1836" w:type="dxa"/>
            <w:hideMark/>
          </w:tcPr>
          <w:p w14:paraId="6A41A0D6" w14:textId="3A2D2521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81B61D5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858C9A4" w14:textId="70F640F2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7.6</w:t>
            </w:r>
          </w:p>
        </w:tc>
        <w:tc>
          <w:tcPr>
            <w:tcW w:w="6663" w:type="dxa"/>
            <w:noWrap/>
            <w:hideMark/>
          </w:tcPr>
          <w:p w14:paraId="313C82E7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Описание стандартов производства и распространения для систем прогнозирования состояния океана</w:t>
            </w:r>
          </w:p>
        </w:tc>
        <w:tc>
          <w:tcPr>
            <w:tcW w:w="1836" w:type="dxa"/>
            <w:hideMark/>
          </w:tcPr>
          <w:p w14:paraId="7976A817" w14:textId="32267B93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166996E2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D84FC60" w14:textId="095F9364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7.7</w:t>
            </w:r>
          </w:p>
        </w:tc>
        <w:tc>
          <w:tcPr>
            <w:tcW w:w="6663" w:type="dxa"/>
            <w:noWrap/>
            <w:hideMark/>
          </w:tcPr>
          <w:p w14:paraId="61D2BA1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Доступ к данным БиоЭко ООП через ОБИС</w:t>
            </w:r>
          </w:p>
        </w:tc>
        <w:tc>
          <w:tcPr>
            <w:tcW w:w="1836" w:type="dxa"/>
            <w:hideMark/>
          </w:tcPr>
          <w:p w14:paraId="6C3A5F5E" w14:textId="32A626C4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D605425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6BCE07C8" w14:textId="2B29F2F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7.8</w:t>
            </w:r>
          </w:p>
        </w:tc>
        <w:tc>
          <w:tcPr>
            <w:tcW w:w="6663" w:type="dxa"/>
            <w:noWrap/>
            <w:hideMark/>
          </w:tcPr>
          <w:p w14:paraId="5A0D7FE3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Создание новых и поддержка существующих продуктов синтеза БГХ-данных</w:t>
            </w:r>
          </w:p>
        </w:tc>
        <w:tc>
          <w:tcPr>
            <w:tcW w:w="1836" w:type="dxa"/>
            <w:hideMark/>
          </w:tcPr>
          <w:p w14:paraId="52F00799" w14:textId="035AA555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B6431D" w:rsidRPr="006F399F" w14:paraId="642FB3A7" w14:textId="77777777" w:rsidTr="00B6431D">
        <w:trPr>
          <w:trHeight w:val="283"/>
        </w:trPr>
        <w:tc>
          <w:tcPr>
            <w:tcW w:w="9628" w:type="dxa"/>
            <w:gridSpan w:val="3"/>
            <w:shd w:val="clear" w:color="auto" w:fill="D9D9D9" w:themeFill="background1" w:themeFillShade="D9"/>
            <w:noWrap/>
          </w:tcPr>
          <w:p w14:paraId="1DF53CF1" w14:textId="49532150" w:rsidR="00B6431D" w:rsidRPr="00C8507A" w:rsidRDefault="00B6431D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snapToGrid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Цель: Созидание в интересах будущего</w:t>
            </w:r>
          </w:p>
        </w:tc>
      </w:tr>
      <w:tr w:rsidR="00770E7F" w:rsidRPr="006F399F" w14:paraId="4AE64C00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58EE5957" w14:textId="0373716C" w:rsidR="00770E7F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7" w:name="SO_8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СЦ8</w:t>
            </w:r>
            <w:bookmarkEnd w:id="7"/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:</w:t>
            </w: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 Поддержка инноваций в технологиях и сетях наблюдения</w:t>
            </w:r>
          </w:p>
        </w:tc>
      </w:tr>
      <w:tr w:rsidR="0031621C" w:rsidRPr="006F399F" w14:paraId="5914665B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5388E7EE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8.1</w:t>
            </w:r>
          </w:p>
        </w:tc>
        <w:tc>
          <w:tcPr>
            <w:tcW w:w="6663" w:type="dxa"/>
            <w:noWrap/>
            <w:hideMark/>
          </w:tcPr>
          <w:p w14:paraId="46368328" w14:textId="6828E203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Ускоренная интеграция новых технологий</w:t>
            </w:r>
          </w:p>
        </w:tc>
        <w:tc>
          <w:tcPr>
            <w:tcW w:w="1836" w:type="dxa"/>
            <w:hideMark/>
          </w:tcPr>
          <w:p w14:paraId="34526C60" w14:textId="4FFFC865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90E5FC5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EA795D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8.2</w:t>
            </w:r>
          </w:p>
        </w:tc>
        <w:tc>
          <w:tcPr>
            <w:tcW w:w="6663" w:type="dxa"/>
            <w:noWrap/>
            <w:hideMark/>
          </w:tcPr>
          <w:p w14:paraId="7E2C1857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Четкое указание по использованию биомолекулярных подходов, включая эДНК, для поддержки биологических ООП</w:t>
            </w:r>
          </w:p>
        </w:tc>
        <w:tc>
          <w:tcPr>
            <w:tcW w:w="1836" w:type="dxa"/>
            <w:hideMark/>
          </w:tcPr>
          <w:p w14:paraId="7CAECD7E" w14:textId="22B7A788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770E7F" w:rsidRPr="006F399F" w14:paraId="197AF86E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3825B419" w14:textId="20CC4796" w:rsidR="00770E7F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8" w:name="SO_9"/>
            <w:r>
              <w:rPr>
                <w:rFonts w:asciiTheme="minorBidi" w:hAnsiTheme="minorBidi" w:cstheme="minorBidi"/>
                <w:b/>
                <w:bCs/>
                <w:snapToGrid/>
                <w:szCs w:val="22"/>
                <w:lang w:val="ru"/>
              </w:rPr>
              <w:t>СЦ9</w:t>
            </w: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: </w:t>
            </w:r>
            <w:bookmarkEnd w:id="8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Развитие потенциала для обеспечения участия более широкого спектра заинтересованных сторон</w:t>
            </w:r>
          </w:p>
        </w:tc>
      </w:tr>
      <w:tr w:rsidR="0031621C" w:rsidRPr="006F399F" w14:paraId="1369529F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77CF24B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9.1</w:t>
            </w:r>
          </w:p>
        </w:tc>
        <w:tc>
          <w:tcPr>
            <w:tcW w:w="6663" w:type="dxa"/>
            <w:noWrap/>
            <w:hideMark/>
          </w:tcPr>
          <w:p w14:paraId="2F67E60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Организация глобального онлайн-обучения по оперативной системе мониторинга и прогнозирования состояния океана </w:t>
            </w:r>
          </w:p>
        </w:tc>
        <w:tc>
          <w:tcPr>
            <w:tcW w:w="1836" w:type="dxa"/>
            <w:hideMark/>
          </w:tcPr>
          <w:p w14:paraId="3FF0C95A" w14:textId="2BDD60CD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56080BA2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4A9357D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9.2</w:t>
            </w:r>
          </w:p>
        </w:tc>
        <w:tc>
          <w:tcPr>
            <w:tcW w:w="6663" w:type="dxa"/>
            <w:noWrap/>
            <w:hideMark/>
          </w:tcPr>
          <w:p w14:paraId="119D5774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Улучшение существующих и разработка новых ресурсов по наращиванию технического потенциала (в том числе онлайн)</w:t>
            </w:r>
          </w:p>
        </w:tc>
        <w:tc>
          <w:tcPr>
            <w:tcW w:w="1836" w:type="dxa"/>
            <w:hideMark/>
          </w:tcPr>
          <w:p w14:paraId="5C30C525" w14:textId="66D77289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1EFB1BA5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0DB334F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9.3</w:t>
            </w:r>
          </w:p>
        </w:tc>
        <w:tc>
          <w:tcPr>
            <w:tcW w:w="6663" w:type="dxa"/>
            <w:noWrap/>
            <w:hideMark/>
          </w:tcPr>
          <w:p w14:paraId="2F03F63F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Внедрение системы мониторинга и прогнозирования состояния океана с привлечением РАГ</w:t>
            </w:r>
          </w:p>
        </w:tc>
        <w:tc>
          <w:tcPr>
            <w:tcW w:w="1836" w:type="dxa"/>
            <w:hideMark/>
          </w:tcPr>
          <w:p w14:paraId="460A94CB" w14:textId="7251D858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374D3C16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260520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9.4</w:t>
            </w:r>
          </w:p>
        </w:tc>
        <w:tc>
          <w:tcPr>
            <w:tcW w:w="6663" w:type="dxa"/>
            <w:noWrap/>
            <w:hideMark/>
          </w:tcPr>
          <w:p w14:paraId="6436814C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Межсетевое интегрированное развитие потенциала </w:t>
            </w:r>
          </w:p>
        </w:tc>
        <w:tc>
          <w:tcPr>
            <w:tcW w:w="1836" w:type="dxa"/>
            <w:hideMark/>
          </w:tcPr>
          <w:p w14:paraId="1A0B1C66" w14:textId="48E59B5C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289CB10A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906F953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9.5</w:t>
            </w:r>
          </w:p>
        </w:tc>
        <w:tc>
          <w:tcPr>
            <w:tcW w:w="6663" w:type="dxa"/>
            <w:noWrap/>
            <w:hideMark/>
          </w:tcPr>
          <w:p w14:paraId="0B97BD1F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Партнерство с Сетью наблюдений за морским биоразнообразием (MBON), ОБИС и ВЦМП в области обмена потенциалом </w:t>
            </w:r>
          </w:p>
        </w:tc>
        <w:tc>
          <w:tcPr>
            <w:tcW w:w="1836" w:type="dxa"/>
            <w:hideMark/>
          </w:tcPr>
          <w:p w14:paraId="573F0B2D" w14:textId="2B85E7C6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35C24B31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1E40917F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9.6</w:t>
            </w:r>
          </w:p>
        </w:tc>
        <w:tc>
          <w:tcPr>
            <w:tcW w:w="6663" w:type="dxa"/>
            <w:noWrap/>
            <w:hideMark/>
          </w:tcPr>
          <w:p w14:paraId="2E1A65D7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Анализ/оценка центра системы мониторинга и прогнозирования состояния океана </w:t>
            </w:r>
          </w:p>
        </w:tc>
        <w:tc>
          <w:tcPr>
            <w:tcW w:w="1836" w:type="dxa"/>
            <w:hideMark/>
          </w:tcPr>
          <w:p w14:paraId="45C1C57E" w14:textId="4B19581E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4CFDC99B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9CB572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9.7</w:t>
            </w:r>
          </w:p>
        </w:tc>
        <w:tc>
          <w:tcPr>
            <w:tcW w:w="6663" w:type="dxa"/>
            <w:noWrap/>
            <w:hideMark/>
          </w:tcPr>
          <w:p w14:paraId="08DBC13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Материалы и семинары по обмену потенциалом для развития или расширения РАГ</w:t>
            </w:r>
          </w:p>
        </w:tc>
        <w:tc>
          <w:tcPr>
            <w:tcW w:w="1836" w:type="dxa"/>
            <w:hideMark/>
          </w:tcPr>
          <w:p w14:paraId="71906EF6" w14:textId="265651CA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1BF6833A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3F2C0B10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lastRenderedPageBreak/>
              <w:t>9.8</w:t>
            </w:r>
          </w:p>
        </w:tc>
        <w:tc>
          <w:tcPr>
            <w:tcW w:w="6663" w:type="dxa"/>
            <w:noWrap/>
            <w:hideMark/>
          </w:tcPr>
          <w:p w14:paraId="17B130CB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Формирование рынка и потенциала для отчетности по ООП в поддержку показателей и оценки глобальной рамочной программы по биоразнообразию</w:t>
            </w:r>
          </w:p>
        </w:tc>
        <w:tc>
          <w:tcPr>
            <w:tcW w:w="1836" w:type="dxa"/>
            <w:hideMark/>
          </w:tcPr>
          <w:p w14:paraId="03A99645" w14:textId="588C7285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2DCDF9FB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5B14F75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9.9</w:t>
            </w:r>
          </w:p>
        </w:tc>
        <w:tc>
          <w:tcPr>
            <w:tcW w:w="6663" w:type="dxa"/>
            <w:noWrap/>
            <w:hideMark/>
          </w:tcPr>
          <w:p w14:paraId="4E6202C6" w14:textId="1F1244BD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Совместная разработка показателей биоразнообразия и морской среды обитания с бизнес-сообществом</w:t>
            </w:r>
          </w:p>
        </w:tc>
        <w:tc>
          <w:tcPr>
            <w:tcW w:w="1836" w:type="dxa"/>
            <w:hideMark/>
          </w:tcPr>
          <w:p w14:paraId="21113FEC" w14:textId="1AE3DA22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12DB3033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51FBE35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9.10</w:t>
            </w:r>
          </w:p>
        </w:tc>
        <w:tc>
          <w:tcPr>
            <w:tcW w:w="6663" w:type="dxa"/>
            <w:noWrap/>
            <w:hideMark/>
          </w:tcPr>
          <w:p w14:paraId="474D02DA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Наблюдаем вместе</w:t>
            </w:r>
          </w:p>
        </w:tc>
        <w:tc>
          <w:tcPr>
            <w:tcW w:w="1836" w:type="dxa"/>
            <w:hideMark/>
          </w:tcPr>
          <w:p w14:paraId="70735044" w14:textId="344F56F2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Прогр. в рамках Десятилетия</w:t>
            </w:r>
          </w:p>
        </w:tc>
      </w:tr>
      <w:tr w:rsidR="00770E7F" w:rsidRPr="006F399F" w14:paraId="0F673962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34147207" w14:textId="57E308ED" w:rsidR="00770E7F" w:rsidRPr="00C8507A" w:rsidRDefault="00770E7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bookmarkStart w:id="9" w:name="SO_10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СЦ10</w:t>
            </w:r>
            <w:bookmarkEnd w:id="9"/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: Расширение систематических наблюдений для понимания воздействия человека на океан</w:t>
            </w:r>
          </w:p>
        </w:tc>
      </w:tr>
      <w:tr w:rsidR="0031621C" w:rsidRPr="006F399F" w14:paraId="475BC88F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DD4D2CA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10.1</w:t>
            </w:r>
          </w:p>
        </w:tc>
        <w:tc>
          <w:tcPr>
            <w:tcW w:w="6663" w:type="dxa"/>
            <w:noWrap/>
            <w:hideMark/>
          </w:tcPr>
          <w:p w14:paraId="68A78D69" w14:textId="284B4535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Организация координации Интегрированной системы наблюдения за морским мусором</w:t>
            </w:r>
          </w:p>
        </w:tc>
        <w:tc>
          <w:tcPr>
            <w:tcW w:w="1836" w:type="dxa"/>
            <w:hideMark/>
          </w:tcPr>
          <w:p w14:paraId="7EE8E310" w14:textId="32340B2A" w:rsidR="00343EFA" w:rsidRPr="00C8507A" w:rsidRDefault="006F399F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Однокомпонентное</w:t>
            </w:r>
          </w:p>
        </w:tc>
      </w:tr>
      <w:tr w:rsidR="0031621C" w:rsidRPr="006F399F" w14:paraId="4FD34FA2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2729F795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10.2</w:t>
            </w:r>
          </w:p>
        </w:tc>
        <w:tc>
          <w:tcPr>
            <w:tcW w:w="6663" w:type="dxa"/>
            <w:noWrap/>
            <w:hideMark/>
          </w:tcPr>
          <w:p w14:paraId="100BDC9C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Включение/связь с показателями антропогенного давления</w:t>
            </w:r>
          </w:p>
        </w:tc>
        <w:tc>
          <w:tcPr>
            <w:tcW w:w="1836" w:type="dxa"/>
            <w:hideMark/>
          </w:tcPr>
          <w:p w14:paraId="321AF91B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Многокомпонентное</w:t>
            </w:r>
          </w:p>
        </w:tc>
      </w:tr>
      <w:tr w:rsidR="00770E7F" w:rsidRPr="006F399F" w14:paraId="5E6BA40D" w14:textId="77777777" w:rsidTr="00770E7F">
        <w:trPr>
          <w:trHeight w:val="283"/>
        </w:trPr>
        <w:tc>
          <w:tcPr>
            <w:tcW w:w="9628" w:type="dxa"/>
            <w:gridSpan w:val="3"/>
            <w:shd w:val="clear" w:color="auto" w:fill="F2F2F2" w:themeFill="background1" w:themeFillShade="F2"/>
            <w:noWrap/>
          </w:tcPr>
          <w:p w14:paraId="5F411265" w14:textId="4E596017" w:rsidR="00770E7F" w:rsidRPr="00C8507A" w:rsidRDefault="00770E7F" w:rsidP="009E3769">
            <w:pPr>
              <w:keepNext/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bookmarkStart w:id="10" w:name="SO_11"/>
            <w:r>
              <w:rPr>
                <w:rFonts w:asciiTheme="minorBidi" w:hAnsiTheme="minorBidi" w:cstheme="minorBidi"/>
                <w:color w:val="000000"/>
                <w:szCs w:val="22"/>
                <w:lang w:val="ru"/>
              </w:rPr>
              <w:t>СЦ11</w:t>
            </w:r>
            <w:bookmarkEnd w:id="10"/>
            <w:r>
              <w:rPr>
                <w:rFonts w:asciiTheme="minorBidi" w:hAnsiTheme="minorBidi" w:cstheme="minorBidi"/>
                <w:color w:val="000000"/>
                <w:szCs w:val="22"/>
                <w:lang w:val="ru"/>
              </w:rPr>
              <w:t xml:space="preserve">: Поддержка эффективного управления глобальными наблюдениями in situ и спутниковыми наблюдениями совместно с партнерами и заинтересованными сторонами </w:t>
            </w:r>
          </w:p>
        </w:tc>
      </w:tr>
      <w:tr w:rsidR="0031621C" w:rsidRPr="006F399F" w14:paraId="3EC42EB8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78A2D6FC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11.1</w:t>
            </w:r>
          </w:p>
        </w:tc>
        <w:tc>
          <w:tcPr>
            <w:tcW w:w="6663" w:type="dxa"/>
            <w:noWrap/>
            <w:hideMark/>
          </w:tcPr>
          <w:p w14:paraId="1A1E7949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Оценка и изменение структуры ГСНО</w:t>
            </w:r>
          </w:p>
        </w:tc>
        <w:tc>
          <w:tcPr>
            <w:tcW w:w="1836" w:type="dxa"/>
            <w:hideMark/>
          </w:tcPr>
          <w:p w14:paraId="1E1FA330" w14:textId="3E0E676A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279D686E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0741313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11.2</w:t>
            </w:r>
          </w:p>
        </w:tc>
        <w:tc>
          <w:tcPr>
            <w:tcW w:w="6663" w:type="dxa"/>
            <w:noWrap/>
            <w:hideMark/>
          </w:tcPr>
          <w:p w14:paraId="6B0A0C28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Эволюция управления ГСНО</w:t>
            </w:r>
          </w:p>
        </w:tc>
        <w:tc>
          <w:tcPr>
            <w:tcW w:w="1836" w:type="dxa"/>
            <w:hideMark/>
          </w:tcPr>
          <w:p w14:paraId="7B813A10" w14:textId="69F513B9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  <w:tr w:rsidR="0031621C" w:rsidRPr="006F399F" w14:paraId="564A396A" w14:textId="77777777" w:rsidTr="0031621C">
        <w:trPr>
          <w:trHeight w:val="283"/>
        </w:trPr>
        <w:tc>
          <w:tcPr>
            <w:tcW w:w="1129" w:type="dxa"/>
            <w:noWrap/>
            <w:hideMark/>
          </w:tcPr>
          <w:p w14:paraId="5CBC1E19" w14:textId="77777777" w:rsidR="00343EFA" w:rsidRPr="00C8507A" w:rsidRDefault="00343EFA" w:rsidP="00343EF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11.3</w:t>
            </w:r>
          </w:p>
        </w:tc>
        <w:tc>
          <w:tcPr>
            <w:tcW w:w="6663" w:type="dxa"/>
            <w:noWrap/>
            <w:hideMark/>
          </w:tcPr>
          <w:p w14:paraId="37DB92A1" w14:textId="77777777" w:rsidR="00343EFA" w:rsidRPr="00C8507A" w:rsidRDefault="00343EFA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 xml:space="preserve">Создание группы по обеспечению ГСНО ресурсами </w:t>
            </w:r>
          </w:p>
        </w:tc>
        <w:tc>
          <w:tcPr>
            <w:tcW w:w="1836" w:type="dxa"/>
            <w:hideMark/>
          </w:tcPr>
          <w:p w14:paraId="7D94F364" w14:textId="4D05450A" w:rsidR="00343EFA" w:rsidRPr="00C8507A" w:rsidRDefault="0031621C" w:rsidP="00343EF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napToGrid/>
                <w:szCs w:val="22"/>
              </w:rPr>
            </w:pPr>
            <w:r>
              <w:rPr>
                <w:rFonts w:asciiTheme="minorBidi" w:hAnsiTheme="minorBidi" w:cstheme="minorBidi"/>
                <w:snapToGrid/>
                <w:szCs w:val="22"/>
                <w:lang w:val="ru"/>
              </w:rPr>
              <w:t>В рамках ГСНО</w:t>
            </w:r>
          </w:p>
        </w:tc>
      </w:tr>
    </w:tbl>
    <w:p w14:paraId="444EB860" w14:textId="77777777" w:rsidR="00343EFA" w:rsidRPr="007525A8" w:rsidRDefault="00343EFA" w:rsidP="002B7A3F">
      <w:pPr>
        <w:pStyle w:val="COI"/>
        <w:numPr>
          <w:ilvl w:val="0"/>
          <w:numId w:val="0"/>
        </w:numPr>
      </w:pPr>
    </w:p>
    <w:p w14:paraId="22FC5FBE" w14:textId="29356B5B" w:rsidR="009E3769" w:rsidRPr="007525A8" w:rsidRDefault="009E3769" w:rsidP="002B7A3F">
      <w:pPr>
        <w:pStyle w:val="COI"/>
      </w:pPr>
      <w:r>
        <w:rPr>
          <w:bCs w:val="0"/>
          <w:lang w:val="ru"/>
        </w:rPr>
        <w:t xml:space="preserve">Существует большое количество мероприятий в рамках </w:t>
      </w:r>
      <w:hyperlink w:anchor="SO_6" w:history="1">
        <w:r>
          <w:rPr>
            <w:rStyle w:val="Hyperlink"/>
            <w:bCs w:val="0"/>
            <w:lang w:val="ru"/>
          </w:rPr>
          <w:t>СЦ6</w:t>
        </w:r>
      </w:hyperlink>
      <w:r>
        <w:rPr>
          <w:bCs w:val="0"/>
          <w:lang w:val="ru"/>
        </w:rPr>
        <w:t>, которая представляет собой основную область работы Основной группы ГСНО. Большое количество мероприятий в области данных (</w:t>
      </w:r>
      <w:hyperlink w:anchor="SO_7" w:history="1">
        <w:r>
          <w:rPr>
            <w:rStyle w:val="Hyperlink"/>
            <w:bCs w:val="0"/>
            <w:lang w:val="ru"/>
          </w:rPr>
          <w:t>СЦ7</w:t>
        </w:r>
      </w:hyperlink>
      <w:r>
        <w:rPr>
          <w:bCs w:val="0"/>
          <w:lang w:val="ru"/>
        </w:rPr>
        <w:t>) и развития потенциала (</w:t>
      </w:r>
      <w:hyperlink w:anchor="SO_9" w:history="1">
        <w:r>
          <w:rPr>
            <w:rStyle w:val="Hyperlink"/>
            <w:bCs w:val="0"/>
            <w:lang w:val="ru"/>
          </w:rPr>
          <w:t>СЦ9</w:t>
        </w:r>
      </w:hyperlink>
      <w:r>
        <w:rPr>
          <w:bCs w:val="0"/>
          <w:lang w:val="ru"/>
        </w:rPr>
        <w:t xml:space="preserve">) указывают на области, в которых дальнейшая консолидация однокомпонентных мероприятий, вероятно, усилит их воздействие. По сравнению с пятью определенными приоритетными стратегическими целями (выделены в таблице жирным шрифтом), связанные </w:t>
      </w:r>
      <w:hyperlink w:anchor="SO_1" w:history="1">
        <w:r>
          <w:rPr>
            <w:rStyle w:val="Hyperlink"/>
            <w:bCs w:val="0"/>
            <w:lang w:val="ru"/>
          </w:rPr>
          <w:t>СЦ1</w:t>
        </w:r>
      </w:hyperlink>
      <w:r>
        <w:rPr>
          <w:bCs w:val="0"/>
          <w:lang w:val="ru"/>
        </w:rPr>
        <w:t xml:space="preserve">и </w:t>
      </w:r>
      <w:hyperlink w:anchor="SO_2" w:history="1">
        <w:r>
          <w:rPr>
            <w:rStyle w:val="Hyperlink"/>
            <w:bCs w:val="0"/>
            <w:lang w:val="ru"/>
          </w:rPr>
          <w:t>СЦ2</w:t>
        </w:r>
      </w:hyperlink>
      <w:r>
        <w:rPr>
          <w:bCs w:val="0"/>
          <w:lang w:val="ru"/>
        </w:rPr>
        <w:t xml:space="preserve"> потребуют большего внимания в дальнейшем, при разработке долгосрочных планов. В рамках определенных мероприятий предусматривается плотное сотрудничество между компонентами Основной группы ГСНО, что является положительным результатом, который также требует поддержки.</w:t>
      </w:r>
    </w:p>
    <w:p w14:paraId="36B747A3" w14:textId="337F800F" w:rsidR="005B5174" w:rsidRDefault="004429FB" w:rsidP="002B7A3F">
      <w:pPr>
        <w:pStyle w:val="COI"/>
      </w:pPr>
      <w:r>
        <w:rPr>
          <w:bCs w:val="0"/>
          <w:lang w:val="ru"/>
        </w:rPr>
        <w:t>Среди мероприятий фигурирует большое количество партнерских программ и организаций. Наиболее часто упоминаемыми партнерами являются МООД, Всемирная метеорологическая организация и OceanPredict. Эти основные партнеры ГСНО требуют тщательного поддержания и расширения стратегических связей.</w:t>
      </w:r>
    </w:p>
    <w:p w14:paraId="3D60910C" w14:textId="13F25C19" w:rsidR="009E6B5B" w:rsidRDefault="009E6B5B" w:rsidP="002B7A3F">
      <w:pPr>
        <w:pStyle w:val="COI"/>
        <w:numPr>
          <w:ilvl w:val="0"/>
          <w:numId w:val="0"/>
        </w:numPr>
      </w:pPr>
      <w:r>
        <w:rPr>
          <w:bCs w:val="0"/>
          <w:lang w:val="ru"/>
        </w:rPr>
        <w:t>Анализ воздействия</w:t>
      </w:r>
    </w:p>
    <w:p w14:paraId="53C3F735" w14:textId="5FD05F1A" w:rsidR="009E6B5B" w:rsidRPr="00C8507A" w:rsidRDefault="009E6B5B" w:rsidP="002B7A3F">
      <w:pPr>
        <w:pStyle w:val="COI"/>
        <w:rPr>
          <w:b/>
        </w:rPr>
      </w:pPr>
      <w:r>
        <w:rPr>
          <w:bCs w:val="0"/>
          <w:i/>
          <w:iCs/>
          <w:lang w:val="ru"/>
        </w:rPr>
        <w:t>Дорожная карта реализации Стратегии Глобальной системы наблюдений за океаном на период до 2030 года</w:t>
      </w:r>
      <w:r>
        <w:rPr>
          <w:bCs w:val="0"/>
          <w:lang w:val="ru"/>
        </w:rPr>
        <w:t xml:space="preserve"> (</w:t>
      </w:r>
      <w:hyperlink r:id="rId16" w:history="1">
        <w:r>
          <w:rPr>
            <w:rStyle w:val="Hyperlink"/>
            <w:bCs w:val="0"/>
            <w:lang w:val="ru"/>
          </w:rPr>
          <w:t>Доклад ГСНО № 249</w:t>
        </w:r>
      </w:hyperlink>
      <w:r>
        <w:rPr>
          <w:bCs w:val="0"/>
          <w:lang w:val="ru"/>
        </w:rPr>
        <w:t xml:space="preserve">) содержит более подробную информацию о широких вопросах, реализации и желаемых результатах по каждой из стратегических целей Стратегии на период до 2030 года. Рассмотрение коллективного воздействия запланированных в Плане реализации ГСНО мероприятий и сравнение уровня их целевых установок с </w:t>
      </w:r>
      <w:r>
        <w:rPr>
          <w:bCs w:val="0"/>
          <w:i/>
          <w:iCs/>
          <w:lang w:val="ru"/>
        </w:rPr>
        <w:t>Дорожной картой</w:t>
      </w:r>
      <w:r>
        <w:rPr>
          <w:bCs w:val="0"/>
          <w:lang w:val="ru"/>
        </w:rPr>
        <w:t xml:space="preserve"> (таблица ниже) подтверждает необходимость для ГСНО усилить планирование внутри системы и с партнерами в определенных областях, а также определить, где ожидается наибольшее воздействие в среднесрочной перспективе.</w:t>
      </w:r>
    </w:p>
    <w:p w14:paraId="059E297F" w14:textId="634D3D98" w:rsidR="009E6B5B" w:rsidRDefault="009E6B5B" w:rsidP="009E6B5B">
      <w:pPr>
        <w:pStyle w:val="Heading3"/>
      </w:pPr>
      <w:r>
        <w:rPr>
          <w:noProof/>
          <w:snapToGrid/>
          <w:lang w:val="ru"/>
        </w:rPr>
        <w:lastRenderedPageBreak/>
        <w:drawing>
          <wp:anchor distT="0" distB="0" distL="114300" distR="114300" simplePos="0" relativeHeight="251658240" behindDoc="1" locked="0" layoutInCell="1" allowOverlap="1" wp14:anchorId="539D499E" wp14:editId="1B6D4CF3">
            <wp:simplePos x="0" y="0"/>
            <wp:positionH relativeFrom="column">
              <wp:posOffset>598805</wp:posOffset>
            </wp:positionH>
            <wp:positionV relativeFrom="page">
              <wp:posOffset>990986</wp:posOffset>
            </wp:positionV>
            <wp:extent cx="5173345" cy="2983230"/>
            <wp:effectExtent l="0" t="0" r="8255" b="7620"/>
            <wp:wrapTight wrapText="bothSides">
              <wp:wrapPolygon edited="0">
                <wp:start x="0" y="0"/>
                <wp:lineTo x="0" y="21517"/>
                <wp:lineTo x="21555" y="21517"/>
                <wp:lineTo x="21555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C3EA7" w14:textId="77777777" w:rsidR="009E6B5B" w:rsidRDefault="009E6B5B" w:rsidP="009E6B5B">
      <w:pPr>
        <w:pStyle w:val="Heading3"/>
      </w:pPr>
    </w:p>
    <w:p w14:paraId="67AD9D6A" w14:textId="77777777" w:rsidR="009E6B5B" w:rsidRDefault="009E6B5B" w:rsidP="009E6B5B">
      <w:pPr>
        <w:pStyle w:val="Heading3"/>
      </w:pPr>
    </w:p>
    <w:p w14:paraId="6FE2568B" w14:textId="3DA8CA84" w:rsidR="009E6B5B" w:rsidRDefault="009E6B5B" w:rsidP="009E6B5B">
      <w:pPr>
        <w:pStyle w:val="Heading3"/>
      </w:pPr>
    </w:p>
    <w:p w14:paraId="0F6DFEA0" w14:textId="77777777" w:rsidR="009E6B5B" w:rsidRPr="00853E68" w:rsidRDefault="009E6B5B" w:rsidP="00C8507A">
      <w:pPr>
        <w:pStyle w:val="Marge"/>
      </w:pPr>
    </w:p>
    <w:p w14:paraId="17CF9232" w14:textId="77777777" w:rsidR="009E6B5B" w:rsidRDefault="009E6B5B" w:rsidP="009E6B5B">
      <w:pPr>
        <w:pStyle w:val="Heading3"/>
      </w:pPr>
    </w:p>
    <w:p w14:paraId="25F45440" w14:textId="7107860B" w:rsidR="009E6B5B" w:rsidRPr="007525A8" w:rsidRDefault="009E6B5B" w:rsidP="00C8507A">
      <w:pPr>
        <w:pStyle w:val="Heading3"/>
      </w:pPr>
    </w:p>
    <w:p w14:paraId="34CBDCDB" w14:textId="68A076EE" w:rsidR="000B2D6B" w:rsidRPr="007525A8" w:rsidRDefault="000B2D6B" w:rsidP="00C8507A">
      <w:pPr>
        <w:pStyle w:val="COI"/>
        <w:numPr>
          <w:ilvl w:val="0"/>
          <w:numId w:val="0"/>
        </w:numPr>
      </w:pPr>
    </w:p>
    <w:p w14:paraId="1EAE5E0C" w14:textId="181D971B" w:rsidR="00793A73" w:rsidRPr="007525A8" w:rsidRDefault="00C72275" w:rsidP="002B7A3F">
      <w:pPr>
        <w:pStyle w:val="COI"/>
      </w:pPr>
      <w:r>
        <w:rPr>
          <w:bCs w:val="0"/>
          <w:lang w:val="ru"/>
        </w:rPr>
        <w:t>Согласно существующим планам, некоторые области (</w:t>
      </w:r>
      <w:hyperlink w:anchor="SO_1" w:history="1">
        <w:r>
          <w:rPr>
            <w:rStyle w:val="Hyperlink"/>
            <w:bCs w:val="0"/>
            <w:lang w:val="ru"/>
          </w:rPr>
          <w:t>СЦ1</w:t>
        </w:r>
      </w:hyperlink>
      <w:r>
        <w:rPr>
          <w:bCs w:val="0"/>
          <w:lang w:val="ru"/>
        </w:rPr>
        <w:t xml:space="preserve">, </w:t>
      </w:r>
      <w:hyperlink w:anchor="SO_4" w:history="1">
        <w:r>
          <w:rPr>
            <w:rStyle w:val="Hyperlink"/>
            <w:bCs w:val="0"/>
            <w:lang w:val="ru"/>
          </w:rPr>
          <w:t>СЦ4</w:t>
        </w:r>
      </w:hyperlink>
      <w:r>
        <w:rPr>
          <w:bCs w:val="0"/>
          <w:lang w:val="ru"/>
        </w:rPr>
        <w:t xml:space="preserve">, </w:t>
      </w:r>
      <w:hyperlink w:anchor="SO_9" w:history="1">
        <w:r>
          <w:rPr>
            <w:rStyle w:val="Hyperlink"/>
            <w:bCs w:val="0"/>
            <w:lang w:val="ru"/>
          </w:rPr>
          <w:t>СЦ9</w:t>
        </w:r>
      </w:hyperlink>
      <w:r>
        <w:rPr>
          <w:bCs w:val="0"/>
          <w:lang w:val="ru"/>
        </w:rPr>
        <w:t xml:space="preserve">, </w:t>
      </w:r>
      <w:hyperlink w:anchor="SO_10" w:history="1">
        <w:r>
          <w:rPr>
            <w:rStyle w:val="Hyperlink"/>
            <w:bCs w:val="0"/>
            <w:lang w:val="ru"/>
          </w:rPr>
          <w:t>СЦ10</w:t>
        </w:r>
      </w:hyperlink>
      <w:r>
        <w:rPr>
          <w:bCs w:val="0"/>
          <w:lang w:val="ru"/>
        </w:rPr>
        <w:t xml:space="preserve"> и </w:t>
      </w:r>
      <w:hyperlink w:anchor="SO_11" w:history="1">
        <w:r>
          <w:rPr>
            <w:rStyle w:val="Hyperlink"/>
            <w:bCs w:val="0"/>
            <w:lang w:val="ru"/>
          </w:rPr>
          <w:t>СЦ11</w:t>
        </w:r>
      </w:hyperlink>
      <w:r>
        <w:rPr>
          <w:bCs w:val="0"/>
          <w:lang w:val="ru"/>
        </w:rPr>
        <w:t xml:space="preserve">) потребуют усиления в будущем, поскольку им не хватает размаха. Основная </w:t>
      </w:r>
      <w:hyperlink w:anchor="SO_6" w:history="1">
        <w:r>
          <w:rPr>
            <w:rStyle w:val="Hyperlink"/>
            <w:bCs w:val="0"/>
            <w:lang w:val="ru"/>
          </w:rPr>
          <w:t>Стратегическая цель 6</w:t>
        </w:r>
      </w:hyperlink>
      <w:r>
        <w:rPr>
          <w:bCs w:val="0"/>
          <w:lang w:val="ru"/>
        </w:rPr>
        <w:t xml:space="preserve">, на которую в настоящее время направлены значительные ресурсы, затрагивает не все компоненты, предусмотренные </w:t>
      </w:r>
      <w:r>
        <w:rPr>
          <w:bCs w:val="0"/>
          <w:i/>
          <w:iCs/>
          <w:lang w:val="ru"/>
        </w:rPr>
        <w:t>Дорожной картой</w:t>
      </w:r>
      <w:r>
        <w:rPr>
          <w:bCs w:val="0"/>
          <w:lang w:val="ru"/>
        </w:rPr>
        <w:t xml:space="preserve">. В целом, дальнейший процесс планирования будет направлен на более четкое выражение воздействия и преимуществ каждого мероприятия, а также того, как они сочетаются в общем ожидаемом воздействии на Глобальную систему наблюдений за океаном. </w:t>
      </w:r>
    </w:p>
    <w:p w14:paraId="225AA9CF" w14:textId="684CC387" w:rsidR="00793A73" w:rsidRPr="007525A8" w:rsidRDefault="00793A73" w:rsidP="00793A73">
      <w:pPr>
        <w:pStyle w:val="Heading3"/>
      </w:pPr>
      <w:r>
        <w:rPr>
          <w:lang w:val="ru"/>
        </w:rPr>
        <w:t>Приоритеты</w:t>
      </w:r>
    </w:p>
    <w:p w14:paraId="78ADAC19" w14:textId="2F58153D" w:rsidR="00793A73" w:rsidRPr="007525A8" w:rsidRDefault="00A93CB3" w:rsidP="002B7A3F">
      <w:pPr>
        <w:pStyle w:val="COI"/>
      </w:pPr>
      <w:r>
        <w:rPr>
          <w:bCs w:val="0"/>
          <w:lang w:val="ru"/>
        </w:rPr>
        <w:t xml:space="preserve">Руководящий комитет ГСНО решил, что приоритеты реализации ГСНО должны включать усиление внимания и увеличение ресурсов для </w:t>
      </w:r>
      <w:hyperlink w:anchor="SO_1" w:history="1">
        <w:r>
          <w:rPr>
            <w:rStyle w:val="Hyperlink"/>
            <w:bCs w:val="0"/>
            <w:lang w:val="ru"/>
          </w:rPr>
          <w:t>СЦ1</w:t>
        </w:r>
      </w:hyperlink>
      <w:r>
        <w:rPr>
          <w:bCs w:val="0"/>
          <w:lang w:val="ru"/>
        </w:rPr>
        <w:t xml:space="preserve"> (Партнерские отношения для осуществления) и </w:t>
      </w:r>
      <w:hyperlink w:anchor="SO_2" w:history="1">
        <w:r>
          <w:rPr>
            <w:rStyle w:val="Hyperlink"/>
            <w:bCs w:val="0"/>
            <w:lang w:val="ru"/>
          </w:rPr>
          <w:t>СЦ2</w:t>
        </w:r>
      </w:hyperlink>
      <w:r>
        <w:rPr>
          <w:bCs w:val="0"/>
          <w:lang w:val="ru"/>
        </w:rPr>
        <w:t xml:space="preserve"> (Информационно-просветительская деятельность и информационное взаимодействие). Он будет работать с Основной группой над объединением многочисленных отдельных мероприятий в рамках </w:t>
      </w:r>
      <w:hyperlink w:anchor="SO_7" w:history="1">
        <w:r>
          <w:rPr>
            <w:rStyle w:val="Hyperlink"/>
            <w:bCs w:val="0"/>
            <w:lang w:val="ru"/>
          </w:rPr>
          <w:t>СЦ7</w:t>
        </w:r>
      </w:hyperlink>
      <w:r>
        <w:rPr>
          <w:bCs w:val="0"/>
          <w:lang w:val="ru"/>
        </w:rPr>
        <w:t xml:space="preserve"> (FAIR-данные), тесно сотрудничая с МООД, и над укрупнением партнерств в целях повышения воздействия и более долгосрочной стратегической концепции мероприятий в рамках </w:t>
      </w:r>
      <w:hyperlink w:anchor="SO_9" w:history="1">
        <w:r>
          <w:rPr>
            <w:rStyle w:val="Hyperlink"/>
            <w:bCs w:val="0"/>
            <w:lang w:val="ru"/>
          </w:rPr>
          <w:t>СЦ9</w:t>
        </w:r>
      </w:hyperlink>
      <w:r>
        <w:rPr>
          <w:bCs w:val="0"/>
          <w:lang w:val="ru"/>
        </w:rPr>
        <w:t xml:space="preserve"> (Развитие потенциала). Программы в рамках Десятилетия науки об океане будут включаться в план реализации по мере их разработки. Руководящий комитет будет на постоянной основе определять приоритетность мероприятий, исходя из имеющихся ресурсов.</w:t>
      </w:r>
    </w:p>
    <w:p w14:paraId="7D1BA06F" w14:textId="3BA05DC3" w:rsidR="005B5174" w:rsidRPr="007525A8" w:rsidRDefault="005B5174" w:rsidP="005B5174">
      <w:pPr>
        <w:pStyle w:val="Heading3"/>
      </w:pPr>
      <w:r>
        <w:rPr>
          <w:lang w:val="ru"/>
        </w:rPr>
        <w:t>Требования к ресурсам</w:t>
      </w:r>
    </w:p>
    <w:p w14:paraId="70C4BBB3" w14:textId="4C825433" w:rsidR="00117356" w:rsidRDefault="0068104A" w:rsidP="002B7A3F">
      <w:pPr>
        <w:pStyle w:val="COI"/>
      </w:pPr>
      <w:r>
        <w:rPr>
          <w:bCs w:val="0"/>
          <w:lang w:val="ru"/>
        </w:rPr>
        <w:t xml:space="preserve">Основная группа ГСНО поддерживается децентрализованным Бюро ГСНО, которое на сегодняшний день насчитывает 14,25 сотрудников в пересчете на полную занятость, расположенных и финансируемых, как указано в таблице ниже. </w:t>
      </w:r>
    </w:p>
    <w:tbl>
      <w:tblPr>
        <w:tblW w:w="8916" w:type="dxa"/>
        <w:jc w:val="center"/>
        <w:tblLook w:val="04A0" w:firstRow="1" w:lastRow="0" w:firstColumn="1" w:lastColumn="0" w:noHBand="0" w:noVBand="1"/>
      </w:tblPr>
      <w:tblGrid>
        <w:gridCol w:w="1976"/>
        <w:gridCol w:w="1673"/>
        <w:gridCol w:w="3060"/>
        <w:gridCol w:w="2207"/>
      </w:tblGrid>
      <w:tr w:rsidR="0068104A" w:rsidRPr="00117356" w14:paraId="5886D320" w14:textId="77777777" w:rsidTr="00C8507A">
        <w:trPr>
          <w:trHeight w:val="283"/>
          <w:tblHeader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27008" w14:textId="53F69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  <w:lang w:val="ru"/>
              </w:rPr>
              <w:t>Компонент Бюро ГСНО</w:t>
            </w:r>
          </w:p>
        </w:tc>
        <w:tc>
          <w:tcPr>
            <w:tcW w:w="16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0BCAC" w14:textId="0F9C7F44" w:rsidR="004429FB" w:rsidRPr="00C8507A" w:rsidRDefault="0068104A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b/>
                <w:bCs/>
                <w:snapToGrid/>
                <w:color w:val="000000"/>
                <w:szCs w:val="22"/>
                <w:lang w:val="ru"/>
              </w:rPr>
              <w:t>Эквивалент полной занятости</w:t>
            </w:r>
          </w:p>
        </w:tc>
        <w:tc>
          <w:tcPr>
            <w:tcW w:w="3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2DD31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  <w:lang w:val="ru"/>
              </w:rPr>
              <w:t>Источник финансирования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BC57F2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  <w:lang w:val="ru"/>
              </w:rPr>
              <w:t>Местонахождение</w:t>
            </w:r>
          </w:p>
        </w:tc>
      </w:tr>
      <w:tr w:rsidR="0068104A" w:rsidRPr="00117356" w14:paraId="628CBABF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E6843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Координация основной деятельности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2B2ED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2,65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6E6BF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486EED27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Париж, Франция</w:t>
            </w:r>
          </w:p>
        </w:tc>
      </w:tr>
      <w:tr w:rsidR="0068104A" w:rsidRPr="00117356" w14:paraId="1D76A729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E51976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ГЭНОК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0EA92C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CC6A3" w14:textId="70890AED" w:rsidR="004429FB" w:rsidRPr="00C8507A" w:rsidRDefault="0068104A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НОАА, США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2DDD4A43" w14:textId="0D7E75E5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Женева (ВМО), Швейцария</w:t>
            </w:r>
          </w:p>
        </w:tc>
      </w:tr>
      <w:tr w:rsidR="0068104A" w:rsidRPr="00117356" w14:paraId="18056C38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799EC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lastRenderedPageBreak/>
              <w:t>Группа БГХ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8DE42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356A0" w14:textId="33FD0A3C" w:rsidR="004429FB" w:rsidRPr="00C8507A" w:rsidRDefault="0068104A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США (ННФ через СКОР), EC H2020 EuroSea, 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6CAF315B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Сопот, Польша</w:t>
            </w:r>
          </w:p>
        </w:tc>
      </w:tr>
      <w:tr w:rsidR="0068104A" w:rsidRPr="00117356" w14:paraId="2A6ED19B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55313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Группа БиоЭко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0B242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343D9" w14:textId="6A4E4D44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КСИРО, АИМС, EC H2020 EuroSea, 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7C2ECCAC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Хобарт, Австралия</w:t>
            </w:r>
          </w:p>
        </w:tc>
      </w:tr>
      <w:tr w:rsidR="0068104A" w:rsidRPr="00117356" w14:paraId="4037266D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BE92B" w14:textId="10D77C9E" w:rsidR="004429FB" w:rsidRPr="00C8507A" w:rsidRDefault="0068104A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Данные БиоЭко (МООД/ОБИС)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D09DC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0,1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024D9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2C227033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Остенде, Бельгия</w:t>
            </w:r>
          </w:p>
        </w:tc>
      </w:tr>
      <w:tr w:rsidR="0068104A" w:rsidRPr="00117356" w14:paraId="3E0B3605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9EB88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ГКН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5D8245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0,65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B5DF1" w14:textId="2168D0CD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МОК, ВМО, НОАА США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4D2FCE53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Париж, Женева (ВМО), Вашингтон, округ Колумбия, США</w:t>
            </w:r>
          </w:p>
        </w:tc>
      </w:tr>
      <w:tr w:rsidR="0068104A" w:rsidRPr="00117356" w14:paraId="5B3BF1A5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243EEC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Сети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8ECD29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0,35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1672D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МОК, ВМО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2CBFF58D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Париж, Женева (ВМО)</w:t>
            </w:r>
          </w:p>
        </w:tc>
      </w:tr>
      <w:tr w:rsidR="0068104A" w:rsidRPr="00117356" w14:paraId="7459BBD2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23576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OceanOPS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9C6A2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061BBB" w14:textId="5604ECAC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Национальный вклад США (68%), Австралии, Германии, ЕС, Индии, Италии, Канады, Китая, Монако, Франции, Южной Африки и Японии. Определенная поддержка со стороны МОК и новая поддержка со стороны ВМО в 2021 году.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2F629779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Брест, Франция</w:t>
            </w:r>
          </w:p>
        </w:tc>
      </w:tr>
      <w:tr w:rsidR="0068104A" w:rsidRPr="00117356" w14:paraId="0FB829F4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75057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Экспертная группа по оперативным системам прогнозирования состояния океана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21E68F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0,25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6C455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2CF6B630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Париж, Франция</w:t>
            </w:r>
          </w:p>
        </w:tc>
      </w:tr>
      <w:tr w:rsidR="0068104A" w:rsidRPr="00117356" w14:paraId="4A04A9E5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72E394D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РАГ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35919A3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0,25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C3953CF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МОК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E5124FC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snapToGrid/>
                <w:color w:val="000000"/>
                <w:szCs w:val="22"/>
                <w:lang w:val="ru"/>
              </w:rPr>
              <w:t>Париж, Франция</w:t>
            </w:r>
          </w:p>
        </w:tc>
      </w:tr>
      <w:tr w:rsidR="0068104A" w:rsidRPr="00117356" w14:paraId="4250BF04" w14:textId="77777777" w:rsidTr="0068104A">
        <w:trPr>
          <w:trHeight w:val="283"/>
          <w:jc w:val="center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FF68192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  <w:lang w:val="ru"/>
              </w:rPr>
              <w:t>Итого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ED58D8A" w14:textId="77777777" w:rsidR="004429FB" w:rsidRPr="00C8507A" w:rsidRDefault="004429FB" w:rsidP="0068104A">
            <w:pPr>
              <w:tabs>
                <w:tab w:val="clear" w:pos="567"/>
              </w:tabs>
              <w:snapToGrid/>
              <w:jc w:val="right"/>
              <w:rPr>
                <w:rFonts w:asciiTheme="minorBidi" w:hAnsiTheme="minorBidi" w:cstheme="minorBidi"/>
                <w:b/>
                <w:bCs/>
                <w:snapToGrid/>
                <w:color w:val="000000"/>
                <w:szCs w:val="22"/>
              </w:rPr>
            </w:pPr>
            <w:r>
              <w:rPr>
                <w:rFonts w:asciiTheme="minorBidi" w:eastAsia="Arial" w:hAnsiTheme="minorBidi" w:cstheme="minorBidi"/>
                <w:b/>
                <w:bCs/>
                <w:snapToGrid/>
                <w:color w:val="000000"/>
                <w:szCs w:val="22"/>
                <w:lang w:val="ru"/>
              </w:rPr>
              <w:t>14,25</w:t>
            </w:r>
          </w:p>
        </w:tc>
        <w:tc>
          <w:tcPr>
            <w:tcW w:w="3134" w:type="dxa"/>
            <w:tcBorders>
              <w:top w:val="single" w:sz="12" w:space="0" w:color="000000"/>
              <w:left w:val="nil"/>
            </w:tcBorders>
            <w:shd w:val="clear" w:color="auto" w:fill="auto"/>
            <w:hideMark/>
          </w:tcPr>
          <w:p w14:paraId="01A3B643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hAnsiTheme="minorBidi" w:cstheme="minorBidi"/>
                <w:snapToGrid/>
                <w:color w:val="000000"/>
                <w:szCs w:val="22"/>
                <w:lang w:val="ru"/>
              </w:rPr>
              <w:t> 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auto"/>
            <w:hideMark/>
          </w:tcPr>
          <w:p w14:paraId="0093D4A0" w14:textId="77777777" w:rsidR="004429FB" w:rsidRPr="00C8507A" w:rsidRDefault="004429FB" w:rsidP="0068104A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snapToGrid/>
                <w:color w:val="000000"/>
                <w:szCs w:val="22"/>
              </w:rPr>
            </w:pPr>
            <w:r>
              <w:rPr>
                <w:rFonts w:asciiTheme="minorBidi" w:hAnsiTheme="minorBidi" w:cstheme="minorBidi"/>
                <w:snapToGrid/>
                <w:color w:val="000000"/>
                <w:szCs w:val="22"/>
                <w:lang w:val="ru"/>
              </w:rPr>
              <w:t> </w:t>
            </w:r>
          </w:p>
        </w:tc>
      </w:tr>
    </w:tbl>
    <w:p w14:paraId="18A29E49" w14:textId="15910506" w:rsidR="005B5174" w:rsidRPr="007525A8" w:rsidRDefault="00E2260D" w:rsidP="002738D7">
      <w:pPr>
        <w:pStyle w:val="COI"/>
        <w:spacing w:before="240"/>
      </w:pPr>
      <w:r>
        <w:rPr>
          <w:bCs w:val="0"/>
          <w:lang w:val="ru"/>
        </w:rPr>
        <w:t xml:space="preserve">Полное достижение целевых установок и воздействия мероприятий, указанных в пункте 5 выше, без расстановки приоритетов, потребует более чем двукратного увеличения кадровой поддержки в среднесрочной перспективе приблизительно на три года. Накопленный со временем опыт работы с децентрализованным Бюро ГСНО и интенсивный эксперимент по удаленной работе в течение последнего года показывают, что часть этой поддержки может оказываться удаленно из любого места. Это открывает возможности для оказания поддержки проектов в натуральной форме и в стране нахождения. Существуют преимущества концентрации поддержки в определенных центрах для налаживания взаимодействия, при этом они нуждаются в сильной общей координации, способной обеспечить достижение общей цели и осуществление, скоординированное с другими центрами и направлениями деятельности, с опорой на добровольные усилия экспертов, участвующих в ГСНО. </w:t>
      </w:r>
    </w:p>
    <w:p w14:paraId="2DDD1DE2" w14:textId="5E0164CB" w:rsidR="003740B1" w:rsidRPr="007525A8" w:rsidRDefault="003740B1" w:rsidP="002B7A3F">
      <w:pPr>
        <w:pStyle w:val="COI"/>
      </w:pPr>
      <w:r>
        <w:rPr>
          <w:bCs w:val="0"/>
          <w:lang w:val="ru"/>
        </w:rPr>
        <w:t xml:space="preserve">Амбициозность деятельности Основной группы ГСНО и развитие программ ГСНО в рамках Десятилетия науки об океане потребуют преобразований не только в системе наблюдений и вовлечении в нее заинтересованных сторон, но и в поддержке, оказываемой для координации этой ключевой инфраструктуры. Таким образом, государства-члены в своей деятельности смогут использовать функционирующую глобальную систему, а развитие потенциала будет способствовать выполнению приоритетных задач предстоящего Десятилетия. ГСНО необходимо будет серьезно заняться привлечением средств для реализации как ГСНО, так и программ в рамках Десятилетия науки об океане. </w:t>
      </w:r>
    </w:p>
    <w:p w14:paraId="50076403" w14:textId="0AB4B977" w:rsidR="003740B1" w:rsidRPr="007525A8" w:rsidRDefault="003740B1" w:rsidP="002B7A3F">
      <w:pPr>
        <w:pStyle w:val="COI"/>
      </w:pPr>
      <w:r>
        <w:rPr>
          <w:bCs w:val="0"/>
          <w:lang w:val="ru"/>
        </w:rPr>
        <w:lastRenderedPageBreak/>
        <w:t>Мы приглашаем заинтересованные государства-члены узнать больше и принять участие в процессе планирования ГСНО, обратившись в Руководящий комитет ГСНО и Бюро ГСНО, чтобы определить, как они могут помочь в реализации проекта и чего их вклад позволит нам вместе достичь.</w:t>
      </w:r>
    </w:p>
    <w:p w14:paraId="2F56C63E" w14:textId="13770538" w:rsidR="005B5174" w:rsidRPr="007525A8" w:rsidRDefault="005B5174" w:rsidP="005B5174">
      <w:pPr>
        <w:pStyle w:val="Heading3"/>
      </w:pPr>
      <w:r>
        <w:rPr>
          <w:lang w:val="ru"/>
        </w:rPr>
        <w:t>Предлагаемое решение</w:t>
      </w:r>
    </w:p>
    <w:p w14:paraId="350F68A7" w14:textId="0BC849FE" w:rsidR="00C3684D" w:rsidRPr="007525A8" w:rsidRDefault="005B5174" w:rsidP="002B7A3F">
      <w:pPr>
        <w:pStyle w:val="COI"/>
      </w:pPr>
      <w:r>
        <w:rPr>
          <w:bCs w:val="0"/>
          <w:lang w:val="ru"/>
        </w:rPr>
        <w:t xml:space="preserve">Ассамблее предлагается рассмотреть решение Реш. A-31/3.5.2, представленное во втором пересмотренном документе о принятых и предлагаемых мерах (документ </w:t>
      </w:r>
      <w:hyperlink r:id="rId18" w:history="1">
        <w:r>
          <w:rPr>
            <w:rStyle w:val="Hyperlink"/>
            <w:bCs w:val="0"/>
            <w:lang w:val="ru"/>
          </w:rPr>
          <w:t>IOC/A-31/AP Rev.2</w:t>
        </w:r>
      </w:hyperlink>
      <w:r>
        <w:rPr>
          <w:bCs w:val="0"/>
          <w:lang w:val="ru"/>
        </w:rPr>
        <w:t>).</w:t>
      </w:r>
    </w:p>
    <w:sectPr w:rsidR="00C3684D" w:rsidRPr="007525A8" w:rsidSect="003F7186">
      <w:headerReference w:type="even" r:id="rId19"/>
      <w:headerReference w:type="default" r:id="rId20"/>
      <w:headerReference w:type="first" r:id="rId21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FC6F" w14:textId="77777777" w:rsidR="00C377E4" w:rsidRDefault="00C377E4">
      <w:r>
        <w:separator/>
      </w:r>
    </w:p>
  </w:endnote>
  <w:endnote w:type="continuationSeparator" w:id="0">
    <w:p w14:paraId="4BCCBF63" w14:textId="77777777" w:rsidR="00C377E4" w:rsidRDefault="00C3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8225" w14:textId="77777777" w:rsidR="00C377E4" w:rsidRDefault="00C377E4">
      <w:r>
        <w:separator/>
      </w:r>
    </w:p>
  </w:footnote>
  <w:footnote w:type="continuationSeparator" w:id="0">
    <w:p w14:paraId="2B2C706B" w14:textId="77777777" w:rsidR="00C377E4" w:rsidRDefault="00C3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A6839" w14:textId="5D7D57D1" w:rsidR="00690753" w:rsidRPr="00C962F0" w:rsidRDefault="00690753">
    <w:pPr>
      <w:pStyle w:val="Header"/>
      <w:rPr>
        <w:szCs w:val="22"/>
      </w:rPr>
    </w:pPr>
    <w:r>
      <w:rPr>
        <w:szCs w:val="22"/>
        <w:lang w:val="ru"/>
      </w:rPr>
      <w:t>IOC/A-31/3.5.2.Doc</w:t>
    </w:r>
  </w:p>
  <w:p w14:paraId="5FBD3922" w14:textId="77777777" w:rsidR="00690753" w:rsidRPr="00C962F0" w:rsidRDefault="00690753">
    <w:pPr>
      <w:pStyle w:val="Header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D8BA" w14:textId="77777777" w:rsidR="00690753" w:rsidRPr="00746B89" w:rsidRDefault="00690753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IOC-XXIV/2 Annex </w:t>
    </w:r>
    <w:r>
      <w:rPr>
        <w:szCs w:val="22"/>
        <w:highlight w:val="yellow"/>
        <w:lang w:val="ru"/>
      </w:rPr>
      <w:t>__</w:t>
    </w:r>
  </w:p>
  <w:p w14:paraId="2F9618D6" w14:textId="77777777" w:rsidR="00690753" w:rsidRPr="00746B89" w:rsidRDefault="00690753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2C43853D" w14:textId="77777777" w:rsidR="00690753" w:rsidRPr="00DF2FB9" w:rsidRDefault="00690753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7826" w14:textId="450BA67E" w:rsidR="00690753" w:rsidRPr="005E544C" w:rsidRDefault="00690753" w:rsidP="005742D0">
    <w:pPr>
      <w:pStyle w:val="Marge"/>
      <w:tabs>
        <w:tab w:val="left" w:pos="6096"/>
      </w:tabs>
      <w:spacing w:after="0"/>
      <w:rPr>
        <w:rFonts w:cs="Arial"/>
        <w:b/>
        <w:szCs w:val="22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IOC/A-31/3.5.2.Doc</w:t>
    </w:r>
  </w:p>
  <w:p w14:paraId="235FF364" w14:textId="77777777" w:rsidR="00690753" w:rsidRDefault="00690753" w:rsidP="005742D0">
    <w:pPr>
      <w:tabs>
        <w:tab w:val="clear" w:pos="567"/>
        <w:tab w:val="left" w:pos="6096"/>
      </w:tabs>
      <w:jc w:val="both"/>
      <w:rPr>
        <w:rFonts w:cs="Arial"/>
        <w:b/>
        <w:szCs w:val="22"/>
      </w:rPr>
    </w:pPr>
  </w:p>
  <w:p w14:paraId="330915E6" w14:textId="089F3708" w:rsidR="00690753" w:rsidRPr="005E544C" w:rsidRDefault="00690753" w:rsidP="005742D0">
    <w:pPr>
      <w:tabs>
        <w:tab w:val="clear" w:pos="567"/>
        <w:tab w:val="left" w:pos="6096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Париж, 31 мая 2021 года</w:t>
    </w:r>
  </w:p>
  <w:p w14:paraId="7E99F8D6" w14:textId="77777777" w:rsidR="00690753" w:rsidRPr="005E544C" w:rsidRDefault="00690753" w:rsidP="005742D0">
    <w:pPr>
      <w:tabs>
        <w:tab w:val="clear" w:pos="567"/>
        <w:tab w:val="left" w:pos="6096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73EC133D" w14:textId="77777777" w:rsidR="00690753" w:rsidRPr="005E544C" w:rsidRDefault="00690753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2AB01C6" w14:textId="77777777" w:rsidR="00690753" w:rsidRPr="005E544C" w:rsidRDefault="00690753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356FD116" w14:textId="77777777" w:rsidR="00690753" w:rsidRPr="005742D0" w:rsidRDefault="00690753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noProof/>
        <w:snapToGrid/>
        <w:sz w:val="24"/>
        <w:lang w:val="ru"/>
      </w:rPr>
      <w:drawing>
        <wp:anchor distT="0" distB="0" distL="114300" distR="114300" simplePos="0" relativeHeight="251666432" behindDoc="1" locked="0" layoutInCell="1" allowOverlap="1" wp14:anchorId="50BB77CA" wp14:editId="42EF6610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9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  <w:lang w:val="ru"/>
      </w:rPr>
      <w:t>МЕЖПРАВИТЕЛЬСТВЕННАЯ ОКЕАНОГРАФИЧЕСКАЯ КОМИССИЯ</w:t>
    </w:r>
  </w:p>
  <w:p w14:paraId="1DB50FC3" w14:textId="77777777" w:rsidR="00690753" w:rsidRPr="005742D0" w:rsidRDefault="00690753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(ЮНЕСКО)</w:t>
    </w:r>
  </w:p>
  <w:p w14:paraId="462A6C5A" w14:textId="77777777" w:rsidR="00690753" w:rsidRPr="005742D0" w:rsidRDefault="00690753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</w:p>
  <w:p w14:paraId="648BA198" w14:textId="77777777" w:rsidR="00690753" w:rsidRPr="005742D0" w:rsidRDefault="00690753" w:rsidP="005742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/>
        <w:bCs/>
        <w:sz w:val="24"/>
        <w:lang w:val="ru"/>
      </w:rPr>
      <w:t>Тридцать первая сессия Ассамблеи</w:t>
    </w:r>
  </w:p>
  <w:p w14:paraId="5BC32972" w14:textId="2495C4FA" w:rsidR="00690753" w:rsidRPr="005742D0" w:rsidRDefault="00690753" w:rsidP="005742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ЮНЕСКО, 14–25 июня 2021 года (в режиме онлайн)</w:t>
    </w:r>
  </w:p>
  <w:p w14:paraId="54FB86AC" w14:textId="77777777" w:rsidR="00690753" w:rsidRDefault="00690753" w:rsidP="002738D7">
    <w:pPr>
      <w:rPr>
        <w:rFonts w:cs="Arial"/>
        <w:szCs w:val="22"/>
      </w:rPr>
    </w:pPr>
  </w:p>
  <w:p w14:paraId="506A4D93" w14:textId="77777777" w:rsidR="00690753" w:rsidRPr="005E544C" w:rsidRDefault="00690753" w:rsidP="00DF2FB9">
    <w:pPr>
      <w:jc w:val="center"/>
      <w:rPr>
        <w:rFonts w:cs="Arial"/>
        <w:szCs w:val="22"/>
      </w:rPr>
    </w:pPr>
  </w:p>
  <w:p w14:paraId="192ED91F" w14:textId="77777777" w:rsidR="00690753" w:rsidRPr="005E544C" w:rsidRDefault="00690753" w:rsidP="00DF2FB9">
    <w:pPr>
      <w:jc w:val="center"/>
      <w:rPr>
        <w:rFonts w:cs="Arial"/>
        <w:szCs w:val="22"/>
      </w:rPr>
    </w:pPr>
  </w:p>
  <w:p w14:paraId="354C3023" w14:textId="6B67E86A" w:rsidR="00690753" w:rsidRPr="008D2398" w:rsidRDefault="00690753" w:rsidP="00DF2FB9">
    <w:pPr>
      <w:pStyle w:val="Heading7"/>
      <w:tabs>
        <w:tab w:val="right" w:pos="9540"/>
      </w:tabs>
      <w:rPr>
        <w:rFonts w:cs="Arial"/>
        <w:sz w:val="24"/>
        <w:u w:val="none"/>
      </w:rPr>
    </w:pPr>
    <w:r>
      <w:rPr>
        <w:rFonts w:cs="Arial"/>
        <w:sz w:val="24"/>
        <w:lang w:val="ru"/>
      </w:rPr>
      <w:t xml:space="preserve">Пункт </w:t>
    </w:r>
    <w:r>
      <w:rPr>
        <w:rFonts w:cs="Arial"/>
        <w:b/>
        <w:bCs/>
        <w:sz w:val="24"/>
        <w:lang w:val="ru"/>
      </w:rPr>
      <w:t>3.5.2</w:t>
    </w:r>
    <w:r>
      <w:rPr>
        <w:rFonts w:cs="Arial"/>
        <w:sz w:val="24"/>
        <w:lang w:val="ru"/>
      </w:rPr>
      <w:t xml:space="preserve"> предварительной повестки дня</w:t>
    </w:r>
  </w:p>
  <w:p w14:paraId="06393BC6" w14:textId="77777777" w:rsidR="00690753" w:rsidRPr="005E544C" w:rsidRDefault="00690753" w:rsidP="00DF2FB9">
    <w:pPr>
      <w:rPr>
        <w:rFonts w:cs="Arial"/>
        <w:szCs w:val="22"/>
      </w:rPr>
    </w:pPr>
  </w:p>
  <w:p w14:paraId="46B775FC" w14:textId="49FEEC8D" w:rsidR="00690753" w:rsidRPr="002738D7" w:rsidRDefault="00690753" w:rsidP="002738D7">
    <w:pPr>
      <w:pStyle w:val="Docheading"/>
    </w:pPr>
    <w:r>
      <w:rPr>
        <w:lang w:val="ru"/>
      </w:rPr>
      <w:t xml:space="preserve">Рабочее резюме </w:t>
    </w:r>
    <w:r>
      <w:rPr>
        <w:b w:val="0"/>
        <w:bCs w:val="0"/>
        <w:lang w:val="ru"/>
      </w:rPr>
      <w:br/>
    </w:r>
    <w:r>
      <w:rPr>
        <w:lang w:val="ru"/>
      </w:rPr>
      <w:t>Плана реализации Глобальной системы наблюдений за океаном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89E31" w14:textId="1E0F3212" w:rsidR="00690753" w:rsidRPr="00A42F1D" w:rsidRDefault="00690753" w:rsidP="00294AD5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IOC/A-31/3.5.2.Doc</w:t>
    </w:r>
  </w:p>
  <w:p w14:paraId="6B698D99" w14:textId="77777777" w:rsidR="00690753" w:rsidRPr="00A42F1D" w:rsidRDefault="00690753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2</w:t>
    </w:r>
    <w:r>
      <w:rPr>
        <w:rStyle w:val="PageNumber"/>
        <w:rFonts w:cs="Arial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1434A" w14:textId="31D05050" w:rsidR="00690753" w:rsidRPr="00003B31" w:rsidRDefault="00690753" w:rsidP="005742D0">
    <w:pPr>
      <w:pStyle w:val="Header"/>
      <w:tabs>
        <w:tab w:val="clear" w:pos="8306"/>
      </w:tabs>
      <w:ind w:left="7655"/>
      <w:rPr>
        <w:rFonts w:cs="Arial"/>
        <w:szCs w:val="22"/>
      </w:rPr>
    </w:pPr>
    <w:r>
      <w:rPr>
        <w:rFonts w:cs="Arial"/>
        <w:sz w:val="20"/>
        <w:szCs w:val="20"/>
        <w:lang w:val="ru"/>
      </w:rPr>
      <w:t>IOC/A-31/3.5.2.Doc</w:t>
    </w:r>
  </w:p>
  <w:p w14:paraId="5FEF56A2" w14:textId="77777777" w:rsidR="00690753" w:rsidRPr="00FC2521" w:rsidRDefault="00690753" w:rsidP="005742D0">
    <w:pPr>
      <w:pStyle w:val="Header"/>
      <w:tabs>
        <w:tab w:val="clear" w:pos="8306"/>
      </w:tabs>
      <w:ind w:left="7655"/>
      <w:rPr>
        <w:rFonts w:cs="Arial"/>
        <w:sz w:val="20"/>
        <w:szCs w:val="22"/>
      </w:rPr>
    </w:pPr>
    <w:r>
      <w:rPr>
        <w:rFonts w:cs="Arial"/>
        <w:sz w:val="20"/>
        <w:szCs w:val="22"/>
        <w:lang w:val="ru"/>
      </w:rPr>
      <w:t>страница </w:t>
    </w:r>
    <w:r>
      <w:rPr>
        <w:rStyle w:val="PageNumber"/>
        <w:rFonts w:cs="Arial"/>
        <w:sz w:val="20"/>
        <w:szCs w:val="22"/>
        <w:lang w:val="ru"/>
      </w:rPr>
      <w:fldChar w:fldCharType="begin"/>
    </w:r>
    <w:r>
      <w:rPr>
        <w:rStyle w:val="PageNumber"/>
        <w:rFonts w:cs="Arial"/>
        <w:sz w:val="20"/>
        <w:szCs w:val="22"/>
        <w:lang w:val="ru"/>
      </w:rPr>
      <w:instrText xml:space="preserve"> PAGE </w:instrText>
    </w:r>
    <w:r>
      <w:rPr>
        <w:rStyle w:val="PageNumber"/>
        <w:rFonts w:cs="Arial"/>
        <w:sz w:val="20"/>
        <w:szCs w:val="22"/>
        <w:lang w:val="ru"/>
      </w:rPr>
      <w:fldChar w:fldCharType="separate"/>
    </w:r>
    <w:r>
      <w:rPr>
        <w:rStyle w:val="PageNumber"/>
        <w:rFonts w:cs="Arial"/>
        <w:noProof/>
        <w:sz w:val="20"/>
        <w:szCs w:val="22"/>
        <w:lang w:val="ru"/>
      </w:rPr>
      <w:t>3</w:t>
    </w:r>
    <w:r>
      <w:rPr>
        <w:rStyle w:val="PageNumber"/>
        <w:rFonts w:cs="Arial"/>
        <w:sz w:val="20"/>
        <w:szCs w:val="22"/>
        <w:lang w:val="ru"/>
      </w:rPr>
      <w:fldChar w:fldCharType="end"/>
    </w:r>
  </w:p>
  <w:p w14:paraId="7BDB5C24" w14:textId="77777777" w:rsidR="00690753" w:rsidRPr="00FC2521" w:rsidRDefault="00690753" w:rsidP="005742D0">
    <w:pPr>
      <w:pStyle w:val="Header"/>
      <w:ind w:left="7655"/>
      <w:rPr>
        <w:rFonts w:cs="Arial"/>
        <w:sz w:val="20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828F" w14:textId="439D8BE9" w:rsidR="00690753" w:rsidRPr="006842FA" w:rsidRDefault="00690753" w:rsidP="00294AD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IOC/A-31/3.5.2.Doc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444D088E"/>
    <w:multiLevelType w:val="multilevel"/>
    <w:tmpl w:val="D0FE2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204C64"/>
    <w:multiLevelType w:val="hybridMultilevel"/>
    <w:tmpl w:val="622E13AA"/>
    <w:lvl w:ilvl="0" w:tplc="E668EACE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79"/>
    <w:rsid w:val="00003B31"/>
    <w:rsid w:val="00010BBB"/>
    <w:rsid w:val="00016E87"/>
    <w:rsid w:val="0002051C"/>
    <w:rsid w:val="00020AA1"/>
    <w:rsid w:val="00085D6A"/>
    <w:rsid w:val="000B2D6B"/>
    <w:rsid w:val="000C58F2"/>
    <w:rsid w:val="000F0254"/>
    <w:rsid w:val="00117356"/>
    <w:rsid w:val="00123719"/>
    <w:rsid w:val="001241D7"/>
    <w:rsid w:val="00137E97"/>
    <w:rsid w:val="001448C4"/>
    <w:rsid w:val="00155393"/>
    <w:rsid w:val="00167158"/>
    <w:rsid w:val="00167520"/>
    <w:rsid w:val="00196052"/>
    <w:rsid w:val="001B3B24"/>
    <w:rsid w:val="001C6455"/>
    <w:rsid w:val="0021210D"/>
    <w:rsid w:val="002738D7"/>
    <w:rsid w:val="00294AD5"/>
    <w:rsid w:val="002B7A3F"/>
    <w:rsid w:val="002C04D3"/>
    <w:rsid w:val="002C7DE3"/>
    <w:rsid w:val="002E0859"/>
    <w:rsid w:val="002E4DB8"/>
    <w:rsid w:val="002F456C"/>
    <w:rsid w:val="003007B6"/>
    <w:rsid w:val="0031621C"/>
    <w:rsid w:val="003313D8"/>
    <w:rsid w:val="003354F1"/>
    <w:rsid w:val="0034156B"/>
    <w:rsid w:val="00343EFA"/>
    <w:rsid w:val="00355412"/>
    <w:rsid w:val="003561BE"/>
    <w:rsid w:val="003740B1"/>
    <w:rsid w:val="003805F5"/>
    <w:rsid w:val="003A7860"/>
    <w:rsid w:val="003C55D3"/>
    <w:rsid w:val="003C64EB"/>
    <w:rsid w:val="003D3711"/>
    <w:rsid w:val="003F55CF"/>
    <w:rsid w:val="003F7186"/>
    <w:rsid w:val="004031FB"/>
    <w:rsid w:val="00413F17"/>
    <w:rsid w:val="00424DE6"/>
    <w:rsid w:val="004365D0"/>
    <w:rsid w:val="004429FB"/>
    <w:rsid w:val="004529B8"/>
    <w:rsid w:val="00467E3F"/>
    <w:rsid w:val="004A135F"/>
    <w:rsid w:val="004C1625"/>
    <w:rsid w:val="004C217D"/>
    <w:rsid w:val="004F7D6C"/>
    <w:rsid w:val="005742D0"/>
    <w:rsid w:val="005B5174"/>
    <w:rsid w:val="005C7A36"/>
    <w:rsid w:val="005C7D76"/>
    <w:rsid w:val="005E544C"/>
    <w:rsid w:val="006005DF"/>
    <w:rsid w:val="006110DA"/>
    <w:rsid w:val="00633EA5"/>
    <w:rsid w:val="00664E7D"/>
    <w:rsid w:val="0068104A"/>
    <w:rsid w:val="006842FA"/>
    <w:rsid w:val="0068682C"/>
    <w:rsid w:val="00690753"/>
    <w:rsid w:val="00690A0C"/>
    <w:rsid w:val="00690FD2"/>
    <w:rsid w:val="00693199"/>
    <w:rsid w:val="006B4B95"/>
    <w:rsid w:val="006C18D9"/>
    <w:rsid w:val="006C6449"/>
    <w:rsid w:val="006E6586"/>
    <w:rsid w:val="006F399F"/>
    <w:rsid w:val="006F732A"/>
    <w:rsid w:val="00737A18"/>
    <w:rsid w:val="00746B89"/>
    <w:rsid w:val="007525A8"/>
    <w:rsid w:val="00770E7F"/>
    <w:rsid w:val="00775F1E"/>
    <w:rsid w:val="0079212B"/>
    <w:rsid w:val="00793A73"/>
    <w:rsid w:val="007B3A75"/>
    <w:rsid w:val="008048D2"/>
    <w:rsid w:val="0081004E"/>
    <w:rsid w:val="00823C91"/>
    <w:rsid w:val="008338A6"/>
    <w:rsid w:val="00853565"/>
    <w:rsid w:val="00853E68"/>
    <w:rsid w:val="008A6E5C"/>
    <w:rsid w:val="008B384B"/>
    <w:rsid w:val="008D2398"/>
    <w:rsid w:val="008E57B4"/>
    <w:rsid w:val="008F6942"/>
    <w:rsid w:val="009026D3"/>
    <w:rsid w:val="009162AC"/>
    <w:rsid w:val="00993CA4"/>
    <w:rsid w:val="009B63AB"/>
    <w:rsid w:val="009C035C"/>
    <w:rsid w:val="009C0A89"/>
    <w:rsid w:val="009C15B1"/>
    <w:rsid w:val="009E3769"/>
    <w:rsid w:val="009E6A03"/>
    <w:rsid w:val="009E6B5B"/>
    <w:rsid w:val="009F3A67"/>
    <w:rsid w:val="009F7769"/>
    <w:rsid w:val="00A11697"/>
    <w:rsid w:val="00A25BC8"/>
    <w:rsid w:val="00A42F1D"/>
    <w:rsid w:val="00A93CB3"/>
    <w:rsid w:val="00AD3D55"/>
    <w:rsid w:val="00B6431D"/>
    <w:rsid w:val="00B722DE"/>
    <w:rsid w:val="00B83068"/>
    <w:rsid w:val="00BB4185"/>
    <w:rsid w:val="00BD4DC4"/>
    <w:rsid w:val="00BD6603"/>
    <w:rsid w:val="00BF069C"/>
    <w:rsid w:val="00BF3835"/>
    <w:rsid w:val="00C1002D"/>
    <w:rsid w:val="00C2635E"/>
    <w:rsid w:val="00C3684D"/>
    <w:rsid w:val="00C377E4"/>
    <w:rsid w:val="00C4032B"/>
    <w:rsid w:val="00C6486C"/>
    <w:rsid w:val="00C648D3"/>
    <w:rsid w:val="00C72275"/>
    <w:rsid w:val="00C75B02"/>
    <w:rsid w:val="00C8507A"/>
    <w:rsid w:val="00C962F0"/>
    <w:rsid w:val="00D013ED"/>
    <w:rsid w:val="00D36BDC"/>
    <w:rsid w:val="00D41668"/>
    <w:rsid w:val="00D5049E"/>
    <w:rsid w:val="00D55FEC"/>
    <w:rsid w:val="00DD0880"/>
    <w:rsid w:val="00DF2FB9"/>
    <w:rsid w:val="00E2260D"/>
    <w:rsid w:val="00E63DEF"/>
    <w:rsid w:val="00E64936"/>
    <w:rsid w:val="00ED6838"/>
    <w:rsid w:val="00EE0542"/>
    <w:rsid w:val="00EF3B79"/>
    <w:rsid w:val="00F463F2"/>
    <w:rsid w:val="00F57CAD"/>
    <w:rsid w:val="00F8186D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5AD35B"/>
  <w15:docId w15:val="{661DE7C0-1703-9C49-BCBF-AF6A7684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2B7A3F"/>
    <w:pPr>
      <w:numPr>
        <w:numId w:val="2"/>
      </w:numPr>
      <w:tabs>
        <w:tab w:val="clear" w:pos="567"/>
      </w:tabs>
    </w:pPr>
    <w:rPr>
      <w:rFonts w:eastAsia="Arial Unicode MS"/>
      <w:bCs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2B7A3F"/>
    <w:rPr>
      <w:rFonts w:ascii="Arial" w:eastAsia="Arial Unicode MS" w:hAnsi="Arial"/>
      <w:bCs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0"/>
    <w:rPr>
      <w:color w:val="605E5C"/>
      <w:shd w:val="clear" w:color="auto" w:fill="E1DFDD"/>
    </w:rPr>
  </w:style>
  <w:style w:type="table" w:styleId="TableGrid">
    <w:name w:val="Table Grid"/>
    <w:basedOn w:val="TableNormal"/>
    <w:rsid w:val="0034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6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23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C91"/>
    <w:rPr>
      <w:rFonts w:ascii="Segoe UI" w:hAnsi="Segoe UI" w:cs="Segoe UI"/>
      <w:snapToGrid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C58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8F2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8F2"/>
    <w:rPr>
      <w:rFonts w:ascii="Arial" w:hAnsi="Arial"/>
      <w:b/>
      <w:bCs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0C58F2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cy.ioc-unesco.org/index.php?option=com_oe&amp;task=viewDocumentRecord&amp;docID=8600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oceanexpert.org/document/28075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goosocean.org/goos-249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oosocean.org/index.php?option=com_oe&amp;task=viewEventRecord&amp;eventID=29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ceanexpert.org/document/28075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68020.locale=en" TargetMode="External"/><Relationship Id="rId14" Type="http://schemas.openxmlformats.org/officeDocument/2006/relationships/hyperlink" Target="https://unesdoc.unesco.org/ark:/48223/pf0000368020.locale=e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sz="1100" b="1" i="0" u="none" baseline="0">
                <a:solidFill>
                  <a:sysClr val="windowText" lastClr="000000"/>
                </a:solidFill>
              </a:rPr>
              <a:t>Коллективное воздействие по сравнению с целевыми установками (%)</a:t>
            </a:r>
          </a:p>
          <a:p>
            <a:pPr rtl="0">
              <a:defRPr/>
            </a:pPr>
            <a:r>
              <a:rPr lang="ru-Ru" sz="1050" b="0" i="1" u="none" baseline="0">
                <a:solidFill>
                  <a:sysClr val="windowText" lastClr="000000"/>
                </a:solidFill>
              </a:rPr>
              <a:t>мероприятий Плана реализации ГСНО по сравнению со Стратегией на период до 2030 года</a:t>
            </a:r>
          </a:p>
        </c:rich>
      </c:tx>
      <c:layout>
        <c:manualLayout>
          <c:xMode val="edge"/>
          <c:yMode val="edge"/>
          <c:x val="0.1212592626240855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SO1 partnerships</c:v>
                </c:pt>
                <c:pt idx="1">
                  <c:v>SO2 advocacy</c:v>
                </c:pt>
                <c:pt idx="2">
                  <c:v>SO3 evaluation</c:v>
                </c:pt>
                <c:pt idx="3">
                  <c:v>SO4 products</c:v>
                </c:pt>
                <c:pt idx="4">
                  <c:v>SO5 guidance</c:v>
                </c:pt>
                <c:pt idx="5">
                  <c:v>SO6 obs implementation</c:v>
                </c:pt>
                <c:pt idx="6">
                  <c:v>SO7 FAIR data</c:v>
                </c:pt>
                <c:pt idx="7">
                  <c:v>SO8 innovation</c:v>
                </c:pt>
                <c:pt idx="8">
                  <c:v>SO9 capacity</c:v>
                </c:pt>
                <c:pt idx="9">
                  <c:v>SO10 human impacts</c:v>
                </c:pt>
                <c:pt idx="10">
                  <c:v>SO11 governance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20</c:v>
                </c:pt>
                <c:pt idx="1">
                  <c:v>70</c:v>
                </c:pt>
                <c:pt idx="2">
                  <c:v>70</c:v>
                </c:pt>
                <c:pt idx="3">
                  <c:v>10</c:v>
                </c:pt>
                <c:pt idx="4">
                  <c:v>60</c:v>
                </c:pt>
                <c:pt idx="5">
                  <c:v>60</c:v>
                </c:pt>
                <c:pt idx="6">
                  <c:v>70</c:v>
                </c:pt>
                <c:pt idx="7">
                  <c:v>50</c:v>
                </c:pt>
                <c:pt idx="8">
                  <c:v>20</c:v>
                </c:pt>
                <c:pt idx="9">
                  <c:v>10</c:v>
                </c:pt>
                <c:pt idx="10">
                  <c:v>30</c:v>
                </c:pt>
              </c:numCache>
            </c:numRef>
          </c:val>
          <c:extLs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c:ext xmlns:c16="http://schemas.microsoft.com/office/drawing/2014/chart" uri="{C3380CC4-5D6E-409C-BE32-E72D297353CC}">
              <c16:uniqueId val="{00000000-2D3E-2F44-ACBE-4E1A7AF7C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0400831"/>
        <c:axId val="290402479"/>
      </c:barChart>
      <c:dateAx>
        <c:axId val="29040083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0402479"/>
        <c:crosses val="autoZero"/>
        <c:auto val="0"/>
        <c:lblOffset val="100"/>
        <c:baseTimeUnit val="days"/>
      </c:dateAx>
      <c:valAx>
        <c:axId val="290402479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0400831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4D9A-09E7-4243-94EC-0B84122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2313</Words>
  <Characters>17306</Characters>
  <Application>Microsoft Office Word</Application>
  <DocSecurity>4</DocSecurity>
  <Lines>144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Albert Fischer</dc:creator>
  <cp:lastModifiedBy>Pastor Reyes, Ingrid</cp:lastModifiedBy>
  <cp:revision>2</cp:revision>
  <cp:lastPrinted>2021-05-31T16:48:00Z</cp:lastPrinted>
  <dcterms:created xsi:type="dcterms:W3CDTF">2021-06-09T15:50:00Z</dcterms:created>
  <dcterms:modified xsi:type="dcterms:W3CDTF">2021-06-09T15:50:00Z</dcterms:modified>
</cp:coreProperties>
</file>