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7001"/>
        <w:tblW w:w="0" w:type="auto"/>
        <w:tblLook w:val="04A0" w:firstRow="1" w:lastRow="0" w:firstColumn="1" w:lastColumn="0" w:noHBand="0" w:noVBand="1"/>
      </w:tblPr>
      <w:tblGrid>
        <w:gridCol w:w="7371"/>
      </w:tblGrid>
      <w:tr w:rsidR="005A69BB" w:rsidRPr="00BF083C" w14:paraId="1D5C8E67" w14:textId="77777777" w:rsidTr="008D73C8">
        <w:trPr>
          <w:trHeight w:val="5090"/>
        </w:trPr>
        <w:tc>
          <w:tcPr>
            <w:tcW w:w="7371" w:type="dxa"/>
          </w:tcPr>
          <w:p w14:paraId="6414A53D" w14:textId="77777777" w:rsidR="005A69BB" w:rsidRPr="00BF083C" w:rsidRDefault="005A69BB" w:rsidP="005A69BB">
            <w:pPr>
              <w:widowControl/>
              <w:tabs>
                <w:tab w:val="clear" w:pos="567"/>
              </w:tabs>
              <w:adjustRightInd/>
              <w:snapToGrid/>
              <w:spacing w:line="240" w:lineRule="auto"/>
              <w:jc w:val="center"/>
              <w:textAlignment w:val="auto"/>
              <w:rPr>
                <w:rFonts w:cs="Arial"/>
                <w:szCs w:val="22"/>
                <w:u w:val="single"/>
              </w:rPr>
            </w:pPr>
            <w:r w:rsidRPr="00BF083C">
              <w:rPr>
                <w:rFonts w:cs="Arial"/>
                <w:szCs w:val="22"/>
                <w:u w:val="single"/>
                <w:lang w:val="fr"/>
              </w:rPr>
              <w:t>Résumé</w:t>
            </w:r>
          </w:p>
          <w:p w14:paraId="07140F72" w14:textId="77777777" w:rsidR="005A69BB" w:rsidRPr="00BF083C" w:rsidRDefault="005A69BB" w:rsidP="005A69BB">
            <w:pPr>
              <w:widowControl/>
              <w:tabs>
                <w:tab w:val="clear" w:pos="567"/>
              </w:tabs>
              <w:adjustRightInd/>
              <w:snapToGrid/>
              <w:spacing w:line="240" w:lineRule="auto"/>
              <w:jc w:val="left"/>
              <w:textAlignment w:val="auto"/>
              <w:rPr>
                <w:rFonts w:cs="Arial"/>
                <w:szCs w:val="22"/>
                <w:u w:val="single"/>
              </w:rPr>
            </w:pPr>
          </w:p>
          <w:p w14:paraId="27A14CAD" w14:textId="45E4C31C" w:rsidR="005A69BB" w:rsidRPr="00BF083C" w:rsidRDefault="005A69BB" w:rsidP="005A69BB">
            <w:pPr>
              <w:pStyle w:val="Marge"/>
              <w:shd w:val="clear" w:color="auto" w:fill="FFFFFF"/>
              <w:spacing w:line="240" w:lineRule="auto"/>
              <w:ind w:right="284"/>
              <w:rPr>
                <w:rFonts w:cs="Arial"/>
                <w:szCs w:val="22"/>
              </w:rPr>
            </w:pPr>
            <w:r w:rsidRPr="00BF083C">
              <w:rPr>
                <w:rFonts w:cs="Arial"/>
                <w:szCs w:val="22"/>
                <w:lang w:val="fr"/>
              </w:rPr>
              <w:t xml:space="preserve">Ce document présente le projet de Programme et de budget 2022-2025 (premier exercice 2022-2023) du Secrétariat, la première période quadriennale de la nouvelle Stratégie à moyen terme de la COI pour 2022-2029 (document </w:t>
            </w:r>
            <w:r w:rsidRPr="00BF083C">
              <w:rPr>
                <w:rFonts w:cs="Arial"/>
                <w:color w:val="000000"/>
                <w:szCs w:val="22"/>
                <w:lang w:val="fr"/>
              </w:rPr>
              <w:t>IOC</w:t>
            </w:r>
            <w:r w:rsidR="008D73C8">
              <w:rPr>
                <w:rFonts w:cs="Arial"/>
                <w:color w:val="000000"/>
                <w:szCs w:val="22"/>
                <w:lang w:val="fr"/>
              </w:rPr>
              <w:t>/A</w:t>
            </w:r>
            <w:r w:rsidRPr="00BF083C">
              <w:rPr>
                <w:rFonts w:cs="Arial"/>
                <w:color w:val="000000"/>
                <w:szCs w:val="22"/>
                <w:lang w:val="fr"/>
              </w:rPr>
              <w:t xml:space="preserve">-31/4.1.Doc(1)), préparé sur la base des orientations reçues par le Conseil exécutif de la COI par la résolution de la COI </w:t>
            </w:r>
            <w:hyperlink r:id="rId13" w:history="1">
              <w:r w:rsidR="008D73C8">
                <w:rPr>
                  <w:rStyle w:val="Hyperlink"/>
                  <w:rFonts w:cs="Arial"/>
                  <w:szCs w:val="22"/>
                  <w:lang w:val="fr"/>
                </w:rPr>
                <w:t>E</w:t>
              </w:r>
              <w:r w:rsidR="008D73C8">
                <w:rPr>
                  <w:rStyle w:val="Hyperlink"/>
                  <w:szCs w:val="22"/>
                  <w:lang w:val="fr"/>
                </w:rPr>
                <w:t>C</w:t>
              </w:r>
              <w:r w:rsidRPr="00BF083C">
                <w:rPr>
                  <w:rStyle w:val="Hyperlink"/>
                  <w:rFonts w:cs="Arial"/>
                  <w:szCs w:val="22"/>
                  <w:lang w:val="fr"/>
                </w:rPr>
                <w:t>-53/2</w:t>
              </w:r>
            </w:hyperlink>
            <w:r w:rsidRPr="00BF083C">
              <w:rPr>
                <w:rFonts w:cs="Arial"/>
                <w:snapToGrid/>
                <w:szCs w:val="22"/>
                <w:lang w:val="fr"/>
              </w:rPr>
              <w:t>.</w:t>
            </w:r>
          </w:p>
          <w:p w14:paraId="72074E87" w14:textId="3F615ABB" w:rsidR="005A69BB" w:rsidRPr="00BF083C" w:rsidRDefault="005A69BB" w:rsidP="005A69BB">
            <w:pPr>
              <w:widowControl/>
              <w:tabs>
                <w:tab w:val="clear" w:pos="567"/>
              </w:tabs>
              <w:adjustRightInd/>
              <w:snapToGrid/>
              <w:spacing w:after="240" w:line="240" w:lineRule="auto"/>
              <w:ind w:left="28"/>
              <w:textAlignment w:val="auto"/>
            </w:pPr>
            <w:r w:rsidRPr="00BF083C">
              <w:rPr>
                <w:rFonts w:cs="Arial"/>
                <w:szCs w:val="22"/>
                <w:u w:val="single"/>
                <w:lang w:val="fr"/>
              </w:rPr>
              <w:t>Décision proposée </w:t>
            </w:r>
            <w:r w:rsidRPr="00BF083C">
              <w:rPr>
                <w:rFonts w:cs="Arial"/>
                <w:szCs w:val="22"/>
                <w:lang w:val="fr"/>
              </w:rPr>
              <w:t>: Après une brève introduction et l’examen en plénière du point 4.2, l'Assemblée de la COI est invitée à prendre note du présent rapport et à examiner le projet de décision présenté sous la référence IOC</w:t>
            </w:r>
            <w:r w:rsidR="008D73C8">
              <w:rPr>
                <w:rFonts w:cs="Arial"/>
                <w:szCs w:val="22"/>
                <w:lang w:val="fr"/>
              </w:rPr>
              <w:t>/A</w:t>
            </w:r>
            <w:r w:rsidRPr="00BF083C">
              <w:rPr>
                <w:rFonts w:cs="Arial"/>
                <w:szCs w:val="22"/>
                <w:lang w:val="fr"/>
              </w:rPr>
              <w:t>-31/4.2 dans le document provisoire relatif aux décisions à adopter (document IOC</w:t>
            </w:r>
            <w:r w:rsidR="008D73C8">
              <w:rPr>
                <w:rFonts w:cs="Arial"/>
                <w:szCs w:val="22"/>
                <w:lang w:val="fr"/>
              </w:rPr>
              <w:t>/A</w:t>
            </w:r>
            <w:r w:rsidRPr="00BF083C">
              <w:rPr>
                <w:rFonts w:cs="Arial"/>
                <w:szCs w:val="22"/>
                <w:lang w:val="fr"/>
              </w:rPr>
              <w:t>-31/AP). Le document sera examiné plus avant par le Comité financier, organe statutaire à composition non limitée établi pour la durée de la session, et la décision sera intégrée dans le projet de résolution que ce dernier soumettra à l’Assemblée pour adoption au titre du point 4.4, conformément au paragraphe 15 des Directives révisées pour la préparation et l’examen des projets de résolution (</w:t>
            </w:r>
            <w:hyperlink r:id="rId14" w:history="1">
              <w:r w:rsidRPr="00BF083C">
                <w:rPr>
                  <w:rStyle w:val="Hyperlink"/>
                  <w:rFonts w:cs="Arial"/>
                  <w:szCs w:val="22"/>
                  <w:lang w:val="fr"/>
                </w:rPr>
                <w:t>IOC/INF-1315</w:t>
              </w:r>
            </w:hyperlink>
            <w:r w:rsidRPr="00BF083C">
              <w:rPr>
                <w:rFonts w:cs="Arial"/>
                <w:szCs w:val="22"/>
                <w:lang w:val="fr"/>
              </w:rPr>
              <w:t>).</w:t>
            </w:r>
          </w:p>
        </w:tc>
      </w:tr>
    </w:tbl>
    <w:p w14:paraId="17EAF2BA" w14:textId="77777777" w:rsidR="005A69BB" w:rsidRPr="00BF083C" w:rsidRDefault="0031076A">
      <w:pPr>
        <w:widowControl/>
        <w:tabs>
          <w:tab w:val="clear" w:pos="567"/>
        </w:tabs>
        <w:adjustRightInd/>
        <w:snapToGrid/>
        <w:spacing w:line="240" w:lineRule="auto"/>
        <w:jc w:val="left"/>
        <w:textAlignment w:val="auto"/>
        <w:sectPr w:rsidR="005A69BB" w:rsidRPr="00BF083C" w:rsidSect="005A69BB">
          <w:headerReference w:type="even" r:id="rId15"/>
          <w:headerReference w:type="default" r:id="rId16"/>
          <w:headerReference w:type="first" r:id="rId17"/>
          <w:pgSz w:w="11906" w:h="16838" w:code="9"/>
          <w:pgMar w:top="-1398" w:right="1155" w:bottom="1134" w:left="1134" w:header="709" w:footer="680" w:gutter="0"/>
          <w:pgNumType w:start="1"/>
          <w:cols w:space="708"/>
          <w:titlePg/>
          <w:docGrid w:linePitch="360"/>
        </w:sectPr>
      </w:pPr>
      <w:r w:rsidRPr="00BF083C">
        <w:rPr>
          <w:lang w:val="fr"/>
        </w:rPr>
        <w:br w:type="page"/>
      </w:r>
    </w:p>
    <w:p w14:paraId="5E03E01D" w14:textId="77777777" w:rsidR="001255D9" w:rsidRPr="00BF083C" w:rsidRDefault="001255D9" w:rsidP="00921D65">
      <w:pPr>
        <w:pStyle w:val="Heading2"/>
        <w:spacing w:before="0" w:after="0" w:line="240" w:lineRule="auto"/>
        <w:rPr>
          <w:rFonts w:cs="Arial"/>
          <w:szCs w:val="22"/>
        </w:rPr>
      </w:pPr>
      <w:r w:rsidRPr="00BF083C">
        <w:rPr>
          <w:rFonts w:cs="Arial"/>
          <w:szCs w:val="22"/>
          <w:lang w:val="fr"/>
        </w:rPr>
        <w:lastRenderedPageBreak/>
        <w:t>INTRODUCTION DU SECRÉTAIRE EXÉCUTIF DE LA COI</w:t>
      </w:r>
    </w:p>
    <w:p w14:paraId="55B9AB40" w14:textId="77777777" w:rsidR="001255D9" w:rsidRPr="00BF083C" w:rsidRDefault="00DB250E" w:rsidP="006001A0">
      <w:pPr>
        <w:pStyle w:val="Marge"/>
        <w:spacing w:after="0" w:line="240" w:lineRule="auto"/>
      </w:pPr>
      <w:r w:rsidRPr="00BF083C">
        <w:rPr>
          <w:noProof/>
          <w:snapToGrid/>
          <w:lang w:val="fr-FR" w:eastAsia="fr-FR"/>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30CCFDDD" w14:textId="77777777" w:rsidR="00AC5857" w:rsidRPr="00BF083C" w:rsidRDefault="00AC5857" w:rsidP="00AC5857">
      <w:pPr>
        <w:pStyle w:val="ParaCOI"/>
        <w:numPr>
          <w:ilvl w:val="0"/>
          <w:numId w:val="23"/>
        </w:numPr>
        <w:shd w:val="clear" w:color="auto" w:fill="FFFFFF"/>
        <w:ind w:left="0" w:firstLine="0"/>
      </w:pPr>
      <w:r w:rsidRPr="00BF083C">
        <w:rPr>
          <w:lang w:val="fr"/>
        </w:rPr>
        <w:t xml:space="preserve">Le rôle essentiel des océans dans un très grand nombre d’aspects du développement durable se traduit par l’importance du maintien et du renforcement des moyens d’action de la COI. Nous vivons aujourd’hui à une époque où la valeur de l’océan pour la civilisation est de mieux en mieux comprise. Il existe une possibilité, jusqu'alors inimaginable, qu'une planification des océans basée sur la science permettra d'inverser le déclin de la santé des océans et de continuer à bénéficier de ses ressources. Cependant, jusqu'à présent, la valeur des sciences océaniques et la nécessité d'une action coordonnée n'ont pas été suffisamment prises en compte dans la prise de décision nationale et internationale, pas plus qu'elles ne le sont dans les ressources passées ou actuelles dont dispose la COI. </w:t>
      </w:r>
    </w:p>
    <w:p w14:paraId="4333E64B" w14:textId="4BBAC7B6" w:rsidR="00AC5857" w:rsidRPr="00BF083C" w:rsidRDefault="00AC5857" w:rsidP="00AC5857">
      <w:pPr>
        <w:pStyle w:val="ParaCOI"/>
        <w:numPr>
          <w:ilvl w:val="0"/>
          <w:numId w:val="23"/>
        </w:numPr>
        <w:shd w:val="clear" w:color="auto" w:fill="FFFFFF"/>
        <w:ind w:left="0" w:firstLine="0"/>
      </w:pPr>
      <w:r w:rsidRPr="00BF083C">
        <w:rPr>
          <w:lang w:val="fr"/>
        </w:rPr>
        <w:t>La Décennie des Nations Unies pour les sciences océaniques au service du développement durable (2021-2020) a pour vocation de faire évoluer cette situation, en incitant de multiples parties prenantes à donner plus de moyens aux sciences océaniques et à les mettre au service de la réalisation des grands défis de notre temps. En outre, on attend beaucoup de la contribution de la COI à deux processus clés des Nations unies, à savoir l'adaptation au changement climatique et son atténuation dans le cadre de la CCNUCC, ainsi que le nouvel instrument international juridiquement contraignant (ILBI) dans le cadre de la Convention des Nations unies sur le droit de la mer (UNCLOS) sur la conservation et l'utilisation durable de la diversité biologique marine dans les zones ne relevant pas de la juridiction nationale (BBNJ). Ces quatre grands domaines d'action (fonctions essentielles de la COI, Décennie, CCNUCC et BBNJ) seront les principaux volets de la nouvelle Stratégie à moyen terme de la COI pour 2022-2029 et du programme de travail de la COI pour 2022-2025. La COI travaille sur sa nouvelle SMT depuis 2018, cependant, au moment de la rédaction de cette introduction, la pandémie de COVID-19 est devenue la principale préoccupation du monde. À l’instar des dramatiques pandémies qui ont frappé le monde vivant lors des siècles passés, le COVID-19 va porter atteinte aux économies des pays et modifier le cadre de pensée de la société et des décideurs. Il conviendra d’examiner sérieusement le rôle des océans pour la santé de l’homme, l’occasion qui est offerte à l’humanité de commencer à agir de façon bien plus durable après le ralentissement de l’économie causé par la pandémie, ainsi que les effets du confinement sur le milieu marin et les activités menées dans les océans et les zones côtières.</w:t>
      </w:r>
    </w:p>
    <w:p w14:paraId="3916B160" w14:textId="3109F5F2" w:rsidR="00AC5857" w:rsidRPr="00BF083C" w:rsidRDefault="00AC5857" w:rsidP="00AC5857">
      <w:pPr>
        <w:pStyle w:val="ParaCOI"/>
        <w:numPr>
          <w:ilvl w:val="0"/>
          <w:numId w:val="23"/>
        </w:numPr>
        <w:shd w:val="clear" w:color="auto" w:fill="FFFFFF"/>
        <w:ind w:left="0" w:firstLine="0"/>
      </w:pPr>
      <w:r w:rsidRPr="00BF083C">
        <w:rPr>
          <w:lang w:val="fr"/>
        </w:rPr>
        <w:t xml:space="preserve">Avant la pandémie en cours, la Conférence générale de l’UNESCO avait approuvé à sa 40e session, la proposition de scénario budgétaire pour 2020-2021 (40 C/5), sur la base de crédits budgétaires ouverts au titre du Programme ordinaire pour un montant de 534,6 M$ (11,1M$ dollars pour la COI ou, sans contribution aux charges communes, 10,9 M$). Pour l’essentiel, ce budget a offert à la COI la possibilité de poursuivre les travaux de son Secrétariat au même niveau que pendant l’exercice biennal précédent et d’allouer à la Décennie un financement très modeste. Le budget intégré de la COI pour 2020-2021, de l'ordre de 26,9 M$, regroupe les contributions volontaires évaluées et des contributions extrabudgétaires prévisibles : 10,9 M$ au titre du budget ordinaire (dont 8,3 M$ pour les coûts de personnel et 2,6 millions de dollars pour les opérations), 2,6 M$ de contributions volontaires déjà en cours au moment de la préparation du 40 C/5 et un objectif de mobilisation des ressources de 13,2 millions de dollars. Telles sont les conditions de départ pour la planification du programme et du budget pour la première période biennale 2022-2023. </w:t>
      </w:r>
    </w:p>
    <w:p w14:paraId="369F7975" w14:textId="6DD15ED5" w:rsidR="00AC5857" w:rsidRPr="00BF083C" w:rsidRDefault="00AC5857" w:rsidP="00AC5857">
      <w:pPr>
        <w:pStyle w:val="ParaCOI"/>
        <w:numPr>
          <w:ilvl w:val="0"/>
          <w:numId w:val="23"/>
        </w:numPr>
        <w:shd w:val="clear" w:color="auto" w:fill="FFFFFF"/>
        <w:ind w:left="0" w:firstLine="0"/>
      </w:pPr>
      <w:r w:rsidRPr="00BF083C">
        <w:rPr>
          <w:lang w:val="fr"/>
        </w:rPr>
        <w:t>La COI a fêté son soixantième anniversaire en 2020. Ses services font l’objet d’une demande croissante dans le monde. Actuellement, la COI peut être décrite comme une organisation intergouvernementale dont les programmes sont très solides, mais dont la situation financière est instable. La proclamation de la Décennie par 193 États membres des Nations Unies et observateurs à l’Assemblée générale des Nations Unies, en 2017, a clairement exprimé à quel point les sciences océaniques étaient nécessaires à l’humanité. Particulièrement sensible à cette idée, les États membres de la COI ont adopté, à la 30</w:t>
      </w:r>
      <w:r w:rsidRPr="00BF083C">
        <w:rPr>
          <w:vertAlign w:val="superscript"/>
          <w:lang w:val="fr"/>
        </w:rPr>
        <w:t>e</w:t>
      </w:r>
      <w:r w:rsidRPr="00BF083C">
        <w:rPr>
          <w:lang w:val="fr"/>
        </w:rPr>
        <w:t xml:space="preserve"> session de leur Assemblée (2019), la </w:t>
      </w:r>
      <w:hyperlink r:id="rId18" w:history="1">
        <w:r w:rsidRPr="00BF083C">
          <w:rPr>
            <w:rStyle w:val="Hyperlink"/>
            <w:u w:val="none"/>
            <w:lang w:val="fr"/>
          </w:rPr>
          <w:t>résolution XXX-3</w:t>
        </w:r>
      </w:hyperlink>
      <w:r w:rsidRPr="00BF083C">
        <w:rPr>
          <w:lang w:val="fr"/>
        </w:rPr>
        <w:t xml:space="preserve"> par laquelle ils prient le Secrétaire exécutif de la Commission d’établir « </w:t>
      </w:r>
      <w:r w:rsidRPr="00BF083C">
        <w:rPr>
          <w:i/>
          <w:iCs/>
          <w:lang w:val="fr"/>
        </w:rPr>
        <w:t>une estimation du budget nécessaire pour faire fonctionner la COI de manière optimale, afin d’identifier les ressources supplémentaires qui pourraient être obtenues et les moyens de les mobiliser </w:t>
      </w:r>
      <w:r w:rsidRPr="00BF083C">
        <w:rPr>
          <w:lang w:val="fr"/>
        </w:rPr>
        <w:t xml:space="preserve">». Ce travail a débuté. </w:t>
      </w:r>
    </w:p>
    <w:p w14:paraId="1F033F38" w14:textId="79EB839F" w:rsidR="00AC5857" w:rsidRPr="00BF083C" w:rsidRDefault="00AC5857" w:rsidP="00AC5857">
      <w:pPr>
        <w:pStyle w:val="ParaCOI"/>
        <w:numPr>
          <w:ilvl w:val="0"/>
          <w:numId w:val="23"/>
        </w:numPr>
        <w:shd w:val="clear" w:color="auto" w:fill="FFFFFF"/>
        <w:ind w:left="0" w:firstLine="0"/>
      </w:pPr>
      <w:r w:rsidRPr="00BF083C">
        <w:rPr>
          <w:rFonts w:cs="Arial"/>
          <w:lang w:val="fr"/>
        </w:rPr>
        <w:lastRenderedPageBreak/>
        <w:t>Pendant la période intersessions, il a été difficile d'évaluer ce dont la COI aurait réellement besoin car il n'était pas garanti que la COI se voit confier la responsabilité de coordonner la mise en œuvre de la Décennie. Parallèlement, d'importants développements ont eu lieu dans le domaine de la gestion des océans, notamment grâce aux délibérations du groupe de haut niveau pour une économie océanique durable. La Conférence des Nations unies sur les océans de 2020 a été reportée, tout comme la 26</w:t>
      </w:r>
      <w:r w:rsidRPr="00BF083C">
        <w:rPr>
          <w:rFonts w:cs="Arial"/>
          <w:vertAlign w:val="superscript"/>
          <w:lang w:val="fr"/>
        </w:rPr>
        <w:t>e</w:t>
      </w:r>
      <w:r w:rsidRPr="00BF083C">
        <w:rPr>
          <w:rFonts w:cs="Arial"/>
          <w:lang w:val="fr"/>
        </w:rPr>
        <w:t> Conférence des parties à la CCNUCC, qui devait devenir la première « Conférence des parties bleue ». La Conférence intergouvernementale des Nations unies sur la biodiversité marine des zones ne relevant pas de la juridiction nationale (</w:t>
      </w:r>
      <w:hyperlink r:id="rId19" w:history="1">
        <w:r w:rsidRPr="00BF083C">
          <w:rPr>
            <w:rStyle w:val="Hyperlink"/>
            <w:rFonts w:cs="Arial"/>
            <w:lang w:val="fr"/>
          </w:rPr>
          <w:t>BBNJ</w:t>
        </w:r>
      </w:hyperlink>
      <w:r w:rsidRPr="00BF083C">
        <w:rPr>
          <w:rFonts w:cs="Arial"/>
          <w:lang w:val="fr"/>
        </w:rPr>
        <w:t xml:space="preserve"> a également été considérablement retardée alors qu'elle envisageait de demander à la COI d'étendre ses services en matière de capacité scientifique et de transfert des techniques marine. Cela étant, il est encore difficile d'anticiper toute la portée potentielle future des activités nécessaires. Cette incertitude pourrait également avoir une incidence sur les discussions relatives à la stratégie à moyen terme de la COI pour la période 2022-2029. L’analyse initiale du Secrétariat envisage deux options : </w:t>
      </w:r>
    </w:p>
    <w:p w14:paraId="5A9D0648" w14:textId="32FC5E0E" w:rsidR="00AC5857" w:rsidRPr="00BF083C" w:rsidRDefault="00AC5857" w:rsidP="00AC5857">
      <w:pPr>
        <w:pStyle w:val="ParaCOI"/>
        <w:numPr>
          <w:ilvl w:val="0"/>
          <w:numId w:val="41"/>
        </w:numPr>
        <w:shd w:val="clear" w:color="auto" w:fill="FFFFFF"/>
      </w:pPr>
      <w:r w:rsidRPr="00BF083C">
        <w:rPr>
          <w:lang w:val="fr"/>
        </w:rPr>
        <w:t>le scénario d'une « COI saine », qui garantit la capacité du Secrétariat à soutenir le portefeuille d'activités actuel (qui comprend désormais la coordination de la Décennie, la poursuite des travaux de la COI sur la planification des océans, y compris l'aménagement de l'espace marin, des travaux plus demandeurs en matière de ressources dans les régions et des activités dans les domaines de la connaissance des océans et de la communication) ;</w:t>
      </w:r>
    </w:p>
    <w:p w14:paraId="5506E82C" w14:textId="77777777" w:rsidR="00AC5857" w:rsidRPr="00BF083C" w:rsidRDefault="00AC5857" w:rsidP="00AC5857">
      <w:pPr>
        <w:pStyle w:val="ParaCOI"/>
        <w:numPr>
          <w:ilvl w:val="0"/>
          <w:numId w:val="41"/>
        </w:numPr>
        <w:shd w:val="clear" w:color="auto" w:fill="FFFFFF"/>
      </w:pPr>
      <w:r w:rsidRPr="00BF083C">
        <w:rPr>
          <w:rFonts w:cs="Arial"/>
          <w:lang w:val="fr"/>
        </w:rPr>
        <w:t xml:space="preserve">Et un scénario hypothétique d'une « COI optimale » qui serait en mesure de soutenir l'alliance émergente entre science et gestion des océans. Cette configuration n'est toujours pas claire en raison des négociations en cours aux Nations unies et de l'évolution de la gouvernance des océans. Des consultations avec les États membres seront nécessaires pour mener à bien cet exercice crucial de planification stratégique. </w:t>
      </w:r>
    </w:p>
    <w:p w14:paraId="0505CF08" w14:textId="32B8FDC1" w:rsidR="00AC5857" w:rsidRPr="00BF083C" w:rsidRDefault="00AC5857" w:rsidP="00AC5857">
      <w:pPr>
        <w:pStyle w:val="ParaCOI"/>
        <w:numPr>
          <w:ilvl w:val="0"/>
          <w:numId w:val="23"/>
        </w:numPr>
        <w:shd w:val="clear" w:color="auto" w:fill="FFFFFF"/>
        <w:ind w:left="0" w:firstLine="0"/>
      </w:pPr>
      <w:r w:rsidRPr="00BF083C">
        <w:rPr>
          <w:lang w:val="fr"/>
        </w:rPr>
        <w:t xml:space="preserve">Les besoins plus immédiats en matière de budget et de personnel seront déterminés par les orientations stratégiques de la stratégie à moyen terme de la COI pour 2022-2029 et par les attentes à l'égard de la COI au cours de cette période. En 2022-2025, la COI continuera de chercher à aligner les objectifs de la Décennie sur les programmes et activités de la COI, avec une attention particulière pour ceux qui traitent des lacunes critiques dans les connaissances scientifiques, et notamment la compréhension des multiples facteurs de stress océaniques pertinents pour la gestion écosystémique, la prévision de l'état des océans, l'adaptation au changement climatique, l'élaboration de solutions pour la santé des océans et la protection de l'environnement marin, l'alerte aux dangers océaniques menaçant la vie, les approches de la gestion des océans, ainsi que le renforcement des capacités des États membres. La vision émergente des ressources et du personnel futurs de la COI doit refléter les nouvelles réalités économiques, politiques et sociétales du monde post-pandémie de COVID-19, ainsi que le futur budget prévu de l'UNESCO. </w:t>
      </w:r>
    </w:p>
    <w:p w14:paraId="4AE420BA" w14:textId="24D84085" w:rsidR="00AC5857" w:rsidRPr="00BF083C" w:rsidRDefault="00AC5857" w:rsidP="00AC5857">
      <w:pPr>
        <w:pStyle w:val="ParaCOI"/>
        <w:numPr>
          <w:ilvl w:val="0"/>
          <w:numId w:val="23"/>
        </w:numPr>
        <w:shd w:val="clear" w:color="auto" w:fill="FFFFFF"/>
        <w:ind w:left="0" w:firstLine="0"/>
      </w:pPr>
      <w:r w:rsidRPr="00BF083C">
        <w:rPr>
          <w:lang w:val="fr"/>
        </w:rPr>
        <w:t>Comme s’en souviendront les États membres, alors que le programme de l’UNESCO est défini pour la période quadriennale 2022-2025, la Conférence générale de l’UNESCO a décidé de maintenir le cycle biennal pour la répartition du budget. Pour l'exercice 2022-2023, à condition que l'enveloppe globale de l'UNESCO reste la même (534,6 M$), l'allocation nette de la COI provenant des contributions mises en recouvrement auprès des États membres de l'UNESCO, comme suggéré à la 211</w:t>
      </w:r>
      <w:r w:rsidRPr="00BF083C">
        <w:rPr>
          <w:vertAlign w:val="superscript"/>
          <w:lang w:val="fr"/>
        </w:rPr>
        <w:t>e</w:t>
      </w:r>
      <w:r w:rsidRPr="00BF083C">
        <w:rPr>
          <w:lang w:val="fr"/>
        </w:rPr>
        <w:t xml:space="preserve"> session du Conseil exécutif de l'UNESCO, serait de 11,2 M$. La COI a l'intention et l'ambition de collecter 16,2 millions de dollars en contributions volontaires, en plus des 4,4 millions de dollars déjà disponibles. Bien que le budget ordinaire global pour l'exercice biennal soit nominalement un peu plus élevé que les chiffres pour 2020-2021 (11,2 M$ contre 10,9 M$), le budget disponible pour les opérations dans le nouvel exercice biennal devrait être considérablement plus faible en raison d'une augmentation des coûts de personnel. Avec la nouvelle approche globale et transparente de la présentation des coûts du personnel dans le budget de l'UNESCO, l'ensemble des coûts anticipés du personnel est maintenant reflété dans les secteurs/bureaux où ce personnel travaille et produit des résultats. Cela devrait permettre aux secteurs/bureaux de disposer d'une plus grande souplesse dans la gestion de leurs dépenses de personnel en fonction des besoins tout au long de l'exercice biennal. </w:t>
      </w:r>
    </w:p>
    <w:p w14:paraId="2CC8499A" w14:textId="12AF34CB" w:rsidR="00AC5857" w:rsidRPr="00BF083C" w:rsidRDefault="00AC5857" w:rsidP="00AC5857">
      <w:pPr>
        <w:pStyle w:val="ParaCOI"/>
        <w:numPr>
          <w:ilvl w:val="0"/>
          <w:numId w:val="23"/>
        </w:numPr>
        <w:shd w:val="clear" w:color="auto" w:fill="FFFFFF"/>
        <w:ind w:left="0" w:firstLine="0"/>
      </w:pPr>
      <w:r w:rsidRPr="00BF083C">
        <w:rPr>
          <w:lang w:val="fr"/>
        </w:rPr>
        <w:lastRenderedPageBreak/>
        <w:t xml:space="preserve">L'opportunité et la responsabilité présentées par la Décennie à la COI nécessitent une évaluation stratégique et une décision sur les domaines à investir. Le volume de travail du secrétariat de la COI est en augmentation. Les ressources pour les activités provenant des contributions obligatoires des États membres de l'UNESCO sont en baisse. La seule justification d'une prestation adéquate est de renforcer la capacité de la Commission à mobiliser des ressources supplémentaires. Dans ce contexte, le choix du Secrétaire exécutif est d'investir dans les ressources humaines de la COI, son plus grand atout, dans l'espoir qu'une équipe plus forte sera en mesure de répondre de manière adéquate à une demande accrue du travail essentiel de la COI pour permettre une gestion des océans basée sur la science. Il est nécessaire d'investir dans le personnel de la COI, en élevant son profil au niveau correspondant à notre vision d'une Décennie véritablement transformatrice, afin de réunir davantage de ressources pour une Unité de coordination de la Décennie efficace et efficiente et pour toutes les activités de programme de la COI. C'est cette vision qui permet d'augmenter les projections de contributions volontaires. </w:t>
      </w:r>
    </w:p>
    <w:p w14:paraId="1ABC5E1B" w14:textId="33F9FA31" w:rsidR="00AC5857" w:rsidRPr="00BF083C" w:rsidRDefault="00AC5857" w:rsidP="00AC5857">
      <w:pPr>
        <w:pStyle w:val="ParaCOI"/>
        <w:numPr>
          <w:ilvl w:val="0"/>
          <w:numId w:val="23"/>
        </w:numPr>
        <w:shd w:val="clear" w:color="auto" w:fill="FFFFFF"/>
        <w:ind w:left="0" w:firstLine="0"/>
      </w:pPr>
      <w:r w:rsidRPr="00BF083C">
        <w:rPr>
          <w:lang w:val="fr"/>
        </w:rPr>
        <w:t xml:space="preserve">Le programme et le budget de la COI pour 2022-2023, qui marque le début du mandat stratégique 2022-2029, nécessitent une réflexion approfondie de la part de ses États membres. Une fois encore, les États membres sont renvoyés à l'article 11.3 des Statuts de la COI qui décrit la possibilité pour la COI d'agir en tant que mécanisme spécialisé commun du système des Nations Unies ainsi qu'à l'article 10.4 qui permet à la Commission de prendre tout arrangement financier supplémentaire qu'elle juge nécessaire à l'exécution d'un programme de travail. Un leadership  moderne passe obligatoirement par des partenariats. La recherche de partenariats stratégiques adéquats semble être le moyen pour la COI de conserver et de renforcer son rôle de coordinateur et d’animateur faisant autorité en matière de sciences et de services océaniques en faveur du développement durable. </w:t>
      </w:r>
    </w:p>
    <w:p w14:paraId="267F71AF" w14:textId="77777777" w:rsidR="000A273F" w:rsidRPr="00BF083C" w:rsidRDefault="000A273F" w:rsidP="00415394">
      <w:pPr>
        <w:widowControl/>
        <w:tabs>
          <w:tab w:val="clear" w:pos="567"/>
        </w:tabs>
        <w:adjustRightInd/>
        <w:snapToGrid/>
        <w:spacing w:line="240" w:lineRule="auto"/>
        <w:jc w:val="center"/>
        <w:textAlignment w:val="auto"/>
        <w:rPr>
          <w:b/>
        </w:rPr>
      </w:pPr>
    </w:p>
    <w:p w14:paraId="5FBAEC6F" w14:textId="77777777" w:rsidR="000A273F" w:rsidRPr="00BF083C" w:rsidRDefault="000A273F" w:rsidP="000A273F"/>
    <w:p w14:paraId="174F7C79" w14:textId="77777777" w:rsidR="000A273F" w:rsidRPr="00BF083C" w:rsidRDefault="000A273F" w:rsidP="00415394">
      <w:pPr>
        <w:widowControl/>
        <w:tabs>
          <w:tab w:val="clear" w:pos="567"/>
        </w:tabs>
        <w:adjustRightInd/>
        <w:snapToGrid/>
        <w:spacing w:line="240" w:lineRule="auto"/>
        <w:jc w:val="center"/>
        <w:textAlignment w:val="auto"/>
        <w:rPr>
          <w:b/>
        </w:rPr>
      </w:pPr>
    </w:p>
    <w:p w14:paraId="0AC61B46" w14:textId="77777777" w:rsidR="000A273F" w:rsidRPr="00BF083C" w:rsidRDefault="000A273F" w:rsidP="00415394">
      <w:pPr>
        <w:widowControl/>
        <w:tabs>
          <w:tab w:val="clear" w:pos="567"/>
        </w:tabs>
        <w:adjustRightInd/>
        <w:snapToGrid/>
        <w:spacing w:line="240" w:lineRule="auto"/>
        <w:jc w:val="center"/>
        <w:textAlignment w:val="auto"/>
        <w:rPr>
          <w:b/>
        </w:rPr>
      </w:pPr>
    </w:p>
    <w:p w14:paraId="3FDFFCD5" w14:textId="77777777" w:rsidR="000A273F" w:rsidRPr="00BF083C" w:rsidRDefault="000A273F" w:rsidP="00415394">
      <w:pPr>
        <w:widowControl/>
        <w:tabs>
          <w:tab w:val="clear" w:pos="567"/>
        </w:tabs>
        <w:adjustRightInd/>
        <w:snapToGrid/>
        <w:spacing w:line="240" w:lineRule="auto"/>
        <w:jc w:val="center"/>
        <w:textAlignment w:val="auto"/>
        <w:rPr>
          <w:b/>
        </w:rPr>
      </w:pPr>
    </w:p>
    <w:p w14:paraId="62EC4442" w14:textId="77777777" w:rsidR="007A62EF" w:rsidRPr="00BF083C" w:rsidRDefault="00D61AF0" w:rsidP="00415394">
      <w:pPr>
        <w:widowControl/>
        <w:tabs>
          <w:tab w:val="clear" w:pos="567"/>
        </w:tabs>
        <w:adjustRightInd/>
        <w:snapToGrid/>
        <w:spacing w:line="240" w:lineRule="auto"/>
        <w:jc w:val="center"/>
        <w:textAlignment w:val="auto"/>
      </w:pPr>
      <w:r w:rsidRPr="00BF083C">
        <w:rPr>
          <w:lang w:val="fr"/>
        </w:rPr>
        <w:br w:type="page"/>
      </w:r>
    </w:p>
    <w:p w14:paraId="585466D2" w14:textId="131A1CE7" w:rsidR="007A62EF" w:rsidRPr="00BF083C" w:rsidRDefault="007A62EF" w:rsidP="007A62EF">
      <w:pPr>
        <w:widowControl/>
        <w:tabs>
          <w:tab w:val="clear" w:pos="567"/>
        </w:tabs>
        <w:adjustRightInd/>
        <w:snapToGrid/>
        <w:spacing w:line="240" w:lineRule="auto"/>
        <w:jc w:val="left"/>
        <w:textAlignment w:val="auto"/>
        <w:rPr>
          <w:b/>
        </w:rPr>
      </w:pPr>
      <w:r w:rsidRPr="00BF083C">
        <w:rPr>
          <w:b/>
          <w:bCs/>
        </w:rPr>
        <w:lastRenderedPageBreak/>
        <w:t>PROJET DE PROGRAMME ET DE BUDGET 2022–2025, PREMIER EXERCICE BIENNAL: 2022–2023</w:t>
      </w:r>
    </w:p>
    <w:p w14:paraId="0EA911C1" w14:textId="022E86E3" w:rsidR="00B71183" w:rsidRPr="00BF083C" w:rsidRDefault="007A2D89" w:rsidP="007A62EF">
      <w:pPr>
        <w:widowControl/>
        <w:tabs>
          <w:tab w:val="clear" w:pos="567"/>
        </w:tabs>
        <w:adjustRightInd/>
        <w:snapToGrid/>
        <w:spacing w:line="240" w:lineRule="auto"/>
        <w:textAlignment w:val="auto"/>
        <w:rPr>
          <w:b/>
        </w:rPr>
      </w:pPr>
      <w:r w:rsidRPr="00BF083C">
        <w:rPr>
          <w:noProof/>
          <w:lang w:val="fr-FR" w:eastAsia="fr-FR"/>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4A0426A5" w:rsidR="00936F2C" w:rsidRPr="00BF083C" w:rsidRDefault="00936F2C">
      <w:pPr>
        <w:widowControl/>
        <w:tabs>
          <w:tab w:val="clear" w:pos="567"/>
        </w:tabs>
        <w:adjustRightInd/>
        <w:snapToGrid/>
        <w:spacing w:line="240" w:lineRule="auto"/>
        <w:jc w:val="left"/>
        <w:textAlignment w:val="auto"/>
        <w:rPr>
          <w:i/>
        </w:rPr>
      </w:pPr>
    </w:p>
    <w:p w14:paraId="1C4B55DF" w14:textId="7A81BB65" w:rsidR="002E3D9D" w:rsidRPr="00BF083C" w:rsidRDefault="002D1F1D" w:rsidP="007A62EF">
      <w:pPr>
        <w:widowControl/>
        <w:tabs>
          <w:tab w:val="clear" w:pos="567"/>
        </w:tabs>
        <w:adjustRightInd/>
        <w:snapToGrid/>
        <w:spacing w:line="240" w:lineRule="auto"/>
        <w:textAlignment w:val="auto"/>
        <w:rPr>
          <w:i/>
        </w:rPr>
      </w:pPr>
      <w:r w:rsidRPr="00BF083C">
        <w:rPr>
          <w:i/>
          <w:iCs/>
        </w:rPr>
        <w:t xml:space="preserve">[abstract from document </w:t>
      </w:r>
      <w:hyperlink r:id="rId21" w:history="1">
        <w:r w:rsidRPr="00BF083C">
          <w:rPr>
            <w:rStyle w:val="Hyperlink"/>
            <w:i/>
            <w:iCs/>
          </w:rPr>
          <w:t>41 C/5 Draft</w:t>
        </w:r>
      </w:hyperlink>
      <w:r w:rsidRPr="00BF083C">
        <w:rPr>
          <w:i/>
          <w:iCs/>
        </w:rPr>
        <w:t>, volume 2</w:t>
      </w:r>
      <w:r w:rsidRPr="00BF083C">
        <w:rPr>
          <w:b/>
          <w:bCs/>
          <w:i/>
          <w:iCs/>
        </w:rPr>
        <w:t xml:space="preserve">: </w:t>
      </w:r>
      <w:proofErr w:type="spellStart"/>
      <w:r w:rsidRPr="00BF083C">
        <w:rPr>
          <w:b/>
          <w:bCs/>
          <w:i/>
          <w:iCs/>
        </w:rPr>
        <w:t>Projet</w:t>
      </w:r>
      <w:proofErr w:type="spellEnd"/>
      <w:r w:rsidRPr="00BF083C">
        <w:rPr>
          <w:b/>
          <w:bCs/>
          <w:i/>
          <w:iCs/>
        </w:rPr>
        <w:t xml:space="preserve"> de programme et de budget, Premier </w:t>
      </w:r>
      <w:proofErr w:type="spellStart"/>
      <w:r w:rsidRPr="00BF083C">
        <w:rPr>
          <w:b/>
          <w:bCs/>
          <w:i/>
          <w:iCs/>
        </w:rPr>
        <w:t>exercice</w:t>
      </w:r>
      <w:proofErr w:type="spellEnd"/>
      <w:r w:rsidRPr="00BF083C">
        <w:rPr>
          <w:b/>
          <w:bCs/>
          <w:i/>
          <w:iCs/>
        </w:rPr>
        <w:t xml:space="preserve"> </w:t>
      </w:r>
      <w:proofErr w:type="spellStart"/>
      <w:r w:rsidRPr="00BF083C">
        <w:rPr>
          <w:b/>
          <w:bCs/>
          <w:i/>
          <w:iCs/>
        </w:rPr>
        <w:t>biennal</w:t>
      </w:r>
      <w:proofErr w:type="spellEnd"/>
      <w:r w:rsidRPr="00BF083C">
        <w:rPr>
          <w:b/>
          <w:bCs/>
          <w:i/>
          <w:iCs/>
        </w:rPr>
        <w:t>: 2022-2023.</w:t>
      </w:r>
      <w:r w:rsidRPr="00BF083C">
        <w:rPr>
          <w:i/>
          <w:iCs/>
        </w:rPr>
        <w:t>]</w:t>
      </w:r>
    </w:p>
    <w:p w14:paraId="1836950D" w14:textId="24F4B99E" w:rsidR="002E3D9D" w:rsidRPr="00BF083C" w:rsidRDefault="002E3D9D">
      <w:pPr>
        <w:widowControl/>
        <w:tabs>
          <w:tab w:val="clear" w:pos="567"/>
        </w:tabs>
        <w:adjustRightInd/>
        <w:snapToGrid/>
        <w:spacing w:line="240" w:lineRule="auto"/>
        <w:jc w:val="left"/>
        <w:textAlignment w:val="auto"/>
        <w:rPr>
          <w:i/>
        </w:rPr>
      </w:pPr>
    </w:p>
    <w:p w14:paraId="12B9F4B8" w14:textId="756A8B4D" w:rsidR="002E3D9D" w:rsidRPr="00BF083C" w:rsidRDefault="00C50366" w:rsidP="00C50366">
      <w:pPr>
        <w:widowControl/>
        <w:tabs>
          <w:tab w:val="clear" w:pos="567"/>
        </w:tabs>
        <w:adjustRightInd/>
        <w:spacing w:after="240" w:line="240" w:lineRule="auto"/>
        <w:jc w:val="left"/>
        <w:textAlignment w:val="auto"/>
        <w:rPr>
          <w:i/>
        </w:rPr>
      </w:pPr>
      <w:r w:rsidRPr="00BF083C">
        <w:rPr>
          <w:b/>
          <w:bCs/>
        </w:rPr>
        <w:t>COMMISSION OCÉANOGRAPHIQUE INTERGOUVERNEMENTALE</w:t>
      </w:r>
    </w:p>
    <w:p w14:paraId="43EEEBC6" w14:textId="053288F7" w:rsidR="002D1F1D" w:rsidRPr="00BF083C" w:rsidRDefault="002D1F1D" w:rsidP="002D1F1D">
      <w:pPr>
        <w:widowControl/>
        <w:tabs>
          <w:tab w:val="clear" w:pos="567"/>
          <w:tab w:val="left" w:pos="1134"/>
        </w:tabs>
        <w:adjustRightInd/>
        <w:snapToGrid/>
        <w:spacing w:after="240" w:line="240" w:lineRule="auto"/>
        <w:textAlignment w:val="auto"/>
        <w:rPr>
          <w:iCs/>
        </w:rPr>
      </w:pPr>
      <w:r w:rsidRPr="00BF083C">
        <w:rPr>
          <w:bdr w:val="single" w:sz="4" w:space="0" w:color="auto"/>
        </w:rPr>
        <w:t>03001</w:t>
      </w:r>
      <w:r w:rsidRPr="00BF083C">
        <w:tab/>
        <w:t xml:space="preserve">La </w:t>
      </w:r>
      <w:proofErr w:type="spellStart"/>
      <w:r w:rsidRPr="00BF083C">
        <w:t>période</w:t>
      </w:r>
      <w:proofErr w:type="spellEnd"/>
      <w:r w:rsidRPr="00BF083C">
        <w:t xml:space="preserve"> 2022-2025 </w:t>
      </w:r>
      <w:proofErr w:type="spellStart"/>
      <w:r w:rsidRPr="00BF083C">
        <w:t>pourrait</w:t>
      </w:r>
      <w:proofErr w:type="spellEnd"/>
      <w:r w:rsidRPr="00BF083C">
        <w:t xml:space="preserve"> </w:t>
      </w:r>
      <w:proofErr w:type="spellStart"/>
      <w:r w:rsidRPr="00BF083C">
        <w:t>être</w:t>
      </w:r>
      <w:proofErr w:type="spellEnd"/>
      <w:r w:rsidRPr="00BF083C">
        <w:t xml:space="preserve"> </w:t>
      </w:r>
      <w:proofErr w:type="spellStart"/>
      <w:r w:rsidRPr="00BF083C">
        <w:t>marquée</w:t>
      </w:r>
      <w:proofErr w:type="spellEnd"/>
      <w:r w:rsidRPr="00BF083C">
        <w:t xml:space="preserve"> par </w:t>
      </w:r>
      <w:proofErr w:type="spellStart"/>
      <w:r w:rsidRPr="00BF083C">
        <w:t>une</w:t>
      </w:r>
      <w:proofErr w:type="spellEnd"/>
      <w:r w:rsidRPr="00BF083C">
        <w:t xml:space="preserve"> transition </w:t>
      </w:r>
      <w:proofErr w:type="spellStart"/>
      <w:r w:rsidRPr="00BF083C">
        <w:t>accélérée</w:t>
      </w:r>
      <w:proofErr w:type="spellEnd"/>
      <w:r w:rsidRPr="00BF083C">
        <w:t xml:space="preserve"> </w:t>
      </w:r>
      <w:proofErr w:type="spellStart"/>
      <w:r w:rsidRPr="00BF083C">
        <w:t>vers</w:t>
      </w:r>
      <w:proofErr w:type="spellEnd"/>
      <w:r w:rsidRPr="00BF083C">
        <w:t xml:space="preserve"> </w:t>
      </w:r>
      <w:proofErr w:type="spellStart"/>
      <w:r w:rsidRPr="00BF083C">
        <w:t>une</w:t>
      </w:r>
      <w:proofErr w:type="spellEnd"/>
      <w:r w:rsidRPr="00BF083C">
        <w:t xml:space="preserve"> gestion </w:t>
      </w:r>
      <w:proofErr w:type="spellStart"/>
      <w:r w:rsidRPr="00BF083C">
        <w:t>intégrée</w:t>
      </w:r>
      <w:proofErr w:type="spellEnd"/>
      <w:r w:rsidRPr="00BF083C">
        <w:t xml:space="preserve"> durable des </w:t>
      </w:r>
      <w:proofErr w:type="spellStart"/>
      <w:r w:rsidRPr="00BF083C">
        <w:t>océans</w:t>
      </w:r>
      <w:proofErr w:type="spellEnd"/>
      <w:r w:rsidRPr="00BF083C">
        <w:t xml:space="preserve">, </w:t>
      </w:r>
      <w:proofErr w:type="spellStart"/>
      <w:r w:rsidRPr="00BF083C">
        <w:t>laquelle</w:t>
      </w:r>
      <w:proofErr w:type="spellEnd"/>
      <w:r w:rsidRPr="00BF083C">
        <w:t xml:space="preserve"> </w:t>
      </w:r>
      <w:proofErr w:type="spellStart"/>
      <w:r w:rsidRPr="00BF083C">
        <w:t>pourrait</w:t>
      </w:r>
      <w:proofErr w:type="spellEnd"/>
      <w:r w:rsidRPr="00BF083C">
        <w:t xml:space="preserve"> </w:t>
      </w:r>
      <w:proofErr w:type="spellStart"/>
      <w:r w:rsidRPr="00BF083C">
        <w:t>entraîner</w:t>
      </w:r>
      <w:proofErr w:type="spellEnd"/>
      <w:r w:rsidRPr="00BF083C">
        <w:t xml:space="preserve"> </w:t>
      </w:r>
      <w:proofErr w:type="spellStart"/>
      <w:r w:rsidRPr="00BF083C">
        <w:t>une</w:t>
      </w:r>
      <w:proofErr w:type="spellEnd"/>
      <w:r w:rsidRPr="00BF083C">
        <w:t xml:space="preserve"> inversion au </w:t>
      </w:r>
      <w:proofErr w:type="spellStart"/>
      <w:r w:rsidRPr="00BF083C">
        <w:t>moins</w:t>
      </w:r>
      <w:proofErr w:type="spellEnd"/>
      <w:r w:rsidRPr="00BF083C">
        <w:t xml:space="preserve"> </w:t>
      </w:r>
      <w:proofErr w:type="spellStart"/>
      <w:r w:rsidRPr="00BF083C">
        <w:t>partielle</w:t>
      </w:r>
      <w:proofErr w:type="spellEnd"/>
      <w:r w:rsidRPr="00BF083C">
        <w:t xml:space="preserve"> du </w:t>
      </w:r>
      <w:proofErr w:type="spellStart"/>
      <w:r w:rsidRPr="00BF083C">
        <w:t>déclin</w:t>
      </w:r>
      <w:proofErr w:type="spellEnd"/>
      <w:r w:rsidRPr="00BF083C">
        <w:t xml:space="preserve"> de la </w:t>
      </w:r>
      <w:proofErr w:type="spellStart"/>
      <w:r w:rsidRPr="00BF083C">
        <w:t>santé</w:t>
      </w:r>
      <w:proofErr w:type="spellEnd"/>
      <w:r w:rsidRPr="00BF083C">
        <w:t xml:space="preserve"> des </w:t>
      </w:r>
      <w:proofErr w:type="spellStart"/>
      <w:r w:rsidRPr="00BF083C">
        <w:t>océans</w:t>
      </w:r>
      <w:proofErr w:type="spellEnd"/>
      <w:r w:rsidRPr="00BF083C">
        <w:t xml:space="preserve">. </w:t>
      </w:r>
      <w:proofErr w:type="spellStart"/>
      <w:r w:rsidRPr="00BF083C">
        <w:t>Guidée</w:t>
      </w:r>
      <w:proofErr w:type="spellEnd"/>
      <w:r w:rsidRPr="00BF083C">
        <w:t xml:space="preserve"> par les </w:t>
      </w:r>
      <w:proofErr w:type="spellStart"/>
      <w:r w:rsidRPr="00BF083C">
        <w:t>objectifs</w:t>
      </w:r>
      <w:proofErr w:type="spellEnd"/>
      <w:r w:rsidRPr="00BF083C">
        <w:t xml:space="preserve"> de haut </w:t>
      </w:r>
      <w:proofErr w:type="spellStart"/>
      <w:r w:rsidRPr="00BF083C">
        <w:t>niveau</w:t>
      </w:r>
      <w:proofErr w:type="spellEnd"/>
      <w:r w:rsidRPr="00BF083C">
        <w:t xml:space="preserve"> de </w:t>
      </w:r>
      <w:proofErr w:type="spellStart"/>
      <w:r w:rsidRPr="00BF083C">
        <w:t>sa</w:t>
      </w:r>
      <w:proofErr w:type="spellEnd"/>
      <w:r w:rsidRPr="00BF083C">
        <w:t xml:space="preserve"> </w:t>
      </w:r>
      <w:proofErr w:type="spellStart"/>
      <w:r w:rsidRPr="00BF083C">
        <w:t>Stratégie</w:t>
      </w:r>
      <w:proofErr w:type="spellEnd"/>
      <w:r w:rsidRPr="00BF083C">
        <w:t xml:space="preserve"> pour 2014-2021, la Commission </w:t>
      </w:r>
      <w:proofErr w:type="spellStart"/>
      <w:r w:rsidRPr="00BF083C">
        <w:t>océanographique</w:t>
      </w:r>
      <w:proofErr w:type="spellEnd"/>
      <w:r w:rsidRPr="00BF083C">
        <w:t xml:space="preserve"> </w:t>
      </w:r>
      <w:proofErr w:type="spellStart"/>
      <w:r w:rsidRPr="00BF083C">
        <w:t>intergouvernementale</w:t>
      </w:r>
      <w:proofErr w:type="spellEnd"/>
      <w:r w:rsidRPr="00BF083C">
        <w:t xml:space="preserve"> (COI) a </w:t>
      </w:r>
      <w:proofErr w:type="spellStart"/>
      <w:r w:rsidRPr="00BF083C">
        <w:t>contribué</w:t>
      </w:r>
      <w:proofErr w:type="spellEnd"/>
      <w:r w:rsidRPr="00BF083C">
        <w:t xml:space="preserve"> à </w:t>
      </w:r>
      <w:proofErr w:type="spellStart"/>
      <w:r w:rsidRPr="00BF083C">
        <w:t>amorcer</w:t>
      </w:r>
      <w:proofErr w:type="spellEnd"/>
      <w:r w:rsidRPr="00BF083C">
        <w:t xml:space="preserve"> </w:t>
      </w:r>
      <w:proofErr w:type="spellStart"/>
      <w:r w:rsidRPr="00BF083C">
        <w:t>ce</w:t>
      </w:r>
      <w:proofErr w:type="spellEnd"/>
      <w:r w:rsidRPr="00BF083C">
        <w:t xml:space="preserve"> </w:t>
      </w:r>
      <w:proofErr w:type="spellStart"/>
      <w:r w:rsidRPr="00BF083C">
        <w:t>changement</w:t>
      </w:r>
      <w:proofErr w:type="spellEnd"/>
      <w:r w:rsidRPr="00BF083C">
        <w:t xml:space="preserve"> </w:t>
      </w:r>
      <w:proofErr w:type="spellStart"/>
      <w:r w:rsidRPr="00BF083C">
        <w:t>fondamental</w:t>
      </w:r>
      <w:proofErr w:type="spellEnd"/>
      <w:r w:rsidRPr="00BF083C">
        <w:t xml:space="preserve"> </w:t>
      </w:r>
      <w:proofErr w:type="spellStart"/>
      <w:r w:rsidRPr="00BF083C">
        <w:t>naissant</w:t>
      </w:r>
      <w:proofErr w:type="spellEnd"/>
      <w:r w:rsidRPr="00BF083C">
        <w:t xml:space="preserve"> et la vision qui le sous-tend. Elle a </w:t>
      </w:r>
      <w:proofErr w:type="spellStart"/>
      <w:r w:rsidRPr="00BF083C">
        <w:t>coordonné</w:t>
      </w:r>
      <w:proofErr w:type="spellEnd"/>
      <w:r w:rsidRPr="00BF083C">
        <w:t xml:space="preserve"> un </w:t>
      </w:r>
      <w:proofErr w:type="spellStart"/>
      <w:r w:rsidRPr="00BF083C">
        <w:t>Système</w:t>
      </w:r>
      <w:proofErr w:type="spellEnd"/>
      <w:r w:rsidRPr="00BF083C">
        <w:t xml:space="preserve"> </w:t>
      </w:r>
      <w:proofErr w:type="spellStart"/>
      <w:r w:rsidRPr="00BF083C">
        <w:t>mondial</w:t>
      </w:r>
      <w:proofErr w:type="spellEnd"/>
      <w:r w:rsidRPr="00BF083C">
        <w:t xml:space="preserve"> </w:t>
      </w:r>
      <w:proofErr w:type="spellStart"/>
      <w:r w:rsidRPr="00BF083C">
        <w:t>d’observation</w:t>
      </w:r>
      <w:proofErr w:type="spellEnd"/>
      <w:r w:rsidRPr="00BF083C">
        <w:t xml:space="preserve"> de </w:t>
      </w:r>
      <w:proofErr w:type="spellStart"/>
      <w:r w:rsidRPr="00BF083C">
        <w:t>l’océan</w:t>
      </w:r>
      <w:proofErr w:type="spellEnd"/>
      <w:r w:rsidRPr="00BF083C">
        <w:t xml:space="preserve"> (GOOS), </w:t>
      </w:r>
      <w:proofErr w:type="spellStart"/>
      <w:r w:rsidRPr="00BF083C">
        <w:t>facilité</w:t>
      </w:r>
      <w:proofErr w:type="spellEnd"/>
      <w:r w:rsidRPr="00BF083C">
        <w:t xml:space="preserve"> les </w:t>
      </w:r>
      <w:proofErr w:type="spellStart"/>
      <w:r w:rsidRPr="00BF083C">
        <w:t>échanges</w:t>
      </w:r>
      <w:proofErr w:type="spellEnd"/>
      <w:r w:rsidRPr="00BF083C">
        <w:t xml:space="preserve"> </w:t>
      </w:r>
      <w:proofErr w:type="spellStart"/>
      <w:r w:rsidRPr="00BF083C">
        <w:t>internationaux</w:t>
      </w:r>
      <w:proofErr w:type="spellEnd"/>
      <w:r w:rsidRPr="00BF083C">
        <w:t xml:space="preserve"> de </w:t>
      </w:r>
      <w:proofErr w:type="spellStart"/>
      <w:r w:rsidRPr="00BF083C">
        <w:t>données</w:t>
      </w:r>
      <w:proofErr w:type="spellEnd"/>
      <w:r w:rsidRPr="00BF083C">
        <w:t xml:space="preserve"> et la recherche de pointe, </w:t>
      </w:r>
      <w:proofErr w:type="spellStart"/>
      <w:r w:rsidRPr="00BF083C">
        <w:t>dirigé</w:t>
      </w:r>
      <w:proofErr w:type="spellEnd"/>
      <w:r w:rsidRPr="00BF083C">
        <w:t xml:space="preserve"> des services </w:t>
      </w:r>
      <w:proofErr w:type="spellStart"/>
      <w:r w:rsidRPr="00BF083C">
        <w:t>océaniques</w:t>
      </w:r>
      <w:proofErr w:type="spellEnd"/>
      <w:r w:rsidRPr="00BF083C">
        <w:t xml:space="preserve"> et </w:t>
      </w:r>
      <w:proofErr w:type="spellStart"/>
      <w:r w:rsidRPr="00BF083C">
        <w:t>contribué</w:t>
      </w:r>
      <w:proofErr w:type="spellEnd"/>
      <w:r w:rsidRPr="00BF083C">
        <w:t xml:space="preserve"> à des </w:t>
      </w:r>
      <w:proofErr w:type="spellStart"/>
      <w:r w:rsidRPr="00BF083C">
        <w:t>évaluations</w:t>
      </w:r>
      <w:proofErr w:type="spellEnd"/>
      <w:r w:rsidRPr="00BF083C">
        <w:t xml:space="preserve">, </w:t>
      </w:r>
      <w:proofErr w:type="spellStart"/>
      <w:r w:rsidRPr="00BF083C">
        <w:t>œuvré</w:t>
      </w:r>
      <w:proofErr w:type="spellEnd"/>
      <w:r w:rsidRPr="00BF083C">
        <w:t xml:space="preserve"> à </w:t>
      </w:r>
      <w:proofErr w:type="spellStart"/>
      <w:r w:rsidRPr="00BF083C">
        <w:t>l’interface</w:t>
      </w:r>
      <w:proofErr w:type="spellEnd"/>
      <w:r w:rsidRPr="00BF083C">
        <w:t xml:space="preserve"> science-politique-</w:t>
      </w:r>
      <w:proofErr w:type="spellStart"/>
      <w:r w:rsidRPr="00BF083C">
        <w:t>société</w:t>
      </w:r>
      <w:proofErr w:type="spellEnd"/>
      <w:r w:rsidRPr="00BF083C">
        <w:t xml:space="preserve">, soutenu le </w:t>
      </w:r>
      <w:proofErr w:type="spellStart"/>
      <w:r w:rsidRPr="00BF083C">
        <w:t>développement</w:t>
      </w:r>
      <w:proofErr w:type="spellEnd"/>
      <w:r w:rsidRPr="00BF083C">
        <w:t xml:space="preserve"> des </w:t>
      </w:r>
      <w:proofErr w:type="spellStart"/>
      <w:r w:rsidRPr="00BF083C">
        <w:t>capacités</w:t>
      </w:r>
      <w:proofErr w:type="spellEnd"/>
      <w:r w:rsidRPr="00BF083C">
        <w:t xml:space="preserve"> dans </w:t>
      </w:r>
      <w:proofErr w:type="spellStart"/>
      <w:r w:rsidRPr="00BF083C">
        <w:t>ses</w:t>
      </w:r>
      <w:proofErr w:type="spellEnd"/>
      <w:r w:rsidRPr="00BF083C">
        <w:t xml:space="preserve"> 150 </w:t>
      </w:r>
      <w:proofErr w:type="spellStart"/>
      <w:r w:rsidRPr="00BF083C">
        <w:t>États</w:t>
      </w:r>
      <w:proofErr w:type="spellEnd"/>
      <w:r w:rsidRPr="00BF083C">
        <w:t xml:space="preserve"> </w:t>
      </w:r>
      <w:proofErr w:type="spellStart"/>
      <w:r w:rsidRPr="00BF083C">
        <w:t>membres</w:t>
      </w:r>
      <w:proofErr w:type="spellEnd"/>
      <w:r w:rsidRPr="00BF083C">
        <w:t xml:space="preserve"> et </w:t>
      </w:r>
      <w:proofErr w:type="spellStart"/>
      <w:r w:rsidRPr="00BF083C">
        <w:t>entrepris</w:t>
      </w:r>
      <w:proofErr w:type="spellEnd"/>
      <w:r w:rsidRPr="00BF083C">
        <w:t xml:space="preserve"> un effort sans </w:t>
      </w:r>
      <w:proofErr w:type="spellStart"/>
      <w:r w:rsidRPr="00BF083C">
        <w:t>précédent</w:t>
      </w:r>
      <w:proofErr w:type="spellEnd"/>
      <w:r w:rsidRPr="00BF083C">
        <w:t xml:space="preserve"> – de par son </w:t>
      </w:r>
      <w:proofErr w:type="spellStart"/>
      <w:r w:rsidRPr="00BF083C">
        <w:t>caractère</w:t>
      </w:r>
      <w:proofErr w:type="spellEnd"/>
      <w:r w:rsidRPr="00BF083C">
        <w:t xml:space="preserve"> </w:t>
      </w:r>
      <w:proofErr w:type="spellStart"/>
      <w:r w:rsidRPr="00BF083C">
        <w:t>inclusif</w:t>
      </w:r>
      <w:proofErr w:type="spellEnd"/>
      <w:r w:rsidRPr="00BF083C">
        <w:t xml:space="preserve">, son ambition, son </w:t>
      </w:r>
      <w:proofErr w:type="spellStart"/>
      <w:r w:rsidRPr="00BF083C">
        <w:t>ampleur</w:t>
      </w:r>
      <w:proofErr w:type="spellEnd"/>
      <w:r w:rsidRPr="00BF083C">
        <w:t xml:space="preserve"> et son </w:t>
      </w:r>
      <w:proofErr w:type="spellStart"/>
      <w:r w:rsidRPr="00BF083C">
        <w:t>intensité</w:t>
      </w:r>
      <w:proofErr w:type="spellEnd"/>
      <w:r w:rsidRPr="00BF083C">
        <w:t xml:space="preserve"> – pour </w:t>
      </w:r>
      <w:proofErr w:type="spellStart"/>
      <w:r w:rsidRPr="00BF083C">
        <w:t>préparer</w:t>
      </w:r>
      <w:proofErr w:type="spellEnd"/>
      <w:r w:rsidRPr="00BF083C">
        <w:t xml:space="preserve"> la </w:t>
      </w:r>
      <w:proofErr w:type="spellStart"/>
      <w:r w:rsidRPr="00BF083C">
        <w:t>Décennie</w:t>
      </w:r>
      <w:proofErr w:type="spellEnd"/>
      <w:r w:rsidRPr="00BF083C">
        <w:t xml:space="preserve"> des Nations </w:t>
      </w:r>
      <w:proofErr w:type="spellStart"/>
      <w:r w:rsidRPr="00BF083C">
        <w:t>Unies</w:t>
      </w:r>
      <w:proofErr w:type="spellEnd"/>
      <w:r w:rsidRPr="00BF083C">
        <w:t xml:space="preserve"> pour les sciences </w:t>
      </w:r>
      <w:proofErr w:type="spellStart"/>
      <w:r w:rsidRPr="00BF083C">
        <w:t>océaniques</w:t>
      </w:r>
      <w:proofErr w:type="spellEnd"/>
      <w:r w:rsidRPr="00BF083C">
        <w:t xml:space="preserve"> au service du </w:t>
      </w:r>
      <w:proofErr w:type="spellStart"/>
      <w:r w:rsidRPr="00BF083C">
        <w:t>développement</w:t>
      </w:r>
      <w:proofErr w:type="spellEnd"/>
      <w:r w:rsidRPr="00BF083C">
        <w:t xml:space="preserve"> durable (2021-2030) (ci-après </w:t>
      </w:r>
      <w:proofErr w:type="spellStart"/>
      <w:r w:rsidRPr="00BF083C">
        <w:t>dénommée</w:t>
      </w:r>
      <w:proofErr w:type="spellEnd"/>
      <w:r w:rsidRPr="00BF083C">
        <w:t xml:space="preserve"> la « </w:t>
      </w:r>
      <w:proofErr w:type="spellStart"/>
      <w:r w:rsidRPr="00BF083C">
        <w:t>Décennie</w:t>
      </w:r>
      <w:proofErr w:type="spellEnd"/>
      <w:r w:rsidRPr="00BF083C">
        <w:t xml:space="preserve"> pour les sciences </w:t>
      </w:r>
      <w:proofErr w:type="spellStart"/>
      <w:r w:rsidRPr="00BF083C">
        <w:t>océanique</w:t>
      </w:r>
      <w:proofErr w:type="spellEnd"/>
      <w:r w:rsidRPr="00BF083C">
        <w:t xml:space="preserve"> »). </w:t>
      </w:r>
      <w:proofErr w:type="spellStart"/>
      <w:r w:rsidRPr="00BF083C">
        <w:t>Cette</w:t>
      </w:r>
      <w:proofErr w:type="spellEnd"/>
      <w:r w:rsidRPr="00BF083C">
        <w:t xml:space="preserve"> </w:t>
      </w:r>
      <w:proofErr w:type="spellStart"/>
      <w:r w:rsidRPr="00BF083C">
        <w:t>Décennie</w:t>
      </w:r>
      <w:proofErr w:type="spellEnd"/>
      <w:r w:rsidRPr="00BF083C">
        <w:t xml:space="preserve"> </w:t>
      </w:r>
      <w:proofErr w:type="spellStart"/>
      <w:r w:rsidRPr="00BF083C">
        <w:t>offrira</w:t>
      </w:r>
      <w:proofErr w:type="spellEnd"/>
      <w:r w:rsidRPr="00BF083C">
        <w:t xml:space="preserve"> aux pays </w:t>
      </w:r>
      <w:proofErr w:type="spellStart"/>
      <w:r w:rsidRPr="00BF083C">
        <w:t>une</w:t>
      </w:r>
      <w:proofErr w:type="spellEnd"/>
      <w:r w:rsidRPr="00BF083C">
        <w:t xml:space="preserve"> occasion </w:t>
      </w:r>
      <w:proofErr w:type="spellStart"/>
      <w:r w:rsidRPr="00BF083C">
        <w:t>exceptionnelle</w:t>
      </w:r>
      <w:proofErr w:type="spellEnd"/>
      <w:r w:rsidRPr="00BF083C">
        <w:t xml:space="preserve"> de </w:t>
      </w:r>
      <w:proofErr w:type="spellStart"/>
      <w:r w:rsidRPr="00BF083C">
        <w:t>travailler</w:t>
      </w:r>
      <w:proofErr w:type="spellEnd"/>
      <w:r w:rsidRPr="00BF083C">
        <w:t xml:space="preserve"> ensemble </w:t>
      </w:r>
      <w:proofErr w:type="spellStart"/>
      <w:r w:rsidRPr="00BF083C">
        <w:t>afin</w:t>
      </w:r>
      <w:proofErr w:type="spellEnd"/>
      <w:r w:rsidRPr="00BF083C">
        <w:t xml:space="preserve"> de </w:t>
      </w:r>
      <w:proofErr w:type="spellStart"/>
      <w:r w:rsidRPr="00BF083C">
        <w:t>produire</w:t>
      </w:r>
      <w:proofErr w:type="spellEnd"/>
      <w:r w:rsidRPr="00BF083C">
        <w:t xml:space="preserve"> les </w:t>
      </w:r>
      <w:proofErr w:type="spellStart"/>
      <w:r w:rsidRPr="00BF083C">
        <w:t>connaissances</w:t>
      </w:r>
      <w:proofErr w:type="spellEnd"/>
      <w:r w:rsidRPr="00BF083C">
        <w:t xml:space="preserve"> </w:t>
      </w:r>
      <w:proofErr w:type="spellStart"/>
      <w:r w:rsidRPr="00BF083C">
        <w:t>océanographiques</w:t>
      </w:r>
      <w:proofErr w:type="spellEnd"/>
      <w:r w:rsidRPr="00BF083C">
        <w:t xml:space="preserve"> </w:t>
      </w:r>
      <w:proofErr w:type="spellStart"/>
      <w:r w:rsidRPr="00BF083C">
        <w:t>mondiales</w:t>
      </w:r>
      <w:proofErr w:type="spellEnd"/>
      <w:r w:rsidRPr="00BF083C">
        <w:t xml:space="preserve"> </w:t>
      </w:r>
      <w:proofErr w:type="spellStart"/>
      <w:r w:rsidRPr="00BF083C">
        <w:t>nécessaires</w:t>
      </w:r>
      <w:proofErr w:type="spellEnd"/>
      <w:r w:rsidRPr="00BF083C">
        <w:t xml:space="preserve"> pour </w:t>
      </w:r>
      <w:proofErr w:type="spellStart"/>
      <w:r w:rsidRPr="00BF083C">
        <w:t>favoriser</w:t>
      </w:r>
      <w:proofErr w:type="spellEnd"/>
      <w:r w:rsidRPr="00BF083C">
        <w:t xml:space="preserve"> le </w:t>
      </w:r>
      <w:proofErr w:type="spellStart"/>
      <w:r w:rsidRPr="00BF083C">
        <w:t>développement</w:t>
      </w:r>
      <w:proofErr w:type="spellEnd"/>
      <w:r w:rsidRPr="00BF083C">
        <w:t xml:space="preserve"> durable de </w:t>
      </w:r>
      <w:proofErr w:type="spellStart"/>
      <w:r w:rsidRPr="00BF083C">
        <w:t>notre</w:t>
      </w:r>
      <w:proofErr w:type="spellEnd"/>
      <w:r w:rsidRPr="00BF083C">
        <w:t xml:space="preserve"> </w:t>
      </w:r>
      <w:proofErr w:type="spellStart"/>
      <w:r w:rsidRPr="00BF083C">
        <w:t>système</w:t>
      </w:r>
      <w:proofErr w:type="spellEnd"/>
      <w:r w:rsidRPr="00BF083C">
        <w:t xml:space="preserve"> </w:t>
      </w:r>
      <w:proofErr w:type="spellStart"/>
      <w:r w:rsidRPr="00BF083C">
        <w:t>océanique</w:t>
      </w:r>
      <w:proofErr w:type="spellEnd"/>
      <w:r w:rsidRPr="00BF083C">
        <w:t xml:space="preserve"> </w:t>
      </w:r>
      <w:proofErr w:type="spellStart"/>
      <w:r w:rsidRPr="00BF083C">
        <w:t>commun</w:t>
      </w:r>
      <w:proofErr w:type="spellEnd"/>
      <w:r w:rsidRPr="00BF083C">
        <w:t xml:space="preserve">, car </w:t>
      </w:r>
      <w:proofErr w:type="spellStart"/>
      <w:r w:rsidRPr="00BF083C">
        <w:t>elle</w:t>
      </w:r>
      <w:proofErr w:type="spellEnd"/>
      <w:r w:rsidRPr="00BF083C">
        <w:t xml:space="preserve"> </w:t>
      </w:r>
      <w:proofErr w:type="spellStart"/>
      <w:r w:rsidRPr="00BF083C">
        <w:t>mettra</w:t>
      </w:r>
      <w:proofErr w:type="spellEnd"/>
      <w:r w:rsidRPr="00BF083C">
        <w:t xml:space="preserve"> </w:t>
      </w:r>
      <w:proofErr w:type="spellStart"/>
      <w:r w:rsidRPr="00BF083C">
        <w:t>en</w:t>
      </w:r>
      <w:proofErr w:type="spellEnd"/>
      <w:r w:rsidRPr="00BF083C">
        <w:t xml:space="preserve"> lumière les </w:t>
      </w:r>
      <w:proofErr w:type="spellStart"/>
      <w:r w:rsidRPr="00BF083C">
        <w:t>bénéfices</w:t>
      </w:r>
      <w:proofErr w:type="spellEnd"/>
      <w:r w:rsidRPr="00BF083C">
        <w:t xml:space="preserve"> de la COI et de </w:t>
      </w:r>
      <w:proofErr w:type="spellStart"/>
      <w:r w:rsidRPr="00BF083C">
        <w:t>ses</w:t>
      </w:r>
      <w:proofErr w:type="spellEnd"/>
      <w:r w:rsidRPr="00BF083C">
        <w:t xml:space="preserve"> programmes pour la </w:t>
      </w:r>
      <w:proofErr w:type="spellStart"/>
      <w:r w:rsidRPr="00BF083C">
        <w:t>société</w:t>
      </w:r>
      <w:proofErr w:type="spellEnd"/>
      <w:r w:rsidRPr="00BF083C">
        <w:t xml:space="preserve">. À </w:t>
      </w:r>
      <w:proofErr w:type="spellStart"/>
      <w:r w:rsidRPr="00BF083C">
        <w:t>compter</w:t>
      </w:r>
      <w:proofErr w:type="spellEnd"/>
      <w:r w:rsidRPr="00BF083C">
        <w:t xml:space="preserve"> de 2021, la COI a la </w:t>
      </w:r>
      <w:proofErr w:type="spellStart"/>
      <w:r w:rsidRPr="00BF083C">
        <w:t>responsabilité</w:t>
      </w:r>
      <w:proofErr w:type="spellEnd"/>
      <w:r w:rsidRPr="00BF083C">
        <w:t xml:space="preserve"> majeure de </w:t>
      </w:r>
      <w:proofErr w:type="spellStart"/>
      <w:r w:rsidRPr="00BF083C">
        <w:t>soutenir</w:t>
      </w:r>
      <w:proofErr w:type="spellEnd"/>
      <w:r w:rsidRPr="00BF083C">
        <w:t xml:space="preserve"> et de </w:t>
      </w:r>
      <w:proofErr w:type="spellStart"/>
      <w:r w:rsidRPr="00BF083C">
        <w:t>faciliter</w:t>
      </w:r>
      <w:proofErr w:type="spellEnd"/>
      <w:r w:rsidRPr="00BF083C">
        <w:t xml:space="preserve"> la mise </w:t>
      </w:r>
      <w:proofErr w:type="spellStart"/>
      <w:r w:rsidRPr="00BF083C">
        <w:t>en</w:t>
      </w:r>
      <w:proofErr w:type="spellEnd"/>
      <w:r w:rsidRPr="00BF083C">
        <w:t xml:space="preserve"> </w:t>
      </w:r>
      <w:proofErr w:type="spellStart"/>
      <w:r w:rsidRPr="00BF083C">
        <w:t>œuvre</w:t>
      </w:r>
      <w:proofErr w:type="spellEnd"/>
      <w:r w:rsidRPr="00BF083C">
        <w:t xml:space="preserve"> de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et de </w:t>
      </w:r>
      <w:proofErr w:type="spellStart"/>
      <w:r w:rsidRPr="00BF083C">
        <w:t>rendre</w:t>
      </w:r>
      <w:proofErr w:type="spellEnd"/>
      <w:r w:rsidRPr="00BF083C">
        <w:t xml:space="preserve"> </w:t>
      </w:r>
      <w:proofErr w:type="spellStart"/>
      <w:r w:rsidRPr="00BF083C">
        <w:t>compte</w:t>
      </w:r>
      <w:proofErr w:type="spellEnd"/>
      <w:r w:rsidRPr="00BF083C">
        <w:t xml:space="preserve"> </w:t>
      </w:r>
      <w:proofErr w:type="spellStart"/>
      <w:r w:rsidRPr="00BF083C">
        <w:t>régulièrement</w:t>
      </w:r>
      <w:proofErr w:type="spellEnd"/>
      <w:r w:rsidRPr="00BF083C">
        <w:t xml:space="preserve"> aux </w:t>
      </w:r>
      <w:proofErr w:type="spellStart"/>
      <w:r w:rsidRPr="00BF083C">
        <w:t>États</w:t>
      </w:r>
      <w:proofErr w:type="spellEnd"/>
      <w:r w:rsidRPr="00BF083C">
        <w:t xml:space="preserve"> </w:t>
      </w:r>
      <w:proofErr w:type="spellStart"/>
      <w:r w:rsidRPr="00BF083C">
        <w:t>membres</w:t>
      </w:r>
      <w:proofErr w:type="spellEnd"/>
      <w:r w:rsidRPr="00BF083C">
        <w:t xml:space="preserve"> et à </w:t>
      </w:r>
      <w:proofErr w:type="spellStart"/>
      <w:r w:rsidRPr="00BF083C">
        <w:t>l’ONU</w:t>
      </w:r>
      <w:proofErr w:type="spellEnd"/>
      <w:r w:rsidRPr="00BF083C">
        <w:t xml:space="preserve"> des </w:t>
      </w:r>
      <w:proofErr w:type="spellStart"/>
      <w:r w:rsidRPr="00BF083C">
        <w:t>progrès</w:t>
      </w:r>
      <w:proofErr w:type="spellEnd"/>
      <w:r w:rsidRPr="00BF083C">
        <w:t xml:space="preserve"> </w:t>
      </w:r>
      <w:proofErr w:type="spellStart"/>
      <w:r w:rsidRPr="00BF083C">
        <w:t>accomplis</w:t>
      </w:r>
      <w:proofErr w:type="spellEnd"/>
      <w:r w:rsidRPr="00BF083C">
        <w:t xml:space="preserve">, </w:t>
      </w:r>
      <w:proofErr w:type="spellStart"/>
      <w:r w:rsidRPr="00BF083C">
        <w:t>ce</w:t>
      </w:r>
      <w:proofErr w:type="spellEnd"/>
      <w:r w:rsidRPr="00BF083C">
        <w:t xml:space="preserve"> qui </w:t>
      </w:r>
      <w:proofErr w:type="spellStart"/>
      <w:r w:rsidRPr="00BF083C">
        <w:t>incitera</w:t>
      </w:r>
      <w:proofErr w:type="spellEnd"/>
      <w:r w:rsidRPr="00BF083C">
        <w:t xml:space="preserve"> </w:t>
      </w:r>
      <w:proofErr w:type="spellStart"/>
      <w:r w:rsidRPr="00BF083C">
        <w:t>fortement</w:t>
      </w:r>
      <w:proofErr w:type="spellEnd"/>
      <w:r w:rsidRPr="00BF083C">
        <w:t xml:space="preserve"> à appliquer les </w:t>
      </w:r>
      <w:proofErr w:type="spellStart"/>
      <w:r w:rsidRPr="00BF083C">
        <w:t>priorités</w:t>
      </w:r>
      <w:proofErr w:type="spellEnd"/>
      <w:r w:rsidRPr="00BF083C">
        <w:t xml:space="preserve"> </w:t>
      </w:r>
      <w:proofErr w:type="spellStart"/>
      <w:r w:rsidRPr="00BF083C">
        <w:t>mondiales</w:t>
      </w:r>
      <w:proofErr w:type="spellEnd"/>
      <w:r w:rsidRPr="00BF083C">
        <w:t xml:space="preserve"> </w:t>
      </w:r>
      <w:proofErr w:type="spellStart"/>
      <w:r w:rsidRPr="00BF083C">
        <w:t>définies</w:t>
      </w:r>
      <w:proofErr w:type="spellEnd"/>
      <w:r w:rsidRPr="00BF083C">
        <w:t xml:space="preserve"> </w:t>
      </w:r>
      <w:proofErr w:type="spellStart"/>
      <w:r w:rsidRPr="00BF083C">
        <w:t>collectivement</w:t>
      </w:r>
      <w:proofErr w:type="spellEnd"/>
      <w:r w:rsidRPr="00BF083C">
        <w:t>.</w:t>
      </w:r>
    </w:p>
    <w:p w14:paraId="2A476EAA" w14:textId="47EB88F9" w:rsidR="002E3D9D" w:rsidRPr="00BF083C" w:rsidRDefault="002D1F1D" w:rsidP="002D1F1D">
      <w:pPr>
        <w:widowControl/>
        <w:tabs>
          <w:tab w:val="clear" w:pos="567"/>
          <w:tab w:val="left" w:pos="1134"/>
        </w:tabs>
        <w:adjustRightInd/>
        <w:snapToGrid/>
        <w:spacing w:after="240" w:line="240" w:lineRule="auto"/>
        <w:textAlignment w:val="auto"/>
        <w:rPr>
          <w:iCs/>
        </w:rPr>
      </w:pPr>
      <w:r w:rsidRPr="00BF083C">
        <w:rPr>
          <w:bdr w:val="single" w:sz="4" w:space="0" w:color="auto"/>
        </w:rPr>
        <w:t>03002</w:t>
      </w:r>
      <w:r w:rsidRPr="00BF083C">
        <w:tab/>
        <w:t xml:space="preserve">La </w:t>
      </w:r>
      <w:proofErr w:type="spellStart"/>
      <w:r w:rsidRPr="00BF083C">
        <w:t>pandémie</w:t>
      </w:r>
      <w:proofErr w:type="spellEnd"/>
      <w:r w:rsidRPr="00BF083C">
        <w:t xml:space="preserve"> de COVID-19 a </w:t>
      </w:r>
      <w:proofErr w:type="spellStart"/>
      <w:r w:rsidRPr="00BF083C">
        <w:t>eu</w:t>
      </w:r>
      <w:proofErr w:type="spellEnd"/>
      <w:r w:rsidRPr="00BF083C">
        <w:t xml:space="preserve"> des incidences sur la COI et les </w:t>
      </w:r>
      <w:proofErr w:type="spellStart"/>
      <w:r w:rsidRPr="00BF083C">
        <w:t>activités</w:t>
      </w:r>
      <w:proofErr w:type="spellEnd"/>
      <w:r w:rsidRPr="00BF083C">
        <w:t xml:space="preserve"> </w:t>
      </w:r>
      <w:proofErr w:type="spellStart"/>
      <w:r w:rsidRPr="00BF083C">
        <w:t>océaniques</w:t>
      </w:r>
      <w:proofErr w:type="spellEnd"/>
      <w:r w:rsidRPr="00BF083C">
        <w:t xml:space="preserve">, </w:t>
      </w:r>
      <w:proofErr w:type="spellStart"/>
      <w:r w:rsidRPr="00BF083C">
        <w:t>mais</w:t>
      </w:r>
      <w:proofErr w:type="spellEnd"/>
      <w:r w:rsidRPr="00BF083C">
        <w:t xml:space="preserve"> la Commission a </w:t>
      </w:r>
      <w:proofErr w:type="spellStart"/>
      <w:r w:rsidRPr="00BF083C">
        <w:t>ajusté</w:t>
      </w:r>
      <w:proofErr w:type="spellEnd"/>
      <w:r w:rsidRPr="00BF083C">
        <w:t xml:space="preserve"> son travail pour </w:t>
      </w:r>
      <w:proofErr w:type="spellStart"/>
      <w:r w:rsidRPr="00BF083C">
        <w:t>atténuer</w:t>
      </w:r>
      <w:proofErr w:type="spellEnd"/>
      <w:r w:rsidRPr="00BF083C">
        <w:t xml:space="preserve"> </w:t>
      </w:r>
      <w:proofErr w:type="spellStart"/>
      <w:r w:rsidRPr="00BF083C">
        <w:t>ces</w:t>
      </w:r>
      <w:proofErr w:type="spellEnd"/>
      <w:r w:rsidRPr="00BF083C">
        <w:t xml:space="preserve"> </w:t>
      </w:r>
      <w:proofErr w:type="spellStart"/>
      <w:r w:rsidRPr="00BF083C">
        <w:t>effets</w:t>
      </w:r>
      <w:proofErr w:type="spellEnd"/>
      <w:r w:rsidRPr="00BF083C">
        <w:t xml:space="preserve"> </w:t>
      </w:r>
      <w:proofErr w:type="spellStart"/>
      <w:r w:rsidRPr="00BF083C">
        <w:t>néfastes</w:t>
      </w:r>
      <w:proofErr w:type="spellEnd"/>
      <w:r w:rsidRPr="00BF083C">
        <w:t xml:space="preserve">. Le confinement a </w:t>
      </w:r>
      <w:proofErr w:type="spellStart"/>
      <w:r w:rsidRPr="00BF083C">
        <w:t>eu</w:t>
      </w:r>
      <w:proofErr w:type="spellEnd"/>
      <w:r w:rsidRPr="00BF083C">
        <w:t xml:space="preserve"> un impact </w:t>
      </w:r>
      <w:proofErr w:type="spellStart"/>
      <w:r w:rsidRPr="00BF083C">
        <w:t>négatif</w:t>
      </w:r>
      <w:proofErr w:type="spellEnd"/>
      <w:r w:rsidRPr="00BF083C">
        <w:t xml:space="preserve"> sur les observations </w:t>
      </w:r>
      <w:proofErr w:type="spellStart"/>
      <w:r w:rsidRPr="00BF083C">
        <w:t>océaniques</w:t>
      </w:r>
      <w:proofErr w:type="spellEnd"/>
      <w:r w:rsidRPr="00BF083C">
        <w:t xml:space="preserve">. La </w:t>
      </w:r>
      <w:proofErr w:type="spellStart"/>
      <w:r w:rsidRPr="00BF083C">
        <w:t>communauté</w:t>
      </w:r>
      <w:proofErr w:type="spellEnd"/>
      <w:r w:rsidRPr="00BF083C">
        <w:t xml:space="preserve"> des </w:t>
      </w:r>
      <w:proofErr w:type="spellStart"/>
      <w:r w:rsidRPr="00BF083C">
        <w:t>observateurs</w:t>
      </w:r>
      <w:proofErr w:type="spellEnd"/>
      <w:r w:rsidRPr="00BF083C">
        <w:t xml:space="preserve"> a fait </w:t>
      </w:r>
      <w:proofErr w:type="spellStart"/>
      <w:r w:rsidRPr="00BF083C">
        <w:t>preuve</w:t>
      </w:r>
      <w:proofErr w:type="spellEnd"/>
      <w:r w:rsidRPr="00BF083C">
        <w:t xml:space="preserve"> de </w:t>
      </w:r>
      <w:proofErr w:type="spellStart"/>
      <w:r w:rsidRPr="00BF083C">
        <w:t>résilience</w:t>
      </w:r>
      <w:proofErr w:type="spellEnd"/>
      <w:r w:rsidRPr="00BF083C">
        <w:t xml:space="preserve"> et a trouvé des solutions pour </w:t>
      </w:r>
      <w:proofErr w:type="spellStart"/>
      <w:r w:rsidRPr="00BF083C">
        <w:t>maintenir</w:t>
      </w:r>
      <w:proofErr w:type="spellEnd"/>
      <w:r w:rsidRPr="00BF083C">
        <w:t xml:space="preserve"> le </w:t>
      </w:r>
      <w:proofErr w:type="spellStart"/>
      <w:r w:rsidRPr="00BF083C">
        <w:t>système</w:t>
      </w:r>
      <w:proofErr w:type="spellEnd"/>
      <w:r w:rsidRPr="00BF083C">
        <w:t xml:space="preserve"> </w:t>
      </w:r>
      <w:proofErr w:type="spellStart"/>
      <w:r w:rsidRPr="00BF083C">
        <w:t>en</w:t>
      </w:r>
      <w:proofErr w:type="spellEnd"/>
      <w:r w:rsidRPr="00BF083C">
        <w:t xml:space="preserve"> </w:t>
      </w:r>
      <w:proofErr w:type="spellStart"/>
      <w:r w:rsidRPr="00BF083C">
        <w:t>fonctionnement</w:t>
      </w:r>
      <w:proofErr w:type="spellEnd"/>
      <w:r w:rsidRPr="00BF083C">
        <w:t xml:space="preserve"> </w:t>
      </w:r>
      <w:proofErr w:type="spellStart"/>
      <w:r w:rsidRPr="00BF083C">
        <w:t>autant</w:t>
      </w:r>
      <w:proofErr w:type="spellEnd"/>
      <w:r w:rsidRPr="00BF083C">
        <w:t xml:space="preserve"> que possible, </w:t>
      </w:r>
      <w:proofErr w:type="spellStart"/>
      <w:r w:rsidRPr="00BF083C">
        <w:t>notamment</w:t>
      </w:r>
      <w:proofErr w:type="spellEnd"/>
      <w:r w:rsidRPr="00BF083C">
        <w:t xml:space="preserve"> </w:t>
      </w:r>
      <w:proofErr w:type="spellStart"/>
      <w:r w:rsidRPr="00BF083C">
        <w:t>en</w:t>
      </w:r>
      <w:proofErr w:type="spellEnd"/>
      <w:r w:rsidRPr="00BF083C">
        <w:t xml:space="preserve"> </w:t>
      </w:r>
      <w:proofErr w:type="spellStart"/>
      <w:r w:rsidRPr="00BF083C">
        <w:t>renforçant</w:t>
      </w:r>
      <w:proofErr w:type="spellEnd"/>
      <w:r w:rsidRPr="00BF083C">
        <w:t xml:space="preserve"> la collaboration </w:t>
      </w:r>
      <w:proofErr w:type="spellStart"/>
      <w:r w:rsidRPr="00BF083C">
        <w:t>internationale</w:t>
      </w:r>
      <w:proofErr w:type="spellEnd"/>
      <w:r w:rsidRPr="00BF083C">
        <w:t xml:space="preserve">. La </w:t>
      </w:r>
      <w:proofErr w:type="spellStart"/>
      <w:r w:rsidRPr="00BF083C">
        <w:t>nécessité</w:t>
      </w:r>
      <w:proofErr w:type="spellEnd"/>
      <w:r w:rsidRPr="00BF083C">
        <w:t xml:space="preserve"> de </w:t>
      </w:r>
      <w:proofErr w:type="spellStart"/>
      <w:r w:rsidRPr="00BF083C">
        <w:t>maintenir</w:t>
      </w:r>
      <w:proofErr w:type="spellEnd"/>
      <w:r w:rsidRPr="00BF083C">
        <w:t xml:space="preserve"> des distances physiques a </w:t>
      </w:r>
      <w:proofErr w:type="spellStart"/>
      <w:r w:rsidRPr="00BF083C">
        <w:t>modifié</w:t>
      </w:r>
      <w:proofErr w:type="spellEnd"/>
      <w:r w:rsidRPr="00BF083C">
        <w:t xml:space="preserve"> les </w:t>
      </w:r>
      <w:proofErr w:type="spellStart"/>
      <w:r w:rsidRPr="00BF083C">
        <w:t>modalités</w:t>
      </w:r>
      <w:proofErr w:type="spellEnd"/>
      <w:r w:rsidRPr="00BF083C">
        <w:t xml:space="preserve"> de </w:t>
      </w:r>
      <w:proofErr w:type="spellStart"/>
      <w:r w:rsidRPr="00BF083C">
        <w:t>réaction</w:t>
      </w:r>
      <w:proofErr w:type="spellEnd"/>
      <w:r w:rsidRPr="00BF083C">
        <w:t xml:space="preserve"> aux </w:t>
      </w:r>
      <w:proofErr w:type="spellStart"/>
      <w:r w:rsidRPr="00BF083C">
        <w:t>alertes</w:t>
      </w:r>
      <w:proofErr w:type="spellEnd"/>
      <w:r w:rsidRPr="00BF083C">
        <w:t xml:space="preserve"> aux tsunamis. La COI a </w:t>
      </w:r>
      <w:proofErr w:type="spellStart"/>
      <w:r w:rsidRPr="00BF083C">
        <w:t>donc</w:t>
      </w:r>
      <w:proofErr w:type="spellEnd"/>
      <w:r w:rsidRPr="00BF083C">
        <w:t xml:space="preserve"> </w:t>
      </w:r>
      <w:proofErr w:type="spellStart"/>
      <w:r w:rsidRPr="00BF083C">
        <w:t>publié</w:t>
      </w:r>
      <w:proofErr w:type="spellEnd"/>
      <w:r w:rsidRPr="00BF083C">
        <w:t xml:space="preserve"> des </w:t>
      </w:r>
      <w:proofErr w:type="spellStart"/>
      <w:r w:rsidRPr="00BF083C">
        <w:t>consignes</w:t>
      </w:r>
      <w:proofErr w:type="spellEnd"/>
      <w:r w:rsidRPr="00BF083C">
        <w:t xml:space="preserve"> </w:t>
      </w:r>
      <w:proofErr w:type="spellStart"/>
      <w:r w:rsidRPr="00BF083C">
        <w:t>actualisées</w:t>
      </w:r>
      <w:proofErr w:type="spellEnd"/>
      <w:r w:rsidRPr="00BF083C">
        <w:t xml:space="preserve"> pour </w:t>
      </w:r>
      <w:proofErr w:type="spellStart"/>
      <w:r w:rsidRPr="00BF083C">
        <w:t>l’évacuation</w:t>
      </w:r>
      <w:proofErr w:type="spellEnd"/>
      <w:r w:rsidRPr="00BF083C">
        <w:t xml:space="preserve"> </w:t>
      </w:r>
      <w:proofErr w:type="spellStart"/>
      <w:r w:rsidRPr="00BF083C">
        <w:t>en</w:t>
      </w:r>
      <w:proofErr w:type="spellEnd"/>
      <w:r w:rsidRPr="00BF083C">
        <w:t xml:space="preserve"> </w:t>
      </w:r>
      <w:proofErr w:type="spellStart"/>
      <w:r w:rsidRPr="00BF083C">
        <w:t>cas</w:t>
      </w:r>
      <w:proofErr w:type="spellEnd"/>
      <w:r w:rsidRPr="00BF083C">
        <w:t xml:space="preserve"> de </w:t>
      </w:r>
      <w:proofErr w:type="spellStart"/>
      <w:r w:rsidRPr="00BF083C">
        <w:t>contraintes</w:t>
      </w:r>
      <w:proofErr w:type="spellEnd"/>
      <w:r w:rsidRPr="00BF083C">
        <w:t xml:space="preserve"> de confinement. Les pressions post-crise </w:t>
      </w:r>
      <w:proofErr w:type="spellStart"/>
      <w:r w:rsidRPr="00BF083C">
        <w:t>pourraient</w:t>
      </w:r>
      <w:proofErr w:type="spellEnd"/>
      <w:r w:rsidRPr="00BF083C">
        <w:t xml:space="preserve"> </w:t>
      </w:r>
      <w:proofErr w:type="spellStart"/>
      <w:r w:rsidRPr="00BF083C">
        <w:t>conduire</w:t>
      </w:r>
      <w:proofErr w:type="spellEnd"/>
      <w:r w:rsidRPr="00BF083C">
        <w:t xml:space="preserve"> à </w:t>
      </w:r>
      <w:proofErr w:type="spellStart"/>
      <w:r w:rsidRPr="00BF083C">
        <w:t>une</w:t>
      </w:r>
      <w:proofErr w:type="spellEnd"/>
      <w:r w:rsidRPr="00BF083C">
        <w:t xml:space="preserve"> nouvelle </w:t>
      </w:r>
      <w:proofErr w:type="spellStart"/>
      <w:r w:rsidRPr="00BF083C">
        <w:t>réduction</w:t>
      </w:r>
      <w:proofErr w:type="spellEnd"/>
      <w:r w:rsidRPr="00BF083C">
        <w:t xml:space="preserve"> du budget global encore </w:t>
      </w:r>
      <w:proofErr w:type="spellStart"/>
      <w:r w:rsidRPr="00BF083C">
        <w:t>très</w:t>
      </w:r>
      <w:proofErr w:type="spellEnd"/>
      <w:r w:rsidRPr="00BF083C">
        <w:t xml:space="preserve"> </w:t>
      </w:r>
      <w:proofErr w:type="spellStart"/>
      <w:r w:rsidRPr="00BF083C">
        <w:t>modeste</w:t>
      </w:r>
      <w:proofErr w:type="spellEnd"/>
      <w:r w:rsidRPr="00BF083C">
        <w:t xml:space="preserve"> que les pays </w:t>
      </w:r>
      <w:proofErr w:type="spellStart"/>
      <w:r w:rsidRPr="00BF083C">
        <w:t>consacrent</w:t>
      </w:r>
      <w:proofErr w:type="spellEnd"/>
      <w:r w:rsidRPr="00BF083C">
        <w:t xml:space="preserve"> à la recherche </w:t>
      </w:r>
      <w:proofErr w:type="spellStart"/>
      <w:r w:rsidRPr="00BF083C">
        <w:t>océanographique</w:t>
      </w:r>
      <w:proofErr w:type="spellEnd"/>
      <w:r w:rsidRPr="00BF083C">
        <w:t xml:space="preserve">. Par le </w:t>
      </w:r>
      <w:proofErr w:type="spellStart"/>
      <w:r w:rsidRPr="00BF083C">
        <w:t>biais</w:t>
      </w:r>
      <w:proofErr w:type="spellEnd"/>
      <w:r w:rsidRPr="00BF083C">
        <w:t xml:space="preserve"> de son Rapport </w:t>
      </w:r>
      <w:proofErr w:type="spellStart"/>
      <w:r w:rsidRPr="00BF083C">
        <w:t>mondial</w:t>
      </w:r>
      <w:proofErr w:type="spellEnd"/>
      <w:r w:rsidRPr="00BF083C">
        <w:t xml:space="preserve"> sur les sciences </w:t>
      </w:r>
      <w:proofErr w:type="spellStart"/>
      <w:r w:rsidRPr="00BF083C">
        <w:t>océaniques</w:t>
      </w:r>
      <w:proofErr w:type="spellEnd"/>
      <w:r w:rsidRPr="00BF083C">
        <w:t xml:space="preserve">, la COI </w:t>
      </w:r>
      <w:proofErr w:type="spellStart"/>
      <w:r w:rsidRPr="00BF083C">
        <w:t>continuera</w:t>
      </w:r>
      <w:proofErr w:type="spellEnd"/>
      <w:r w:rsidRPr="00BF083C">
        <w:t xml:space="preserve"> de </w:t>
      </w:r>
      <w:proofErr w:type="spellStart"/>
      <w:r w:rsidRPr="00BF083C">
        <w:t>surveiller</w:t>
      </w:r>
      <w:proofErr w:type="spellEnd"/>
      <w:r w:rsidRPr="00BF083C">
        <w:t xml:space="preserve"> les tendances qui </w:t>
      </w:r>
      <w:proofErr w:type="spellStart"/>
      <w:r w:rsidRPr="00BF083C">
        <w:t>pourraient</w:t>
      </w:r>
      <w:proofErr w:type="spellEnd"/>
      <w:r w:rsidRPr="00BF083C">
        <w:t xml:space="preserve"> </w:t>
      </w:r>
      <w:proofErr w:type="spellStart"/>
      <w:r w:rsidRPr="00BF083C">
        <w:t>avoir</w:t>
      </w:r>
      <w:proofErr w:type="spellEnd"/>
      <w:r w:rsidRPr="00BF083C">
        <w:t xml:space="preserve"> </w:t>
      </w:r>
      <w:proofErr w:type="spellStart"/>
      <w:r w:rsidRPr="00BF083C">
        <w:t>une</w:t>
      </w:r>
      <w:proofErr w:type="spellEnd"/>
      <w:r w:rsidRPr="00BF083C">
        <w:t xml:space="preserve"> incidence </w:t>
      </w:r>
      <w:proofErr w:type="spellStart"/>
      <w:r w:rsidRPr="00BF083C">
        <w:t>négative</w:t>
      </w:r>
      <w:proofErr w:type="spellEnd"/>
      <w:r w:rsidRPr="00BF083C">
        <w:t xml:space="preserve"> sur </w:t>
      </w:r>
      <w:proofErr w:type="spellStart"/>
      <w:r w:rsidRPr="00BF083C">
        <w:t>notre</w:t>
      </w:r>
      <w:proofErr w:type="spellEnd"/>
      <w:r w:rsidRPr="00BF083C">
        <w:t xml:space="preserve"> </w:t>
      </w:r>
      <w:proofErr w:type="spellStart"/>
      <w:r w:rsidRPr="00BF083C">
        <w:t>capacité</w:t>
      </w:r>
      <w:proofErr w:type="spellEnd"/>
      <w:r w:rsidRPr="00BF083C">
        <w:t xml:space="preserve"> collective à </w:t>
      </w:r>
      <w:proofErr w:type="spellStart"/>
      <w:r w:rsidRPr="00BF083C">
        <w:t>atténuer</w:t>
      </w:r>
      <w:proofErr w:type="spellEnd"/>
      <w:r w:rsidRPr="00BF083C">
        <w:t xml:space="preserve"> les </w:t>
      </w:r>
      <w:proofErr w:type="spellStart"/>
      <w:r w:rsidRPr="00BF083C">
        <w:t>changements</w:t>
      </w:r>
      <w:proofErr w:type="spellEnd"/>
      <w:r w:rsidRPr="00BF083C">
        <w:t xml:space="preserve"> </w:t>
      </w:r>
      <w:proofErr w:type="spellStart"/>
      <w:r w:rsidRPr="00BF083C">
        <w:t>océaniques</w:t>
      </w:r>
      <w:proofErr w:type="spellEnd"/>
      <w:r w:rsidRPr="00BF083C">
        <w:t xml:space="preserve"> à </w:t>
      </w:r>
      <w:proofErr w:type="spellStart"/>
      <w:r w:rsidRPr="00BF083C">
        <w:t>venir</w:t>
      </w:r>
      <w:proofErr w:type="spellEnd"/>
      <w:r w:rsidRPr="00BF083C">
        <w:t xml:space="preserve">, à nous y adapter et à « </w:t>
      </w:r>
      <w:proofErr w:type="spellStart"/>
      <w:r w:rsidRPr="00BF083C">
        <w:t>reconstruire</w:t>
      </w:r>
      <w:proofErr w:type="spellEnd"/>
      <w:r w:rsidRPr="00BF083C">
        <w:t xml:space="preserve"> </w:t>
      </w:r>
      <w:proofErr w:type="spellStart"/>
      <w:r w:rsidRPr="00BF083C">
        <w:t>en</w:t>
      </w:r>
      <w:proofErr w:type="spellEnd"/>
      <w:r w:rsidRPr="00BF083C">
        <w:t xml:space="preserve"> </w:t>
      </w:r>
      <w:proofErr w:type="spellStart"/>
      <w:r w:rsidRPr="00BF083C">
        <w:t>mieux</w:t>
      </w:r>
      <w:proofErr w:type="spellEnd"/>
      <w:r w:rsidRPr="00BF083C">
        <w:t xml:space="preserve"> ». </w:t>
      </w:r>
      <w:proofErr w:type="spellStart"/>
      <w:r w:rsidRPr="00BF083C">
        <w:t>Alors</w:t>
      </w:r>
      <w:proofErr w:type="spellEnd"/>
      <w:r w:rsidRPr="00BF083C">
        <w:t xml:space="preserve"> que les populations </w:t>
      </w:r>
      <w:proofErr w:type="spellStart"/>
      <w:r w:rsidRPr="00BF083C">
        <w:t>humaines</w:t>
      </w:r>
      <w:proofErr w:type="spellEnd"/>
      <w:r w:rsidRPr="00BF083C">
        <w:t xml:space="preserve"> </w:t>
      </w:r>
      <w:proofErr w:type="spellStart"/>
      <w:r w:rsidRPr="00BF083C">
        <w:t>continuent</w:t>
      </w:r>
      <w:proofErr w:type="spellEnd"/>
      <w:r w:rsidRPr="00BF083C">
        <w:t xml:space="preserve"> de </w:t>
      </w:r>
      <w:proofErr w:type="spellStart"/>
      <w:r w:rsidRPr="00BF083C">
        <w:t>croître</w:t>
      </w:r>
      <w:proofErr w:type="spellEnd"/>
      <w:r w:rsidRPr="00BF083C">
        <w:t xml:space="preserve">, la </w:t>
      </w:r>
      <w:proofErr w:type="spellStart"/>
      <w:r w:rsidRPr="00BF083C">
        <w:t>société</w:t>
      </w:r>
      <w:proofErr w:type="spellEnd"/>
      <w:r w:rsidRPr="00BF083C">
        <w:t xml:space="preserve"> se </w:t>
      </w:r>
      <w:proofErr w:type="spellStart"/>
      <w:r w:rsidRPr="00BF083C">
        <w:t>tourne</w:t>
      </w:r>
      <w:proofErr w:type="spellEnd"/>
      <w:r w:rsidRPr="00BF083C">
        <w:t xml:space="preserve"> </w:t>
      </w:r>
      <w:proofErr w:type="spellStart"/>
      <w:r w:rsidRPr="00BF083C">
        <w:t>vers</w:t>
      </w:r>
      <w:proofErr w:type="spellEnd"/>
      <w:r w:rsidRPr="00BF083C">
        <w:t xml:space="preserve"> </w:t>
      </w:r>
      <w:proofErr w:type="spellStart"/>
      <w:r w:rsidRPr="00BF083C">
        <w:t>l’océan</w:t>
      </w:r>
      <w:proofErr w:type="spellEnd"/>
      <w:r w:rsidRPr="00BF083C">
        <w:t xml:space="preserve"> pour y </w:t>
      </w:r>
      <w:proofErr w:type="spellStart"/>
      <w:r w:rsidRPr="00BF083C">
        <w:t>puiser</w:t>
      </w:r>
      <w:proofErr w:type="spellEnd"/>
      <w:r w:rsidRPr="00BF083C">
        <w:t xml:space="preserve"> de plus </w:t>
      </w:r>
      <w:proofErr w:type="spellStart"/>
      <w:r w:rsidRPr="00BF083C">
        <w:t>grandes</w:t>
      </w:r>
      <w:proofErr w:type="spellEnd"/>
      <w:r w:rsidRPr="00BF083C">
        <w:t xml:space="preserve"> </w:t>
      </w:r>
      <w:proofErr w:type="spellStart"/>
      <w:r w:rsidRPr="00BF083C">
        <w:t>quantités</w:t>
      </w:r>
      <w:proofErr w:type="spellEnd"/>
      <w:r w:rsidRPr="00BF083C">
        <w:t xml:space="preserve"> de </w:t>
      </w:r>
      <w:proofErr w:type="spellStart"/>
      <w:r w:rsidRPr="00BF083C">
        <w:t>nourriture</w:t>
      </w:r>
      <w:proofErr w:type="spellEnd"/>
      <w:r w:rsidRPr="00BF083C">
        <w:t xml:space="preserve">, des </w:t>
      </w:r>
      <w:proofErr w:type="spellStart"/>
      <w:r w:rsidRPr="00BF083C">
        <w:t>ressources</w:t>
      </w:r>
      <w:proofErr w:type="spellEnd"/>
      <w:r w:rsidRPr="00BF083C">
        <w:t xml:space="preserve"> et des services à </w:t>
      </w:r>
      <w:proofErr w:type="spellStart"/>
      <w:r w:rsidRPr="00BF083C">
        <w:t>l’appui</w:t>
      </w:r>
      <w:proofErr w:type="spellEnd"/>
      <w:r w:rsidRPr="00BF083C">
        <w:t xml:space="preserve"> du </w:t>
      </w:r>
      <w:proofErr w:type="spellStart"/>
      <w:r w:rsidRPr="00BF083C">
        <w:t>développement</w:t>
      </w:r>
      <w:proofErr w:type="spellEnd"/>
      <w:r w:rsidRPr="00BF083C">
        <w:t xml:space="preserve"> </w:t>
      </w:r>
      <w:proofErr w:type="spellStart"/>
      <w:r w:rsidRPr="00BF083C">
        <w:t>économique</w:t>
      </w:r>
      <w:proofErr w:type="spellEnd"/>
      <w:r w:rsidRPr="00BF083C">
        <w:t xml:space="preserve"> et du bien-</w:t>
      </w:r>
      <w:proofErr w:type="spellStart"/>
      <w:r w:rsidRPr="00BF083C">
        <w:t>être</w:t>
      </w:r>
      <w:proofErr w:type="spellEnd"/>
      <w:r w:rsidRPr="00BF083C">
        <w:t xml:space="preserve"> social, y </w:t>
      </w:r>
      <w:proofErr w:type="spellStart"/>
      <w:r w:rsidRPr="00BF083C">
        <w:t>compris</w:t>
      </w:r>
      <w:proofErr w:type="spellEnd"/>
      <w:r w:rsidRPr="00BF083C">
        <w:t xml:space="preserve"> de la </w:t>
      </w:r>
      <w:proofErr w:type="spellStart"/>
      <w:r w:rsidRPr="00BF083C">
        <w:t>santé</w:t>
      </w:r>
      <w:proofErr w:type="spellEnd"/>
      <w:r w:rsidRPr="00BF083C">
        <w:t xml:space="preserve"> </w:t>
      </w:r>
      <w:proofErr w:type="spellStart"/>
      <w:r w:rsidRPr="00BF083C">
        <w:t>humaine</w:t>
      </w:r>
      <w:proofErr w:type="spellEnd"/>
      <w:r w:rsidRPr="00BF083C">
        <w:t xml:space="preserve">. La mise </w:t>
      </w:r>
      <w:proofErr w:type="spellStart"/>
      <w:r w:rsidRPr="00BF083C">
        <w:t>en</w:t>
      </w:r>
      <w:proofErr w:type="spellEnd"/>
      <w:r w:rsidRPr="00BF083C">
        <w:t xml:space="preserve"> place et la gestion </w:t>
      </w:r>
      <w:proofErr w:type="spellStart"/>
      <w:r w:rsidRPr="00BF083C">
        <w:t>d’une</w:t>
      </w:r>
      <w:proofErr w:type="spellEnd"/>
      <w:r w:rsidRPr="00BF083C">
        <w:t xml:space="preserve"> </w:t>
      </w:r>
      <w:proofErr w:type="spellStart"/>
      <w:r w:rsidRPr="00BF083C">
        <w:t>économie</w:t>
      </w:r>
      <w:proofErr w:type="spellEnd"/>
      <w:r w:rsidRPr="00BF083C">
        <w:t xml:space="preserve"> </w:t>
      </w:r>
      <w:proofErr w:type="spellStart"/>
      <w:r w:rsidRPr="00BF083C">
        <w:t>océanique</w:t>
      </w:r>
      <w:proofErr w:type="spellEnd"/>
      <w:r w:rsidRPr="00BF083C">
        <w:t xml:space="preserve"> durable </w:t>
      </w:r>
      <w:proofErr w:type="spellStart"/>
      <w:r w:rsidRPr="00BF083C">
        <w:t>nécessiteront</w:t>
      </w:r>
      <w:proofErr w:type="spellEnd"/>
      <w:r w:rsidRPr="00BF083C">
        <w:t xml:space="preserve"> des </w:t>
      </w:r>
      <w:proofErr w:type="spellStart"/>
      <w:r w:rsidRPr="00BF083C">
        <w:t>connaissances</w:t>
      </w:r>
      <w:proofErr w:type="spellEnd"/>
      <w:r w:rsidRPr="00BF083C">
        <w:t xml:space="preserve"> </w:t>
      </w:r>
      <w:proofErr w:type="spellStart"/>
      <w:r w:rsidRPr="00BF083C">
        <w:t>scientifiques</w:t>
      </w:r>
      <w:proofErr w:type="spellEnd"/>
      <w:r w:rsidRPr="00BF083C">
        <w:t xml:space="preserve">, des </w:t>
      </w:r>
      <w:proofErr w:type="spellStart"/>
      <w:r w:rsidRPr="00BF083C">
        <w:t>données</w:t>
      </w:r>
      <w:proofErr w:type="spellEnd"/>
      <w:r w:rsidRPr="00BF083C">
        <w:t xml:space="preserve"> et des </w:t>
      </w:r>
      <w:proofErr w:type="spellStart"/>
      <w:r w:rsidRPr="00BF083C">
        <w:t>informations</w:t>
      </w:r>
      <w:proofErr w:type="spellEnd"/>
      <w:r w:rsidRPr="00BF083C">
        <w:t xml:space="preserve">, des services et des </w:t>
      </w:r>
      <w:proofErr w:type="spellStart"/>
      <w:r w:rsidRPr="00BF083C">
        <w:t>outils</w:t>
      </w:r>
      <w:proofErr w:type="spellEnd"/>
      <w:r w:rsidRPr="00BF083C">
        <w:t xml:space="preserve"> </w:t>
      </w:r>
      <w:proofErr w:type="spellStart"/>
      <w:r w:rsidRPr="00BF083C">
        <w:t>d’aide</w:t>
      </w:r>
      <w:proofErr w:type="spellEnd"/>
      <w:r w:rsidRPr="00BF083C">
        <w:t xml:space="preserve"> à la </w:t>
      </w:r>
      <w:proofErr w:type="spellStart"/>
      <w:r w:rsidRPr="00BF083C">
        <w:t>décision</w:t>
      </w:r>
      <w:proofErr w:type="spellEnd"/>
      <w:r w:rsidRPr="00BF083C">
        <w:t xml:space="preserve">, </w:t>
      </w:r>
      <w:proofErr w:type="spellStart"/>
      <w:r w:rsidRPr="00BF083C">
        <w:t>lesquels</w:t>
      </w:r>
      <w:proofErr w:type="spellEnd"/>
      <w:r w:rsidRPr="00BF083C">
        <w:t xml:space="preserve"> </w:t>
      </w:r>
      <w:proofErr w:type="spellStart"/>
      <w:r w:rsidRPr="00BF083C">
        <w:t>guideront</w:t>
      </w:r>
      <w:proofErr w:type="spellEnd"/>
      <w:r w:rsidRPr="00BF083C">
        <w:t xml:space="preserve"> les </w:t>
      </w:r>
      <w:proofErr w:type="spellStart"/>
      <w:r w:rsidRPr="00BF083C">
        <w:t>investissements</w:t>
      </w:r>
      <w:proofErr w:type="spellEnd"/>
      <w:r w:rsidRPr="00BF083C">
        <w:t xml:space="preserve"> </w:t>
      </w:r>
      <w:proofErr w:type="spellStart"/>
      <w:r w:rsidRPr="00BF083C">
        <w:t>actuels</w:t>
      </w:r>
      <w:proofErr w:type="spellEnd"/>
      <w:r w:rsidRPr="00BF083C">
        <w:t xml:space="preserve"> et </w:t>
      </w:r>
      <w:proofErr w:type="spellStart"/>
      <w:r w:rsidRPr="00BF083C">
        <w:t>futurs</w:t>
      </w:r>
      <w:proofErr w:type="spellEnd"/>
      <w:r w:rsidRPr="00BF083C">
        <w:t xml:space="preserve"> tout </w:t>
      </w:r>
      <w:proofErr w:type="spellStart"/>
      <w:r w:rsidRPr="00BF083C">
        <w:t>en</w:t>
      </w:r>
      <w:proofErr w:type="spellEnd"/>
      <w:r w:rsidRPr="00BF083C">
        <w:t xml:space="preserve"> </w:t>
      </w:r>
      <w:proofErr w:type="spellStart"/>
      <w:r w:rsidRPr="00BF083C">
        <w:t>assurant</w:t>
      </w:r>
      <w:proofErr w:type="spellEnd"/>
      <w:r w:rsidRPr="00BF083C">
        <w:t xml:space="preserve"> la </w:t>
      </w:r>
      <w:proofErr w:type="spellStart"/>
      <w:r w:rsidRPr="00BF083C">
        <w:t>résilience</w:t>
      </w:r>
      <w:proofErr w:type="spellEnd"/>
      <w:r w:rsidRPr="00BF083C">
        <w:t xml:space="preserve"> et la </w:t>
      </w:r>
      <w:proofErr w:type="spellStart"/>
      <w:r w:rsidRPr="00BF083C">
        <w:t>santé</w:t>
      </w:r>
      <w:proofErr w:type="spellEnd"/>
      <w:r w:rsidRPr="00BF083C">
        <w:t xml:space="preserve"> à long </w:t>
      </w:r>
      <w:proofErr w:type="spellStart"/>
      <w:r w:rsidRPr="00BF083C">
        <w:t>terme</w:t>
      </w:r>
      <w:proofErr w:type="spellEnd"/>
      <w:r w:rsidRPr="00BF083C">
        <w:t xml:space="preserve"> de </w:t>
      </w:r>
      <w:proofErr w:type="spellStart"/>
      <w:r w:rsidRPr="00BF083C">
        <w:t>l’écosystème</w:t>
      </w:r>
      <w:proofErr w:type="spellEnd"/>
      <w:r w:rsidRPr="00BF083C">
        <w:t xml:space="preserve"> </w:t>
      </w:r>
      <w:proofErr w:type="spellStart"/>
      <w:r w:rsidRPr="00BF083C">
        <w:t>océanique</w:t>
      </w:r>
      <w:proofErr w:type="spellEnd"/>
      <w:r w:rsidRPr="00BF083C">
        <w:t>.</w:t>
      </w:r>
    </w:p>
    <w:p w14:paraId="76CDC918" w14:textId="11EBEBB9" w:rsidR="00BC243D" w:rsidRPr="00BF083C" w:rsidRDefault="002D1F1D" w:rsidP="00C50366">
      <w:pPr>
        <w:widowControl/>
        <w:tabs>
          <w:tab w:val="clear" w:pos="567"/>
          <w:tab w:val="left" w:pos="1148"/>
        </w:tabs>
        <w:adjustRightInd/>
        <w:snapToGrid/>
        <w:spacing w:after="240" w:line="240" w:lineRule="auto"/>
        <w:textAlignment w:val="auto"/>
        <w:rPr>
          <w:iCs/>
        </w:rPr>
      </w:pPr>
      <w:r w:rsidRPr="00BF083C">
        <w:rPr>
          <w:bdr w:val="single" w:sz="4" w:space="0" w:color="auto"/>
        </w:rPr>
        <w:t>03003</w:t>
      </w:r>
      <w:r w:rsidRPr="00BF083C">
        <w:tab/>
        <w:t xml:space="preserve">Au </w:t>
      </w:r>
      <w:proofErr w:type="spellStart"/>
      <w:r w:rsidRPr="00BF083C">
        <w:t>cours</w:t>
      </w:r>
      <w:proofErr w:type="spellEnd"/>
      <w:r w:rsidRPr="00BF083C">
        <w:t xml:space="preserve"> de la </w:t>
      </w:r>
      <w:proofErr w:type="spellStart"/>
      <w:r w:rsidRPr="00BF083C">
        <w:t>période</w:t>
      </w:r>
      <w:proofErr w:type="spellEnd"/>
      <w:r w:rsidRPr="00BF083C">
        <w:t xml:space="preserve"> 2022-2025, la COI </w:t>
      </w:r>
      <w:proofErr w:type="spellStart"/>
      <w:r w:rsidRPr="00BF083C">
        <w:t>contribuera</w:t>
      </w:r>
      <w:proofErr w:type="spellEnd"/>
      <w:r w:rsidRPr="00BF083C">
        <w:t xml:space="preserve"> à la </w:t>
      </w:r>
      <w:proofErr w:type="spellStart"/>
      <w:r w:rsidRPr="00BF083C">
        <w:t>réalisation</w:t>
      </w:r>
      <w:proofErr w:type="spellEnd"/>
      <w:r w:rsidRPr="00BF083C">
        <w:t xml:space="preserve"> de </w:t>
      </w:r>
      <w:proofErr w:type="spellStart"/>
      <w:r w:rsidRPr="00BF083C">
        <w:t>l’Objectif</w:t>
      </w:r>
      <w:proofErr w:type="spellEnd"/>
      <w:r w:rsidRPr="00BF083C">
        <w:t xml:space="preserve"> </w:t>
      </w:r>
      <w:proofErr w:type="spellStart"/>
      <w:r w:rsidRPr="00BF083C">
        <w:t>stratégique</w:t>
      </w:r>
      <w:proofErr w:type="spellEnd"/>
      <w:r w:rsidRPr="00BF083C">
        <w:t xml:space="preserve"> 2 du </w:t>
      </w:r>
      <w:proofErr w:type="spellStart"/>
      <w:r w:rsidRPr="00BF083C">
        <w:t>Projet</w:t>
      </w:r>
      <w:proofErr w:type="spellEnd"/>
      <w:r w:rsidRPr="00BF083C">
        <w:t xml:space="preserve"> de </w:t>
      </w:r>
      <w:proofErr w:type="spellStart"/>
      <w:r w:rsidRPr="00BF083C">
        <w:t>stratégie</w:t>
      </w:r>
      <w:proofErr w:type="spellEnd"/>
      <w:r w:rsidRPr="00BF083C">
        <w:t xml:space="preserve"> à </w:t>
      </w:r>
      <w:proofErr w:type="spellStart"/>
      <w:r w:rsidRPr="00BF083C">
        <w:t>moyen</w:t>
      </w:r>
      <w:proofErr w:type="spellEnd"/>
      <w:r w:rsidRPr="00BF083C">
        <w:t xml:space="preserve"> </w:t>
      </w:r>
      <w:proofErr w:type="spellStart"/>
      <w:r w:rsidRPr="00BF083C">
        <w:t>terme</w:t>
      </w:r>
      <w:proofErr w:type="spellEnd"/>
      <w:r w:rsidRPr="00BF083C">
        <w:t xml:space="preserve"> – </w:t>
      </w:r>
      <w:proofErr w:type="spellStart"/>
      <w:r w:rsidRPr="00BF083C">
        <w:t>Œuvrer</w:t>
      </w:r>
      <w:proofErr w:type="spellEnd"/>
      <w:r w:rsidRPr="00BF083C">
        <w:t xml:space="preserve"> à </w:t>
      </w:r>
      <w:proofErr w:type="spellStart"/>
      <w:r w:rsidRPr="00BF083C">
        <w:t>l’édification</w:t>
      </w:r>
      <w:proofErr w:type="spellEnd"/>
      <w:r w:rsidRPr="00BF083C">
        <w:t xml:space="preserve"> de </w:t>
      </w:r>
      <w:proofErr w:type="spellStart"/>
      <w:r w:rsidRPr="00BF083C">
        <w:t>sociétés</w:t>
      </w:r>
      <w:proofErr w:type="spellEnd"/>
      <w:r w:rsidRPr="00BF083C">
        <w:t xml:space="preserve"> durables et à la protection de </w:t>
      </w:r>
      <w:proofErr w:type="spellStart"/>
      <w:r w:rsidRPr="00BF083C">
        <w:t>l’environnement</w:t>
      </w:r>
      <w:proofErr w:type="spellEnd"/>
      <w:r w:rsidRPr="00BF083C">
        <w:t xml:space="preserve"> par la promotion de la science, de la </w:t>
      </w:r>
      <w:proofErr w:type="spellStart"/>
      <w:r w:rsidRPr="00BF083C">
        <w:t>technologie</w:t>
      </w:r>
      <w:proofErr w:type="spellEnd"/>
      <w:r w:rsidRPr="00BF083C">
        <w:t xml:space="preserve">, de </w:t>
      </w:r>
      <w:proofErr w:type="spellStart"/>
      <w:r w:rsidRPr="00BF083C">
        <w:t>l’innovation</w:t>
      </w:r>
      <w:proofErr w:type="spellEnd"/>
      <w:r w:rsidRPr="00BF083C">
        <w:t xml:space="preserve"> et du </w:t>
      </w:r>
      <w:proofErr w:type="spellStart"/>
      <w:r w:rsidRPr="00BF083C">
        <w:t>patrimoine</w:t>
      </w:r>
      <w:proofErr w:type="spellEnd"/>
      <w:r w:rsidRPr="00BF083C">
        <w:t xml:space="preserve"> naturel, et à son </w:t>
      </w:r>
      <w:proofErr w:type="spellStart"/>
      <w:r w:rsidRPr="00BF083C">
        <w:t>Effet</w:t>
      </w:r>
      <w:proofErr w:type="spellEnd"/>
      <w:r w:rsidRPr="00BF083C">
        <w:t xml:space="preserve"> 3 – </w:t>
      </w:r>
      <w:proofErr w:type="spellStart"/>
      <w:r w:rsidRPr="00BF083C">
        <w:t>Renforcer</w:t>
      </w:r>
      <w:proofErr w:type="spellEnd"/>
      <w:r w:rsidRPr="00BF083C">
        <w:t xml:space="preserve"> la </w:t>
      </w:r>
      <w:proofErr w:type="spellStart"/>
      <w:r w:rsidRPr="00BF083C">
        <w:t>connaissance</w:t>
      </w:r>
      <w:proofErr w:type="spellEnd"/>
      <w:r w:rsidRPr="00BF083C">
        <w:t xml:space="preserve"> </w:t>
      </w:r>
      <w:proofErr w:type="spellStart"/>
      <w:r w:rsidRPr="00BF083C">
        <w:t>en</w:t>
      </w:r>
      <w:proofErr w:type="spellEnd"/>
      <w:r w:rsidRPr="00BF083C">
        <w:t xml:space="preserve"> </w:t>
      </w:r>
      <w:proofErr w:type="spellStart"/>
      <w:r w:rsidRPr="00BF083C">
        <w:t>faveur</w:t>
      </w:r>
      <w:proofErr w:type="spellEnd"/>
      <w:r w:rsidRPr="00BF083C">
        <w:t xml:space="preserve"> de </w:t>
      </w:r>
      <w:proofErr w:type="spellStart"/>
      <w:r w:rsidRPr="00BF083C">
        <w:t>l’action</w:t>
      </w:r>
      <w:proofErr w:type="spellEnd"/>
      <w:r w:rsidRPr="00BF083C">
        <w:t xml:space="preserve"> </w:t>
      </w:r>
      <w:proofErr w:type="spellStart"/>
      <w:r w:rsidRPr="00BF083C">
        <w:t>climatique</w:t>
      </w:r>
      <w:proofErr w:type="spellEnd"/>
      <w:r w:rsidRPr="00BF083C">
        <w:t xml:space="preserve">, </w:t>
      </w:r>
      <w:proofErr w:type="spellStart"/>
      <w:r w:rsidRPr="00BF083C">
        <w:t>du</w:t>
      </w:r>
      <w:proofErr w:type="spellEnd"/>
      <w:r w:rsidRPr="00BF083C">
        <w:t xml:space="preserve"> respect de la </w:t>
      </w:r>
      <w:proofErr w:type="spellStart"/>
      <w:r w:rsidRPr="00BF083C">
        <w:t>biodiversité</w:t>
      </w:r>
      <w:proofErr w:type="spellEnd"/>
      <w:r w:rsidRPr="00BF083C">
        <w:t xml:space="preserve">, de la gestion de </w:t>
      </w:r>
      <w:proofErr w:type="spellStart"/>
      <w:r w:rsidRPr="00BF083C">
        <w:t>l’eau</w:t>
      </w:r>
      <w:proofErr w:type="spellEnd"/>
      <w:r w:rsidRPr="00BF083C">
        <w:t xml:space="preserve"> et de </w:t>
      </w:r>
      <w:proofErr w:type="spellStart"/>
      <w:r w:rsidRPr="00BF083C">
        <w:t>l’océan</w:t>
      </w:r>
      <w:proofErr w:type="spellEnd"/>
      <w:r w:rsidRPr="00BF083C">
        <w:t xml:space="preserve">, et de la </w:t>
      </w:r>
      <w:proofErr w:type="spellStart"/>
      <w:r w:rsidRPr="00BF083C">
        <w:t>réduction</w:t>
      </w:r>
      <w:proofErr w:type="spellEnd"/>
      <w:r w:rsidRPr="00BF083C">
        <w:t xml:space="preserve"> des </w:t>
      </w:r>
      <w:proofErr w:type="spellStart"/>
      <w:r w:rsidRPr="00BF083C">
        <w:t>risques</w:t>
      </w:r>
      <w:proofErr w:type="spellEnd"/>
      <w:r w:rsidRPr="00BF083C">
        <w:t xml:space="preserve"> de catastrophe. La COI </w:t>
      </w:r>
      <w:proofErr w:type="spellStart"/>
      <w:r w:rsidRPr="00BF083C">
        <w:t>continuera</w:t>
      </w:r>
      <w:proofErr w:type="spellEnd"/>
      <w:r w:rsidRPr="00BF083C">
        <w:t xml:space="preserve"> de </w:t>
      </w:r>
      <w:proofErr w:type="spellStart"/>
      <w:r w:rsidRPr="00BF083C">
        <w:t>renforcer</w:t>
      </w:r>
      <w:proofErr w:type="spellEnd"/>
      <w:r w:rsidRPr="00BF083C">
        <w:t xml:space="preserve"> </w:t>
      </w:r>
      <w:proofErr w:type="spellStart"/>
      <w:r w:rsidRPr="00BF083C">
        <w:t>sa</w:t>
      </w:r>
      <w:proofErr w:type="spellEnd"/>
      <w:r w:rsidRPr="00BF083C">
        <w:t xml:space="preserve"> </w:t>
      </w:r>
      <w:proofErr w:type="spellStart"/>
      <w:r w:rsidRPr="00BF083C">
        <w:t>coopération</w:t>
      </w:r>
      <w:proofErr w:type="spellEnd"/>
      <w:r w:rsidRPr="00BF083C">
        <w:t xml:space="preserve"> avec </w:t>
      </w:r>
      <w:proofErr w:type="spellStart"/>
      <w:r w:rsidRPr="00BF083C">
        <w:t>plusieurs</w:t>
      </w:r>
      <w:proofErr w:type="spellEnd"/>
      <w:r w:rsidRPr="00BF083C">
        <w:t xml:space="preserve"> programmes de </w:t>
      </w:r>
      <w:proofErr w:type="spellStart"/>
      <w:r w:rsidRPr="00BF083C">
        <w:t>l’UNESCO</w:t>
      </w:r>
      <w:proofErr w:type="spellEnd"/>
      <w:r w:rsidRPr="00BF083C">
        <w:t xml:space="preserve"> et de </w:t>
      </w:r>
      <w:proofErr w:type="spellStart"/>
      <w:r w:rsidRPr="00BF083C">
        <w:t>tirer</w:t>
      </w:r>
      <w:proofErr w:type="spellEnd"/>
      <w:r w:rsidRPr="00BF083C">
        <w:t xml:space="preserve"> le </w:t>
      </w:r>
      <w:proofErr w:type="spellStart"/>
      <w:r w:rsidRPr="00BF083C">
        <w:t>meilleur</w:t>
      </w:r>
      <w:proofErr w:type="spellEnd"/>
      <w:r w:rsidRPr="00BF083C">
        <w:t xml:space="preserve"> parti possible de </w:t>
      </w:r>
      <w:proofErr w:type="spellStart"/>
      <w:r w:rsidRPr="00BF083C">
        <w:t>l’avantage</w:t>
      </w:r>
      <w:proofErr w:type="spellEnd"/>
      <w:r w:rsidRPr="00BF083C">
        <w:t xml:space="preserve"> </w:t>
      </w:r>
      <w:proofErr w:type="spellStart"/>
      <w:r w:rsidRPr="00BF083C">
        <w:t>comparatif</w:t>
      </w:r>
      <w:proofErr w:type="spellEnd"/>
      <w:r w:rsidRPr="00BF083C">
        <w:t xml:space="preserve"> que </w:t>
      </w:r>
      <w:proofErr w:type="spellStart"/>
      <w:r w:rsidRPr="00BF083C">
        <w:t>représente</w:t>
      </w:r>
      <w:proofErr w:type="spellEnd"/>
      <w:r w:rsidRPr="00BF083C">
        <w:t xml:space="preserve"> </w:t>
      </w:r>
      <w:proofErr w:type="spellStart"/>
      <w:r w:rsidRPr="00BF083C">
        <w:t>l’approche</w:t>
      </w:r>
      <w:proofErr w:type="spellEnd"/>
      <w:r w:rsidRPr="00BF083C">
        <w:t xml:space="preserve"> </w:t>
      </w:r>
      <w:proofErr w:type="spellStart"/>
      <w:r w:rsidRPr="00BF083C">
        <w:t>pluridisciplinaire</w:t>
      </w:r>
      <w:proofErr w:type="spellEnd"/>
      <w:r w:rsidRPr="00BF083C">
        <w:t xml:space="preserve"> de </w:t>
      </w:r>
      <w:proofErr w:type="spellStart"/>
      <w:r w:rsidRPr="00BF083C">
        <w:t>l’Organisation</w:t>
      </w:r>
      <w:proofErr w:type="spellEnd"/>
      <w:r w:rsidRPr="00BF083C">
        <w:t xml:space="preserve"> </w:t>
      </w:r>
      <w:proofErr w:type="spellStart"/>
      <w:r w:rsidRPr="00BF083C">
        <w:t>concernant</w:t>
      </w:r>
      <w:proofErr w:type="spellEnd"/>
      <w:r w:rsidRPr="00BF083C">
        <w:t xml:space="preserve"> les </w:t>
      </w:r>
      <w:proofErr w:type="spellStart"/>
      <w:r w:rsidRPr="00BF083C">
        <w:t>grandes</w:t>
      </w:r>
      <w:proofErr w:type="spellEnd"/>
      <w:r w:rsidRPr="00BF083C">
        <w:t xml:space="preserve"> </w:t>
      </w:r>
      <w:proofErr w:type="spellStart"/>
      <w:r w:rsidRPr="00BF083C">
        <w:t>problématiques</w:t>
      </w:r>
      <w:proofErr w:type="spellEnd"/>
      <w:r w:rsidRPr="00BF083C">
        <w:t xml:space="preserve"> </w:t>
      </w:r>
      <w:proofErr w:type="spellStart"/>
      <w:r w:rsidRPr="00BF083C">
        <w:t>sociétales</w:t>
      </w:r>
      <w:proofErr w:type="spellEnd"/>
      <w:r w:rsidRPr="00BF083C">
        <w:t xml:space="preserve">. </w:t>
      </w:r>
      <w:proofErr w:type="spellStart"/>
      <w:r w:rsidRPr="00BF083C">
        <w:t>En</w:t>
      </w:r>
      <w:proofErr w:type="spellEnd"/>
      <w:r w:rsidRPr="00BF083C">
        <w:t xml:space="preserve"> </w:t>
      </w:r>
      <w:proofErr w:type="spellStart"/>
      <w:r w:rsidRPr="00BF083C">
        <w:t>coopérant</w:t>
      </w:r>
      <w:proofErr w:type="spellEnd"/>
      <w:r w:rsidRPr="00BF083C">
        <w:t xml:space="preserve"> avec le </w:t>
      </w:r>
      <w:proofErr w:type="spellStart"/>
      <w:r w:rsidRPr="00BF083C">
        <w:t>Secteur</w:t>
      </w:r>
      <w:proofErr w:type="spellEnd"/>
      <w:r w:rsidRPr="00BF083C">
        <w:t xml:space="preserve"> de </w:t>
      </w:r>
      <w:proofErr w:type="spellStart"/>
      <w:r w:rsidRPr="00BF083C">
        <w:t>l’éducation</w:t>
      </w:r>
      <w:proofErr w:type="spellEnd"/>
      <w:r w:rsidRPr="00BF083C">
        <w:t xml:space="preserve"> pour </w:t>
      </w:r>
      <w:proofErr w:type="spellStart"/>
      <w:r w:rsidRPr="00BF083C">
        <w:t>intégrer</w:t>
      </w:r>
      <w:proofErr w:type="spellEnd"/>
      <w:r w:rsidRPr="00BF083C">
        <w:t xml:space="preserve"> plus </w:t>
      </w:r>
      <w:proofErr w:type="spellStart"/>
      <w:r w:rsidRPr="00BF083C">
        <w:t>efficacement</w:t>
      </w:r>
      <w:proofErr w:type="spellEnd"/>
      <w:r w:rsidRPr="00BF083C">
        <w:t xml:space="preserve"> </w:t>
      </w:r>
      <w:proofErr w:type="spellStart"/>
      <w:r w:rsidRPr="00BF083C">
        <w:t>l’initiation</w:t>
      </w:r>
      <w:proofErr w:type="spellEnd"/>
      <w:r w:rsidRPr="00BF083C">
        <w:t xml:space="preserve"> à </w:t>
      </w:r>
      <w:proofErr w:type="spellStart"/>
      <w:r w:rsidRPr="00BF083C">
        <w:t>l’océan</w:t>
      </w:r>
      <w:proofErr w:type="spellEnd"/>
      <w:r w:rsidRPr="00BF083C">
        <w:t xml:space="preserve"> dans </w:t>
      </w:r>
      <w:r w:rsidRPr="00BF083C">
        <w:lastRenderedPageBreak/>
        <w:t xml:space="preserve">les programmes </w:t>
      </w:r>
      <w:proofErr w:type="spellStart"/>
      <w:r w:rsidRPr="00BF083C">
        <w:t>scolaires</w:t>
      </w:r>
      <w:proofErr w:type="spellEnd"/>
      <w:r w:rsidRPr="00BF083C">
        <w:t xml:space="preserve">, la COI </w:t>
      </w:r>
      <w:proofErr w:type="spellStart"/>
      <w:r w:rsidRPr="00BF083C">
        <w:t>contribuera</w:t>
      </w:r>
      <w:proofErr w:type="spellEnd"/>
      <w:r w:rsidRPr="00BF083C">
        <w:t xml:space="preserve"> </w:t>
      </w:r>
      <w:proofErr w:type="spellStart"/>
      <w:r w:rsidRPr="00BF083C">
        <w:t>également</w:t>
      </w:r>
      <w:proofErr w:type="spellEnd"/>
      <w:r w:rsidRPr="00BF083C">
        <w:t xml:space="preserve"> à la </w:t>
      </w:r>
      <w:proofErr w:type="spellStart"/>
      <w:r w:rsidRPr="00BF083C">
        <w:t>réalisation</w:t>
      </w:r>
      <w:proofErr w:type="spellEnd"/>
      <w:r w:rsidRPr="00BF083C">
        <w:t xml:space="preserve"> de </w:t>
      </w:r>
      <w:proofErr w:type="spellStart"/>
      <w:r w:rsidRPr="00BF083C">
        <w:t>l’Effet</w:t>
      </w:r>
      <w:proofErr w:type="spellEnd"/>
      <w:r w:rsidRPr="00BF083C">
        <w:t xml:space="preserve"> 1 – Assurer à </w:t>
      </w:r>
      <w:proofErr w:type="spellStart"/>
      <w:r w:rsidRPr="00BF083C">
        <w:t>tous</w:t>
      </w:r>
      <w:proofErr w:type="spellEnd"/>
      <w:r w:rsidRPr="00BF083C">
        <w:t xml:space="preserve"> </w:t>
      </w:r>
      <w:proofErr w:type="spellStart"/>
      <w:r w:rsidRPr="00BF083C">
        <w:t>une</w:t>
      </w:r>
      <w:proofErr w:type="spellEnd"/>
      <w:r w:rsidRPr="00BF083C">
        <w:t xml:space="preserve"> </w:t>
      </w:r>
      <w:proofErr w:type="spellStart"/>
      <w:r w:rsidRPr="00BF083C">
        <w:t>éducation</w:t>
      </w:r>
      <w:proofErr w:type="spellEnd"/>
      <w:r w:rsidRPr="00BF083C">
        <w:t xml:space="preserve"> </w:t>
      </w:r>
      <w:proofErr w:type="spellStart"/>
      <w:r w:rsidRPr="00BF083C">
        <w:t>équitable</w:t>
      </w:r>
      <w:proofErr w:type="spellEnd"/>
      <w:r w:rsidRPr="00BF083C">
        <w:t xml:space="preserve">, inclusive et de </w:t>
      </w:r>
      <w:proofErr w:type="spellStart"/>
      <w:r w:rsidRPr="00BF083C">
        <w:t>qualité</w:t>
      </w:r>
      <w:proofErr w:type="spellEnd"/>
      <w:r w:rsidRPr="00BF083C">
        <w:t xml:space="preserve"> et des </w:t>
      </w:r>
      <w:proofErr w:type="spellStart"/>
      <w:r w:rsidRPr="00BF083C">
        <w:t>possibilités</w:t>
      </w:r>
      <w:proofErr w:type="spellEnd"/>
      <w:r w:rsidRPr="00BF083C">
        <w:t xml:space="preserve"> </w:t>
      </w:r>
      <w:proofErr w:type="spellStart"/>
      <w:r w:rsidRPr="00BF083C">
        <w:t>d’apprentissage</w:t>
      </w:r>
      <w:proofErr w:type="spellEnd"/>
      <w:r w:rsidRPr="00BF083C">
        <w:t xml:space="preserve"> tout au long de la vie, </w:t>
      </w:r>
      <w:proofErr w:type="spellStart"/>
      <w:r w:rsidRPr="00BF083C">
        <w:t>ainsi</w:t>
      </w:r>
      <w:proofErr w:type="spellEnd"/>
      <w:r w:rsidRPr="00BF083C">
        <w:t xml:space="preserve"> </w:t>
      </w:r>
      <w:proofErr w:type="spellStart"/>
      <w:r w:rsidRPr="00BF083C">
        <w:t>qu’au</w:t>
      </w:r>
      <w:proofErr w:type="spellEnd"/>
      <w:r w:rsidRPr="00BF083C">
        <w:t xml:space="preserve"> programme </w:t>
      </w:r>
      <w:proofErr w:type="spellStart"/>
      <w:r w:rsidRPr="00BF083C">
        <w:t>intersectoriel</w:t>
      </w:r>
      <w:proofErr w:type="spellEnd"/>
      <w:r w:rsidRPr="00BF083C">
        <w:t xml:space="preserve"> – Unis pour la </w:t>
      </w:r>
      <w:proofErr w:type="spellStart"/>
      <w:r w:rsidRPr="00BF083C">
        <w:t>planète</w:t>
      </w:r>
      <w:proofErr w:type="spellEnd"/>
      <w:r w:rsidRPr="00BF083C">
        <w:t xml:space="preserve"> : </w:t>
      </w:r>
      <w:proofErr w:type="spellStart"/>
      <w:r w:rsidRPr="00BF083C">
        <w:t>renforcement</w:t>
      </w:r>
      <w:proofErr w:type="spellEnd"/>
      <w:r w:rsidRPr="00BF083C">
        <w:t xml:space="preserve"> de </w:t>
      </w:r>
      <w:proofErr w:type="spellStart"/>
      <w:r w:rsidRPr="00BF083C">
        <w:t>l’éducation</w:t>
      </w:r>
      <w:proofErr w:type="spellEnd"/>
      <w:r w:rsidRPr="00BF083C">
        <w:t xml:space="preserve"> à </w:t>
      </w:r>
      <w:proofErr w:type="spellStart"/>
      <w:r w:rsidRPr="00BF083C">
        <w:t>l’environnement</w:t>
      </w:r>
      <w:proofErr w:type="spellEnd"/>
      <w:r w:rsidRPr="00BF083C">
        <w:t xml:space="preserve"> pour </w:t>
      </w:r>
      <w:proofErr w:type="spellStart"/>
      <w:r w:rsidRPr="00BF083C">
        <w:t>relever</w:t>
      </w:r>
      <w:proofErr w:type="spellEnd"/>
      <w:r w:rsidRPr="00BF083C">
        <w:t xml:space="preserve"> les </w:t>
      </w:r>
      <w:proofErr w:type="spellStart"/>
      <w:r w:rsidRPr="00BF083C">
        <w:t>défis</w:t>
      </w:r>
      <w:proofErr w:type="spellEnd"/>
      <w:r w:rsidRPr="00BF083C">
        <w:t xml:space="preserve"> </w:t>
      </w:r>
      <w:proofErr w:type="spellStart"/>
      <w:r w:rsidRPr="00BF083C">
        <w:t>environnementaux</w:t>
      </w:r>
      <w:proofErr w:type="spellEnd"/>
      <w:r w:rsidRPr="00BF083C">
        <w:t xml:space="preserve"> </w:t>
      </w:r>
      <w:proofErr w:type="spellStart"/>
      <w:r w:rsidRPr="00BF083C">
        <w:t>mondiaux</w:t>
      </w:r>
      <w:proofErr w:type="spellEnd"/>
      <w:r w:rsidRPr="00BF083C">
        <w:t xml:space="preserve">. La COI </w:t>
      </w:r>
      <w:proofErr w:type="spellStart"/>
      <w:r w:rsidRPr="00BF083C">
        <w:t>poursuivra</w:t>
      </w:r>
      <w:proofErr w:type="spellEnd"/>
      <w:r w:rsidRPr="00BF083C">
        <w:t xml:space="preserve"> </w:t>
      </w:r>
      <w:proofErr w:type="spellStart"/>
      <w:r w:rsidRPr="00BF083C">
        <w:t>sa</w:t>
      </w:r>
      <w:proofErr w:type="spellEnd"/>
      <w:r w:rsidRPr="00BF083C">
        <w:t xml:space="preserve"> collaboration avec le Programme </w:t>
      </w:r>
      <w:proofErr w:type="spellStart"/>
      <w:r w:rsidRPr="00BF083C">
        <w:t>hydrologique</w:t>
      </w:r>
      <w:proofErr w:type="spellEnd"/>
      <w:r w:rsidRPr="00BF083C">
        <w:t xml:space="preserve"> </w:t>
      </w:r>
      <w:proofErr w:type="spellStart"/>
      <w:r w:rsidRPr="00BF083C">
        <w:t>intergouvernemental</w:t>
      </w:r>
      <w:proofErr w:type="spellEnd"/>
      <w:r w:rsidRPr="00BF083C">
        <w:t xml:space="preserve"> </w:t>
      </w:r>
      <w:proofErr w:type="spellStart"/>
      <w:r w:rsidRPr="00BF083C">
        <w:t>concernant</w:t>
      </w:r>
      <w:proofErr w:type="spellEnd"/>
      <w:r w:rsidRPr="00BF083C">
        <w:t xml:space="preserve"> la gestion des </w:t>
      </w:r>
      <w:proofErr w:type="spellStart"/>
      <w:r w:rsidRPr="00BF083C">
        <w:t>eaux</w:t>
      </w:r>
      <w:proofErr w:type="spellEnd"/>
      <w:r w:rsidRPr="00BF083C">
        <w:t xml:space="preserve"> </w:t>
      </w:r>
      <w:proofErr w:type="spellStart"/>
      <w:r w:rsidRPr="00BF083C">
        <w:t>transfrontières</w:t>
      </w:r>
      <w:proofErr w:type="spellEnd"/>
      <w:r w:rsidRPr="00BF083C">
        <w:t xml:space="preserve"> et les interactions entre </w:t>
      </w:r>
      <w:proofErr w:type="spellStart"/>
      <w:r w:rsidRPr="00BF083C">
        <w:t>eau</w:t>
      </w:r>
      <w:proofErr w:type="spellEnd"/>
      <w:r w:rsidRPr="00BF083C">
        <w:t xml:space="preserve"> </w:t>
      </w:r>
      <w:proofErr w:type="spellStart"/>
      <w:r w:rsidRPr="00BF083C">
        <w:t>douce</w:t>
      </w:r>
      <w:proofErr w:type="spellEnd"/>
      <w:r w:rsidRPr="00BF083C">
        <w:t xml:space="preserve"> et </w:t>
      </w:r>
      <w:proofErr w:type="spellStart"/>
      <w:r w:rsidRPr="00BF083C">
        <w:t>eau</w:t>
      </w:r>
      <w:proofErr w:type="spellEnd"/>
      <w:r w:rsidRPr="00BF083C">
        <w:t xml:space="preserve"> marine. </w:t>
      </w:r>
      <w:proofErr w:type="spellStart"/>
      <w:r w:rsidRPr="00BF083C">
        <w:t>En</w:t>
      </w:r>
      <w:proofErr w:type="spellEnd"/>
      <w:r w:rsidRPr="00BF083C">
        <w:t xml:space="preserve"> </w:t>
      </w:r>
      <w:proofErr w:type="spellStart"/>
      <w:r w:rsidRPr="00BF083C">
        <w:t>outre</w:t>
      </w:r>
      <w:proofErr w:type="spellEnd"/>
      <w:r w:rsidRPr="00BF083C">
        <w:t xml:space="preserve">, </w:t>
      </w:r>
      <w:proofErr w:type="spellStart"/>
      <w:r w:rsidRPr="00BF083C">
        <w:t>elle</w:t>
      </w:r>
      <w:proofErr w:type="spellEnd"/>
      <w:r w:rsidRPr="00BF083C">
        <w:t xml:space="preserve"> </w:t>
      </w:r>
      <w:proofErr w:type="spellStart"/>
      <w:r w:rsidRPr="00BF083C">
        <w:t>continuera</w:t>
      </w:r>
      <w:proofErr w:type="spellEnd"/>
      <w:r w:rsidRPr="00BF083C">
        <w:t xml:space="preserve"> de </w:t>
      </w:r>
      <w:proofErr w:type="spellStart"/>
      <w:r w:rsidRPr="00BF083C">
        <w:t>contribuer</w:t>
      </w:r>
      <w:proofErr w:type="spellEnd"/>
      <w:r w:rsidRPr="00BF083C">
        <w:t xml:space="preserve"> aux </w:t>
      </w:r>
      <w:proofErr w:type="spellStart"/>
      <w:r w:rsidRPr="00BF083C">
        <w:t>activités</w:t>
      </w:r>
      <w:proofErr w:type="spellEnd"/>
      <w:r w:rsidRPr="00BF083C">
        <w:t xml:space="preserve"> </w:t>
      </w:r>
      <w:proofErr w:type="spellStart"/>
      <w:r w:rsidRPr="00BF083C">
        <w:t>intersectorielles</w:t>
      </w:r>
      <w:proofErr w:type="spellEnd"/>
      <w:r w:rsidRPr="00BF083C">
        <w:t xml:space="preserve"> de </w:t>
      </w:r>
      <w:proofErr w:type="spellStart"/>
      <w:r w:rsidRPr="00BF083C">
        <w:t>l’UNESCO</w:t>
      </w:r>
      <w:proofErr w:type="spellEnd"/>
      <w:r w:rsidRPr="00BF083C">
        <w:t xml:space="preserve"> dans le </w:t>
      </w:r>
      <w:proofErr w:type="spellStart"/>
      <w:r w:rsidRPr="00BF083C">
        <w:t>domaine</w:t>
      </w:r>
      <w:proofErr w:type="spellEnd"/>
      <w:r w:rsidRPr="00BF083C">
        <w:t xml:space="preserve"> du </w:t>
      </w:r>
      <w:proofErr w:type="spellStart"/>
      <w:r w:rsidRPr="00BF083C">
        <w:t>changement</w:t>
      </w:r>
      <w:proofErr w:type="spellEnd"/>
      <w:r w:rsidRPr="00BF083C">
        <w:t xml:space="preserve"> </w:t>
      </w:r>
      <w:proofErr w:type="spellStart"/>
      <w:r w:rsidRPr="00BF083C">
        <w:t>climatique</w:t>
      </w:r>
      <w:proofErr w:type="spellEnd"/>
      <w:r w:rsidRPr="00BF083C">
        <w:t xml:space="preserve"> et de la </w:t>
      </w:r>
      <w:proofErr w:type="spellStart"/>
      <w:r w:rsidRPr="00BF083C">
        <w:t>perte</w:t>
      </w:r>
      <w:proofErr w:type="spellEnd"/>
      <w:r w:rsidRPr="00BF083C">
        <w:t xml:space="preserve"> de </w:t>
      </w:r>
      <w:proofErr w:type="spellStart"/>
      <w:r w:rsidRPr="00BF083C">
        <w:t>biodiversité</w:t>
      </w:r>
      <w:proofErr w:type="spellEnd"/>
      <w:r w:rsidRPr="00BF083C">
        <w:t xml:space="preserve">, </w:t>
      </w:r>
      <w:proofErr w:type="spellStart"/>
      <w:r w:rsidRPr="00BF083C">
        <w:t>en</w:t>
      </w:r>
      <w:proofErr w:type="spellEnd"/>
      <w:r w:rsidRPr="00BF083C">
        <w:t xml:space="preserve"> se </w:t>
      </w:r>
      <w:proofErr w:type="spellStart"/>
      <w:r w:rsidRPr="00BF083C">
        <w:t>concentrant</w:t>
      </w:r>
      <w:proofErr w:type="spellEnd"/>
      <w:r w:rsidRPr="00BF083C">
        <w:t xml:space="preserve"> sur la dimension </w:t>
      </w:r>
      <w:proofErr w:type="spellStart"/>
      <w:r w:rsidRPr="00BF083C">
        <w:t>océanique</w:t>
      </w:r>
      <w:proofErr w:type="spellEnd"/>
      <w:r w:rsidRPr="00BF083C">
        <w:t xml:space="preserve">. </w:t>
      </w:r>
      <w:proofErr w:type="spellStart"/>
      <w:r w:rsidRPr="00BF083C">
        <w:t>En</w:t>
      </w:r>
      <w:proofErr w:type="spellEnd"/>
      <w:r w:rsidRPr="00BF083C">
        <w:t xml:space="preserve"> tant que </w:t>
      </w:r>
      <w:proofErr w:type="spellStart"/>
      <w:r w:rsidRPr="00BF083C">
        <w:t>catalyseur</w:t>
      </w:r>
      <w:proofErr w:type="spellEnd"/>
      <w:r w:rsidRPr="00BF083C">
        <w:t xml:space="preserve"> de la </w:t>
      </w:r>
      <w:proofErr w:type="spellStart"/>
      <w:r w:rsidRPr="00BF083C">
        <w:t>coopération</w:t>
      </w:r>
      <w:proofErr w:type="spellEnd"/>
      <w:r w:rsidRPr="00BF083C">
        <w:t xml:space="preserve"> </w:t>
      </w:r>
      <w:proofErr w:type="spellStart"/>
      <w:r w:rsidRPr="00BF083C">
        <w:t>régionale</w:t>
      </w:r>
      <w:proofErr w:type="spellEnd"/>
      <w:r w:rsidRPr="00BF083C">
        <w:t xml:space="preserve"> et </w:t>
      </w:r>
      <w:proofErr w:type="spellStart"/>
      <w:r w:rsidRPr="00BF083C">
        <w:t>internationale</w:t>
      </w:r>
      <w:proofErr w:type="spellEnd"/>
      <w:r w:rsidRPr="00BF083C">
        <w:t xml:space="preserve"> </w:t>
      </w:r>
      <w:proofErr w:type="spellStart"/>
      <w:r w:rsidRPr="00BF083C">
        <w:t>en</w:t>
      </w:r>
      <w:proofErr w:type="spellEnd"/>
      <w:r w:rsidRPr="00BF083C">
        <w:t xml:space="preserve"> sciences </w:t>
      </w:r>
      <w:proofErr w:type="spellStart"/>
      <w:r w:rsidRPr="00BF083C">
        <w:t>océaniques</w:t>
      </w:r>
      <w:proofErr w:type="spellEnd"/>
      <w:r w:rsidRPr="00BF083C">
        <w:t xml:space="preserve">, la COI </w:t>
      </w:r>
      <w:proofErr w:type="spellStart"/>
      <w:r w:rsidRPr="00BF083C">
        <w:t>contribuera</w:t>
      </w:r>
      <w:proofErr w:type="spellEnd"/>
      <w:r w:rsidRPr="00BF083C">
        <w:t xml:space="preserve"> </w:t>
      </w:r>
      <w:proofErr w:type="spellStart"/>
      <w:r w:rsidRPr="00BF083C">
        <w:t>aussi</w:t>
      </w:r>
      <w:proofErr w:type="spellEnd"/>
      <w:r w:rsidRPr="00BF083C">
        <w:t xml:space="preserve"> </w:t>
      </w:r>
      <w:proofErr w:type="spellStart"/>
      <w:r w:rsidRPr="00BF083C">
        <w:t>indirectement</w:t>
      </w:r>
      <w:proofErr w:type="spellEnd"/>
      <w:r w:rsidRPr="00BF083C">
        <w:t xml:space="preserve"> à la </w:t>
      </w:r>
      <w:proofErr w:type="spellStart"/>
      <w:r w:rsidRPr="00BF083C">
        <w:t>réalisation</w:t>
      </w:r>
      <w:proofErr w:type="spellEnd"/>
      <w:r w:rsidRPr="00BF083C">
        <w:t xml:space="preserve"> de </w:t>
      </w:r>
      <w:proofErr w:type="spellStart"/>
      <w:r w:rsidRPr="00BF083C">
        <w:t>l’Effet</w:t>
      </w:r>
      <w:proofErr w:type="spellEnd"/>
      <w:r w:rsidRPr="00BF083C">
        <w:t xml:space="preserve"> 4 – Faire </w:t>
      </w:r>
      <w:proofErr w:type="spellStart"/>
      <w:r w:rsidRPr="00BF083C">
        <w:t>avancer</w:t>
      </w:r>
      <w:proofErr w:type="spellEnd"/>
      <w:r w:rsidRPr="00BF083C">
        <w:t xml:space="preserve"> la </w:t>
      </w:r>
      <w:proofErr w:type="spellStart"/>
      <w:r w:rsidRPr="00BF083C">
        <w:t>coopération</w:t>
      </w:r>
      <w:proofErr w:type="spellEnd"/>
      <w:r w:rsidRPr="00BF083C">
        <w:t xml:space="preserve"> </w:t>
      </w:r>
      <w:proofErr w:type="spellStart"/>
      <w:r w:rsidRPr="00BF083C">
        <w:t>internationale</w:t>
      </w:r>
      <w:proofErr w:type="spellEnd"/>
      <w:r w:rsidRPr="00BF083C">
        <w:t xml:space="preserve"> dans les </w:t>
      </w:r>
      <w:proofErr w:type="spellStart"/>
      <w:r w:rsidRPr="00BF083C">
        <w:t>domaines</w:t>
      </w:r>
      <w:proofErr w:type="spellEnd"/>
      <w:r w:rsidRPr="00BF083C">
        <w:t xml:space="preserve"> de la science, de la </w:t>
      </w:r>
      <w:proofErr w:type="spellStart"/>
      <w:r w:rsidRPr="00BF083C">
        <w:t>technologie</w:t>
      </w:r>
      <w:proofErr w:type="spellEnd"/>
      <w:r w:rsidRPr="00BF083C">
        <w:t xml:space="preserve"> et de </w:t>
      </w:r>
      <w:proofErr w:type="spellStart"/>
      <w:r w:rsidRPr="00BF083C">
        <w:t>l’innovation</w:t>
      </w:r>
      <w:proofErr w:type="spellEnd"/>
      <w:r w:rsidRPr="00BF083C">
        <w:t xml:space="preserve">. La </w:t>
      </w:r>
      <w:proofErr w:type="spellStart"/>
      <w:r w:rsidRPr="00BF083C">
        <w:t>coopération</w:t>
      </w:r>
      <w:proofErr w:type="spellEnd"/>
      <w:r w:rsidRPr="00BF083C">
        <w:t xml:space="preserve"> de la COI avec la Convention sur la protection du </w:t>
      </w:r>
      <w:proofErr w:type="spellStart"/>
      <w:r w:rsidRPr="00BF083C">
        <w:t>patrimoine</w:t>
      </w:r>
      <w:proofErr w:type="spellEnd"/>
      <w:r w:rsidRPr="00BF083C">
        <w:t xml:space="preserve"> </w:t>
      </w:r>
      <w:proofErr w:type="spellStart"/>
      <w:r w:rsidRPr="00BF083C">
        <w:t>culturel</w:t>
      </w:r>
      <w:proofErr w:type="spellEnd"/>
      <w:r w:rsidRPr="00BF083C">
        <w:t xml:space="preserve"> </w:t>
      </w:r>
      <w:proofErr w:type="spellStart"/>
      <w:r w:rsidRPr="00BF083C">
        <w:t>subaquatique</w:t>
      </w:r>
      <w:proofErr w:type="spellEnd"/>
      <w:r w:rsidRPr="00BF083C">
        <w:t xml:space="preserve"> et avec le Centre du </w:t>
      </w:r>
      <w:proofErr w:type="spellStart"/>
      <w:r w:rsidRPr="00BF083C">
        <w:t>patrimoine</w:t>
      </w:r>
      <w:proofErr w:type="spellEnd"/>
      <w:r w:rsidRPr="00BF083C">
        <w:t xml:space="preserve"> </w:t>
      </w:r>
      <w:proofErr w:type="spellStart"/>
      <w:r w:rsidRPr="00BF083C">
        <w:t>mondial</w:t>
      </w:r>
      <w:proofErr w:type="spellEnd"/>
      <w:r w:rsidRPr="00BF083C">
        <w:t xml:space="preserve"> (sites </w:t>
      </w:r>
      <w:proofErr w:type="spellStart"/>
      <w:r w:rsidRPr="00BF083C">
        <w:t>marins</w:t>
      </w:r>
      <w:proofErr w:type="spellEnd"/>
      <w:r w:rsidRPr="00BF083C">
        <w:t xml:space="preserve">), qui sera </w:t>
      </w:r>
      <w:proofErr w:type="spellStart"/>
      <w:r w:rsidRPr="00BF083C">
        <w:t>renforcée</w:t>
      </w:r>
      <w:proofErr w:type="spellEnd"/>
      <w:r w:rsidRPr="00BF083C">
        <w:t xml:space="preserve"> dans le </w:t>
      </w:r>
      <w:proofErr w:type="spellStart"/>
      <w:r w:rsidRPr="00BF083C">
        <w:t>contexte</w:t>
      </w:r>
      <w:proofErr w:type="spellEnd"/>
      <w:r w:rsidRPr="00BF083C">
        <w:t xml:space="preserve"> de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w:t>
      </w:r>
      <w:proofErr w:type="spellStart"/>
      <w:r w:rsidRPr="00BF083C">
        <w:t>ainsi</w:t>
      </w:r>
      <w:proofErr w:type="spellEnd"/>
      <w:r w:rsidRPr="00BF083C">
        <w:t xml:space="preserve"> que son travail sur les </w:t>
      </w:r>
      <w:proofErr w:type="spellStart"/>
      <w:r w:rsidRPr="00BF083C">
        <w:t>mégalopoles</w:t>
      </w:r>
      <w:proofErr w:type="spellEnd"/>
      <w:r w:rsidRPr="00BF083C">
        <w:t xml:space="preserve"> </w:t>
      </w:r>
      <w:proofErr w:type="spellStart"/>
      <w:r w:rsidRPr="00BF083C">
        <w:t>côtières</w:t>
      </w:r>
      <w:proofErr w:type="spellEnd"/>
      <w:r w:rsidRPr="00BF083C">
        <w:t xml:space="preserve"> – segment des </w:t>
      </w:r>
      <w:proofErr w:type="spellStart"/>
      <w:r w:rsidRPr="00BF083C">
        <w:t>mégalopoles</w:t>
      </w:r>
      <w:proofErr w:type="spellEnd"/>
      <w:r w:rsidRPr="00BF083C">
        <w:t xml:space="preserve"> qui </w:t>
      </w:r>
      <w:proofErr w:type="spellStart"/>
      <w:r w:rsidRPr="00BF083C">
        <w:t>connaît</w:t>
      </w:r>
      <w:proofErr w:type="spellEnd"/>
      <w:r w:rsidRPr="00BF083C">
        <w:t xml:space="preserve"> la </w:t>
      </w:r>
      <w:proofErr w:type="spellStart"/>
      <w:r w:rsidRPr="00BF083C">
        <w:t>croissance</w:t>
      </w:r>
      <w:proofErr w:type="spellEnd"/>
      <w:r w:rsidRPr="00BF083C">
        <w:t xml:space="preserve"> la plus </w:t>
      </w:r>
      <w:proofErr w:type="spellStart"/>
      <w:r w:rsidRPr="00BF083C">
        <w:t>rapide</w:t>
      </w:r>
      <w:proofErr w:type="spellEnd"/>
      <w:r w:rsidRPr="00BF083C">
        <w:t xml:space="preserve"> – </w:t>
      </w:r>
      <w:proofErr w:type="spellStart"/>
      <w:r w:rsidRPr="00BF083C">
        <w:t>contribueront</w:t>
      </w:r>
      <w:proofErr w:type="spellEnd"/>
      <w:r w:rsidRPr="00BF083C">
        <w:t xml:space="preserve"> à la </w:t>
      </w:r>
      <w:proofErr w:type="spellStart"/>
      <w:r w:rsidRPr="00BF083C">
        <w:t>réalisation</w:t>
      </w:r>
      <w:proofErr w:type="spellEnd"/>
      <w:r w:rsidRPr="00BF083C">
        <w:t xml:space="preserve"> de </w:t>
      </w:r>
      <w:proofErr w:type="spellStart"/>
      <w:r w:rsidRPr="00BF083C">
        <w:t>l’Effet</w:t>
      </w:r>
      <w:proofErr w:type="spellEnd"/>
      <w:r w:rsidRPr="00BF083C">
        <w:t xml:space="preserve"> 5, qui </w:t>
      </w:r>
      <w:proofErr w:type="spellStart"/>
      <w:r w:rsidRPr="00BF083C">
        <w:t>relève</w:t>
      </w:r>
      <w:proofErr w:type="spellEnd"/>
      <w:r w:rsidRPr="00BF083C">
        <w:t xml:space="preserve"> du </w:t>
      </w:r>
      <w:proofErr w:type="spellStart"/>
      <w:r w:rsidRPr="00BF083C">
        <w:t>Secteur</w:t>
      </w:r>
      <w:proofErr w:type="spellEnd"/>
      <w:r w:rsidRPr="00BF083C">
        <w:t xml:space="preserve"> de la culture. </w:t>
      </w:r>
      <w:proofErr w:type="spellStart"/>
      <w:r w:rsidRPr="00BF083C">
        <w:t>En</w:t>
      </w:r>
      <w:proofErr w:type="spellEnd"/>
      <w:r w:rsidRPr="00BF083C">
        <w:t xml:space="preserve"> </w:t>
      </w:r>
      <w:proofErr w:type="spellStart"/>
      <w:r w:rsidRPr="00BF083C">
        <w:t>outre</w:t>
      </w:r>
      <w:proofErr w:type="spellEnd"/>
      <w:r w:rsidRPr="00BF083C">
        <w:t xml:space="preserve">, la COI </w:t>
      </w:r>
      <w:proofErr w:type="spellStart"/>
      <w:r w:rsidRPr="00BF083C">
        <w:t>participera</w:t>
      </w:r>
      <w:proofErr w:type="spellEnd"/>
      <w:r w:rsidRPr="00BF083C">
        <w:t xml:space="preserve"> au programme </w:t>
      </w:r>
      <w:proofErr w:type="spellStart"/>
      <w:r w:rsidRPr="00BF083C">
        <w:t>intersectoriel</w:t>
      </w:r>
      <w:proofErr w:type="spellEnd"/>
      <w:r w:rsidRPr="00BF083C">
        <w:t xml:space="preserve"> « Unis pour la </w:t>
      </w:r>
      <w:proofErr w:type="spellStart"/>
      <w:r w:rsidRPr="00BF083C">
        <w:t>planète</w:t>
      </w:r>
      <w:proofErr w:type="spellEnd"/>
      <w:r w:rsidRPr="00BF083C">
        <w:t xml:space="preserve"> » </w:t>
      </w:r>
      <w:proofErr w:type="spellStart"/>
      <w:r w:rsidRPr="00BF083C">
        <w:t>en</w:t>
      </w:r>
      <w:proofErr w:type="spellEnd"/>
      <w:r w:rsidRPr="00BF083C">
        <w:t xml:space="preserve"> </w:t>
      </w:r>
      <w:proofErr w:type="spellStart"/>
      <w:r w:rsidRPr="00BF083C">
        <w:t>s’occupant</w:t>
      </w:r>
      <w:proofErr w:type="spellEnd"/>
      <w:r w:rsidRPr="00BF083C">
        <w:t xml:space="preserve"> de la dimension </w:t>
      </w:r>
      <w:proofErr w:type="spellStart"/>
      <w:r w:rsidRPr="00BF083C">
        <w:t>océanique</w:t>
      </w:r>
      <w:proofErr w:type="spellEnd"/>
      <w:r w:rsidRPr="00BF083C">
        <w:t xml:space="preserve"> des </w:t>
      </w:r>
      <w:proofErr w:type="spellStart"/>
      <w:r w:rsidRPr="00BF083C">
        <w:t>systèmes</w:t>
      </w:r>
      <w:proofErr w:type="spellEnd"/>
      <w:r w:rsidRPr="00BF083C">
        <w:t xml:space="preserve"> de </w:t>
      </w:r>
      <w:proofErr w:type="spellStart"/>
      <w:r w:rsidRPr="00BF083C">
        <w:t>connaissance</w:t>
      </w:r>
      <w:proofErr w:type="spellEnd"/>
      <w:r w:rsidRPr="00BF083C">
        <w:t xml:space="preserve"> </w:t>
      </w:r>
      <w:proofErr w:type="spellStart"/>
      <w:r w:rsidRPr="00BF083C">
        <w:t>utilisés</w:t>
      </w:r>
      <w:proofErr w:type="spellEnd"/>
      <w:r w:rsidRPr="00BF083C">
        <w:t xml:space="preserve"> pour faire face au </w:t>
      </w:r>
      <w:proofErr w:type="spellStart"/>
      <w:r w:rsidRPr="00BF083C">
        <w:t>changement</w:t>
      </w:r>
      <w:proofErr w:type="spellEnd"/>
      <w:r w:rsidRPr="00BF083C">
        <w:t xml:space="preserve"> </w:t>
      </w:r>
      <w:proofErr w:type="spellStart"/>
      <w:r w:rsidRPr="00BF083C">
        <w:t>climatique</w:t>
      </w:r>
      <w:proofErr w:type="spellEnd"/>
      <w:r w:rsidRPr="00BF083C">
        <w:t xml:space="preserve"> et </w:t>
      </w:r>
      <w:proofErr w:type="spellStart"/>
      <w:r w:rsidRPr="00BF083C">
        <w:t>favoriser</w:t>
      </w:r>
      <w:proofErr w:type="spellEnd"/>
      <w:r w:rsidRPr="00BF083C">
        <w:t xml:space="preserve"> </w:t>
      </w:r>
      <w:proofErr w:type="spellStart"/>
      <w:r w:rsidRPr="00BF083C">
        <w:t>une</w:t>
      </w:r>
      <w:proofErr w:type="spellEnd"/>
      <w:r w:rsidRPr="00BF083C">
        <w:t xml:space="preserve"> gestion durable des </w:t>
      </w:r>
      <w:proofErr w:type="spellStart"/>
      <w:r w:rsidRPr="00BF083C">
        <w:t>écosystèmes</w:t>
      </w:r>
      <w:proofErr w:type="spellEnd"/>
      <w:r w:rsidRPr="00BF083C">
        <w:t xml:space="preserve"> </w:t>
      </w:r>
      <w:proofErr w:type="spellStart"/>
      <w:r w:rsidRPr="00BF083C">
        <w:t>océaniques</w:t>
      </w:r>
      <w:proofErr w:type="spellEnd"/>
      <w:r w:rsidRPr="00BF083C">
        <w:t>.</w:t>
      </w:r>
    </w:p>
    <w:p w14:paraId="733BC909" w14:textId="2E981927" w:rsidR="002E3D9D" w:rsidRPr="00BF083C" w:rsidRDefault="00BC243D" w:rsidP="00BC243D">
      <w:pPr>
        <w:widowControl/>
        <w:tabs>
          <w:tab w:val="clear" w:pos="567"/>
          <w:tab w:val="left" w:pos="1148"/>
        </w:tabs>
        <w:adjustRightInd/>
        <w:snapToGrid/>
        <w:spacing w:after="240" w:line="240" w:lineRule="auto"/>
        <w:textAlignment w:val="auto"/>
        <w:rPr>
          <w:iCs/>
        </w:rPr>
      </w:pPr>
      <w:r w:rsidRPr="00BF083C">
        <w:rPr>
          <w:bdr w:val="single" w:sz="4" w:space="0" w:color="auto"/>
        </w:rPr>
        <w:t>03004</w:t>
      </w:r>
      <w:r w:rsidRPr="00BF083C">
        <w:tab/>
        <w:t xml:space="preserve">Le </w:t>
      </w:r>
      <w:proofErr w:type="spellStart"/>
      <w:r w:rsidRPr="00BF083C">
        <w:t>Secrétariat</w:t>
      </w:r>
      <w:proofErr w:type="spellEnd"/>
      <w:r w:rsidRPr="00BF083C">
        <w:t xml:space="preserve"> de la COI </w:t>
      </w:r>
      <w:proofErr w:type="spellStart"/>
      <w:r w:rsidRPr="00BF083C">
        <w:t>est</w:t>
      </w:r>
      <w:proofErr w:type="spellEnd"/>
      <w:r w:rsidRPr="00BF083C">
        <w:t xml:space="preserve"> le </w:t>
      </w:r>
      <w:proofErr w:type="spellStart"/>
      <w:r w:rsidRPr="00BF083C">
        <w:t>seul</w:t>
      </w:r>
      <w:proofErr w:type="spellEnd"/>
      <w:r w:rsidRPr="00BF083C">
        <w:t xml:space="preserve"> </w:t>
      </w:r>
      <w:proofErr w:type="spellStart"/>
      <w:r w:rsidRPr="00BF083C">
        <w:t>mécanisme</w:t>
      </w:r>
      <w:proofErr w:type="spellEnd"/>
      <w:r w:rsidRPr="00BF083C">
        <w:t xml:space="preserve"> </w:t>
      </w:r>
      <w:proofErr w:type="spellStart"/>
      <w:r w:rsidRPr="00BF083C">
        <w:t>intergouvernemental</w:t>
      </w:r>
      <w:proofErr w:type="spellEnd"/>
      <w:r w:rsidRPr="00BF083C">
        <w:t xml:space="preserve"> du </w:t>
      </w:r>
      <w:proofErr w:type="spellStart"/>
      <w:r w:rsidRPr="00BF083C">
        <w:t>système</w:t>
      </w:r>
      <w:proofErr w:type="spellEnd"/>
      <w:r w:rsidRPr="00BF083C">
        <w:t xml:space="preserve"> des Nations </w:t>
      </w:r>
      <w:proofErr w:type="spellStart"/>
      <w:r w:rsidRPr="00BF083C">
        <w:t>Unies</w:t>
      </w:r>
      <w:proofErr w:type="spellEnd"/>
      <w:r w:rsidRPr="00BF083C">
        <w:t xml:space="preserve"> </w:t>
      </w:r>
      <w:proofErr w:type="spellStart"/>
      <w:r w:rsidRPr="00BF083C">
        <w:t>entièrement</w:t>
      </w:r>
      <w:proofErr w:type="spellEnd"/>
      <w:r w:rsidRPr="00BF083C">
        <w:t xml:space="preserve"> </w:t>
      </w:r>
      <w:proofErr w:type="spellStart"/>
      <w:r w:rsidRPr="00BF083C">
        <w:t>consacré</w:t>
      </w:r>
      <w:proofErr w:type="spellEnd"/>
      <w:r w:rsidRPr="00BF083C">
        <w:t xml:space="preserve"> au </w:t>
      </w:r>
      <w:proofErr w:type="spellStart"/>
      <w:r w:rsidRPr="00BF083C">
        <w:t>développement</w:t>
      </w:r>
      <w:proofErr w:type="spellEnd"/>
      <w:r w:rsidRPr="00BF083C">
        <w:t xml:space="preserve"> des sciences </w:t>
      </w:r>
      <w:proofErr w:type="spellStart"/>
      <w:r w:rsidRPr="00BF083C">
        <w:t>océaniques</w:t>
      </w:r>
      <w:proofErr w:type="spellEnd"/>
      <w:r w:rsidRPr="00BF083C">
        <w:t xml:space="preserve">. </w:t>
      </w:r>
      <w:proofErr w:type="spellStart"/>
      <w:r w:rsidRPr="00BF083C">
        <w:t>Tous</w:t>
      </w:r>
      <w:proofErr w:type="spellEnd"/>
      <w:r w:rsidRPr="00BF083C">
        <w:t xml:space="preserve"> les audits et les </w:t>
      </w:r>
      <w:proofErr w:type="spellStart"/>
      <w:r w:rsidRPr="00BF083C">
        <w:t>évaluations</w:t>
      </w:r>
      <w:proofErr w:type="spellEnd"/>
      <w:r w:rsidRPr="00BF083C">
        <w:t xml:space="preserve"> de la COI </w:t>
      </w:r>
      <w:proofErr w:type="spellStart"/>
      <w:r w:rsidRPr="00BF083C">
        <w:t>effectués</w:t>
      </w:r>
      <w:proofErr w:type="spellEnd"/>
      <w:r w:rsidRPr="00BF083C">
        <w:t xml:space="preserve"> </w:t>
      </w:r>
      <w:proofErr w:type="spellStart"/>
      <w:r w:rsidRPr="00BF083C">
        <w:t>récemment</w:t>
      </w:r>
      <w:proofErr w:type="spellEnd"/>
      <w:r w:rsidRPr="00BF083C">
        <w:t xml:space="preserve"> </w:t>
      </w:r>
      <w:proofErr w:type="spellStart"/>
      <w:r w:rsidRPr="00BF083C">
        <w:t>ont</w:t>
      </w:r>
      <w:proofErr w:type="spellEnd"/>
      <w:r w:rsidRPr="00BF083C">
        <w:t xml:space="preserve"> </w:t>
      </w:r>
      <w:proofErr w:type="spellStart"/>
      <w:r w:rsidRPr="00BF083C">
        <w:t>indiqué</w:t>
      </w:r>
      <w:proofErr w:type="spellEnd"/>
      <w:r w:rsidRPr="00BF083C">
        <w:t xml:space="preserve"> que </w:t>
      </w:r>
      <w:proofErr w:type="spellStart"/>
      <w:r w:rsidRPr="00BF083C">
        <w:t>si</w:t>
      </w:r>
      <w:proofErr w:type="spellEnd"/>
      <w:r w:rsidRPr="00BF083C">
        <w:t xml:space="preserve"> la Commission </w:t>
      </w:r>
      <w:proofErr w:type="spellStart"/>
      <w:r w:rsidRPr="00BF083C">
        <w:t>représentait</w:t>
      </w:r>
      <w:proofErr w:type="spellEnd"/>
      <w:r w:rsidRPr="00BF083C">
        <w:t xml:space="preserve"> un </w:t>
      </w:r>
      <w:proofErr w:type="spellStart"/>
      <w:r w:rsidRPr="00BF083C">
        <w:t>investissement</w:t>
      </w:r>
      <w:proofErr w:type="spellEnd"/>
      <w:r w:rsidRPr="00BF083C">
        <w:t xml:space="preserve"> </w:t>
      </w:r>
      <w:proofErr w:type="spellStart"/>
      <w:r w:rsidRPr="00BF083C">
        <w:t>particulièrement</w:t>
      </w:r>
      <w:proofErr w:type="spellEnd"/>
      <w:r w:rsidRPr="00BF083C">
        <w:t xml:space="preserve"> </w:t>
      </w:r>
      <w:proofErr w:type="spellStart"/>
      <w:r w:rsidRPr="00BF083C">
        <w:t>productif</w:t>
      </w:r>
      <w:proofErr w:type="spellEnd"/>
      <w:r w:rsidRPr="00BF083C">
        <w:t xml:space="preserve"> et rentable des </w:t>
      </w:r>
      <w:proofErr w:type="spellStart"/>
      <w:r w:rsidRPr="00BF083C">
        <w:t>États</w:t>
      </w:r>
      <w:proofErr w:type="spellEnd"/>
      <w:r w:rsidRPr="00BF083C">
        <w:t xml:space="preserve"> </w:t>
      </w:r>
      <w:proofErr w:type="spellStart"/>
      <w:r w:rsidRPr="00BF083C">
        <w:t>membres</w:t>
      </w:r>
      <w:proofErr w:type="spellEnd"/>
      <w:r w:rsidRPr="00BF083C">
        <w:t xml:space="preserve"> </w:t>
      </w:r>
      <w:proofErr w:type="spellStart"/>
      <w:r w:rsidRPr="00BF083C">
        <w:t>en</w:t>
      </w:r>
      <w:proofErr w:type="spellEnd"/>
      <w:r w:rsidRPr="00BF083C">
        <w:t xml:space="preserve"> </w:t>
      </w:r>
      <w:proofErr w:type="spellStart"/>
      <w:r w:rsidRPr="00BF083C">
        <w:t>faveur</w:t>
      </w:r>
      <w:proofErr w:type="spellEnd"/>
      <w:r w:rsidRPr="00BF083C">
        <w:t xml:space="preserve"> de </w:t>
      </w:r>
      <w:proofErr w:type="spellStart"/>
      <w:r w:rsidRPr="00BF083C">
        <w:t>futurs</w:t>
      </w:r>
      <w:proofErr w:type="spellEnd"/>
      <w:r w:rsidRPr="00BF083C">
        <w:t xml:space="preserve"> services </w:t>
      </w:r>
      <w:proofErr w:type="spellStart"/>
      <w:r w:rsidRPr="00BF083C">
        <w:t>océaniques</w:t>
      </w:r>
      <w:proofErr w:type="spellEnd"/>
      <w:r w:rsidRPr="00BF083C">
        <w:t xml:space="preserve"> durables </w:t>
      </w:r>
      <w:proofErr w:type="spellStart"/>
      <w:r w:rsidRPr="00BF083C">
        <w:t>fondés</w:t>
      </w:r>
      <w:proofErr w:type="spellEnd"/>
      <w:r w:rsidRPr="00BF083C">
        <w:t xml:space="preserve"> sur le savoir, </w:t>
      </w:r>
      <w:proofErr w:type="spellStart"/>
      <w:r w:rsidRPr="00BF083C">
        <w:t>cet</w:t>
      </w:r>
      <w:proofErr w:type="spellEnd"/>
      <w:r w:rsidRPr="00BF083C">
        <w:t xml:space="preserve"> </w:t>
      </w:r>
      <w:proofErr w:type="spellStart"/>
      <w:r w:rsidRPr="00BF083C">
        <w:t>investissement</w:t>
      </w:r>
      <w:proofErr w:type="spellEnd"/>
      <w:r w:rsidRPr="00BF083C">
        <w:t xml:space="preserve"> </w:t>
      </w:r>
      <w:proofErr w:type="spellStart"/>
      <w:r w:rsidRPr="00BF083C">
        <w:t>était</w:t>
      </w:r>
      <w:proofErr w:type="spellEnd"/>
      <w:r w:rsidRPr="00BF083C">
        <w:t xml:space="preserve"> </w:t>
      </w:r>
      <w:proofErr w:type="spellStart"/>
      <w:r w:rsidRPr="00BF083C">
        <w:t>nettement</w:t>
      </w:r>
      <w:proofErr w:type="spellEnd"/>
      <w:r w:rsidRPr="00BF083C">
        <w:t xml:space="preserve"> </w:t>
      </w:r>
      <w:proofErr w:type="spellStart"/>
      <w:r w:rsidRPr="00BF083C">
        <w:t>insuffisant</w:t>
      </w:r>
      <w:proofErr w:type="spellEnd"/>
      <w:r w:rsidRPr="00BF083C">
        <w:t xml:space="preserve">, et que la Commission </w:t>
      </w:r>
      <w:proofErr w:type="spellStart"/>
      <w:r w:rsidRPr="00BF083C">
        <w:t>manquait</w:t>
      </w:r>
      <w:proofErr w:type="spellEnd"/>
      <w:r w:rsidRPr="00BF083C">
        <w:t xml:space="preserve"> de personnel et de </w:t>
      </w:r>
      <w:proofErr w:type="spellStart"/>
      <w:r w:rsidRPr="00BF083C">
        <w:t>ressources</w:t>
      </w:r>
      <w:proofErr w:type="spellEnd"/>
      <w:r w:rsidRPr="00BF083C">
        <w:t xml:space="preserve"> pour </w:t>
      </w:r>
      <w:proofErr w:type="spellStart"/>
      <w:r w:rsidRPr="00BF083C">
        <w:t>pouvoir</w:t>
      </w:r>
      <w:proofErr w:type="spellEnd"/>
      <w:r w:rsidRPr="00BF083C">
        <w:t xml:space="preserve"> </w:t>
      </w:r>
      <w:proofErr w:type="spellStart"/>
      <w:r w:rsidRPr="00BF083C">
        <w:t>s’acquitter</w:t>
      </w:r>
      <w:proofErr w:type="spellEnd"/>
      <w:r w:rsidRPr="00BF083C">
        <w:t xml:space="preserve"> de son </w:t>
      </w:r>
      <w:proofErr w:type="spellStart"/>
      <w:r w:rsidRPr="00BF083C">
        <w:t>mandat</w:t>
      </w:r>
      <w:proofErr w:type="spellEnd"/>
      <w:r w:rsidRPr="00BF083C">
        <w:t xml:space="preserve"> de plus </w:t>
      </w:r>
      <w:proofErr w:type="spellStart"/>
      <w:r w:rsidRPr="00BF083C">
        <w:t>en</w:t>
      </w:r>
      <w:proofErr w:type="spellEnd"/>
      <w:r w:rsidRPr="00BF083C">
        <w:t xml:space="preserve"> plus </w:t>
      </w:r>
      <w:proofErr w:type="spellStart"/>
      <w:r w:rsidRPr="00BF083C">
        <w:t>vaste</w:t>
      </w:r>
      <w:proofErr w:type="spellEnd"/>
      <w:r w:rsidRPr="00BF083C">
        <w:t>.</w:t>
      </w:r>
    </w:p>
    <w:p w14:paraId="0CB0AFAC" w14:textId="3CF45961" w:rsidR="004C110A" w:rsidRPr="00BF083C" w:rsidRDefault="00BC243D" w:rsidP="00BC243D">
      <w:pPr>
        <w:pStyle w:val="Marge"/>
        <w:tabs>
          <w:tab w:val="clear" w:pos="567"/>
          <w:tab w:val="left" w:pos="1162"/>
        </w:tabs>
        <w:spacing w:line="240" w:lineRule="auto"/>
      </w:pPr>
      <w:r w:rsidRPr="00BF083C">
        <w:rPr>
          <w:bdr w:val="single" w:sz="4" w:space="0" w:color="auto"/>
        </w:rPr>
        <w:t>03005</w:t>
      </w:r>
      <w:r w:rsidRPr="00BF083C">
        <w:tab/>
      </w:r>
      <w:proofErr w:type="spellStart"/>
      <w:r w:rsidRPr="00BF083C">
        <w:t>En</w:t>
      </w:r>
      <w:proofErr w:type="spellEnd"/>
      <w:r w:rsidRPr="00BF083C">
        <w:t xml:space="preserve"> </w:t>
      </w:r>
      <w:proofErr w:type="spellStart"/>
      <w:r w:rsidRPr="00BF083C">
        <w:t>dépit</w:t>
      </w:r>
      <w:proofErr w:type="spellEnd"/>
      <w:r w:rsidRPr="00BF083C">
        <w:t xml:space="preserve"> d’un budget </w:t>
      </w:r>
      <w:proofErr w:type="spellStart"/>
      <w:r w:rsidRPr="00BF083C">
        <w:t>limité</w:t>
      </w:r>
      <w:proofErr w:type="spellEnd"/>
      <w:r w:rsidRPr="00BF083C">
        <w:t xml:space="preserve"> au titre du Programme ordinaire, la COI ne </w:t>
      </w:r>
      <w:proofErr w:type="spellStart"/>
      <w:r w:rsidRPr="00BF083C">
        <w:t>cesse</w:t>
      </w:r>
      <w:proofErr w:type="spellEnd"/>
      <w:r w:rsidRPr="00BF083C">
        <w:t xml:space="preserve"> de </w:t>
      </w:r>
      <w:proofErr w:type="spellStart"/>
      <w:r w:rsidRPr="00BF083C">
        <w:t>voir</w:t>
      </w:r>
      <w:proofErr w:type="spellEnd"/>
      <w:r w:rsidRPr="00BF083C">
        <w:t xml:space="preserve"> la </w:t>
      </w:r>
      <w:proofErr w:type="spellStart"/>
      <w:r w:rsidRPr="00BF083C">
        <w:t>portée</w:t>
      </w:r>
      <w:proofErr w:type="spellEnd"/>
      <w:r w:rsidRPr="00BF083C">
        <w:t xml:space="preserve"> de son action </w:t>
      </w:r>
      <w:proofErr w:type="spellStart"/>
      <w:r w:rsidRPr="00BF083C">
        <w:t>s’étendre</w:t>
      </w:r>
      <w:proofErr w:type="spellEnd"/>
      <w:r w:rsidRPr="00BF083C">
        <w:t xml:space="preserve">. Des </w:t>
      </w:r>
      <w:proofErr w:type="spellStart"/>
      <w:r w:rsidRPr="00BF083C">
        <w:t>changements</w:t>
      </w:r>
      <w:proofErr w:type="spellEnd"/>
      <w:r w:rsidRPr="00BF083C">
        <w:t xml:space="preserve"> </w:t>
      </w:r>
      <w:proofErr w:type="spellStart"/>
      <w:r w:rsidRPr="00BF083C">
        <w:t>stratégiques</w:t>
      </w:r>
      <w:proofErr w:type="spellEnd"/>
      <w:r w:rsidRPr="00BF083C">
        <w:t xml:space="preserve"> </w:t>
      </w:r>
      <w:proofErr w:type="spellStart"/>
      <w:r w:rsidRPr="00BF083C">
        <w:t>sont</w:t>
      </w:r>
      <w:proofErr w:type="spellEnd"/>
      <w:r w:rsidRPr="00BF083C">
        <w:t xml:space="preserve"> </w:t>
      </w:r>
      <w:proofErr w:type="spellStart"/>
      <w:r w:rsidRPr="00BF083C">
        <w:t>nécessaires</w:t>
      </w:r>
      <w:proofErr w:type="spellEnd"/>
      <w:r w:rsidRPr="00BF083C">
        <w:t xml:space="preserve"> pour que la Commission dirige la coordination de la recherche </w:t>
      </w:r>
      <w:proofErr w:type="spellStart"/>
      <w:r w:rsidRPr="00BF083C">
        <w:t>océanique</w:t>
      </w:r>
      <w:proofErr w:type="spellEnd"/>
      <w:r w:rsidRPr="00BF083C">
        <w:t xml:space="preserve"> sur des </w:t>
      </w:r>
      <w:proofErr w:type="spellStart"/>
      <w:r w:rsidRPr="00BF083C">
        <w:t>sujets</w:t>
      </w:r>
      <w:proofErr w:type="spellEnd"/>
      <w:r w:rsidRPr="00BF083C">
        <w:t xml:space="preserve"> </w:t>
      </w:r>
      <w:proofErr w:type="spellStart"/>
      <w:r w:rsidRPr="00BF083C">
        <w:t>importants</w:t>
      </w:r>
      <w:proofErr w:type="spellEnd"/>
      <w:r w:rsidRPr="00BF083C">
        <w:t xml:space="preserve"> </w:t>
      </w:r>
      <w:proofErr w:type="spellStart"/>
      <w:r w:rsidRPr="00BF083C">
        <w:t>tels</w:t>
      </w:r>
      <w:proofErr w:type="spellEnd"/>
      <w:r w:rsidRPr="00BF083C">
        <w:t xml:space="preserve"> que </w:t>
      </w:r>
      <w:proofErr w:type="spellStart"/>
      <w:r w:rsidRPr="00BF083C">
        <w:t>l’acidification</w:t>
      </w:r>
      <w:proofErr w:type="spellEnd"/>
      <w:r w:rsidRPr="00BF083C">
        <w:t xml:space="preserve"> des </w:t>
      </w:r>
      <w:proofErr w:type="spellStart"/>
      <w:r w:rsidRPr="00BF083C">
        <w:t>océans</w:t>
      </w:r>
      <w:proofErr w:type="spellEnd"/>
      <w:r w:rsidRPr="00BF083C">
        <w:t xml:space="preserve">, la </w:t>
      </w:r>
      <w:proofErr w:type="spellStart"/>
      <w:r w:rsidRPr="00BF083C">
        <w:t>désoxygénation</w:t>
      </w:r>
      <w:proofErr w:type="spellEnd"/>
      <w:r w:rsidRPr="00BF083C">
        <w:t xml:space="preserve">, les impacts des multiples </w:t>
      </w:r>
      <w:proofErr w:type="spellStart"/>
      <w:r w:rsidRPr="00BF083C">
        <w:t>facteurs</w:t>
      </w:r>
      <w:proofErr w:type="spellEnd"/>
      <w:r w:rsidRPr="00BF083C">
        <w:t xml:space="preserve"> de stress sur la </w:t>
      </w:r>
      <w:proofErr w:type="spellStart"/>
      <w:r w:rsidRPr="00BF083C">
        <w:t>biodiversité</w:t>
      </w:r>
      <w:proofErr w:type="spellEnd"/>
      <w:r w:rsidRPr="00BF083C">
        <w:t xml:space="preserve"> marine, tout </w:t>
      </w:r>
      <w:proofErr w:type="spellStart"/>
      <w:r w:rsidRPr="00BF083C">
        <w:t>en</w:t>
      </w:r>
      <w:proofErr w:type="spellEnd"/>
      <w:r w:rsidRPr="00BF083C">
        <w:t xml:space="preserve"> </w:t>
      </w:r>
      <w:proofErr w:type="spellStart"/>
      <w:r w:rsidRPr="00BF083C">
        <w:t>poursuivant</w:t>
      </w:r>
      <w:proofErr w:type="spellEnd"/>
      <w:r w:rsidRPr="00BF083C">
        <w:t xml:space="preserve"> </w:t>
      </w:r>
      <w:proofErr w:type="spellStart"/>
      <w:r w:rsidRPr="00BF083C">
        <w:t>ses</w:t>
      </w:r>
      <w:proofErr w:type="spellEnd"/>
      <w:r w:rsidRPr="00BF083C">
        <w:t xml:space="preserve"> efforts </w:t>
      </w:r>
      <w:proofErr w:type="spellStart"/>
      <w:r w:rsidRPr="00BF083C">
        <w:t>visant</w:t>
      </w:r>
      <w:proofErr w:type="spellEnd"/>
      <w:r w:rsidRPr="00BF083C">
        <w:t xml:space="preserve"> à </w:t>
      </w:r>
      <w:proofErr w:type="spellStart"/>
      <w:r w:rsidRPr="00BF083C">
        <w:t>maintenir</w:t>
      </w:r>
      <w:proofErr w:type="spellEnd"/>
      <w:r w:rsidRPr="00BF083C">
        <w:t xml:space="preserve"> et à </w:t>
      </w:r>
      <w:proofErr w:type="spellStart"/>
      <w:r w:rsidRPr="00BF083C">
        <w:t>accroître</w:t>
      </w:r>
      <w:proofErr w:type="spellEnd"/>
      <w:r w:rsidRPr="00BF083C">
        <w:t xml:space="preserve"> les observations </w:t>
      </w:r>
      <w:proofErr w:type="spellStart"/>
      <w:r w:rsidRPr="00BF083C">
        <w:t>mondiales</w:t>
      </w:r>
      <w:proofErr w:type="spellEnd"/>
      <w:r w:rsidRPr="00BF083C">
        <w:t xml:space="preserve"> et la </w:t>
      </w:r>
      <w:proofErr w:type="spellStart"/>
      <w:r w:rsidRPr="00BF083C">
        <w:t>collecte</w:t>
      </w:r>
      <w:proofErr w:type="spellEnd"/>
      <w:r w:rsidRPr="00BF083C">
        <w:t xml:space="preserve"> de </w:t>
      </w:r>
      <w:proofErr w:type="spellStart"/>
      <w:r w:rsidRPr="00BF083C">
        <w:t>données</w:t>
      </w:r>
      <w:proofErr w:type="spellEnd"/>
      <w:r w:rsidRPr="00BF083C">
        <w:t xml:space="preserve"> </w:t>
      </w:r>
      <w:proofErr w:type="spellStart"/>
      <w:r w:rsidRPr="00BF083C">
        <w:t>pertinentes</w:t>
      </w:r>
      <w:proofErr w:type="spellEnd"/>
      <w:r w:rsidRPr="00BF083C">
        <w:t xml:space="preserve"> et </w:t>
      </w:r>
      <w:proofErr w:type="spellStart"/>
      <w:r w:rsidRPr="00BF083C">
        <w:t>nécessaires</w:t>
      </w:r>
      <w:proofErr w:type="spellEnd"/>
      <w:r w:rsidRPr="00BF083C">
        <w:t xml:space="preserve"> pour la </w:t>
      </w:r>
      <w:proofErr w:type="spellStart"/>
      <w:r w:rsidRPr="00BF083C">
        <w:t>société</w:t>
      </w:r>
      <w:proofErr w:type="spellEnd"/>
      <w:r w:rsidRPr="00BF083C">
        <w:t xml:space="preserve">, dans le cadre du GOOS. La </w:t>
      </w:r>
      <w:proofErr w:type="spellStart"/>
      <w:r w:rsidRPr="00BF083C">
        <w:t>Conférence</w:t>
      </w:r>
      <w:proofErr w:type="spellEnd"/>
      <w:r w:rsidRPr="00BF083C">
        <w:t xml:space="preserve"> </w:t>
      </w:r>
      <w:proofErr w:type="spellStart"/>
      <w:r w:rsidRPr="00BF083C">
        <w:t>intergouvernementale</w:t>
      </w:r>
      <w:proofErr w:type="spellEnd"/>
      <w:r w:rsidRPr="00BF083C">
        <w:t xml:space="preserve"> </w:t>
      </w:r>
      <w:proofErr w:type="spellStart"/>
      <w:r w:rsidRPr="00BF083C">
        <w:t>chargée</w:t>
      </w:r>
      <w:proofErr w:type="spellEnd"/>
      <w:r w:rsidRPr="00BF083C">
        <w:t xml:space="preserve"> </w:t>
      </w:r>
      <w:proofErr w:type="spellStart"/>
      <w:r w:rsidRPr="00BF083C">
        <w:t>d’élaborer</w:t>
      </w:r>
      <w:proofErr w:type="spellEnd"/>
      <w:r w:rsidRPr="00BF083C">
        <w:t xml:space="preserve"> un instrument international </w:t>
      </w:r>
      <w:proofErr w:type="spellStart"/>
      <w:r w:rsidRPr="00BF083C">
        <w:t>juridiquement</w:t>
      </w:r>
      <w:proofErr w:type="spellEnd"/>
      <w:r w:rsidRPr="00BF083C">
        <w:t xml:space="preserve"> </w:t>
      </w:r>
      <w:proofErr w:type="spellStart"/>
      <w:r w:rsidRPr="00BF083C">
        <w:t>contraignant</w:t>
      </w:r>
      <w:proofErr w:type="spellEnd"/>
      <w:r w:rsidRPr="00BF083C">
        <w:t xml:space="preserve"> se </w:t>
      </w:r>
      <w:proofErr w:type="spellStart"/>
      <w:r w:rsidRPr="00BF083C">
        <w:t>rapportant</w:t>
      </w:r>
      <w:proofErr w:type="spellEnd"/>
      <w:r w:rsidRPr="00BF083C">
        <w:t xml:space="preserve"> à la Convention des Nations </w:t>
      </w:r>
      <w:proofErr w:type="spellStart"/>
      <w:r w:rsidRPr="00BF083C">
        <w:t>Unies</w:t>
      </w:r>
      <w:proofErr w:type="spellEnd"/>
      <w:r w:rsidRPr="00BF083C">
        <w:t xml:space="preserve"> sur le droit de la </w:t>
      </w:r>
      <w:proofErr w:type="spellStart"/>
      <w:r w:rsidRPr="00BF083C">
        <w:t>mer</w:t>
      </w:r>
      <w:proofErr w:type="spellEnd"/>
      <w:r w:rsidRPr="00BF083C">
        <w:t xml:space="preserve"> et </w:t>
      </w:r>
      <w:proofErr w:type="spellStart"/>
      <w:r w:rsidRPr="00BF083C">
        <w:t>portant</w:t>
      </w:r>
      <w:proofErr w:type="spellEnd"/>
      <w:r w:rsidRPr="00BF083C">
        <w:t xml:space="preserve"> sur la conservation et </w:t>
      </w:r>
      <w:proofErr w:type="spellStart"/>
      <w:r w:rsidRPr="00BF083C">
        <w:t>l’utilisation</w:t>
      </w:r>
      <w:proofErr w:type="spellEnd"/>
      <w:r w:rsidRPr="00BF083C">
        <w:t xml:space="preserve"> durable de la </w:t>
      </w:r>
      <w:proofErr w:type="spellStart"/>
      <w:r w:rsidRPr="00BF083C">
        <w:t>biodiversité</w:t>
      </w:r>
      <w:proofErr w:type="spellEnd"/>
      <w:r w:rsidRPr="00BF083C">
        <w:t xml:space="preserve"> marine des zones ne relevant pas de la </w:t>
      </w:r>
      <w:proofErr w:type="spellStart"/>
      <w:r w:rsidRPr="00BF083C">
        <w:t>juridiction</w:t>
      </w:r>
      <w:proofErr w:type="spellEnd"/>
      <w:r w:rsidRPr="00BF083C">
        <w:t xml:space="preserve"> </w:t>
      </w:r>
      <w:proofErr w:type="spellStart"/>
      <w:r w:rsidRPr="00BF083C">
        <w:t>nationale</w:t>
      </w:r>
      <w:proofErr w:type="spellEnd"/>
      <w:r w:rsidRPr="00BF083C">
        <w:t xml:space="preserve"> envisage de </w:t>
      </w:r>
      <w:proofErr w:type="spellStart"/>
      <w:r w:rsidRPr="00BF083C">
        <w:t>confier</w:t>
      </w:r>
      <w:proofErr w:type="spellEnd"/>
      <w:r w:rsidRPr="00BF083C">
        <w:t xml:space="preserve"> au </w:t>
      </w:r>
      <w:proofErr w:type="spellStart"/>
      <w:r w:rsidRPr="00BF083C">
        <w:t>Secrétariat</w:t>
      </w:r>
      <w:proofErr w:type="spellEnd"/>
      <w:r w:rsidRPr="00BF083C">
        <w:t xml:space="preserve"> de la COI la coordination du travail de </w:t>
      </w:r>
      <w:proofErr w:type="spellStart"/>
      <w:r w:rsidRPr="00BF083C">
        <w:t>renforcement</w:t>
      </w:r>
      <w:proofErr w:type="spellEnd"/>
      <w:r w:rsidRPr="00BF083C">
        <w:t xml:space="preserve"> des </w:t>
      </w:r>
      <w:proofErr w:type="spellStart"/>
      <w:r w:rsidRPr="00BF083C">
        <w:t>capacités</w:t>
      </w:r>
      <w:proofErr w:type="spellEnd"/>
      <w:r w:rsidRPr="00BF083C">
        <w:t xml:space="preserve"> </w:t>
      </w:r>
      <w:proofErr w:type="spellStart"/>
      <w:r w:rsidRPr="00BF083C">
        <w:t>connexe</w:t>
      </w:r>
      <w:proofErr w:type="spellEnd"/>
      <w:r w:rsidRPr="00BF083C">
        <w:t xml:space="preserve">. La Commission </w:t>
      </w:r>
      <w:proofErr w:type="spellStart"/>
      <w:r w:rsidRPr="00BF083C">
        <w:t>est</w:t>
      </w:r>
      <w:proofErr w:type="spellEnd"/>
      <w:r w:rsidRPr="00BF083C">
        <w:t xml:space="preserve"> </w:t>
      </w:r>
      <w:proofErr w:type="spellStart"/>
      <w:r w:rsidRPr="00BF083C">
        <w:t>également</w:t>
      </w:r>
      <w:proofErr w:type="spellEnd"/>
      <w:r w:rsidRPr="00BF083C">
        <w:t xml:space="preserve"> de plus </w:t>
      </w:r>
      <w:proofErr w:type="spellStart"/>
      <w:r w:rsidRPr="00BF083C">
        <w:t>en</w:t>
      </w:r>
      <w:proofErr w:type="spellEnd"/>
      <w:r w:rsidRPr="00BF083C">
        <w:t xml:space="preserve"> plus </w:t>
      </w:r>
      <w:proofErr w:type="spellStart"/>
      <w:r w:rsidRPr="00BF083C">
        <w:t>considérée</w:t>
      </w:r>
      <w:proofErr w:type="spellEnd"/>
      <w:r w:rsidRPr="00BF083C">
        <w:t xml:space="preserve"> </w:t>
      </w:r>
      <w:proofErr w:type="spellStart"/>
      <w:r w:rsidRPr="00BF083C">
        <w:t>comme</w:t>
      </w:r>
      <w:proofErr w:type="spellEnd"/>
      <w:r w:rsidRPr="00BF083C">
        <w:t xml:space="preserve"> un </w:t>
      </w:r>
      <w:proofErr w:type="spellStart"/>
      <w:r w:rsidRPr="00BF083C">
        <w:t>organisme</w:t>
      </w:r>
      <w:proofErr w:type="spellEnd"/>
      <w:r w:rsidRPr="00BF083C">
        <w:t xml:space="preserve"> </w:t>
      </w:r>
      <w:proofErr w:type="spellStart"/>
      <w:r w:rsidRPr="00BF083C">
        <w:t>clé</w:t>
      </w:r>
      <w:proofErr w:type="spellEnd"/>
      <w:r w:rsidRPr="00BF083C">
        <w:t xml:space="preserve"> </w:t>
      </w:r>
      <w:proofErr w:type="spellStart"/>
      <w:r w:rsidRPr="00BF083C">
        <w:t>fournissant</w:t>
      </w:r>
      <w:proofErr w:type="spellEnd"/>
      <w:r w:rsidRPr="00BF083C">
        <w:t xml:space="preserve"> des </w:t>
      </w:r>
      <w:proofErr w:type="spellStart"/>
      <w:r w:rsidRPr="00BF083C">
        <w:t>connaissances</w:t>
      </w:r>
      <w:proofErr w:type="spellEnd"/>
      <w:r w:rsidRPr="00BF083C">
        <w:t xml:space="preserve"> sur les </w:t>
      </w:r>
      <w:proofErr w:type="spellStart"/>
      <w:r w:rsidRPr="00BF083C">
        <w:t>océans</w:t>
      </w:r>
      <w:proofErr w:type="spellEnd"/>
      <w:r w:rsidRPr="00BF083C">
        <w:t xml:space="preserve"> à la Convention-cadre des Nations </w:t>
      </w:r>
      <w:proofErr w:type="spellStart"/>
      <w:r w:rsidRPr="00BF083C">
        <w:t>Unies</w:t>
      </w:r>
      <w:proofErr w:type="spellEnd"/>
      <w:r w:rsidRPr="00BF083C">
        <w:t xml:space="preserve"> sur les </w:t>
      </w:r>
      <w:proofErr w:type="spellStart"/>
      <w:r w:rsidRPr="00BF083C">
        <w:t>changements</w:t>
      </w:r>
      <w:proofErr w:type="spellEnd"/>
      <w:r w:rsidRPr="00BF083C">
        <w:t xml:space="preserve"> </w:t>
      </w:r>
      <w:proofErr w:type="spellStart"/>
      <w:r w:rsidRPr="00BF083C">
        <w:t>climatiques</w:t>
      </w:r>
      <w:proofErr w:type="spellEnd"/>
      <w:r w:rsidRPr="00BF083C">
        <w:t xml:space="preserve"> (CCNUCC) et </w:t>
      </w:r>
      <w:proofErr w:type="spellStart"/>
      <w:r w:rsidRPr="00BF083C">
        <w:t>contribuant</w:t>
      </w:r>
      <w:proofErr w:type="spellEnd"/>
      <w:r w:rsidRPr="00BF083C">
        <w:t xml:space="preserve"> à la </w:t>
      </w:r>
      <w:proofErr w:type="spellStart"/>
      <w:r w:rsidRPr="00BF083C">
        <w:t>réalisation</w:t>
      </w:r>
      <w:proofErr w:type="spellEnd"/>
      <w:r w:rsidRPr="00BF083C">
        <w:t xml:space="preserve"> des </w:t>
      </w:r>
      <w:proofErr w:type="spellStart"/>
      <w:r w:rsidRPr="00BF083C">
        <w:t>objectifs</w:t>
      </w:r>
      <w:proofErr w:type="spellEnd"/>
      <w:r w:rsidRPr="00BF083C">
        <w:t xml:space="preserve"> </w:t>
      </w:r>
      <w:proofErr w:type="spellStart"/>
      <w:r w:rsidRPr="00BF083C">
        <w:t>en</w:t>
      </w:r>
      <w:proofErr w:type="spellEnd"/>
      <w:r w:rsidRPr="00BF083C">
        <w:t xml:space="preserve"> matière de </w:t>
      </w:r>
      <w:proofErr w:type="spellStart"/>
      <w:r w:rsidRPr="00BF083C">
        <w:t>biodiversité</w:t>
      </w:r>
      <w:proofErr w:type="spellEnd"/>
      <w:r w:rsidRPr="00BF083C">
        <w:t xml:space="preserve"> marine dans le cadre de la Convention sur la </w:t>
      </w:r>
      <w:proofErr w:type="spellStart"/>
      <w:r w:rsidRPr="00BF083C">
        <w:t>diversité</w:t>
      </w:r>
      <w:proofErr w:type="spellEnd"/>
      <w:r w:rsidRPr="00BF083C">
        <w:t xml:space="preserve"> </w:t>
      </w:r>
      <w:proofErr w:type="spellStart"/>
      <w:r w:rsidRPr="00BF083C">
        <w:t>biologique</w:t>
      </w:r>
      <w:proofErr w:type="spellEnd"/>
      <w:r w:rsidRPr="00BF083C">
        <w:t>.</w:t>
      </w:r>
    </w:p>
    <w:p w14:paraId="46118F63" w14:textId="001F3DE5" w:rsidR="00C50366" w:rsidRPr="00BF083C" w:rsidRDefault="00BC243D" w:rsidP="00BC243D">
      <w:pPr>
        <w:pStyle w:val="Marge"/>
        <w:tabs>
          <w:tab w:val="clear" w:pos="567"/>
          <w:tab w:val="left" w:pos="1162"/>
        </w:tabs>
        <w:spacing w:line="240" w:lineRule="auto"/>
      </w:pPr>
      <w:r w:rsidRPr="00BF083C">
        <w:rPr>
          <w:bdr w:val="single" w:sz="4" w:space="0" w:color="auto"/>
        </w:rPr>
        <w:t>03006</w:t>
      </w:r>
      <w:r w:rsidRPr="00BF083C">
        <w:tab/>
        <w:t xml:space="preserve">Le Programme 2030 </w:t>
      </w:r>
      <w:proofErr w:type="spellStart"/>
      <w:r w:rsidRPr="00BF083C">
        <w:t>comporte</w:t>
      </w:r>
      <w:proofErr w:type="spellEnd"/>
      <w:r w:rsidRPr="00BF083C">
        <w:t xml:space="preserve"> </w:t>
      </w:r>
      <w:proofErr w:type="spellStart"/>
      <w:r w:rsidRPr="00BF083C">
        <w:t>une</w:t>
      </w:r>
      <w:proofErr w:type="spellEnd"/>
      <w:r w:rsidRPr="00BF083C">
        <w:t xml:space="preserve"> dimension </w:t>
      </w:r>
      <w:proofErr w:type="spellStart"/>
      <w:r w:rsidRPr="00BF083C">
        <w:t>océanographique</w:t>
      </w:r>
      <w:proofErr w:type="spellEnd"/>
      <w:r w:rsidRPr="00BF083C">
        <w:t xml:space="preserve"> majeure.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w:t>
      </w:r>
      <w:proofErr w:type="spellStart"/>
      <w:r w:rsidRPr="00BF083C">
        <w:t>coordonnée</w:t>
      </w:r>
      <w:proofErr w:type="spellEnd"/>
      <w:r w:rsidRPr="00BF083C">
        <w:t xml:space="preserve"> par la COI, </w:t>
      </w:r>
      <w:proofErr w:type="spellStart"/>
      <w:r w:rsidRPr="00BF083C">
        <w:t>permettra</w:t>
      </w:r>
      <w:proofErr w:type="spellEnd"/>
      <w:r w:rsidRPr="00BF083C">
        <w:t xml:space="preserve"> de </w:t>
      </w:r>
      <w:proofErr w:type="spellStart"/>
      <w:r w:rsidRPr="00BF083C">
        <w:t>mettre</w:t>
      </w:r>
      <w:proofErr w:type="spellEnd"/>
      <w:r w:rsidRPr="00BF083C">
        <w:t xml:space="preserve"> à profit, </w:t>
      </w:r>
      <w:proofErr w:type="spellStart"/>
      <w:r w:rsidRPr="00BF083C">
        <w:t>d’encourager</w:t>
      </w:r>
      <w:proofErr w:type="spellEnd"/>
      <w:r w:rsidRPr="00BF083C">
        <w:t xml:space="preserve"> et de </w:t>
      </w:r>
      <w:proofErr w:type="spellStart"/>
      <w:r w:rsidRPr="00BF083C">
        <w:t>coordonner</w:t>
      </w:r>
      <w:proofErr w:type="spellEnd"/>
      <w:r w:rsidRPr="00BF083C">
        <w:t xml:space="preserve"> les efforts de recherche et de production de </w:t>
      </w:r>
      <w:proofErr w:type="spellStart"/>
      <w:r w:rsidRPr="00BF083C">
        <w:t>connaissances</w:t>
      </w:r>
      <w:proofErr w:type="spellEnd"/>
      <w:r w:rsidRPr="00BF083C">
        <w:t xml:space="preserve"> à </w:t>
      </w:r>
      <w:proofErr w:type="spellStart"/>
      <w:r w:rsidRPr="00BF083C">
        <w:t>tous</w:t>
      </w:r>
      <w:proofErr w:type="spellEnd"/>
      <w:r w:rsidRPr="00BF083C">
        <w:t xml:space="preserve"> les </w:t>
      </w:r>
      <w:proofErr w:type="spellStart"/>
      <w:r w:rsidRPr="00BF083C">
        <w:t>niveaux</w:t>
      </w:r>
      <w:proofErr w:type="spellEnd"/>
      <w:r w:rsidRPr="00BF083C">
        <w:t xml:space="preserve">, </w:t>
      </w:r>
      <w:proofErr w:type="spellStart"/>
      <w:r w:rsidRPr="00BF083C">
        <w:t>afin</w:t>
      </w:r>
      <w:proofErr w:type="spellEnd"/>
      <w:r w:rsidRPr="00BF083C">
        <w:t xml:space="preserve"> de </w:t>
      </w:r>
      <w:proofErr w:type="spellStart"/>
      <w:r w:rsidRPr="00BF083C">
        <w:t>soutenir</w:t>
      </w:r>
      <w:proofErr w:type="spellEnd"/>
      <w:r w:rsidRPr="00BF083C">
        <w:t xml:space="preserve"> la </w:t>
      </w:r>
      <w:proofErr w:type="spellStart"/>
      <w:r w:rsidRPr="00BF083C">
        <w:t>fourniture</w:t>
      </w:r>
      <w:proofErr w:type="spellEnd"/>
      <w:r w:rsidRPr="00BF083C">
        <w:t xml:space="preserve"> des </w:t>
      </w:r>
      <w:proofErr w:type="spellStart"/>
      <w:r w:rsidRPr="00BF083C">
        <w:t>informations</w:t>
      </w:r>
      <w:proofErr w:type="spellEnd"/>
      <w:r w:rsidRPr="00BF083C">
        <w:t xml:space="preserve"> et </w:t>
      </w:r>
      <w:proofErr w:type="spellStart"/>
      <w:r w:rsidRPr="00BF083C">
        <w:t>l’exécution</w:t>
      </w:r>
      <w:proofErr w:type="spellEnd"/>
      <w:r w:rsidRPr="00BF083C">
        <w:t xml:space="preserve"> des actions et des solutions </w:t>
      </w:r>
      <w:proofErr w:type="spellStart"/>
      <w:r w:rsidRPr="00BF083C">
        <w:t>nécessaires</w:t>
      </w:r>
      <w:proofErr w:type="spellEnd"/>
      <w:r w:rsidRPr="00BF083C">
        <w:t xml:space="preserve"> à la </w:t>
      </w:r>
      <w:proofErr w:type="spellStart"/>
      <w:r w:rsidRPr="00BF083C">
        <w:t>réalisation</w:t>
      </w:r>
      <w:proofErr w:type="spellEnd"/>
      <w:r w:rsidRPr="00BF083C">
        <w:t xml:space="preserve"> de </w:t>
      </w:r>
      <w:proofErr w:type="spellStart"/>
      <w:r w:rsidRPr="00BF083C">
        <w:t>ses</w:t>
      </w:r>
      <w:proofErr w:type="spellEnd"/>
      <w:r w:rsidRPr="00BF083C">
        <w:t xml:space="preserve"> </w:t>
      </w:r>
      <w:proofErr w:type="spellStart"/>
      <w:r w:rsidRPr="00BF083C">
        <w:t>objectifs</w:t>
      </w:r>
      <w:proofErr w:type="spellEnd"/>
      <w:r w:rsidRPr="00BF083C">
        <w:t xml:space="preserve">. Les </w:t>
      </w:r>
      <w:proofErr w:type="spellStart"/>
      <w:r w:rsidRPr="00BF083C">
        <w:t>avantages</w:t>
      </w:r>
      <w:proofErr w:type="spellEnd"/>
      <w:r w:rsidRPr="00BF083C">
        <w:t xml:space="preserve"> directs et </w:t>
      </w:r>
      <w:proofErr w:type="spellStart"/>
      <w:r w:rsidRPr="00BF083C">
        <w:t>indirects</w:t>
      </w:r>
      <w:proofErr w:type="spellEnd"/>
      <w:r w:rsidRPr="00BF083C">
        <w:t xml:space="preserve"> pour </w:t>
      </w:r>
      <w:proofErr w:type="spellStart"/>
      <w:r w:rsidRPr="00BF083C">
        <w:t>l’humanité</w:t>
      </w:r>
      <w:proofErr w:type="spellEnd"/>
      <w:r w:rsidRPr="00BF083C">
        <w:t xml:space="preserve"> de la bonne </w:t>
      </w:r>
      <w:proofErr w:type="spellStart"/>
      <w:r w:rsidRPr="00BF083C">
        <w:t>santé</w:t>
      </w:r>
      <w:proofErr w:type="spellEnd"/>
      <w:r w:rsidRPr="00BF083C">
        <w:t xml:space="preserve"> des </w:t>
      </w:r>
      <w:proofErr w:type="spellStart"/>
      <w:r w:rsidRPr="00BF083C">
        <w:t>océans</w:t>
      </w:r>
      <w:proofErr w:type="spellEnd"/>
      <w:r w:rsidRPr="00BF083C">
        <w:t xml:space="preserve"> et du travail de la COI se </w:t>
      </w:r>
      <w:proofErr w:type="spellStart"/>
      <w:r w:rsidRPr="00BF083C">
        <w:t>manifesteront</w:t>
      </w:r>
      <w:proofErr w:type="spellEnd"/>
      <w:r w:rsidRPr="00BF083C">
        <w:t xml:space="preserve"> dans les </w:t>
      </w:r>
      <w:proofErr w:type="spellStart"/>
      <w:r w:rsidRPr="00BF083C">
        <w:t>nombreuses</w:t>
      </w:r>
      <w:proofErr w:type="spellEnd"/>
      <w:r w:rsidRPr="00BF083C">
        <w:t xml:space="preserve"> </w:t>
      </w:r>
      <w:proofErr w:type="spellStart"/>
      <w:r w:rsidRPr="00BF083C">
        <w:t>facettes</w:t>
      </w:r>
      <w:proofErr w:type="spellEnd"/>
      <w:r w:rsidRPr="00BF083C">
        <w:t xml:space="preserve"> du </w:t>
      </w:r>
      <w:proofErr w:type="spellStart"/>
      <w:r w:rsidRPr="00BF083C">
        <w:t>développement</w:t>
      </w:r>
      <w:proofErr w:type="spellEnd"/>
      <w:r w:rsidRPr="00BF083C">
        <w:t xml:space="preserve"> durable (</w:t>
      </w:r>
      <w:proofErr w:type="spellStart"/>
      <w:r w:rsidRPr="00BF083C">
        <w:t>voir</w:t>
      </w:r>
      <w:proofErr w:type="spellEnd"/>
      <w:r w:rsidRPr="00BF083C">
        <w:t xml:space="preserve"> </w:t>
      </w:r>
      <w:proofErr w:type="spellStart"/>
      <w:r w:rsidRPr="00BF083C">
        <w:t>l’analyse</w:t>
      </w:r>
      <w:proofErr w:type="spellEnd"/>
      <w:r w:rsidRPr="00BF083C">
        <w:t xml:space="preserve"> de la contribution de la COI aux ODD et aux </w:t>
      </w:r>
      <w:proofErr w:type="spellStart"/>
      <w:r w:rsidRPr="00BF083C">
        <w:t>cibles</w:t>
      </w:r>
      <w:proofErr w:type="spellEnd"/>
      <w:r w:rsidRPr="00BF083C">
        <w:t xml:space="preserve"> </w:t>
      </w:r>
      <w:proofErr w:type="spellStart"/>
      <w:r w:rsidRPr="00BF083C">
        <w:t>correspondantes</w:t>
      </w:r>
      <w:proofErr w:type="spellEnd"/>
      <w:r w:rsidRPr="00BF083C">
        <w:t xml:space="preserve">). Par </w:t>
      </w:r>
      <w:proofErr w:type="spellStart"/>
      <w:r w:rsidRPr="00BF083C">
        <w:t>exemple</w:t>
      </w:r>
      <w:proofErr w:type="spellEnd"/>
      <w:r w:rsidRPr="00BF083C">
        <w:t xml:space="preserve">, les </w:t>
      </w:r>
      <w:proofErr w:type="spellStart"/>
      <w:r w:rsidRPr="00BF083C">
        <w:t>connaissances</w:t>
      </w:r>
      <w:proofErr w:type="spellEnd"/>
      <w:r w:rsidRPr="00BF083C">
        <w:t xml:space="preserve"> </w:t>
      </w:r>
      <w:proofErr w:type="spellStart"/>
      <w:r w:rsidRPr="00BF083C">
        <w:t>quantitatives</w:t>
      </w:r>
      <w:proofErr w:type="spellEnd"/>
      <w:r w:rsidRPr="00BF083C">
        <w:t xml:space="preserve"> relatives aux </w:t>
      </w:r>
      <w:proofErr w:type="spellStart"/>
      <w:r w:rsidRPr="00BF083C">
        <w:t>océans</w:t>
      </w:r>
      <w:proofErr w:type="spellEnd"/>
      <w:r w:rsidRPr="00BF083C">
        <w:t xml:space="preserve"> </w:t>
      </w:r>
      <w:proofErr w:type="spellStart"/>
      <w:r w:rsidRPr="00BF083C">
        <w:t>peuvent</w:t>
      </w:r>
      <w:proofErr w:type="spellEnd"/>
      <w:r w:rsidRPr="00BF083C">
        <w:t xml:space="preserve"> </w:t>
      </w:r>
      <w:proofErr w:type="spellStart"/>
      <w:r w:rsidRPr="00BF083C">
        <w:t>permettre</w:t>
      </w:r>
      <w:proofErr w:type="spellEnd"/>
      <w:r w:rsidRPr="00BF083C">
        <w:t xml:space="preserve"> de </w:t>
      </w:r>
      <w:proofErr w:type="spellStart"/>
      <w:r w:rsidRPr="00BF083C">
        <w:t>réduire</w:t>
      </w:r>
      <w:proofErr w:type="spellEnd"/>
      <w:r w:rsidRPr="00BF083C">
        <w:t xml:space="preserve"> les retards </w:t>
      </w:r>
      <w:proofErr w:type="spellStart"/>
      <w:r w:rsidRPr="00BF083C">
        <w:t>concernant</w:t>
      </w:r>
      <w:proofErr w:type="spellEnd"/>
      <w:r w:rsidRPr="00BF083C">
        <w:t xml:space="preserve"> le </w:t>
      </w:r>
      <w:proofErr w:type="spellStart"/>
      <w:r w:rsidRPr="00BF083C">
        <w:t>carbone</w:t>
      </w:r>
      <w:proofErr w:type="spellEnd"/>
      <w:r w:rsidRPr="00BF083C">
        <w:t xml:space="preserve"> pour </w:t>
      </w:r>
      <w:proofErr w:type="spellStart"/>
      <w:r w:rsidRPr="00BF083C">
        <w:t>atteindre</w:t>
      </w:r>
      <w:proofErr w:type="spellEnd"/>
      <w:r w:rsidRPr="00BF083C">
        <w:t xml:space="preserve"> les </w:t>
      </w:r>
      <w:proofErr w:type="spellStart"/>
      <w:r w:rsidRPr="00BF083C">
        <w:t>objectifs</w:t>
      </w:r>
      <w:proofErr w:type="spellEnd"/>
      <w:r w:rsidRPr="00BF083C">
        <w:t xml:space="preserve"> </w:t>
      </w:r>
      <w:proofErr w:type="spellStart"/>
      <w:r w:rsidRPr="00BF083C">
        <w:t>ambitieux</w:t>
      </w:r>
      <w:proofErr w:type="spellEnd"/>
      <w:r w:rsidRPr="00BF083C">
        <w:t xml:space="preserve"> de </w:t>
      </w:r>
      <w:proofErr w:type="spellStart"/>
      <w:r w:rsidRPr="00BF083C">
        <w:t>l’Accord</w:t>
      </w:r>
      <w:proofErr w:type="spellEnd"/>
      <w:r w:rsidRPr="00BF083C">
        <w:t xml:space="preserve"> de Paris </w:t>
      </w:r>
      <w:proofErr w:type="spellStart"/>
      <w:r w:rsidRPr="00BF083C">
        <w:t>conclu</w:t>
      </w:r>
      <w:proofErr w:type="spellEnd"/>
      <w:r w:rsidRPr="00BF083C">
        <w:t xml:space="preserve"> dans le cadre de la CCNUCC (ODD 13), de </w:t>
      </w:r>
      <w:proofErr w:type="spellStart"/>
      <w:r w:rsidRPr="00BF083C">
        <w:t>produire</w:t>
      </w:r>
      <w:proofErr w:type="spellEnd"/>
      <w:r w:rsidRPr="00BF083C">
        <w:t xml:space="preserve"> </w:t>
      </w:r>
      <w:proofErr w:type="spellStart"/>
      <w:r w:rsidRPr="00BF083C">
        <w:t>durablement</w:t>
      </w:r>
      <w:proofErr w:type="spellEnd"/>
      <w:r w:rsidRPr="00BF083C">
        <w:t xml:space="preserve"> </w:t>
      </w:r>
      <w:proofErr w:type="spellStart"/>
      <w:r w:rsidRPr="00BF083C">
        <w:t>davantage</w:t>
      </w:r>
      <w:proofErr w:type="spellEnd"/>
      <w:r w:rsidRPr="00BF083C">
        <w:t xml:space="preserve"> de </w:t>
      </w:r>
      <w:proofErr w:type="spellStart"/>
      <w:r w:rsidRPr="00BF083C">
        <w:t>nourriture</w:t>
      </w:r>
      <w:proofErr w:type="spellEnd"/>
      <w:r w:rsidRPr="00BF083C">
        <w:t xml:space="preserve"> à </w:t>
      </w:r>
      <w:proofErr w:type="spellStart"/>
      <w:r w:rsidRPr="00BF083C">
        <w:t>partir</w:t>
      </w:r>
      <w:proofErr w:type="spellEnd"/>
      <w:r w:rsidRPr="00BF083C">
        <w:t xml:space="preserve"> des </w:t>
      </w:r>
      <w:proofErr w:type="spellStart"/>
      <w:r w:rsidRPr="00BF083C">
        <w:t>océans</w:t>
      </w:r>
      <w:proofErr w:type="spellEnd"/>
      <w:r w:rsidRPr="00BF083C">
        <w:t xml:space="preserve"> (ODD 2), de </w:t>
      </w:r>
      <w:proofErr w:type="spellStart"/>
      <w:r w:rsidRPr="00BF083C">
        <w:t>produire</w:t>
      </w:r>
      <w:proofErr w:type="spellEnd"/>
      <w:r w:rsidRPr="00BF083C">
        <w:t xml:space="preserve"> de plus </w:t>
      </w:r>
      <w:proofErr w:type="spellStart"/>
      <w:r w:rsidRPr="00BF083C">
        <w:t>grandes</w:t>
      </w:r>
      <w:proofErr w:type="spellEnd"/>
      <w:r w:rsidRPr="00BF083C">
        <w:t xml:space="preserve"> </w:t>
      </w:r>
      <w:proofErr w:type="spellStart"/>
      <w:r w:rsidRPr="00BF083C">
        <w:t>quantités</w:t>
      </w:r>
      <w:proofErr w:type="spellEnd"/>
      <w:r w:rsidRPr="00BF083C">
        <w:t xml:space="preserve"> </w:t>
      </w:r>
      <w:proofErr w:type="spellStart"/>
      <w:r w:rsidRPr="00BF083C">
        <w:t>d’énergie</w:t>
      </w:r>
      <w:proofErr w:type="spellEnd"/>
      <w:r w:rsidRPr="00BF083C">
        <w:t xml:space="preserve"> </w:t>
      </w:r>
      <w:proofErr w:type="spellStart"/>
      <w:r w:rsidRPr="00BF083C">
        <w:t>renouvelable</w:t>
      </w:r>
      <w:proofErr w:type="spellEnd"/>
      <w:r w:rsidRPr="00BF083C">
        <w:t xml:space="preserve"> (ODD 7) et de </w:t>
      </w:r>
      <w:proofErr w:type="spellStart"/>
      <w:r w:rsidRPr="00BF083C">
        <w:t>stimuler</w:t>
      </w:r>
      <w:proofErr w:type="spellEnd"/>
      <w:r w:rsidRPr="00BF083C">
        <w:t xml:space="preserve"> de nouveaux </w:t>
      </w:r>
      <w:proofErr w:type="spellStart"/>
      <w:r w:rsidRPr="00BF083C">
        <w:t>processus</w:t>
      </w:r>
      <w:proofErr w:type="spellEnd"/>
      <w:r w:rsidRPr="00BF083C">
        <w:t xml:space="preserve"> </w:t>
      </w:r>
      <w:proofErr w:type="spellStart"/>
      <w:r w:rsidRPr="00BF083C">
        <w:t>économiques</w:t>
      </w:r>
      <w:proofErr w:type="spellEnd"/>
      <w:r w:rsidRPr="00BF083C">
        <w:t xml:space="preserve"> (ODD 1 et 9).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a </w:t>
      </w:r>
      <w:proofErr w:type="spellStart"/>
      <w:r w:rsidRPr="00BF083C">
        <w:t>été</w:t>
      </w:r>
      <w:proofErr w:type="spellEnd"/>
      <w:r w:rsidRPr="00BF083C">
        <w:t xml:space="preserve"> </w:t>
      </w:r>
      <w:proofErr w:type="spellStart"/>
      <w:r w:rsidRPr="00BF083C">
        <w:t>conçue</w:t>
      </w:r>
      <w:proofErr w:type="spellEnd"/>
      <w:r w:rsidRPr="00BF083C">
        <w:t xml:space="preserve"> pour </w:t>
      </w:r>
      <w:proofErr w:type="spellStart"/>
      <w:r w:rsidRPr="00BF083C">
        <w:t>développer</w:t>
      </w:r>
      <w:proofErr w:type="spellEnd"/>
      <w:r w:rsidRPr="00BF083C">
        <w:t xml:space="preserve"> au maximum </w:t>
      </w:r>
      <w:proofErr w:type="spellStart"/>
      <w:r w:rsidRPr="00BF083C">
        <w:t>ces</w:t>
      </w:r>
      <w:proofErr w:type="spellEnd"/>
      <w:r w:rsidRPr="00BF083C">
        <w:t xml:space="preserve"> </w:t>
      </w:r>
      <w:proofErr w:type="spellStart"/>
      <w:r w:rsidRPr="00BF083C">
        <w:t>possibilités</w:t>
      </w:r>
      <w:proofErr w:type="spellEnd"/>
      <w:r w:rsidRPr="00BF083C">
        <w:t xml:space="preserve"> </w:t>
      </w:r>
      <w:proofErr w:type="spellStart"/>
      <w:r w:rsidRPr="00BF083C">
        <w:t>vitales</w:t>
      </w:r>
      <w:proofErr w:type="spellEnd"/>
      <w:r w:rsidRPr="00BF083C">
        <w:t xml:space="preserve"> pour </w:t>
      </w:r>
      <w:proofErr w:type="spellStart"/>
      <w:r w:rsidRPr="00BF083C">
        <w:t>l’humanité</w:t>
      </w:r>
      <w:proofErr w:type="spellEnd"/>
      <w:r w:rsidRPr="00BF083C">
        <w:t xml:space="preserve">. </w:t>
      </w:r>
      <w:proofErr w:type="spellStart"/>
      <w:r w:rsidRPr="00BF083C">
        <w:t>L’action</w:t>
      </w:r>
      <w:proofErr w:type="spellEnd"/>
      <w:r w:rsidRPr="00BF083C">
        <w:t xml:space="preserve"> de la COI </w:t>
      </w:r>
      <w:proofErr w:type="spellStart"/>
      <w:r w:rsidRPr="00BF083C">
        <w:t>est</w:t>
      </w:r>
      <w:proofErr w:type="spellEnd"/>
      <w:r w:rsidRPr="00BF083C">
        <w:t xml:space="preserve"> </w:t>
      </w:r>
      <w:proofErr w:type="spellStart"/>
      <w:r w:rsidRPr="00BF083C">
        <w:t>essentielle</w:t>
      </w:r>
      <w:proofErr w:type="spellEnd"/>
      <w:r w:rsidRPr="00BF083C">
        <w:t xml:space="preserve"> pour </w:t>
      </w:r>
      <w:proofErr w:type="spellStart"/>
      <w:r w:rsidRPr="00BF083C">
        <w:t>atteindre</w:t>
      </w:r>
      <w:proofErr w:type="spellEnd"/>
      <w:r w:rsidRPr="00BF083C">
        <w:t xml:space="preserve"> </w:t>
      </w:r>
      <w:proofErr w:type="spellStart"/>
      <w:r w:rsidRPr="00BF083C">
        <w:t>l’ODD</w:t>
      </w:r>
      <w:proofErr w:type="spellEnd"/>
      <w:r w:rsidRPr="00BF083C">
        <w:t xml:space="preserve"> 4 et </w:t>
      </w:r>
      <w:proofErr w:type="spellStart"/>
      <w:r w:rsidRPr="00BF083C">
        <w:t>ses</w:t>
      </w:r>
      <w:proofErr w:type="spellEnd"/>
      <w:r w:rsidRPr="00BF083C">
        <w:t xml:space="preserve"> </w:t>
      </w:r>
      <w:proofErr w:type="spellStart"/>
      <w:r w:rsidRPr="00BF083C">
        <w:lastRenderedPageBreak/>
        <w:t>cibles</w:t>
      </w:r>
      <w:proofErr w:type="spellEnd"/>
      <w:r w:rsidRPr="00BF083C">
        <w:t xml:space="preserve">. La Commission </w:t>
      </w:r>
      <w:proofErr w:type="spellStart"/>
      <w:r w:rsidRPr="00BF083C">
        <w:t>continuera</w:t>
      </w:r>
      <w:proofErr w:type="spellEnd"/>
      <w:r w:rsidRPr="00BF083C">
        <w:t xml:space="preserve"> de </w:t>
      </w:r>
      <w:proofErr w:type="spellStart"/>
      <w:r w:rsidRPr="00BF083C">
        <w:t>jouer</w:t>
      </w:r>
      <w:proofErr w:type="spellEnd"/>
      <w:r w:rsidRPr="00BF083C">
        <w:t xml:space="preserve"> le </w:t>
      </w:r>
      <w:proofErr w:type="spellStart"/>
      <w:r w:rsidRPr="00BF083C">
        <w:t>rôle</w:t>
      </w:r>
      <w:proofErr w:type="spellEnd"/>
      <w:r w:rsidRPr="00BF083C">
        <w:t xml:space="preserve"> </w:t>
      </w:r>
      <w:proofErr w:type="spellStart"/>
      <w:r w:rsidRPr="00BF083C">
        <w:t>d’organisme</w:t>
      </w:r>
      <w:proofErr w:type="spellEnd"/>
      <w:r w:rsidRPr="00BF083C">
        <w:t xml:space="preserve"> des Nations </w:t>
      </w:r>
      <w:proofErr w:type="spellStart"/>
      <w:r w:rsidRPr="00BF083C">
        <w:t>Unies</w:t>
      </w:r>
      <w:proofErr w:type="spellEnd"/>
      <w:r w:rsidRPr="00BF083C">
        <w:t xml:space="preserve"> </w:t>
      </w:r>
      <w:proofErr w:type="spellStart"/>
      <w:r w:rsidRPr="00BF083C">
        <w:t>responsable</w:t>
      </w:r>
      <w:proofErr w:type="spellEnd"/>
      <w:r w:rsidRPr="00BF083C">
        <w:t xml:space="preserve"> de </w:t>
      </w:r>
      <w:proofErr w:type="spellStart"/>
      <w:r w:rsidRPr="00BF083C">
        <w:t>l’établissement</w:t>
      </w:r>
      <w:proofErr w:type="spellEnd"/>
      <w:r w:rsidRPr="00BF083C">
        <w:t xml:space="preserve"> des rapports au </w:t>
      </w:r>
      <w:proofErr w:type="spellStart"/>
      <w:r w:rsidRPr="00BF083C">
        <w:t>sujet</w:t>
      </w:r>
      <w:proofErr w:type="spellEnd"/>
      <w:r w:rsidRPr="00BF083C">
        <w:t xml:space="preserve"> de deux </w:t>
      </w:r>
      <w:proofErr w:type="spellStart"/>
      <w:r w:rsidRPr="00BF083C">
        <w:t>cibles</w:t>
      </w:r>
      <w:proofErr w:type="spellEnd"/>
      <w:r w:rsidRPr="00BF083C">
        <w:t xml:space="preserve"> des ODD – les </w:t>
      </w:r>
      <w:proofErr w:type="spellStart"/>
      <w:r w:rsidRPr="00BF083C">
        <w:t>cibles</w:t>
      </w:r>
      <w:proofErr w:type="spellEnd"/>
      <w:r w:rsidRPr="00BF083C">
        <w:t xml:space="preserve"> 14.3 et 14.a – </w:t>
      </w:r>
      <w:proofErr w:type="spellStart"/>
      <w:r w:rsidRPr="00BF083C">
        <w:t>ainsi</w:t>
      </w:r>
      <w:proofErr w:type="spellEnd"/>
      <w:r w:rsidRPr="00BF083C">
        <w:t xml:space="preserve"> que </w:t>
      </w:r>
      <w:proofErr w:type="spellStart"/>
      <w:r w:rsidRPr="00BF083C">
        <w:t>d’aider</w:t>
      </w:r>
      <w:proofErr w:type="spellEnd"/>
      <w:r w:rsidRPr="00BF083C">
        <w:t xml:space="preserve"> le PNUE à faire rapport sur les aspects </w:t>
      </w:r>
      <w:proofErr w:type="spellStart"/>
      <w:r w:rsidRPr="00BF083C">
        <w:t>scientifiques</w:t>
      </w:r>
      <w:proofErr w:type="spellEnd"/>
      <w:r w:rsidRPr="00BF083C">
        <w:t xml:space="preserve"> des </w:t>
      </w:r>
      <w:proofErr w:type="spellStart"/>
      <w:r w:rsidRPr="00BF083C">
        <w:t>cibles</w:t>
      </w:r>
      <w:proofErr w:type="spellEnd"/>
      <w:r w:rsidRPr="00BF083C">
        <w:t xml:space="preserve"> 14.1 et 14.2. Elle </w:t>
      </w:r>
      <w:proofErr w:type="spellStart"/>
      <w:r w:rsidRPr="00BF083C">
        <w:t>continuera</w:t>
      </w:r>
      <w:proofErr w:type="spellEnd"/>
      <w:r w:rsidRPr="00BF083C">
        <w:t xml:space="preserve"> </w:t>
      </w:r>
      <w:proofErr w:type="spellStart"/>
      <w:r w:rsidRPr="00BF083C">
        <w:t>également</w:t>
      </w:r>
      <w:proofErr w:type="spellEnd"/>
      <w:r w:rsidRPr="00BF083C">
        <w:t xml:space="preserve"> de </w:t>
      </w:r>
      <w:proofErr w:type="spellStart"/>
      <w:r w:rsidRPr="00BF083C">
        <w:t>diriger</w:t>
      </w:r>
      <w:proofErr w:type="spellEnd"/>
      <w:r w:rsidRPr="00BF083C">
        <w:t xml:space="preserve"> la coordination </w:t>
      </w:r>
      <w:proofErr w:type="spellStart"/>
      <w:r w:rsidRPr="00BF083C">
        <w:t>mondiale</w:t>
      </w:r>
      <w:proofErr w:type="spellEnd"/>
      <w:r w:rsidRPr="00BF083C">
        <w:t xml:space="preserve"> des </w:t>
      </w:r>
      <w:proofErr w:type="spellStart"/>
      <w:r w:rsidRPr="00BF083C">
        <w:t>recherches</w:t>
      </w:r>
      <w:proofErr w:type="spellEnd"/>
      <w:r w:rsidRPr="00BF083C">
        <w:t xml:space="preserve"> sur </w:t>
      </w:r>
      <w:proofErr w:type="spellStart"/>
      <w:r w:rsidRPr="00BF083C">
        <w:t>l’acidification</w:t>
      </w:r>
      <w:proofErr w:type="spellEnd"/>
      <w:r w:rsidRPr="00BF083C">
        <w:t xml:space="preserve"> et la </w:t>
      </w:r>
      <w:proofErr w:type="spellStart"/>
      <w:r w:rsidRPr="00BF083C">
        <w:t>désoxygénation</w:t>
      </w:r>
      <w:proofErr w:type="spellEnd"/>
      <w:r w:rsidRPr="00BF083C">
        <w:t xml:space="preserve"> des </w:t>
      </w:r>
      <w:proofErr w:type="spellStart"/>
      <w:r w:rsidRPr="00BF083C">
        <w:t>océans</w:t>
      </w:r>
      <w:proofErr w:type="spellEnd"/>
      <w:r w:rsidRPr="00BF083C">
        <w:t xml:space="preserve">, et </w:t>
      </w:r>
      <w:proofErr w:type="spellStart"/>
      <w:r w:rsidRPr="00BF083C">
        <w:t>renforcera</w:t>
      </w:r>
      <w:proofErr w:type="spellEnd"/>
      <w:r w:rsidRPr="00BF083C">
        <w:t xml:space="preserve"> son travail de </w:t>
      </w:r>
      <w:proofErr w:type="spellStart"/>
      <w:r w:rsidRPr="00BF083C">
        <w:t>pionnier</w:t>
      </w:r>
      <w:proofErr w:type="spellEnd"/>
      <w:r w:rsidRPr="00BF083C">
        <w:t xml:space="preserve"> sur les interactions entre les multiples </w:t>
      </w:r>
      <w:proofErr w:type="spellStart"/>
      <w:r w:rsidRPr="00BF083C">
        <w:t>facteurs</w:t>
      </w:r>
      <w:proofErr w:type="spellEnd"/>
      <w:r w:rsidRPr="00BF083C">
        <w:t xml:space="preserve"> de stress </w:t>
      </w:r>
      <w:proofErr w:type="spellStart"/>
      <w:r w:rsidRPr="00BF083C">
        <w:t>océanique</w:t>
      </w:r>
      <w:proofErr w:type="spellEnd"/>
      <w:r w:rsidRPr="00BF083C">
        <w:t xml:space="preserve"> – </w:t>
      </w:r>
      <w:proofErr w:type="spellStart"/>
      <w:r w:rsidRPr="00BF083C">
        <w:t>ouvrant</w:t>
      </w:r>
      <w:proofErr w:type="spellEnd"/>
      <w:r w:rsidRPr="00BF083C">
        <w:t xml:space="preserve"> </w:t>
      </w:r>
      <w:proofErr w:type="spellStart"/>
      <w:r w:rsidRPr="00BF083C">
        <w:t>ainsi</w:t>
      </w:r>
      <w:proofErr w:type="spellEnd"/>
      <w:r w:rsidRPr="00BF083C">
        <w:t xml:space="preserve"> la </w:t>
      </w:r>
      <w:proofErr w:type="spellStart"/>
      <w:r w:rsidRPr="00BF083C">
        <w:t>voie</w:t>
      </w:r>
      <w:proofErr w:type="spellEnd"/>
      <w:r w:rsidRPr="00BF083C">
        <w:t xml:space="preserve"> à </w:t>
      </w:r>
      <w:proofErr w:type="spellStart"/>
      <w:r w:rsidRPr="00BF083C">
        <w:t>une</w:t>
      </w:r>
      <w:proofErr w:type="spellEnd"/>
      <w:r w:rsidRPr="00BF083C">
        <w:t xml:space="preserve"> gestion des </w:t>
      </w:r>
      <w:proofErr w:type="spellStart"/>
      <w:r w:rsidRPr="00BF083C">
        <w:t>écosystèmes</w:t>
      </w:r>
      <w:proofErr w:type="spellEnd"/>
      <w:r w:rsidRPr="00BF083C">
        <w:t xml:space="preserve"> </w:t>
      </w:r>
      <w:proofErr w:type="spellStart"/>
      <w:r w:rsidRPr="00BF083C">
        <w:t>fondée</w:t>
      </w:r>
      <w:proofErr w:type="spellEnd"/>
      <w:r w:rsidRPr="00BF083C">
        <w:t xml:space="preserve"> sur la science. La COI </w:t>
      </w:r>
      <w:proofErr w:type="spellStart"/>
      <w:r w:rsidRPr="00BF083C">
        <w:t>est</w:t>
      </w:r>
      <w:proofErr w:type="spellEnd"/>
      <w:r w:rsidRPr="00BF083C">
        <w:t xml:space="preserve"> le fleuron de la nouvelle recherche </w:t>
      </w:r>
      <w:proofErr w:type="spellStart"/>
      <w:r w:rsidRPr="00BF083C">
        <w:t>coordonnée</w:t>
      </w:r>
      <w:proofErr w:type="spellEnd"/>
      <w:r w:rsidRPr="00BF083C">
        <w:t xml:space="preserve"> sur </w:t>
      </w:r>
      <w:proofErr w:type="spellStart"/>
      <w:r w:rsidRPr="00BF083C">
        <w:t>l’avenir</w:t>
      </w:r>
      <w:proofErr w:type="spellEnd"/>
      <w:r w:rsidRPr="00BF083C">
        <w:t xml:space="preserve"> des </w:t>
      </w:r>
      <w:proofErr w:type="spellStart"/>
      <w:r w:rsidRPr="00BF083C">
        <w:t>puits</w:t>
      </w:r>
      <w:proofErr w:type="spellEnd"/>
      <w:r w:rsidRPr="00BF083C">
        <w:t xml:space="preserve"> de </w:t>
      </w:r>
      <w:proofErr w:type="spellStart"/>
      <w:r w:rsidRPr="00BF083C">
        <w:t>carbone</w:t>
      </w:r>
      <w:proofErr w:type="spellEnd"/>
      <w:r w:rsidRPr="00BF083C">
        <w:t xml:space="preserve"> </w:t>
      </w:r>
      <w:proofErr w:type="spellStart"/>
      <w:r w:rsidRPr="00BF083C">
        <w:t>océaniques</w:t>
      </w:r>
      <w:proofErr w:type="spellEnd"/>
      <w:r w:rsidRPr="00BF083C">
        <w:t xml:space="preserve">, </w:t>
      </w:r>
      <w:proofErr w:type="spellStart"/>
      <w:r w:rsidRPr="00BF083C">
        <w:t>ainsi</w:t>
      </w:r>
      <w:proofErr w:type="spellEnd"/>
      <w:r w:rsidRPr="00BF083C">
        <w:t xml:space="preserve"> </w:t>
      </w:r>
      <w:proofErr w:type="spellStart"/>
      <w:r w:rsidRPr="00BF083C">
        <w:t>qu’une</w:t>
      </w:r>
      <w:proofErr w:type="spellEnd"/>
      <w:r w:rsidRPr="00BF083C">
        <w:t xml:space="preserve"> </w:t>
      </w:r>
      <w:proofErr w:type="spellStart"/>
      <w:r w:rsidRPr="00BF083C">
        <w:t>participante</w:t>
      </w:r>
      <w:proofErr w:type="spellEnd"/>
      <w:r w:rsidRPr="00BF083C">
        <w:t xml:space="preserve"> active à </w:t>
      </w:r>
      <w:proofErr w:type="spellStart"/>
      <w:r w:rsidRPr="00BF083C">
        <w:t>l’Initiative</w:t>
      </w:r>
      <w:proofErr w:type="spellEnd"/>
      <w:r w:rsidRPr="00BF083C">
        <w:t xml:space="preserve"> « Carbone bleu ». Elle </w:t>
      </w:r>
      <w:proofErr w:type="spellStart"/>
      <w:r w:rsidRPr="00BF083C">
        <w:t>continuera</w:t>
      </w:r>
      <w:proofErr w:type="spellEnd"/>
      <w:r w:rsidRPr="00BF083C">
        <w:t xml:space="preserve"> de </w:t>
      </w:r>
      <w:proofErr w:type="spellStart"/>
      <w:r w:rsidRPr="00BF083C">
        <w:t>fournir</w:t>
      </w:r>
      <w:proofErr w:type="spellEnd"/>
      <w:r w:rsidRPr="00BF083C">
        <w:t xml:space="preserve"> </w:t>
      </w:r>
      <w:proofErr w:type="spellStart"/>
      <w:r w:rsidRPr="00BF083C">
        <w:t>une</w:t>
      </w:r>
      <w:proofErr w:type="spellEnd"/>
      <w:r w:rsidRPr="00BF083C">
        <w:t xml:space="preserve"> assistance technique au Groupe </w:t>
      </w:r>
      <w:proofErr w:type="spellStart"/>
      <w:r w:rsidRPr="00BF083C">
        <w:t>d’experts</w:t>
      </w:r>
      <w:proofErr w:type="spellEnd"/>
      <w:r w:rsidRPr="00BF083C">
        <w:t xml:space="preserve"> des Nations </w:t>
      </w:r>
      <w:proofErr w:type="spellStart"/>
      <w:r w:rsidRPr="00BF083C">
        <w:t>Unies</w:t>
      </w:r>
      <w:proofErr w:type="spellEnd"/>
      <w:r w:rsidRPr="00BF083C">
        <w:t xml:space="preserve"> pour </w:t>
      </w:r>
      <w:proofErr w:type="spellStart"/>
      <w:r w:rsidRPr="00BF083C">
        <w:t>l’élaboration</w:t>
      </w:r>
      <w:proofErr w:type="spellEnd"/>
      <w:r w:rsidRPr="00BF083C">
        <w:t xml:space="preserve"> de solutions </w:t>
      </w:r>
      <w:proofErr w:type="spellStart"/>
      <w:r w:rsidRPr="00BF083C">
        <w:t>océaniques</w:t>
      </w:r>
      <w:proofErr w:type="spellEnd"/>
      <w:r w:rsidRPr="00BF083C">
        <w:t xml:space="preserve"> </w:t>
      </w:r>
      <w:proofErr w:type="spellStart"/>
      <w:r w:rsidRPr="00BF083C">
        <w:t>visant</w:t>
      </w:r>
      <w:proofErr w:type="spellEnd"/>
      <w:r w:rsidRPr="00BF083C">
        <w:t xml:space="preserve"> à </w:t>
      </w:r>
      <w:proofErr w:type="spellStart"/>
      <w:r w:rsidRPr="00BF083C">
        <w:t>atténuer</w:t>
      </w:r>
      <w:proofErr w:type="spellEnd"/>
      <w:r w:rsidRPr="00BF083C">
        <w:t xml:space="preserve"> le </w:t>
      </w:r>
      <w:proofErr w:type="spellStart"/>
      <w:r w:rsidRPr="00BF083C">
        <w:t>changement</w:t>
      </w:r>
      <w:proofErr w:type="spellEnd"/>
      <w:r w:rsidRPr="00BF083C">
        <w:t xml:space="preserve"> </w:t>
      </w:r>
      <w:proofErr w:type="spellStart"/>
      <w:r w:rsidRPr="00BF083C">
        <w:t>climatique</w:t>
      </w:r>
      <w:proofErr w:type="spellEnd"/>
      <w:r w:rsidRPr="00BF083C">
        <w:t xml:space="preserve"> par le </w:t>
      </w:r>
      <w:proofErr w:type="spellStart"/>
      <w:r w:rsidRPr="00BF083C">
        <w:t>biais</w:t>
      </w:r>
      <w:proofErr w:type="spellEnd"/>
      <w:r w:rsidRPr="00BF083C">
        <w:t xml:space="preserve"> du stockage du </w:t>
      </w:r>
      <w:proofErr w:type="spellStart"/>
      <w:r w:rsidRPr="00BF083C">
        <w:t>carbone</w:t>
      </w:r>
      <w:proofErr w:type="spellEnd"/>
      <w:r w:rsidRPr="00BF083C">
        <w:t xml:space="preserve">, </w:t>
      </w:r>
      <w:proofErr w:type="spellStart"/>
      <w:r w:rsidRPr="00BF083C">
        <w:t>ainsi</w:t>
      </w:r>
      <w:proofErr w:type="spellEnd"/>
      <w:r w:rsidRPr="00BF083C">
        <w:t xml:space="preserve"> que de </w:t>
      </w:r>
      <w:proofErr w:type="spellStart"/>
      <w:r w:rsidRPr="00BF083C">
        <w:t>coordonner</w:t>
      </w:r>
      <w:proofErr w:type="spellEnd"/>
      <w:r w:rsidRPr="00BF083C">
        <w:t xml:space="preserve"> le </w:t>
      </w:r>
      <w:proofErr w:type="spellStart"/>
      <w:r w:rsidRPr="00BF083C">
        <w:t>Système</w:t>
      </w:r>
      <w:proofErr w:type="spellEnd"/>
      <w:r w:rsidRPr="00BF083C">
        <w:t xml:space="preserve"> </w:t>
      </w:r>
      <w:proofErr w:type="spellStart"/>
      <w:r w:rsidRPr="00BF083C">
        <w:t>mondial</w:t>
      </w:r>
      <w:proofErr w:type="spellEnd"/>
      <w:r w:rsidRPr="00BF083C">
        <w:t xml:space="preserve"> </w:t>
      </w:r>
      <w:proofErr w:type="spellStart"/>
      <w:r w:rsidRPr="00BF083C">
        <w:t>d’observation</w:t>
      </w:r>
      <w:proofErr w:type="spellEnd"/>
      <w:r w:rsidRPr="00BF083C">
        <w:t xml:space="preserve"> de </w:t>
      </w:r>
      <w:proofErr w:type="spellStart"/>
      <w:r w:rsidRPr="00BF083C">
        <w:t>l’océan</w:t>
      </w:r>
      <w:proofErr w:type="spellEnd"/>
      <w:r w:rsidRPr="00BF083C">
        <w:t xml:space="preserve"> (GOOS) et le programme </w:t>
      </w:r>
      <w:proofErr w:type="spellStart"/>
      <w:r w:rsidRPr="00BF083C">
        <w:t>d’Échange</w:t>
      </w:r>
      <w:proofErr w:type="spellEnd"/>
      <w:r w:rsidRPr="00BF083C">
        <w:t xml:space="preserve"> international des </w:t>
      </w:r>
      <w:proofErr w:type="spellStart"/>
      <w:r w:rsidRPr="00BF083C">
        <w:t>données</w:t>
      </w:r>
      <w:proofErr w:type="spellEnd"/>
      <w:r w:rsidRPr="00BF083C">
        <w:t xml:space="preserve"> et de </w:t>
      </w:r>
      <w:proofErr w:type="spellStart"/>
      <w:r w:rsidRPr="00BF083C">
        <w:t>l’information</w:t>
      </w:r>
      <w:proofErr w:type="spellEnd"/>
      <w:r w:rsidRPr="00BF083C">
        <w:t xml:space="preserve"> </w:t>
      </w:r>
      <w:proofErr w:type="spellStart"/>
      <w:r w:rsidRPr="00BF083C">
        <w:t>océanographiques</w:t>
      </w:r>
      <w:proofErr w:type="spellEnd"/>
      <w:r w:rsidRPr="00BF083C">
        <w:t xml:space="preserve"> (IODE), </w:t>
      </w:r>
      <w:proofErr w:type="spellStart"/>
      <w:r w:rsidRPr="00BF083C">
        <w:t>grâce</w:t>
      </w:r>
      <w:proofErr w:type="spellEnd"/>
      <w:r w:rsidRPr="00BF083C">
        <w:t xml:space="preserve"> à un </w:t>
      </w:r>
      <w:proofErr w:type="spellStart"/>
      <w:r w:rsidRPr="00BF083C">
        <w:t>système</w:t>
      </w:r>
      <w:proofErr w:type="spellEnd"/>
      <w:r w:rsidRPr="00BF083C">
        <w:t xml:space="preserve"> </w:t>
      </w:r>
      <w:proofErr w:type="spellStart"/>
      <w:r w:rsidRPr="00BF083C">
        <w:t>mondial</w:t>
      </w:r>
      <w:proofErr w:type="spellEnd"/>
      <w:r w:rsidRPr="00BF083C">
        <w:t xml:space="preserve"> </w:t>
      </w:r>
      <w:proofErr w:type="spellStart"/>
      <w:r w:rsidRPr="00BF083C">
        <w:t>d’unités</w:t>
      </w:r>
      <w:proofErr w:type="spellEnd"/>
      <w:r w:rsidRPr="00BF083C">
        <w:t xml:space="preserve"> et de centres </w:t>
      </w:r>
      <w:proofErr w:type="spellStart"/>
      <w:r w:rsidRPr="00BF083C">
        <w:t>nationaux</w:t>
      </w:r>
      <w:proofErr w:type="spellEnd"/>
      <w:r w:rsidRPr="00BF083C">
        <w:t xml:space="preserve"> de </w:t>
      </w:r>
      <w:proofErr w:type="spellStart"/>
      <w:r w:rsidRPr="00BF083C">
        <w:t>données</w:t>
      </w:r>
      <w:proofErr w:type="spellEnd"/>
      <w:r w:rsidRPr="00BF083C">
        <w:t xml:space="preserve"> et à </w:t>
      </w:r>
      <w:proofErr w:type="spellStart"/>
      <w:r w:rsidRPr="00BF083C">
        <w:t>diverses</w:t>
      </w:r>
      <w:proofErr w:type="spellEnd"/>
      <w:r w:rsidRPr="00BF083C">
        <w:t xml:space="preserve"> bases de </w:t>
      </w:r>
      <w:proofErr w:type="spellStart"/>
      <w:r w:rsidRPr="00BF083C">
        <w:t>données</w:t>
      </w:r>
      <w:proofErr w:type="spellEnd"/>
      <w:r w:rsidRPr="00BF083C">
        <w:t xml:space="preserve">, </w:t>
      </w:r>
      <w:proofErr w:type="spellStart"/>
      <w:r w:rsidRPr="00BF083C">
        <w:t>telles</w:t>
      </w:r>
      <w:proofErr w:type="spellEnd"/>
      <w:r w:rsidRPr="00BF083C">
        <w:t xml:space="preserve"> que le </w:t>
      </w:r>
      <w:proofErr w:type="spellStart"/>
      <w:r w:rsidRPr="00BF083C">
        <w:t>Système</w:t>
      </w:r>
      <w:proofErr w:type="spellEnd"/>
      <w:r w:rsidRPr="00BF083C">
        <w:t xml:space="preserve"> </w:t>
      </w:r>
      <w:proofErr w:type="spellStart"/>
      <w:r w:rsidRPr="00BF083C">
        <w:t>d’informations</w:t>
      </w:r>
      <w:proofErr w:type="spellEnd"/>
      <w:r w:rsidRPr="00BF083C">
        <w:t xml:space="preserve"> sur la </w:t>
      </w:r>
      <w:proofErr w:type="spellStart"/>
      <w:r w:rsidRPr="00BF083C">
        <w:t>biodiversité</w:t>
      </w:r>
      <w:proofErr w:type="spellEnd"/>
      <w:r w:rsidRPr="00BF083C">
        <w:t xml:space="preserve"> des </w:t>
      </w:r>
      <w:proofErr w:type="spellStart"/>
      <w:r w:rsidRPr="00BF083C">
        <w:t>océans</w:t>
      </w:r>
      <w:proofErr w:type="spellEnd"/>
      <w:r w:rsidRPr="00BF083C">
        <w:t xml:space="preserve"> (OBIS) et la Base de </w:t>
      </w:r>
      <w:proofErr w:type="spellStart"/>
      <w:r w:rsidRPr="00BF083C">
        <w:t>données</w:t>
      </w:r>
      <w:proofErr w:type="spellEnd"/>
      <w:r w:rsidRPr="00BF083C">
        <w:t xml:space="preserve"> </w:t>
      </w:r>
      <w:proofErr w:type="spellStart"/>
      <w:r w:rsidRPr="00BF083C">
        <w:t>océaniques</w:t>
      </w:r>
      <w:proofErr w:type="spellEnd"/>
      <w:r w:rsidRPr="00BF083C">
        <w:t xml:space="preserve"> </w:t>
      </w:r>
      <w:proofErr w:type="spellStart"/>
      <w:r w:rsidRPr="00BF083C">
        <w:t>mondiales</w:t>
      </w:r>
      <w:proofErr w:type="spellEnd"/>
      <w:r w:rsidRPr="00BF083C">
        <w:t xml:space="preserve"> (WOD).</w:t>
      </w:r>
    </w:p>
    <w:p w14:paraId="237B7AEF" w14:textId="09CB12CD" w:rsidR="007B71CA" w:rsidRPr="00BF083C" w:rsidRDefault="00BC243D" w:rsidP="00BC243D">
      <w:pPr>
        <w:pStyle w:val="Marge"/>
        <w:tabs>
          <w:tab w:val="clear" w:pos="567"/>
          <w:tab w:val="left" w:pos="1162"/>
        </w:tabs>
        <w:spacing w:line="240" w:lineRule="auto"/>
      </w:pPr>
      <w:r w:rsidRPr="00BF083C">
        <w:rPr>
          <w:bdr w:val="single" w:sz="4" w:space="0" w:color="auto"/>
        </w:rPr>
        <w:t>03007</w:t>
      </w:r>
      <w:r w:rsidRPr="00BF083C">
        <w:tab/>
        <w:t xml:space="preserve">La COI </w:t>
      </w:r>
      <w:proofErr w:type="spellStart"/>
      <w:r w:rsidRPr="00BF083C">
        <w:t>poursuivra</w:t>
      </w:r>
      <w:proofErr w:type="spellEnd"/>
      <w:r w:rsidRPr="00BF083C">
        <w:t xml:space="preserve"> le </w:t>
      </w:r>
      <w:proofErr w:type="spellStart"/>
      <w:r w:rsidRPr="00BF083C">
        <w:t>développement</w:t>
      </w:r>
      <w:proofErr w:type="spellEnd"/>
      <w:r w:rsidRPr="00BF083C">
        <w:t xml:space="preserve"> du </w:t>
      </w:r>
      <w:proofErr w:type="spellStart"/>
      <w:r w:rsidRPr="00BF083C">
        <w:t>Système</w:t>
      </w:r>
      <w:proofErr w:type="spellEnd"/>
      <w:r w:rsidRPr="00BF083C">
        <w:t xml:space="preserve"> </w:t>
      </w:r>
      <w:proofErr w:type="spellStart"/>
      <w:r w:rsidRPr="00BF083C">
        <w:t>mondial</w:t>
      </w:r>
      <w:proofErr w:type="spellEnd"/>
      <w:r w:rsidRPr="00BF083C">
        <w:t xml:space="preserve"> de </w:t>
      </w:r>
      <w:proofErr w:type="spellStart"/>
      <w:r w:rsidRPr="00BF083C">
        <w:t>données</w:t>
      </w:r>
      <w:proofErr w:type="spellEnd"/>
      <w:r w:rsidRPr="00BF083C">
        <w:t xml:space="preserve"> et </w:t>
      </w:r>
      <w:proofErr w:type="spellStart"/>
      <w:r w:rsidRPr="00BF083C">
        <w:t>d’information</w:t>
      </w:r>
      <w:proofErr w:type="spellEnd"/>
      <w:r w:rsidRPr="00BF083C">
        <w:t xml:space="preserve"> </w:t>
      </w:r>
      <w:proofErr w:type="spellStart"/>
      <w:r w:rsidRPr="00BF083C">
        <w:t>océanographiques</w:t>
      </w:r>
      <w:proofErr w:type="spellEnd"/>
      <w:r w:rsidRPr="00BF083C">
        <w:t xml:space="preserve"> (ODIS), </w:t>
      </w:r>
      <w:proofErr w:type="spellStart"/>
      <w:r w:rsidRPr="00BF083C">
        <w:t>lequel</w:t>
      </w:r>
      <w:proofErr w:type="spellEnd"/>
      <w:r w:rsidRPr="00BF083C">
        <w:t xml:space="preserve"> </w:t>
      </w:r>
      <w:proofErr w:type="spellStart"/>
      <w:r w:rsidRPr="00BF083C">
        <w:t>facilitera</w:t>
      </w:r>
      <w:proofErr w:type="spellEnd"/>
      <w:r w:rsidRPr="00BF083C">
        <w:t xml:space="preserve"> </w:t>
      </w:r>
      <w:proofErr w:type="spellStart"/>
      <w:r w:rsidRPr="00BF083C">
        <w:t>grandement</w:t>
      </w:r>
      <w:proofErr w:type="spellEnd"/>
      <w:r w:rsidRPr="00BF083C">
        <w:t xml:space="preserve"> le partage de </w:t>
      </w:r>
      <w:proofErr w:type="spellStart"/>
      <w:r w:rsidRPr="00BF083C">
        <w:t>ces</w:t>
      </w:r>
      <w:proofErr w:type="spellEnd"/>
      <w:r w:rsidRPr="00BF083C">
        <w:t xml:space="preserve"> </w:t>
      </w:r>
      <w:proofErr w:type="spellStart"/>
      <w:r w:rsidRPr="00BF083C">
        <w:t>données</w:t>
      </w:r>
      <w:proofErr w:type="spellEnd"/>
      <w:r w:rsidRPr="00BF083C">
        <w:t xml:space="preserve"> et </w:t>
      </w:r>
      <w:proofErr w:type="spellStart"/>
      <w:r w:rsidRPr="00BF083C">
        <w:t>informations</w:t>
      </w:r>
      <w:proofErr w:type="spellEnd"/>
      <w:r w:rsidRPr="00BF083C">
        <w:t xml:space="preserve"> avec un large </w:t>
      </w:r>
      <w:proofErr w:type="spellStart"/>
      <w:r w:rsidRPr="00BF083C">
        <w:t>éventail</w:t>
      </w:r>
      <w:proofErr w:type="spellEnd"/>
      <w:r w:rsidRPr="00BF083C">
        <w:t xml:space="preserve"> de parties </w:t>
      </w:r>
      <w:proofErr w:type="spellStart"/>
      <w:r w:rsidRPr="00BF083C">
        <w:t>prenantes</w:t>
      </w:r>
      <w:proofErr w:type="spellEnd"/>
      <w:r w:rsidRPr="00BF083C">
        <w:t xml:space="preserve">, </w:t>
      </w:r>
      <w:proofErr w:type="spellStart"/>
      <w:r w:rsidRPr="00BF083C">
        <w:t>conformément</w:t>
      </w:r>
      <w:proofErr w:type="spellEnd"/>
      <w:r w:rsidRPr="00BF083C">
        <w:t xml:space="preserve"> aux </w:t>
      </w:r>
      <w:proofErr w:type="spellStart"/>
      <w:r w:rsidRPr="00BF083C">
        <w:t>objectifs</w:t>
      </w:r>
      <w:proofErr w:type="spellEnd"/>
      <w:r w:rsidRPr="00BF083C">
        <w:t xml:space="preserve"> de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w:t>
      </w:r>
      <w:proofErr w:type="spellStart"/>
      <w:r w:rsidRPr="00BF083C">
        <w:t>D’autre</w:t>
      </w:r>
      <w:proofErr w:type="spellEnd"/>
      <w:r w:rsidRPr="00BF083C">
        <w:t xml:space="preserve"> part, la Commission </w:t>
      </w:r>
      <w:proofErr w:type="spellStart"/>
      <w:r w:rsidRPr="00BF083C">
        <w:t>continuera</w:t>
      </w:r>
      <w:proofErr w:type="spellEnd"/>
      <w:r w:rsidRPr="00BF083C">
        <w:t xml:space="preserve"> de </w:t>
      </w:r>
      <w:proofErr w:type="spellStart"/>
      <w:r w:rsidRPr="00BF083C">
        <w:t>fournir</w:t>
      </w:r>
      <w:proofErr w:type="spellEnd"/>
      <w:r w:rsidRPr="00BF083C">
        <w:t xml:space="preserve"> </w:t>
      </w:r>
      <w:proofErr w:type="spellStart"/>
      <w:r w:rsidRPr="00BF083C">
        <w:t>une</w:t>
      </w:r>
      <w:proofErr w:type="spellEnd"/>
      <w:r w:rsidRPr="00BF083C">
        <w:t xml:space="preserve"> contribution </w:t>
      </w:r>
      <w:proofErr w:type="spellStart"/>
      <w:r w:rsidRPr="00BF083C">
        <w:t>directe</w:t>
      </w:r>
      <w:proofErr w:type="spellEnd"/>
      <w:r w:rsidRPr="00BF083C">
        <w:t xml:space="preserve"> </w:t>
      </w:r>
      <w:proofErr w:type="spellStart"/>
      <w:r w:rsidRPr="00BF083C">
        <w:t>essentielle</w:t>
      </w:r>
      <w:proofErr w:type="spellEnd"/>
      <w:r w:rsidRPr="00BF083C">
        <w:t xml:space="preserve"> à la mise </w:t>
      </w:r>
      <w:proofErr w:type="spellStart"/>
      <w:r w:rsidRPr="00BF083C">
        <w:t>en</w:t>
      </w:r>
      <w:proofErr w:type="spellEnd"/>
      <w:r w:rsidRPr="00BF083C">
        <w:t xml:space="preserve"> </w:t>
      </w:r>
      <w:proofErr w:type="spellStart"/>
      <w:r w:rsidRPr="00BF083C">
        <w:t>œuvre</w:t>
      </w:r>
      <w:proofErr w:type="spellEnd"/>
      <w:r w:rsidRPr="00BF083C">
        <w:t xml:space="preserve"> du Cadre de Sendai pour la </w:t>
      </w:r>
      <w:proofErr w:type="spellStart"/>
      <w:r w:rsidRPr="00BF083C">
        <w:t>réduction</w:t>
      </w:r>
      <w:proofErr w:type="spellEnd"/>
      <w:r w:rsidRPr="00BF083C">
        <w:t xml:space="preserve"> des </w:t>
      </w:r>
      <w:proofErr w:type="spellStart"/>
      <w:r w:rsidRPr="00BF083C">
        <w:t>risques</w:t>
      </w:r>
      <w:proofErr w:type="spellEnd"/>
      <w:r w:rsidRPr="00BF083C">
        <w:t xml:space="preserve"> de catastrophe </w:t>
      </w:r>
      <w:proofErr w:type="spellStart"/>
      <w:r w:rsidRPr="00BF083C">
        <w:t>en</w:t>
      </w:r>
      <w:proofErr w:type="spellEnd"/>
      <w:r w:rsidRPr="00BF083C">
        <w:t xml:space="preserve"> </w:t>
      </w:r>
      <w:proofErr w:type="spellStart"/>
      <w:r w:rsidRPr="00BF083C">
        <w:t>coordonnant</w:t>
      </w:r>
      <w:proofErr w:type="spellEnd"/>
      <w:r w:rsidRPr="00BF083C">
        <w:t xml:space="preserve"> le </w:t>
      </w:r>
      <w:proofErr w:type="spellStart"/>
      <w:r w:rsidRPr="00BF083C">
        <w:t>réseau</w:t>
      </w:r>
      <w:proofErr w:type="spellEnd"/>
      <w:r w:rsidRPr="00BF083C">
        <w:t xml:space="preserve"> </w:t>
      </w:r>
      <w:proofErr w:type="spellStart"/>
      <w:r w:rsidRPr="00BF083C">
        <w:t>intergouvernemental</w:t>
      </w:r>
      <w:proofErr w:type="spellEnd"/>
      <w:r w:rsidRPr="00BF083C">
        <w:t xml:space="preserve"> </w:t>
      </w:r>
      <w:proofErr w:type="spellStart"/>
      <w:r w:rsidRPr="00BF083C">
        <w:t>constitué</w:t>
      </w:r>
      <w:proofErr w:type="spellEnd"/>
      <w:r w:rsidRPr="00BF083C">
        <w:t xml:space="preserve"> de quatre </w:t>
      </w:r>
      <w:proofErr w:type="spellStart"/>
      <w:r w:rsidRPr="00BF083C">
        <w:t>systèmes</w:t>
      </w:r>
      <w:proofErr w:type="spellEnd"/>
      <w:r w:rsidRPr="00BF083C">
        <w:t xml:space="preserve"> </w:t>
      </w:r>
      <w:proofErr w:type="spellStart"/>
      <w:r w:rsidRPr="00BF083C">
        <w:t>régionaux</w:t>
      </w:r>
      <w:proofErr w:type="spellEnd"/>
      <w:r w:rsidRPr="00BF083C">
        <w:t xml:space="preserve"> </w:t>
      </w:r>
      <w:proofErr w:type="spellStart"/>
      <w:r w:rsidRPr="00BF083C">
        <w:t>d’alerte</w:t>
      </w:r>
      <w:proofErr w:type="spellEnd"/>
      <w:r w:rsidRPr="00BF083C">
        <w:t xml:space="preserve"> aux tsunamis et </w:t>
      </w:r>
      <w:proofErr w:type="spellStart"/>
      <w:r w:rsidRPr="00BF083C">
        <w:t>d’atténuation</w:t>
      </w:r>
      <w:proofErr w:type="spellEnd"/>
      <w:r w:rsidRPr="00BF083C">
        <w:t xml:space="preserve"> de </w:t>
      </w:r>
      <w:proofErr w:type="spellStart"/>
      <w:r w:rsidRPr="00BF083C">
        <w:t>leurs</w:t>
      </w:r>
      <w:proofErr w:type="spellEnd"/>
      <w:r w:rsidRPr="00BF083C">
        <w:t xml:space="preserve"> </w:t>
      </w:r>
      <w:proofErr w:type="spellStart"/>
      <w:r w:rsidRPr="00BF083C">
        <w:t>effets</w:t>
      </w:r>
      <w:proofErr w:type="spellEnd"/>
      <w:r w:rsidRPr="00BF083C">
        <w:t xml:space="preserve"> ; </w:t>
      </w:r>
      <w:proofErr w:type="spellStart"/>
      <w:r w:rsidRPr="00BF083C">
        <w:t>en</w:t>
      </w:r>
      <w:proofErr w:type="spellEnd"/>
      <w:r w:rsidRPr="00BF083C">
        <w:t xml:space="preserve"> </w:t>
      </w:r>
      <w:proofErr w:type="spellStart"/>
      <w:r w:rsidRPr="00BF083C">
        <w:t>définissant</w:t>
      </w:r>
      <w:proofErr w:type="spellEnd"/>
      <w:r w:rsidRPr="00BF083C">
        <w:t xml:space="preserve"> des </w:t>
      </w:r>
      <w:proofErr w:type="spellStart"/>
      <w:r w:rsidRPr="00BF083C">
        <w:t>normes</w:t>
      </w:r>
      <w:proofErr w:type="spellEnd"/>
      <w:r w:rsidRPr="00BF083C">
        <w:t xml:space="preserve"> au </w:t>
      </w:r>
      <w:proofErr w:type="spellStart"/>
      <w:r w:rsidRPr="00BF083C">
        <w:t>niveau</w:t>
      </w:r>
      <w:proofErr w:type="spellEnd"/>
      <w:r w:rsidRPr="00BF083C">
        <w:t xml:space="preserve"> </w:t>
      </w:r>
      <w:proofErr w:type="spellStart"/>
      <w:r w:rsidRPr="00BF083C">
        <w:t>mondial</w:t>
      </w:r>
      <w:proofErr w:type="spellEnd"/>
      <w:r w:rsidRPr="00BF083C">
        <w:t xml:space="preserve"> </w:t>
      </w:r>
      <w:proofErr w:type="spellStart"/>
      <w:r w:rsidRPr="00BF083C">
        <w:t>en</w:t>
      </w:r>
      <w:proofErr w:type="spellEnd"/>
      <w:r w:rsidRPr="00BF083C">
        <w:t xml:space="preserve"> matière </w:t>
      </w:r>
      <w:proofErr w:type="spellStart"/>
      <w:r w:rsidRPr="00BF083C">
        <w:t>d’alerte</w:t>
      </w:r>
      <w:proofErr w:type="spellEnd"/>
      <w:r w:rsidRPr="00BF083C">
        <w:t xml:space="preserve"> aux tsunamis et </w:t>
      </w:r>
      <w:proofErr w:type="spellStart"/>
      <w:r w:rsidRPr="00BF083C">
        <w:t>d’atténuation</w:t>
      </w:r>
      <w:proofErr w:type="spellEnd"/>
      <w:r w:rsidRPr="00BF083C">
        <w:t xml:space="preserve"> de </w:t>
      </w:r>
      <w:proofErr w:type="spellStart"/>
      <w:r w:rsidRPr="00BF083C">
        <w:t>leurs</w:t>
      </w:r>
      <w:proofErr w:type="spellEnd"/>
      <w:r w:rsidRPr="00BF083C">
        <w:t xml:space="preserve"> </w:t>
      </w:r>
      <w:proofErr w:type="spellStart"/>
      <w:r w:rsidRPr="00BF083C">
        <w:t>effets</w:t>
      </w:r>
      <w:proofErr w:type="spellEnd"/>
      <w:r w:rsidRPr="00BF083C">
        <w:t xml:space="preserve"> ; et </w:t>
      </w:r>
      <w:proofErr w:type="spellStart"/>
      <w:r w:rsidRPr="00BF083C">
        <w:t>en</w:t>
      </w:r>
      <w:proofErr w:type="spellEnd"/>
      <w:r w:rsidRPr="00BF083C">
        <w:t xml:space="preserve"> </w:t>
      </w:r>
      <w:proofErr w:type="spellStart"/>
      <w:r w:rsidRPr="00BF083C">
        <w:t>coordonnant</w:t>
      </w:r>
      <w:proofErr w:type="spellEnd"/>
      <w:r w:rsidRPr="00BF083C">
        <w:t xml:space="preserve"> 13 </w:t>
      </w:r>
      <w:proofErr w:type="spellStart"/>
      <w:r w:rsidRPr="00BF083C">
        <w:t>prestataires</w:t>
      </w:r>
      <w:proofErr w:type="spellEnd"/>
      <w:r w:rsidRPr="00BF083C">
        <w:t xml:space="preserve"> de services </w:t>
      </w:r>
      <w:proofErr w:type="spellStart"/>
      <w:r w:rsidRPr="00BF083C">
        <w:t>relatifs</w:t>
      </w:r>
      <w:proofErr w:type="spellEnd"/>
      <w:r w:rsidRPr="00BF083C">
        <w:t xml:space="preserve"> aux tsunamis (TSP) qui </w:t>
      </w:r>
      <w:proofErr w:type="spellStart"/>
      <w:r w:rsidRPr="00BF083C">
        <w:t>assurent</w:t>
      </w:r>
      <w:proofErr w:type="spellEnd"/>
      <w:r w:rsidRPr="00BF083C">
        <w:t xml:space="preserve"> des services </w:t>
      </w:r>
      <w:proofErr w:type="spellStart"/>
      <w:r w:rsidRPr="00BF083C">
        <w:t>opérationnels</w:t>
      </w:r>
      <w:proofErr w:type="spellEnd"/>
      <w:r w:rsidRPr="00BF083C">
        <w:t xml:space="preserve"> 24 </w:t>
      </w:r>
      <w:proofErr w:type="spellStart"/>
      <w:r w:rsidRPr="00BF083C">
        <w:t>heures</w:t>
      </w:r>
      <w:proofErr w:type="spellEnd"/>
      <w:r w:rsidRPr="00BF083C">
        <w:t xml:space="preserve"> sur 24. À </w:t>
      </w:r>
      <w:proofErr w:type="spellStart"/>
      <w:r w:rsidRPr="00BF083C">
        <w:t>l’avenir</w:t>
      </w:r>
      <w:proofErr w:type="spellEnd"/>
      <w:r w:rsidRPr="00BF083C">
        <w:t xml:space="preserve">, la COI </w:t>
      </w:r>
      <w:proofErr w:type="spellStart"/>
      <w:r w:rsidRPr="00BF083C">
        <w:t>élaborera</w:t>
      </w:r>
      <w:proofErr w:type="spellEnd"/>
      <w:r w:rsidRPr="00BF083C">
        <w:t xml:space="preserve"> un plan </w:t>
      </w:r>
      <w:proofErr w:type="spellStart"/>
      <w:r w:rsidRPr="00BF083C">
        <w:t>décennal</w:t>
      </w:r>
      <w:proofErr w:type="spellEnd"/>
      <w:r w:rsidRPr="00BF083C">
        <w:t xml:space="preserve"> de recherche-</w:t>
      </w:r>
      <w:proofErr w:type="spellStart"/>
      <w:r w:rsidRPr="00BF083C">
        <w:t>développement</w:t>
      </w:r>
      <w:proofErr w:type="spellEnd"/>
      <w:r w:rsidRPr="00BF083C">
        <w:t xml:space="preserve"> pour un programme </w:t>
      </w:r>
      <w:proofErr w:type="spellStart"/>
      <w:r w:rsidRPr="00BF083C">
        <w:t>relatif</w:t>
      </w:r>
      <w:proofErr w:type="spellEnd"/>
      <w:r w:rsidRPr="00BF083C">
        <w:t xml:space="preserve"> aux tsunamis </w:t>
      </w:r>
      <w:proofErr w:type="spellStart"/>
      <w:r w:rsidRPr="00BF083C">
        <w:t>s’inscrivant</w:t>
      </w:r>
      <w:proofErr w:type="spellEnd"/>
      <w:r w:rsidRPr="00BF083C">
        <w:t xml:space="preserve"> dans le cadre de la </w:t>
      </w:r>
      <w:proofErr w:type="spellStart"/>
      <w:r w:rsidRPr="00BF083C">
        <w:t>Décennie</w:t>
      </w:r>
      <w:proofErr w:type="spellEnd"/>
      <w:r w:rsidRPr="00BF083C">
        <w:t xml:space="preserve"> des Nations </w:t>
      </w:r>
      <w:proofErr w:type="spellStart"/>
      <w:r w:rsidRPr="00BF083C">
        <w:t>Unies</w:t>
      </w:r>
      <w:proofErr w:type="spellEnd"/>
      <w:r w:rsidRPr="00BF083C">
        <w:t xml:space="preserve">. Elle met </w:t>
      </w:r>
      <w:proofErr w:type="spellStart"/>
      <w:r w:rsidRPr="00BF083C">
        <w:t>également</w:t>
      </w:r>
      <w:proofErr w:type="spellEnd"/>
      <w:r w:rsidRPr="00BF083C">
        <w:t xml:space="preserve"> </w:t>
      </w:r>
      <w:proofErr w:type="spellStart"/>
      <w:r w:rsidRPr="00BF083C">
        <w:t>en</w:t>
      </w:r>
      <w:proofErr w:type="spellEnd"/>
      <w:r w:rsidRPr="00BF083C">
        <w:t xml:space="preserve"> place </w:t>
      </w:r>
      <w:proofErr w:type="spellStart"/>
      <w:r w:rsidRPr="00BF083C">
        <w:t>une</w:t>
      </w:r>
      <w:proofErr w:type="spellEnd"/>
      <w:r w:rsidRPr="00BF083C">
        <w:t xml:space="preserve"> </w:t>
      </w:r>
      <w:proofErr w:type="spellStart"/>
      <w:r w:rsidRPr="00BF083C">
        <w:t>série</w:t>
      </w:r>
      <w:proofErr w:type="spellEnd"/>
      <w:r w:rsidRPr="00BF083C">
        <w:t xml:space="preserve"> de nouveaux services </w:t>
      </w:r>
      <w:proofErr w:type="spellStart"/>
      <w:r w:rsidRPr="00BF083C">
        <w:t>océaniques</w:t>
      </w:r>
      <w:proofErr w:type="spellEnd"/>
      <w:r w:rsidRPr="00BF083C">
        <w:t xml:space="preserve">, </w:t>
      </w:r>
      <w:proofErr w:type="spellStart"/>
      <w:r w:rsidRPr="00BF083C">
        <w:t>tels</w:t>
      </w:r>
      <w:proofErr w:type="spellEnd"/>
      <w:r w:rsidRPr="00BF083C">
        <w:t xml:space="preserve"> que des </w:t>
      </w:r>
      <w:proofErr w:type="spellStart"/>
      <w:r w:rsidRPr="00BF083C">
        <w:t>alertes</w:t>
      </w:r>
      <w:proofErr w:type="spellEnd"/>
      <w:r w:rsidRPr="00BF083C">
        <w:t xml:space="preserve"> sur les </w:t>
      </w:r>
      <w:proofErr w:type="spellStart"/>
      <w:r w:rsidRPr="00BF083C">
        <w:t>efflorescences</w:t>
      </w:r>
      <w:proofErr w:type="spellEnd"/>
      <w:r w:rsidRPr="00BF083C">
        <w:t xml:space="preserve"> </w:t>
      </w:r>
      <w:proofErr w:type="spellStart"/>
      <w:r w:rsidRPr="00BF083C">
        <w:t>algales</w:t>
      </w:r>
      <w:proofErr w:type="spellEnd"/>
      <w:r w:rsidRPr="00BF083C">
        <w:t xml:space="preserve"> </w:t>
      </w:r>
      <w:proofErr w:type="spellStart"/>
      <w:r w:rsidRPr="00BF083C">
        <w:t>nuisibles</w:t>
      </w:r>
      <w:proofErr w:type="spellEnd"/>
      <w:r w:rsidRPr="00BF083C">
        <w:t xml:space="preserve">. </w:t>
      </w:r>
      <w:proofErr w:type="spellStart"/>
      <w:r w:rsidRPr="00BF083C">
        <w:t>En</w:t>
      </w:r>
      <w:proofErr w:type="spellEnd"/>
      <w:r w:rsidRPr="00BF083C">
        <w:t xml:space="preserve"> </w:t>
      </w:r>
      <w:proofErr w:type="spellStart"/>
      <w:r w:rsidRPr="00BF083C">
        <w:t>s’appuyant</w:t>
      </w:r>
      <w:proofErr w:type="spellEnd"/>
      <w:r w:rsidRPr="00BF083C">
        <w:t xml:space="preserve"> sur son programme </w:t>
      </w:r>
      <w:proofErr w:type="spellStart"/>
      <w:r w:rsidRPr="00BF083C">
        <w:t>concernant</w:t>
      </w:r>
      <w:proofErr w:type="spellEnd"/>
      <w:r w:rsidRPr="00BF083C">
        <w:t xml:space="preserve"> la planification de </w:t>
      </w:r>
      <w:proofErr w:type="spellStart"/>
      <w:r w:rsidRPr="00BF083C">
        <w:t>l’espace</w:t>
      </w:r>
      <w:proofErr w:type="spellEnd"/>
      <w:r w:rsidRPr="00BF083C">
        <w:t xml:space="preserve"> </w:t>
      </w:r>
      <w:proofErr w:type="spellStart"/>
      <w:r w:rsidRPr="00BF083C">
        <w:t>marin</w:t>
      </w:r>
      <w:proofErr w:type="spellEnd"/>
      <w:r w:rsidRPr="00BF083C">
        <w:t xml:space="preserve">, la gestion </w:t>
      </w:r>
      <w:proofErr w:type="spellStart"/>
      <w:r w:rsidRPr="00BF083C">
        <w:t>intégrée</w:t>
      </w:r>
      <w:proofErr w:type="spellEnd"/>
      <w:r w:rsidRPr="00BF083C">
        <w:t xml:space="preserve"> des zones </w:t>
      </w:r>
      <w:proofErr w:type="spellStart"/>
      <w:r w:rsidRPr="00BF083C">
        <w:t>côtières</w:t>
      </w:r>
      <w:proofErr w:type="spellEnd"/>
      <w:r w:rsidRPr="00BF083C">
        <w:t xml:space="preserve"> et les </w:t>
      </w:r>
      <w:proofErr w:type="spellStart"/>
      <w:r w:rsidRPr="00BF083C">
        <w:t>partenariats</w:t>
      </w:r>
      <w:proofErr w:type="spellEnd"/>
      <w:r w:rsidRPr="00BF083C">
        <w:t xml:space="preserve"> </w:t>
      </w:r>
      <w:proofErr w:type="spellStart"/>
      <w:r w:rsidRPr="00BF083C">
        <w:t>mondiaux</w:t>
      </w:r>
      <w:proofErr w:type="spellEnd"/>
      <w:r w:rsidRPr="00BF083C">
        <w:t xml:space="preserve"> pour les grands </w:t>
      </w:r>
      <w:proofErr w:type="spellStart"/>
      <w:r w:rsidRPr="00BF083C">
        <w:t>écosystèmes</w:t>
      </w:r>
      <w:proofErr w:type="spellEnd"/>
      <w:r w:rsidRPr="00BF083C">
        <w:t xml:space="preserve"> </w:t>
      </w:r>
      <w:proofErr w:type="spellStart"/>
      <w:r w:rsidRPr="00BF083C">
        <w:t>marins</w:t>
      </w:r>
      <w:proofErr w:type="spellEnd"/>
      <w:r w:rsidRPr="00BF083C">
        <w:t xml:space="preserve">, la Commission </w:t>
      </w:r>
      <w:proofErr w:type="spellStart"/>
      <w:r w:rsidRPr="00BF083C">
        <w:t>continuera</w:t>
      </w:r>
      <w:proofErr w:type="spellEnd"/>
      <w:r w:rsidRPr="00BF083C">
        <w:t xml:space="preserve"> de </w:t>
      </w:r>
      <w:proofErr w:type="spellStart"/>
      <w:r w:rsidRPr="00BF083C">
        <w:t>promouvoir</w:t>
      </w:r>
      <w:proofErr w:type="spellEnd"/>
      <w:r w:rsidRPr="00BF083C">
        <w:t xml:space="preserve"> de nouveaux </w:t>
      </w:r>
      <w:proofErr w:type="spellStart"/>
      <w:r w:rsidRPr="00BF083C">
        <w:t>moyens</w:t>
      </w:r>
      <w:proofErr w:type="spellEnd"/>
      <w:r w:rsidRPr="00BF083C">
        <w:t xml:space="preserve"> de </w:t>
      </w:r>
      <w:proofErr w:type="spellStart"/>
      <w:r w:rsidRPr="00BF083C">
        <w:t>gérer</w:t>
      </w:r>
      <w:proofErr w:type="spellEnd"/>
      <w:r w:rsidRPr="00BF083C">
        <w:t xml:space="preserve"> les </w:t>
      </w:r>
      <w:proofErr w:type="spellStart"/>
      <w:r w:rsidRPr="00BF083C">
        <w:t>océans</w:t>
      </w:r>
      <w:proofErr w:type="spellEnd"/>
      <w:r w:rsidRPr="00BF083C">
        <w:t xml:space="preserve"> qui </w:t>
      </w:r>
      <w:proofErr w:type="spellStart"/>
      <w:r w:rsidRPr="00BF083C">
        <w:t>permettront</w:t>
      </w:r>
      <w:proofErr w:type="spellEnd"/>
      <w:r w:rsidRPr="00BF083C">
        <w:t xml:space="preserve"> </w:t>
      </w:r>
      <w:proofErr w:type="spellStart"/>
      <w:r w:rsidRPr="00BF083C">
        <w:t>d’améliorer</w:t>
      </w:r>
      <w:proofErr w:type="spellEnd"/>
      <w:r w:rsidRPr="00BF083C">
        <w:t xml:space="preserve"> la </w:t>
      </w:r>
      <w:proofErr w:type="spellStart"/>
      <w:r w:rsidRPr="00BF083C">
        <w:t>résilience</w:t>
      </w:r>
      <w:proofErr w:type="spellEnd"/>
      <w:r w:rsidRPr="00BF083C">
        <w:t xml:space="preserve"> des </w:t>
      </w:r>
      <w:proofErr w:type="spellStart"/>
      <w:r w:rsidRPr="00BF083C">
        <w:t>communautés</w:t>
      </w:r>
      <w:proofErr w:type="spellEnd"/>
      <w:r w:rsidRPr="00BF083C">
        <w:t xml:space="preserve">, de </w:t>
      </w:r>
      <w:proofErr w:type="spellStart"/>
      <w:r w:rsidRPr="00BF083C">
        <w:t>mettre</w:t>
      </w:r>
      <w:proofErr w:type="spellEnd"/>
      <w:r w:rsidRPr="00BF083C">
        <w:t xml:space="preserve"> </w:t>
      </w:r>
      <w:proofErr w:type="spellStart"/>
      <w:r w:rsidRPr="00BF083C">
        <w:t>en</w:t>
      </w:r>
      <w:proofErr w:type="spellEnd"/>
      <w:r w:rsidRPr="00BF083C">
        <w:t xml:space="preserve"> </w:t>
      </w:r>
      <w:proofErr w:type="spellStart"/>
      <w:r w:rsidRPr="00BF083C">
        <w:t>œuvre</w:t>
      </w:r>
      <w:proofErr w:type="spellEnd"/>
      <w:r w:rsidRPr="00BF083C">
        <w:t xml:space="preserve"> des solutions </w:t>
      </w:r>
      <w:proofErr w:type="spellStart"/>
      <w:r w:rsidRPr="00BF083C">
        <w:t>fondées</w:t>
      </w:r>
      <w:proofErr w:type="spellEnd"/>
      <w:r w:rsidRPr="00BF083C">
        <w:t xml:space="preserve"> sur la nature pour </w:t>
      </w:r>
      <w:proofErr w:type="spellStart"/>
      <w:r w:rsidRPr="00BF083C">
        <w:t>l’adaptation</w:t>
      </w:r>
      <w:proofErr w:type="spellEnd"/>
      <w:r w:rsidRPr="00BF083C">
        <w:t xml:space="preserve"> au </w:t>
      </w:r>
      <w:proofErr w:type="spellStart"/>
      <w:r w:rsidRPr="00BF083C">
        <w:t>changement</w:t>
      </w:r>
      <w:proofErr w:type="spellEnd"/>
      <w:r w:rsidRPr="00BF083C">
        <w:t xml:space="preserve"> </w:t>
      </w:r>
      <w:proofErr w:type="spellStart"/>
      <w:r w:rsidRPr="00BF083C">
        <w:t>climatique</w:t>
      </w:r>
      <w:proofErr w:type="spellEnd"/>
      <w:r w:rsidRPr="00BF083C">
        <w:t xml:space="preserve">, </w:t>
      </w:r>
      <w:proofErr w:type="spellStart"/>
      <w:r w:rsidRPr="00BF083C">
        <w:t>d’intégrer</w:t>
      </w:r>
      <w:proofErr w:type="spellEnd"/>
      <w:r w:rsidRPr="00BF083C">
        <w:t xml:space="preserve"> les services </w:t>
      </w:r>
      <w:proofErr w:type="spellStart"/>
      <w:r w:rsidRPr="00BF083C">
        <w:t>écosystémiques</w:t>
      </w:r>
      <w:proofErr w:type="spellEnd"/>
      <w:r w:rsidRPr="00BF083C">
        <w:t xml:space="preserve"> </w:t>
      </w:r>
      <w:proofErr w:type="spellStart"/>
      <w:r w:rsidRPr="00BF083C">
        <w:t>marins</w:t>
      </w:r>
      <w:proofErr w:type="spellEnd"/>
      <w:r w:rsidRPr="00BF083C">
        <w:t xml:space="preserve"> dans les cadres </w:t>
      </w:r>
      <w:proofErr w:type="spellStart"/>
      <w:r w:rsidRPr="00BF083C">
        <w:t>d’évaluation</w:t>
      </w:r>
      <w:proofErr w:type="spellEnd"/>
      <w:r w:rsidRPr="00BF083C">
        <w:t xml:space="preserve"> </w:t>
      </w:r>
      <w:proofErr w:type="spellStart"/>
      <w:r w:rsidRPr="00BF083C">
        <w:t>nationaux</w:t>
      </w:r>
      <w:proofErr w:type="spellEnd"/>
      <w:r w:rsidRPr="00BF083C">
        <w:t xml:space="preserve"> et de conserver les </w:t>
      </w:r>
      <w:proofErr w:type="spellStart"/>
      <w:r w:rsidRPr="00BF083C">
        <w:t>écosystèmes</w:t>
      </w:r>
      <w:proofErr w:type="spellEnd"/>
      <w:r w:rsidRPr="00BF083C">
        <w:t xml:space="preserve"> et les </w:t>
      </w:r>
      <w:proofErr w:type="spellStart"/>
      <w:r w:rsidRPr="00BF083C">
        <w:t>ressources</w:t>
      </w:r>
      <w:proofErr w:type="spellEnd"/>
      <w:r w:rsidRPr="00BF083C">
        <w:t xml:space="preserve"> </w:t>
      </w:r>
      <w:proofErr w:type="spellStart"/>
      <w:r w:rsidRPr="00BF083C">
        <w:t>essentiels</w:t>
      </w:r>
      <w:proofErr w:type="spellEnd"/>
      <w:r w:rsidRPr="00BF083C">
        <w:t xml:space="preserve"> grâce aux zones marines protégées. Avec </w:t>
      </w:r>
      <w:proofErr w:type="spellStart"/>
      <w:r w:rsidRPr="00BF083C">
        <w:t>une</w:t>
      </w:r>
      <w:proofErr w:type="spellEnd"/>
      <w:r w:rsidRPr="00BF083C">
        <w:t xml:space="preserve"> multitude </w:t>
      </w:r>
      <w:proofErr w:type="spellStart"/>
      <w:r w:rsidRPr="00BF083C">
        <w:t>d’activités</w:t>
      </w:r>
      <w:proofErr w:type="spellEnd"/>
      <w:r w:rsidRPr="00BF083C">
        <w:t xml:space="preserve"> </w:t>
      </w:r>
      <w:proofErr w:type="spellStart"/>
      <w:r w:rsidRPr="00BF083C">
        <w:t>contribuant</w:t>
      </w:r>
      <w:proofErr w:type="spellEnd"/>
      <w:r w:rsidRPr="00BF083C">
        <w:t xml:space="preserve"> à la </w:t>
      </w:r>
      <w:proofErr w:type="spellStart"/>
      <w:r w:rsidRPr="00BF083C">
        <w:t>Décennie</w:t>
      </w:r>
      <w:proofErr w:type="spellEnd"/>
      <w:r w:rsidRPr="00BF083C">
        <w:t xml:space="preserve"> des Nations </w:t>
      </w:r>
      <w:proofErr w:type="spellStart"/>
      <w:r w:rsidRPr="00BF083C">
        <w:t>Unies</w:t>
      </w:r>
      <w:proofErr w:type="spellEnd"/>
      <w:r w:rsidRPr="00BF083C">
        <w:t xml:space="preserve"> pour les sciences </w:t>
      </w:r>
      <w:proofErr w:type="spellStart"/>
      <w:r w:rsidRPr="00BF083C">
        <w:t>océaniques</w:t>
      </w:r>
      <w:proofErr w:type="spellEnd"/>
      <w:r w:rsidRPr="00BF083C">
        <w:t xml:space="preserve"> au service du </w:t>
      </w:r>
      <w:proofErr w:type="spellStart"/>
      <w:r w:rsidRPr="00BF083C">
        <w:t>développement</w:t>
      </w:r>
      <w:proofErr w:type="spellEnd"/>
      <w:r w:rsidRPr="00BF083C">
        <w:t xml:space="preserve"> durable, la COI sera </w:t>
      </w:r>
      <w:proofErr w:type="spellStart"/>
      <w:r w:rsidRPr="00BF083C">
        <w:t>en</w:t>
      </w:r>
      <w:proofErr w:type="spellEnd"/>
      <w:r w:rsidRPr="00BF083C">
        <w:t xml:space="preserve"> </w:t>
      </w:r>
      <w:proofErr w:type="spellStart"/>
      <w:r w:rsidRPr="00BF083C">
        <w:t>mesure</w:t>
      </w:r>
      <w:proofErr w:type="spellEnd"/>
      <w:r w:rsidRPr="00BF083C">
        <w:t xml:space="preserve"> </w:t>
      </w:r>
      <w:proofErr w:type="spellStart"/>
      <w:r w:rsidRPr="00BF083C">
        <w:t>d’informer</w:t>
      </w:r>
      <w:proofErr w:type="spellEnd"/>
      <w:r w:rsidRPr="00BF083C">
        <w:t xml:space="preserve"> </w:t>
      </w:r>
      <w:proofErr w:type="spellStart"/>
      <w:r w:rsidRPr="00BF083C">
        <w:t>ses</w:t>
      </w:r>
      <w:proofErr w:type="spellEnd"/>
      <w:r w:rsidRPr="00BF083C">
        <w:t xml:space="preserve"> </w:t>
      </w:r>
      <w:proofErr w:type="spellStart"/>
      <w:r w:rsidRPr="00BF083C">
        <w:t>États</w:t>
      </w:r>
      <w:proofErr w:type="spellEnd"/>
      <w:r w:rsidRPr="00BF083C">
        <w:t xml:space="preserve"> </w:t>
      </w:r>
      <w:proofErr w:type="spellStart"/>
      <w:r w:rsidRPr="00BF083C">
        <w:t>membres</w:t>
      </w:r>
      <w:proofErr w:type="spellEnd"/>
      <w:r w:rsidRPr="00BF083C">
        <w:t xml:space="preserve"> et la </w:t>
      </w:r>
      <w:proofErr w:type="spellStart"/>
      <w:r w:rsidRPr="00BF083C">
        <w:t>vaste</w:t>
      </w:r>
      <w:proofErr w:type="spellEnd"/>
      <w:r w:rsidRPr="00BF083C">
        <w:t xml:space="preserve"> </w:t>
      </w:r>
      <w:proofErr w:type="spellStart"/>
      <w:r w:rsidRPr="00BF083C">
        <w:t>communauté</w:t>
      </w:r>
      <w:proofErr w:type="spellEnd"/>
      <w:r w:rsidRPr="00BF083C">
        <w:t xml:space="preserve"> des parties </w:t>
      </w:r>
      <w:proofErr w:type="spellStart"/>
      <w:r w:rsidRPr="00BF083C">
        <w:t>prenantes</w:t>
      </w:r>
      <w:proofErr w:type="spellEnd"/>
      <w:r w:rsidRPr="00BF083C">
        <w:t xml:space="preserve"> au </w:t>
      </w:r>
      <w:proofErr w:type="spellStart"/>
      <w:r w:rsidRPr="00BF083C">
        <w:t>sujet</w:t>
      </w:r>
      <w:proofErr w:type="spellEnd"/>
      <w:r w:rsidRPr="00BF083C">
        <w:t xml:space="preserve"> de </w:t>
      </w:r>
      <w:proofErr w:type="spellStart"/>
      <w:r w:rsidRPr="00BF083C">
        <w:t>l’état</w:t>
      </w:r>
      <w:proofErr w:type="spellEnd"/>
      <w:r w:rsidRPr="00BF083C">
        <w:t xml:space="preserve"> de </w:t>
      </w:r>
      <w:proofErr w:type="spellStart"/>
      <w:r w:rsidRPr="00BF083C">
        <w:t>l’océan</w:t>
      </w:r>
      <w:proofErr w:type="spellEnd"/>
      <w:r w:rsidRPr="00BF083C">
        <w:t xml:space="preserve"> et de </w:t>
      </w:r>
      <w:proofErr w:type="spellStart"/>
      <w:r w:rsidRPr="00BF083C">
        <w:t>suivre</w:t>
      </w:r>
      <w:proofErr w:type="spellEnd"/>
      <w:r w:rsidRPr="00BF083C">
        <w:t xml:space="preserve"> les </w:t>
      </w:r>
      <w:proofErr w:type="spellStart"/>
      <w:r w:rsidRPr="00BF083C">
        <w:t>progrès</w:t>
      </w:r>
      <w:proofErr w:type="spellEnd"/>
      <w:r w:rsidRPr="00BF083C">
        <w:t xml:space="preserve"> </w:t>
      </w:r>
      <w:proofErr w:type="spellStart"/>
      <w:r w:rsidRPr="00BF083C">
        <w:t>accomplis</w:t>
      </w:r>
      <w:proofErr w:type="spellEnd"/>
      <w:r w:rsidRPr="00BF083C">
        <w:t xml:space="preserve"> dans la </w:t>
      </w:r>
      <w:proofErr w:type="spellStart"/>
      <w:r w:rsidRPr="00BF083C">
        <w:t>réalisation</w:t>
      </w:r>
      <w:proofErr w:type="spellEnd"/>
      <w:r w:rsidRPr="00BF083C">
        <w:t xml:space="preserve"> des </w:t>
      </w:r>
      <w:proofErr w:type="spellStart"/>
      <w:r w:rsidRPr="00BF083C">
        <w:t>objectifs</w:t>
      </w:r>
      <w:proofErr w:type="spellEnd"/>
      <w:r w:rsidRPr="00BF083C">
        <w:t xml:space="preserve"> de la </w:t>
      </w:r>
      <w:proofErr w:type="spellStart"/>
      <w:r w:rsidRPr="00BF083C">
        <w:t>Décennie</w:t>
      </w:r>
      <w:proofErr w:type="spellEnd"/>
      <w:r w:rsidRPr="00BF083C">
        <w:t xml:space="preserve"> par le </w:t>
      </w:r>
      <w:proofErr w:type="spellStart"/>
      <w:r w:rsidRPr="00BF083C">
        <w:t>biais</w:t>
      </w:r>
      <w:proofErr w:type="spellEnd"/>
      <w:r w:rsidRPr="00BF083C">
        <w:t xml:space="preserve"> </w:t>
      </w:r>
      <w:proofErr w:type="spellStart"/>
      <w:r w:rsidRPr="00BF083C">
        <w:t>d’une</w:t>
      </w:r>
      <w:proofErr w:type="spellEnd"/>
      <w:r w:rsidRPr="00BF083C">
        <w:t xml:space="preserve"> nouvelle publication phare, le « Rapport sur </w:t>
      </w:r>
      <w:proofErr w:type="spellStart"/>
      <w:r w:rsidRPr="00BF083C">
        <w:t>l’état</w:t>
      </w:r>
      <w:proofErr w:type="spellEnd"/>
      <w:r w:rsidRPr="00BF083C">
        <w:t xml:space="preserve"> de </w:t>
      </w:r>
      <w:proofErr w:type="spellStart"/>
      <w:r w:rsidRPr="00BF083C">
        <w:t>l’océan</w:t>
      </w:r>
      <w:proofErr w:type="spellEnd"/>
      <w:r w:rsidRPr="00BF083C">
        <w:t>».</w:t>
      </w:r>
    </w:p>
    <w:p w14:paraId="49328546" w14:textId="656C4926" w:rsidR="00427F27" w:rsidRPr="00BF083C" w:rsidRDefault="00427F27" w:rsidP="00427F27">
      <w:pPr>
        <w:pStyle w:val="Marge"/>
        <w:tabs>
          <w:tab w:val="clear" w:pos="567"/>
          <w:tab w:val="left" w:pos="1162"/>
        </w:tabs>
        <w:spacing w:line="240" w:lineRule="auto"/>
      </w:pPr>
      <w:r w:rsidRPr="00BF083C">
        <w:rPr>
          <w:bdr w:val="single" w:sz="4" w:space="0" w:color="auto"/>
        </w:rPr>
        <w:t>03008</w:t>
      </w:r>
      <w:r w:rsidRPr="00BF083C">
        <w:tab/>
        <w:t xml:space="preserve">La COI </w:t>
      </w:r>
      <w:proofErr w:type="spellStart"/>
      <w:r w:rsidRPr="00BF083C">
        <w:t>accordera</w:t>
      </w:r>
      <w:proofErr w:type="spellEnd"/>
      <w:r w:rsidRPr="00BF083C">
        <w:t xml:space="preserve"> </w:t>
      </w:r>
      <w:proofErr w:type="spellStart"/>
      <w:r w:rsidRPr="00BF083C">
        <w:t>une</w:t>
      </w:r>
      <w:proofErr w:type="spellEnd"/>
      <w:r w:rsidRPr="00BF083C">
        <w:t xml:space="preserve"> attention </w:t>
      </w:r>
      <w:proofErr w:type="spellStart"/>
      <w:r w:rsidRPr="00BF083C">
        <w:t>particulière</w:t>
      </w:r>
      <w:proofErr w:type="spellEnd"/>
      <w:r w:rsidRPr="00BF083C">
        <w:t xml:space="preserve"> au </w:t>
      </w:r>
      <w:proofErr w:type="spellStart"/>
      <w:r w:rsidRPr="00BF083C">
        <w:t>renforcement</w:t>
      </w:r>
      <w:proofErr w:type="spellEnd"/>
      <w:r w:rsidRPr="00BF083C">
        <w:t xml:space="preserve"> de son impact </w:t>
      </w:r>
      <w:proofErr w:type="spellStart"/>
      <w:r w:rsidRPr="00BF083C">
        <w:t>régional</w:t>
      </w:r>
      <w:proofErr w:type="spellEnd"/>
      <w:r w:rsidRPr="00BF083C">
        <w:t xml:space="preserve">, national et local. Au </w:t>
      </w:r>
      <w:proofErr w:type="spellStart"/>
      <w:r w:rsidRPr="00BF083C">
        <w:t>niveau</w:t>
      </w:r>
      <w:proofErr w:type="spellEnd"/>
      <w:r w:rsidRPr="00BF083C">
        <w:t xml:space="preserve"> </w:t>
      </w:r>
      <w:proofErr w:type="spellStart"/>
      <w:r w:rsidRPr="00BF083C">
        <w:t>régional</w:t>
      </w:r>
      <w:proofErr w:type="spellEnd"/>
      <w:r w:rsidRPr="00BF083C">
        <w:t xml:space="preserve">, la Commission </w:t>
      </w:r>
      <w:proofErr w:type="spellStart"/>
      <w:r w:rsidRPr="00BF083C">
        <w:t>continuera</w:t>
      </w:r>
      <w:proofErr w:type="spellEnd"/>
      <w:r w:rsidRPr="00BF083C">
        <w:t xml:space="preserve"> de </w:t>
      </w:r>
      <w:proofErr w:type="spellStart"/>
      <w:r w:rsidRPr="00BF083C">
        <w:t>développer</w:t>
      </w:r>
      <w:proofErr w:type="spellEnd"/>
      <w:r w:rsidRPr="00BF083C">
        <w:t xml:space="preserve"> </w:t>
      </w:r>
      <w:proofErr w:type="spellStart"/>
      <w:r w:rsidRPr="00BF083C">
        <w:t>ses</w:t>
      </w:r>
      <w:proofErr w:type="spellEnd"/>
      <w:r w:rsidRPr="00BF083C">
        <w:t xml:space="preserve"> </w:t>
      </w:r>
      <w:proofErr w:type="spellStart"/>
      <w:r w:rsidRPr="00BF083C">
        <w:t>organes</w:t>
      </w:r>
      <w:proofErr w:type="spellEnd"/>
      <w:r w:rsidRPr="00BF083C">
        <w:t xml:space="preserve"> </w:t>
      </w:r>
      <w:proofErr w:type="spellStart"/>
      <w:r w:rsidRPr="00BF083C">
        <w:t>subsidiaires</w:t>
      </w:r>
      <w:proofErr w:type="spellEnd"/>
      <w:r w:rsidRPr="00BF083C">
        <w:t xml:space="preserve"> </w:t>
      </w:r>
      <w:proofErr w:type="spellStart"/>
      <w:r w:rsidRPr="00BF083C">
        <w:t>régionaux</w:t>
      </w:r>
      <w:proofErr w:type="spellEnd"/>
      <w:r w:rsidRPr="00BF083C">
        <w:t xml:space="preserve"> </w:t>
      </w:r>
      <w:proofErr w:type="spellStart"/>
      <w:r w:rsidRPr="00BF083C">
        <w:t>en</w:t>
      </w:r>
      <w:proofErr w:type="spellEnd"/>
      <w:r w:rsidRPr="00BF083C">
        <w:t xml:space="preserve"> </w:t>
      </w:r>
      <w:proofErr w:type="spellStart"/>
      <w:r w:rsidRPr="00BF083C">
        <w:t>s’attachant</w:t>
      </w:r>
      <w:proofErr w:type="spellEnd"/>
      <w:r w:rsidRPr="00BF083C">
        <w:t xml:space="preserve"> à </w:t>
      </w:r>
      <w:proofErr w:type="spellStart"/>
      <w:r w:rsidRPr="00BF083C">
        <w:t>en</w:t>
      </w:r>
      <w:proofErr w:type="spellEnd"/>
      <w:r w:rsidRPr="00BF083C">
        <w:t xml:space="preserve"> faire des agents </w:t>
      </w:r>
      <w:proofErr w:type="spellStart"/>
      <w:r w:rsidRPr="00BF083C">
        <w:t>efficaces</w:t>
      </w:r>
      <w:proofErr w:type="spellEnd"/>
      <w:r w:rsidRPr="00BF083C">
        <w:t xml:space="preserve"> de la promotion des sciences les organisations </w:t>
      </w:r>
      <w:proofErr w:type="spellStart"/>
      <w:r w:rsidRPr="00BF083C">
        <w:t>régionales</w:t>
      </w:r>
      <w:proofErr w:type="spellEnd"/>
      <w:r w:rsidRPr="00BF083C">
        <w:t xml:space="preserve"> et les </w:t>
      </w:r>
      <w:proofErr w:type="spellStart"/>
      <w:r w:rsidRPr="00BF083C">
        <w:t>organes</w:t>
      </w:r>
      <w:proofErr w:type="spellEnd"/>
      <w:r w:rsidRPr="00BF083C">
        <w:t xml:space="preserve"> </w:t>
      </w:r>
      <w:proofErr w:type="spellStart"/>
      <w:r w:rsidRPr="00BF083C">
        <w:t>subsidiaires</w:t>
      </w:r>
      <w:proofErr w:type="spellEnd"/>
      <w:r w:rsidRPr="00BF083C">
        <w:t xml:space="preserve"> des organisations </w:t>
      </w:r>
      <w:proofErr w:type="spellStart"/>
      <w:r w:rsidRPr="00BF083C">
        <w:t>partenaires</w:t>
      </w:r>
      <w:proofErr w:type="spellEnd"/>
      <w:r w:rsidRPr="00BF083C">
        <w:t xml:space="preserve">, </w:t>
      </w:r>
      <w:proofErr w:type="spellStart"/>
      <w:r w:rsidRPr="00BF083C">
        <w:t>permettant</w:t>
      </w:r>
      <w:proofErr w:type="spellEnd"/>
      <w:r w:rsidRPr="00BF083C">
        <w:t xml:space="preserve"> de disposer de </w:t>
      </w:r>
      <w:proofErr w:type="spellStart"/>
      <w:r w:rsidRPr="00BF083C">
        <w:t>données</w:t>
      </w:r>
      <w:proofErr w:type="spellEnd"/>
      <w:r w:rsidRPr="00BF083C">
        <w:t xml:space="preserve"> et </w:t>
      </w:r>
      <w:proofErr w:type="spellStart"/>
      <w:r w:rsidRPr="00BF083C">
        <w:t>d’informations</w:t>
      </w:r>
      <w:proofErr w:type="spellEnd"/>
      <w:r w:rsidRPr="00BF083C">
        <w:t xml:space="preserve"> </w:t>
      </w:r>
      <w:proofErr w:type="spellStart"/>
      <w:r w:rsidRPr="00BF083C">
        <w:t>océanographiques</w:t>
      </w:r>
      <w:proofErr w:type="spellEnd"/>
      <w:r w:rsidRPr="00BF083C">
        <w:t xml:space="preserve"> plus ouvertes et </w:t>
      </w:r>
      <w:proofErr w:type="spellStart"/>
      <w:r w:rsidRPr="00BF083C">
        <w:t>accessibles</w:t>
      </w:r>
      <w:proofErr w:type="spellEnd"/>
      <w:r w:rsidRPr="00BF083C">
        <w:t xml:space="preserve">, </w:t>
      </w:r>
      <w:proofErr w:type="spellStart"/>
      <w:r w:rsidRPr="00BF083C">
        <w:t>contribuera</w:t>
      </w:r>
      <w:proofErr w:type="spellEnd"/>
      <w:r w:rsidRPr="00BF083C">
        <w:t xml:space="preserve"> à </w:t>
      </w:r>
      <w:proofErr w:type="spellStart"/>
      <w:r w:rsidRPr="00BF083C">
        <w:t>répondre</w:t>
      </w:r>
      <w:proofErr w:type="spellEnd"/>
      <w:r w:rsidRPr="00BF083C">
        <w:t xml:space="preserve"> aux </w:t>
      </w:r>
      <w:proofErr w:type="spellStart"/>
      <w:r w:rsidRPr="00BF083C">
        <w:t>besoins</w:t>
      </w:r>
      <w:proofErr w:type="spellEnd"/>
      <w:r w:rsidRPr="00BF083C">
        <w:t xml:space="preserve"> </w:t>
      </w:r>
      <w:proofErr w:type="spellStart"/>
      <w:r w:rsidRPr="00BF083C">
        <w:t>liés</w:t>
      </w:r>
      <w:proofErr w:type="spellEnd"/>
      <w:r w:rsidRPr="00BF083C">
        <w:t xml:space="preserve"> aux </w:t>
      </w:r>
      <w:proofErr w:type="spellStart"/>
      <w:r w:rsidRPr="00BF083C">
        <w:t>océans</w:t>
      </w:r>
      <w:proofErr w:type="spellEnd"/>
      <w:r w:rsidRPr="00BF083C">
        <w:t xml:space="preserve"> des pays et des </w:t>
      </w:r>
      <w:proofErr w:type="spellStart"/>
      <w:r w:rsidRPr="00BF083C">
        <w:t>communautés</w:t>
      </w:r>
      <w:proofErr w:type="spellEnd"/>
      <w:r w:rsidRPr="00BF083C">
        <w:t xml:space="preserve"> locales.</w:t>
      </w:r>
    </w:p>
    <w:p w14:paraId="398D02AE" w14:textId="076C3947" w:rsidR="00427F27" w:rsidRPr="00BF083C" w:rsidRDefault="00427F27" w:rsidP="00427F27">
      <w:pPr>
        <w:pStyle w:val="Marge"/>
        <w:tabs>
          <w:tab w:val="clear" w:pos="567"/>
          <w:tab w:val="left" w:pos="1162"/>
        </w:tabs>
        <w:spacing w:line="240" w:lineRule="auto"/>
      </w:pPr>
      <w:r w:rsidRPr="00BF083C">
        <w:rPr>
          <w:bdr w:val="single" w:sz="4" w:space="0" w:color="auto"/>
        </w:rPr>
        <w:t>03009</w:t>
      </w:r>
      <w:r w:rsidRPr="00BF083C">
        <w:tab/>
        <w:t xml:space="preserve">Le </w:t>
      </w:r>
      <w:proofErr w:type="spellStart"/>
      <w:r w:rsidRPr="00BF083C">
        <w:t>développement</w:t>
      </w:r>
      <w:proofErr w:type="spellEnd"/>
      <w:r w:rsidRPr="00BF083C">
        <w:t xml:space="preserve"> des </w:t>
      </w:r>
      <w:proofErr w:type="spellStart"/>
      <w:r w:rsidRPr="00BF083C">
        <w:t>capacités</w:t>
      </w:r>
      <w:proofErr w:type="spellEnd"/>
      <w:r w:rsidRPr="00BF083C">
        <w:t xml:space="preserve"> </w:t>
      </w:r>
      <w:proofErr w:type="spellStart"/>
      <w:r w:rsidRPr="00BF083C">
        <w:t>restera</w:t>
      </w:r>
      <w:proofErr w:type="spellEnd"/>
      <w:r w:rsidRPr="00BF083C">
        <w:t xml:space="preserve"> </w:t>
      </w:r>
      <w:proofErr w:type="spellStart"/>
      <w:r w:rsidRPr="00BF083C">
        <w:t>une</w:t>
      </w:r>
      <w:proofErr w:type="spellEnd"/>
      <w:r w:rsidRPr="00BF083C">
        <w:t xml:space="preserve"> </w:t>
      </w:r>
      <w:proofErr w:type="spellStart"/>
      <w:r w:rsidRPr="00BF083C">
        <w:t>activité</w:t>
      </w:r>
      <w:proofErr w:type="spellEnd"/>
      <w:r w:rsidRPr="00BF083C">
        <w:t xml:space="preserve"> </w:t>
      </w:r>
      <w:proofErr w:type="spellStart"/>
      <w:r w:rsidRPr="00BF083C">
        <w:t>clé</w:t>
      </w:r>
      <w:proofErr w:type="spellEnd"/>
      <w:r w:rsidRPr="00BF083C">
        <w:t xml:space="preserve"> de la COI. Afin de </w:t>
      </w:r>
      <w:proofErr w:type="spellStart"/>
      <w:r w:rsidRPr="00BF083C">
        <w:t>créer</w:t>
      </w:r>
      <w:proofErr w:type="spellEnd"/>
      <w:r w:rsidRPr="00BF083C">
        <w:t xml:space="preserve"> les conditions de relations plus </w:t>
      </w:r>
      <w:proofErr w:type="spellStart"/>
      <w:r w:rsidRPr="00BF083C">
        <w:t>harmonieuses</w:t>
      </w:r>
      <w:proofErr w:type="spellEnd"/>
      <w:r w:rsidRPr="00BF083C">
        <w:t xml:space="preserve"> entre les </w:t>
      </w:r>
      <w:proofErr w:type="spellStart"/>
      <w:r w:rsidRPr="00BF083C">
        <w:t>êtres</w:t>
      </w:r>
      <w:proofErr w:type="spellEnd"/>
      <w:r w:rsidRPr="00BF083C">
        <w:t xml:space="preserve"> </w:t>
      </w:r>
      <w:proofErr w:type="spellStart"/>
      <w:r w:rsidRPr="00BF083C">
        <w:t>humains</w:t>
      </w:r>
      <w:proofErr w:type="spellEnd"/>
      <w:r w:rsidRPr="00BF083C">
        <w:t xml:space="preserve"> et </w:t>
      </w:r>
      <w:proofErr w:type="spellStart"/>
      <w:r w:rsidRPr="00BF083C">
        <w:t>l’océan</w:t>
      </w:r>
      <w:proofErr w:type="spellEnd"/>
      <w:r w:rsidRPr="00BF083C">
        <w:t xml:space="preserve">, la COI </w:t>
      </w:r>
      <w:proofErr w:type="spellStart"/>
      <w:r w:rsidRPr="00BF083C">
        <w:t>continuera</w:t>
      </w:r>
      <w:proofErr w:type="spellEnd"/>
      <w:r w:rsidRPr="00BF083C">
        <w:t xml:space="preserve"> de </w:t>
      </w:r>
      <w:proofErr w:type="spellStart"/>
      <w:r w:rsidRPr="00BF083C">
        <w:t>mener</w:t>
      </w:r>
      <w:proofErr w:type="spellEnd"/>
      <w:r w:rsidRPr="00BF083C">
        <w:t xml:space="preserve"> des </w:t>
      </w:r>
      <w:proofErr w:type="spellStart"/>
      <w:r w:rsidRPr="00BF083C">
        <w:t>activités</w:t>
      </w:r>
      <w:proofErr w:type="spellEnd"/>
      <w:r w:rsidRPr="00BF083C">
        <w:t xml:space="preserve"> </w:t>
      </w:r>
      <w:proofErr w:type="spellStart"/>
      <w:r w:rsidRPr="00BF083C">
        <w:t>d’initiation</w:t>
      </w:r>
      <w:proofErr w:type="spellEnd"/>
      <w:r w:rsidRPr="00BF083C">
        <w:t xml:space="preserve"> à </w:t>
      </w:r>
      <w:proofErr w:type="spellStart"/>
      <w:r w:rsidRPr="00BF083C">
        <w:t>l’océan</w:t>
      </w:r>
      <w:proofErr w:type="spellEnd"/>
      <w:r w:rsidRPr="00BF083C">
        <w:t xml:space="preserve">, de </w:t>
      </w:r>
      <w:proofErr w:type="spellStart"/>
      <w:r w:rsidRPr="00BF083C">
        <w:t>développer</w:t>
      </w:r>
      <w:proofErr w:type="spellEnd"/>
      <w:r w:rsidRPr="00BF083C">
        <w:t xml:space="preserve"> </w:t>
      </w:r>
      <w:proofErr w:type="spellStart"/>
      <w:r w:rsidRPr="00BF083C">
        <w:t>ses</w:t>
      </w:r>
      <w:proofErr w:type="spellEnd"/>
      <w:r w:rsidRPr="00BF083C">
        <w:t xml:space="preserve"> </w:t>
      </w:r>
      <w:proofErr w:type="spellStart"/>
      <w:r w:rsidRPr="00BF083C">
        <w:t>activités</w:t>
      </w:r>
      <w:proofErr w:type="spellEnd"/>
      <w:r w:rsidRPr="00BF083C">
        <w:t xml:space="preserve"> de communication </w:t>
      </w:r>
      <w:proofErr w:type="spellStart"/>
      <w:r w:rsidRPr="00BF083C">
        <w:t>innovantes</w:t>
      </w:r>
      <w:proofErr w:type="spellEnd"/>
      <w:r w:rsidRPr="00BF083C">
        <w:t xml:space="preserve"> </w:t>
      </w:r>
      <w:proofErr w:type="spellStart"/>
      <w:r w:rsidRPr="00BF083C">
        <w:t>ciblant</w:t>
      </w:r>
      <w:proofErr w:type="spellEnd"/>
      <w:r w:rsidRPr="00BF083C">
        <w:t xml:space="preserve"> de larges </w:t>
      </w:r>
      <w:proofErr w:type="spellStart"/>
      <w:r w:rsidRPr="00BF083C">
        <w:t>catégories</w:t>
      </w:r>
      <w:proofErr w:type="spellEnd"/>
      <w:r w:rsidRPr="00BF083C">
        <w:t xml:space="preserve"> de parties </w:t>
      </w:r>
      <w:proofErr w:type="spellStart"/>
      <w:r w:rsidRPr="00BF083C">
        <w:t>prenantes</w:t>
      </w:r>
      <w:proofErr w:type="spellEnd"/>
      <w:r w:rsidRPr="00BF083C">
        <w:t xml:space="preserve">, </w:t>
      </w:r>
      <w:proofErr w:type="spellStart"/>
      <w:r w:rsidRPr="00BF083C">
        <w:t>d’améliorer</w:t>
      </w:r>
      <w:proofErr w:type="spellEnd"/>
      <w:r w:rsidRPr="00BF083C">
        <w:t xml:space="preserve"> son dialogue avec les </w:t>
      </w:r>
      <w:proofErr w:type="spellStart"/>
      <w:r w:rsidRPr="00BF083C">
        <w:t>détenteurs</w:t>
      </w:r>
      <w:proofErr w:type="spellEnd"/>
      <w:r w:rsidRPr="00BF083C">
        <w:t xml:space="preserve"> de </w:t>
      </w:r>
      <w:proofErr w:type="spellStart"/>
      <w:r w:rsidRPr="00BF083C">
        <w:t>savoirs</w:t>
      </w:r>
      <w:proofErr w:type="spellEnd"/>
      <w:r w:rsidRPr="00BF083C">
        <w:t xml:space="preserve"> </w:t>
      </w:r>
      <w:proofErr w:type="spellStart"/>
      <w:r w:rsidRPr="00BF083C">
        <w:t>autochtones</w:t>
      </w:r>
      <w:proofErr w:type="spellEnd"/>
      <w:r w:rsidRPr="00BF083C">
        <w:t xml:space="preserve"> et de </w:t>
      </w:r>
      <w:proofErr w:type="spellStart"/>
      <w:r w:rsidRPr="00BF083C">
        <w:t>renforcer</w:t>
      </w:r>
      <w:proofErr w:type="spellEnd"/>
      <w:r w:rsidRPr="00BF083C">
        <w:t xml:space="preserve"> </w:t>
      </w:r>
      <w:proofErr w:type="spellStart"/>
      <w:r w:rsidRPr="00BF083C">
        <w:t>l’engagement</w:t>
      </w:r>
      <w:proofErr w:type="spellEnd"/>
      <w:r w:rsidRPr="00BF083C">
        <w:t xml:space="preserve"> et la participation des </w:t>
      </w:r>
      <w:proofErr w:type="spellStart"/>
      <w:r w:rsidRPr="00BF083C">
        <w:t>jeunes</w:t>
      </w:r>
      <w:proofErr w:type="spellEnd"/>
      <w:r w:rsidRPr="00BF083C">
        <w:t>.</w:t>
      </w:r>
    </w:p>
    <w:p w14:paraId="2F24F43E" w14:textId="5CD5BBD0" w:rsidR="00427F27" w:rsidRPr="00BF083C" w:rsidRDefault="00427F27" w:rsidP="00427F27">
      <w:pPr>
        <w:pStyle w:val="Marge"/>
        <w:tabs>
          <w:tab w:val="clear" w:pos="567"/>
          <w:tab w:val="left" w:pos="1162"/>
        </w:tabs>
        <w:spacing w:line="240" w:lineRule="auto"/>
      </w:pPr>
      <w:r w:rsidRPr="00BF083C">
        <w:rPr>
          <w:bdr w:val="single" w:sz="4" w:space="0" w:color="auto"/>
        </w:rPr>
        <w:t>03010</w:t>
      </w:r>
      <w:r w:rsidRPr="00BF083C">
        <w:tab/>
        <w:t xml:space="preserve">La mobilisation active de  </w:t>
      </w:r>
      <w:proofErr w:type="spellStart"/>
      <w:r w:rsidRPr="00BF083C">
        <w:t>ressources</w:t>
      </w:r>
      <w:proofErr w:type="spellEnd"/>
      <w:r w:rsidRPr="00BF083C">
        <w:t xml:space="preserve"> </w:t>
      </w:r>
      <w:proofErr w:type="spellStart"/>
      <w:r w:rsidRPr="00BF083C">
        <w:t>extrabudgétaires</w:t>
      </w:r>
      <w:proofErr w:type="spellEnd"/>
      <w:r w:rsidRPr="00BF083C">
        <w:t xml:space="preserve"> (</w:t>
      </w:r>
      <w:proofErr w:type="spellStart"/>
      <w:r w:rsidRPr="00BF083C">
        <w:t>financières</w:t>
      </w:r>
      <w:proofErr w:type="spellEnd"/>
      <w:r w:rsidRPr="00BF083C">
        <w:t xml:space="preserve"> et  </w:t>
      </w:r>
      <w:proofErr w:type="spellStart"/>
      <w:r w:rsidRPr="00BF083C">
        <w:t>humaines</w:t>
      </w:r>
      <w:proofErr w:type="spellEnd"/>
      <w:r w:rsidRPr="00BF083C">
        <w:t xml:space="preserve">) sera </w:t>
      </w:r>
      <w:proofErr w:type="spellStart"/>
      <w:r w:rsidRPr="00BF083C">
        <w:t>poursuivie</w:t>
      </w:r>
      <w:proofErr w:type="spellEnd"/>
      <w:r w:rsidRPr="00BF083C">
        <w:t xml:space="preserve"> et </w:t>
      </w:r>
      <w:proofErr w:type="spellStart"/>
      <w:r w:rsidRPr="00BF083C">
        <w:t>étendue</w:t>
      </w:r>
      <w:proofErr w:type="spellEnd"/>
      <w:r w:rsidRPr="00BF083C">
        <w:t xml:space="preserve">. La </w:t>
      </w:r>
      <w:proofErr w:type="spellStart"/>
      <w:r w:rsidRPr="00BF083C">
        <w:t>visibilité</w:t>
      </w:r>
      <w:proofErr w:type="spellEnd"/>
      <w:r w:rsidRPr="00BF083C">
        <w:t xml:space="preserve"> et le leadership acquis par la COI dans les dimensions du programme de </w:t>
      </w:r>
      <w:proofErr w:type="spellStart"/>
      <w:r w:rsidRPr="00BF083C">
        <w:t>développement</w:t>
      </w:r>
      <w:proofErr w:type="spellEnd"/>
      <w:r w:rsidRPr="00BF083C">
        <w:t xml:space="preserve"> durable qui </w:t>
      </w:r>
      <w:proofErr w:type="spellStart"/>
      <w:r w:rsidRPr="00BF083C">
        <w:t>concernent</w:t>
      </w:r>
      <w:proofErr w:type="spellEnd"/>
      <w:r w:rsidRPr="00BF083C">
        <w:t xml:space="preserve"> les sciences </w:t>
      </w:r>
      <w:proofErr w:type="spellStart"/>
      <w:r w:rsidRPr="00BF083C">
        <w:t>océaniques</w:t>
      </w:r>
      <w:proofErr w:type="spellEnd"/>
      <w:r w:rsidRPr="00BF083C">
        <w:t xml:space="preserve">, </w:t>
      </w:r>
      <w:proofErr w:type="spellStart"/>
      <w:r w:rsidRPr="00BF083C">
        <w:t>renforcées</w:t>
      </w:r>
      <w:proofErr w:type="spellEnd"/>
      <w:r w:rsidRPr="00BF083C">
        <w:t xml:space="preserve"> par le </w:t>
      </w:r>
      <w:proofErr w:type="spellStart"/>
      <w:r w:rsidRPr="00BF083C">
        <w:lastRenderedPageBreak/>
        <w:t>professionnalisme</w:t>
      </w:r>
      <w:proofErr w:type="spellEnd"/>
      <w:r w:rsidRPr="00BF083C">
        <w:t xml:space="preserve"> et </w:t>
      </w:r>
      <w:proofErr w:type="spellStart"/>
      <w:r w:rsidRPr="00BF083C">
        <w:t>l’énergie</w:t>
      </w:r>
      <w:proofErr w:type="spellEnd"/>
      <w:r w:rsidRPr="00BF083C">
        <w:t xml:space="preserve"> de son personnel, </w:t>
      </w:r>
      <w:proofErr w:type="spellStart"/>
      <w:r w:rsidRPr="00BF083C">
        <w:t>offrent</w:t>
      </w:r>
      <w:proofErr w:type="spellEnd"/>
      <w:r w:rsidRPr="00BF083C">
        <w:t xml:space="preserve"> des </w:t>
      </w:r>
      <w:proofErr w:type="spellStart"/>
      <w:r w:rsidRPr="00BF083C">
        <w:t>possibilités</w:t>
      </w:r>
      <w:proofErr w:type="spellEnd"/>
      <w:r w:rsidRPr="00BF083C">
        <w:t xml:space="preserve"> accrues de lever des fonds. </w:t>
      </w:r>
      <w:proofErr w:type="spellStart"/>
      <w:r w:rsidRPr="00BF083C">
        <w:t>Même</w:t>
      </w:r>
      <w:proofErr w:type="spellEnd"/>
      <w:r w:rsidRPr="00BF083C">
        <w:t xml:space="preserve"> </w:t>
      </w:r>
      <w:proofErr w:type="spellStart"/>
      <w:r w:rsidRPr="00BF083C">
        <w:t>si</w:t>
      </w:r>
      <w:proofErr w:type="spellEnd"/>
      <w:r w:rsidRPr="00BF083C">
        <w:t xml:space="preserve"> tout </w:t>
      </w:r>
      <w:proofErr w:type="spellStart"/>
      <w:r w:rsidRPr="00BF083C">
        <w:t>continuera</w:t>
      </w:r>
      <w:proofErr w:type="spellEnd"/>
      <w:r w:rsidRPr="00BF083C">
        <w:t xml:space="preserve"> d’être mis </w:t>
      </w:r>
      <w:proofErr w:type="spellStart"/>
      <w:r w:rsidRPr="00BF083C">
        <w:t>en</w:t>
      </w:r>
      <w:proofErr w:type="spellEnd"/>
      <w:r w:rsidRPr="00BF083C">
        <w:t xml:space="preserve"> </w:t>
      </w:r>
      <w:proofErr w:type="spellStart"/>
      <w:r w:rsidRPr="00BF083C">
        <w:t>œuvre</w:t>
      </w:r>
      <w:proofErr w:type="spellEnd"/>
      <w:r w:rsidRPr="00BF083C">
        <w:t xml:space="preserve"> pour </w:t>
      </w:r>
      <w:proofErr w:type="spellStart"/>
      <w:r w:rsidRPr="00BF083C">
        <w:t>élargir</w:t>
      </w:r>
      <w:proofErr w:type="spellEnd"/>
      <w:r w:rsidRPr="00BF083C">
        <w:t xml:space="preserve"> la </w:t>
      </w:r>
      <w:proofErr w:type="spellStart"/>
      <w:r w:rsidRPr="00BF083C">
        <w:t>portée</w:t>
      </w:r>
      <w:proofErr w:type="spellEnd"/>
      <w:r w:rsidRPr="00BF083C">
        <w:t xml:space="preserve"> et les </w:t>
      </w:r>
      <w:proofErr w:type="spellStart"/>
      <w:r w:rsidRPr="00BF083C">
        <w:t>partenariats</w:t>
      </w:r>
      <w:proofErr w:type="spellEnd"/>
      <w:r w:rsidRPr="00BF083C">
        <w:t xml:space="preserve">, le </w:t>
      </w:r>
      <w:proofErr w:type="spellStart"/>
      <w:r w:rsidRPr="00BF083C">
        <w:t>soutien</w:t>
      </w:r>
      <w:proofErr w:type="spellEnd"/>
      <w:r w:rsidRPr="00BF083C">
        <w:t xml:space="preserve"> des </w:t>
      </w:r>
      <w:proofErr w:type="spellStart"/>
      <w:r w:rsidRPr="00BF083C">
        <w:t>États</w:t>
      </w:r>
      <w:proofErr w:type="spellEnd"/>
      <w:r w:rsidRPr="00BF083C">
        <w:t xml:space="preserve"> </w:t>
      </w:r>
      <w:proofErr w:type="spellStart"/>
      <w:r w:rsidRPr="00BF083C">
        <w:t>membres</w:t>
      </w:r>
      <w:proofErr w:type="spellEnd"/>
      <w:r w:rsidRPr="00BF083C">
        <w:t xml:space="preserve"> </w:t>
      </w:r>
      <w:proofErr w:type="spellStart"/>
      <w:r w:rsidRPr="00BF083C">
        <w:t>restera</w:t>
      </w:r>
      <w:proofErr w:type="spellEnd"/>
      <w:r w:rsidRPr="00BF083C">
        <w:t xml:space="preserve"> </w:t>
      </w:r>
      <w:proofErr w:type="spellStart"/>
      <w:r w:rsidRPr="00BF083C">
        <w:t>essentiel</w:t>
      </w:r>
      <w:proofErr w:type="spellEnd"/>
      <w:r w:rsidRPr="00BF083C">
        <w:t xml:space="preserve"> pour assurer les </w:t>
      </w:r>
      <w:proofErr w:type="spellStart"/>
      <w:r w:rsidRPr="00BF083C">
        <w:t>niveaux</w:t>
      </w:r>
      <w:proofErr w:type="spellEnd"/>
      <w:r w:rsidRPr="00BF083C">
        <w:t xml:space="preserve"> de </w:t>
      </w:r>
      <w:proofErr w:type="spellStart"/>
      <w:r w:rsidRPr="00BF083C">
        <w:t>ressources</w:t>
      </w:r>
      <w:proofErr w:type="spellEnd"/>
      <w:r w:rsidRPr="00BF083C">
        <w:t xml:space="preserve"> </w:t>
      </w:r>
      <w:proofErr w:type="spellStart"/>
      <w:r w:rsidRPr="00BF083C">
        <w:t>permettant</w:t>
      </w:r>
      <w:proofErr w:type="spellEnd"/>
      <w:r w:rsidRPr="00BF083C">
        <w:t xml:space="preserve"> de </w:t>
      </w:r>
      <w:proofErr w:type="spellStart"/>
      <w:r w:rsidRPr="00BF083C">
        <w:t>fournir</w:t>
      </w:r>
      <w:proofErr w:type="spellEnd"/>
      <w:r w:rsidRPr="00BF083C">
        <w:t xml:space="preserve"> les solutions </w:t>
      </w:r>
      <w:proofErr w:type="spellStart"/>
      <w:r w:rsidRPr="00BF083C">
        <w:t>basées</w:t>
      </w:r>
      <w:proofErr w:type="spellEnd"/>
      <w:r w:rsidRPr="00BF083C">
        <w:t xml:space="preserve"> sur les </w:t>
      </w:r>
      <w:proofErr w:type="spellStart"/>
      <w:r w:rsidRPr="00BF083C">
        <w:t>océans</w:t>
      </w:r>
      <w:proofErr w:type="spellEnd"/>
      <w:r w:rsidRPr="00BF083C">
        <w:t xml:space="preserve"> indispensables au </w:t>
      </w:r>
      <w:proofErr w:type="spellStart"/>
      <w:r w:rsidRPr="00BF083C">
        <w:t>développement</w:t>
      </w:r>
      <w:proofErr w:type="spellEnd"/>
      <w:r w:rsidRPr="00BF083C">
        <w:t xml:space="preserve"> durable. </w:t>
      </w:r>
      <w:proofErr w:type="spellStart"/>
      <w:r w:rsidRPr="00BF083C">
        <w:t>En</w:t>
      </w:r>
      <w:proofErr w:type="spellEnd"/>
      <w:r w:rsidRPr="00BF083C">
        <w:t xml:space="preserve"> </w:t>
      </w:r>
      <w:proofErr w:type="spellStart"/>
      <w:r w:rsidRPr="00BF083C">
        <w:t>élaborant</w:t>
      </w:r>
      <w:proofErr w:type="spellEnd"/>
      <w:r w:rsidRPr="00BF083C">
        <w:t xml:space="preserve"> </w:t>
      </w:r>
      <w:proofErr w:type="spellStart"/>
      <w:r w:rsidRPr="00BF083C">
        <w:t>conjointement</w:t>
      </w:r>
      <w:proofErr w:type="spellEnd"/>
      <w:r w:rsidRPr="00BF083C">
        <w:t xml:space="preserve"> divers types </w:t>
      </w:r>
      <w:proofErr w:type="spellStart"/>
      <w:r w:rsidRPr="00BF083C">
        <w:t>d’activités</w:t>
      </w:r>
      <w:proofErr w:type="spellEnd"/>
      <w:r w:rsidRPr="00BF083C">
        <w:t xml:space="preserve"> et </w:t>
      </w:r>
      <w:proofErr w:type="spellStart"/>
      <w:r w:rsidRPr="00BF083C">
        <w:t>en</w:t>
      </w:r>
      <w:proofErr w:type="spellEnd"/>
      <w:r w:rsidRPr="00BF083C">
        <w:t xml:space="preserve"> </w:t>
      </w:r>
      <w:proofErr w:type="spellStart"/>
      <w:r w:rsidRPr="00BF083C">
        <w:t>mettant</w:t>
      </w:r>
      <w:proofErr w:type="spellEnd"/>
      <w:r w:rsidRPr="00BF083C">
        <w:t xml:space="preserve"> </w:t>
      </w:r>
      <w:proofErr w:type="spellStart"/>
      <w:r w:rsidRPr="00BF083C">
        <w:t>l’accent</w:t>
      </w:r>
      <w:proofErr w:type="spellEnd"/>
      <w:r w:rsidRPr="00BF083C">
        <w:t xml:space="preserve"> sur </w:t>
      </w:r>
      <w:proofErr w:type="spellStart"/>
      <w:r w:rsidRPr="00BF083C">
        <w:t>leur</w:t>
      </w:r>
      <w:proofErr w:type="spellEnd"/>
      <w:r w:rsidRPr="00BF083C">
        <w:t xml:space="preserve"> impact </w:t>
      </w:r>
      <w:proofErr w:type="spellStart"/>
      <w:r w:rsidRPr="00BF083C">
        <w:t>économique</w:t>
      </w:r>
      <w:proofErr w:type="spellEnd"/>
      <w:r w:rsidRPr="00BF083C">
        <w:t xml:space="preserve">, </w:t>
      </w:r>
      <w:proofErr w:type="spellStart"/>
      <w:r w:rsidRPr="00BF083C">
        <w:t>ce</w:t>
      </w:r>
      <w:proofErr w:type="spellEnd"/>
      <w:r w:rsidRPr="00BF083C">
        <w:t xml:space="preserve"> qui </w:t>
      </w:r>
      <w:proofErr w:type="spellStart"/>
      <w:r w:rsidRPr="00BF083C">
        <w:t>permettra</w:t>
      </w:r>
      <w:proofErr w:type="spellEnd"/>
      <w:r w:rsidRPr="00BF083C">
        <w:t xml:space="preserve"> </w:t>
      </w:r>
      <w:proofErr w:type="spellStart"/>
      <w:r w:rsidRPr="00BF083C">
        <w:t>d’évaluer</w:t>
      </w:r>
      <w:proofErr w:type="spellEnd"/>
      <w:r w:rsidRPr="00BF083C">
        <w:t xml:space="preserve"> plus </w:t>
      </w:r>
      <w:proofErr w:type="spellStart"/>
      <w:r w:rsidRPr="00BF083C">
        <w:t>clairement</w:t>
      </w:r>
      <w:proofErr w:type="spellEnd"/>
      <w:r w:rsidRPr="00BF083C">
        <w:t xml:space="preserve"> son travail, la Commission </w:t>
      </w:r>
      <w:proofErr w:type="spellStart"/>
      <w:r w:rsidRPr="00BF083C">
        <w:t>s’efforcera</w:t>
      </w:r>
      <w:proofErr w:type="spellEnd"/>
      <w:r w:rsidRPr="00BF083C">
        <w:t xml:space="preserve"> de </w:t>
      </w:r>
      <w:proofErr w:type="spellStart"/>
      <w:r w:rsidRPr="00BF083C">
        <w:t>créer</w:t>
      </w:r>
      <w:proofErr w:type="spellEnd"/>
      <w:r w:rsidRPr="00BF083C">
        <w:t xml:space="preserve"> les conditions </w:t>
      </w:r>
      <w:proofErr w:type="spellStart"/>
      <w:r w:rsidRPr="00BF083C">
        <w:t>nécessaires</w:t>
      </w:r>
      <w:proofErr w:type="spellEnd"/>
      <w:r w:rsidRPr="00BF083C">
        <w:t xml:space="preserve"> à son </w:t>
      </w:r>
      <w:proofErr w:type="spellStart"/>
      <w:r w:rsidRPr="00BF083C">
        <w:t>renforcement</w:t>
      </w:r>
      <w:proofErr w:type="spellEnd"/>
      <w:r w:rsidRPr="00BF083C">
        <w:t xml:space="preserve"> et à </w:t>
      </w:r>
      <w:proofErr w:type="spellStart"/>
      <w:r w:rsidRPr="00BF083C">
        <w:t>une</w:t>
      </w:r>
      <w:proofErr w:type="spellEnd"/>
      <w:r w:rsidRPr="00BF083C">
        <w:t xml:space="preserve"> </w:t>
      </w:r>
      <w:proofErr w:type="spellStart"/>
      <w:r w:rsidRPr="00BF083C">
        <w:t>exécution</w:t>
      </w:r>
      <w:proofErr w:type="spellEnd"/>
      <w:r w:rsidRPr="00BF083C">
        <w:t xml:space="preserve"> accrue au service de la </w:t>
      </w:r>
      <w:proofErr w:type="spellStart"/>
      <w:r w:rsidRPr="00BF083C">
        <w:t>durabilité</w:t>
      </w:r>
      <w:proofErr w:type="spellEnd"/>
      <w:r w:rsidRPr="00BF083C">
        <w:t xml:space="preserve"> </w:t>
      </w:r>
      <w:proofErr w:type="spellStart"/>
      <w:r w:rsidRPr="00BF083C">
        <w:t>mondiale</w:t>
      </w:r>
      <w:proofErr w:type="spellEnd"/>
      <w:r w:rsidRPr="00BF083C">
        <w:t>.</w:t>
      </w:r>
    </w:p>
    <w:p w14:paraId="23FBDF0D" w14:textId="77777777" w:rsidR="00C50366" w:rsidRPr="00BF083C" w:rsidRDefault="00C50366" w:rsidP="00427F27">
      <w:pPr>
        <w:pStyle w:val="Marge"/>
        <w:tabs>
          <w:tab w:val="clear" w:pos="567"/>
          <w:tab w:val="left" w:pos="1162"/>
        </w:tabs>
        <w:spacing w:line="240" w:lineRule="auto"/>
        <w:rPr>
          <w:b/>
          <w:bCs/>
          <w:i/>
          <w:iCs/>
        </w:rPr>
      </w:pPr>
      <w:proofErr w:type="spellStart"/>
      <w:r w:rsidRPr="00BF083C">
        <w:rPr>
          <w:b/>
          <w:bCs/>
          <w:i/>
          <w:iCs/>
        </w:rPr>
        <w:t>Priorité</w:t>
      </w:r>
      <w:proofErr w:type="spellEnd"/>
      <w:r w:rsidRPr="00BF083C">
        <w:rPr>
          <w:b/>
          <w:bCs/>
          <w:i/>
          <w:iCs/>
        </w:rPr>
        <w:t xml:space="preserve"> </w:t>
      </w:r>
      <w:proofErr w:type="spellStart"/>
      <w:r w:rsidRPr="00BF083C">
        <w:rPr>
          <w:b/>
          <w:bCs/>
          <w:i/>
          <w:iCs/>
        </w:rPr>
        <w:t>globale</w:t>
      </w:r>
      <w:proofErr w:type="spellEnd"/>
      <w:r w:rsidRPr="00BF083C">
        <w:rPr>
          <w:b/>
          <w:bCs/>
          <w:i/>
          <w:iCs/>
        </w:rPr>
        <w:t xml:space="preserve"> Afrique</w:t>
      </w:r>
    </w:p>
    <w:p w14:paraId="0074FF4F" w14:textId="6C5CA1BD" w:rsidR="00427F27" w:rsidRPr="00BF083C" w:rsidRDefault="00427F27" w:rsidP="00427F27">
      <w:pPr>
        <w:pStyle w:val="Marge"/>
        <w:tabs>
          <w:tab w:val="clear" w:pos="567"/>
          <w:tab w:val="left" w:pos="1162"/>
        </w:tabs>
        <w:spacing w:line="240" w:lineRule="auto"/>
      </w:pPr>
      <w:r w:rsidRPr="00BF083C">
        <w:rPr>
          <w:bdr w:val="single" w:sz="4" w:space="0" w:color="auto"/>
        </w:rPr>
        <w:t>03011</w:t>
      </w:r>
      <w:r w:rsidRPr="00BF083C">
        <w:tab/>
      </w:r>
      <w:proofErr w:type="spellStart"/>
      <w:r w:rsidRPr="00BF083C">
        <w:t>L’Afrique</w:t>
      </w:r>
      <w:proofErr w:type="spellEnd"/>
      <w:r w:rsidRPr="00BF083C">
        <w:t xml:space="preserve"> </w:t>
      </w:r>
      <w:proofErr w:type="spellStart"/>
      <w:r w:rsidRPr="00BF083C">
        <w:t>s’intéresse</w:t>
      </w:r>
      <w:proofErr w:type="spellEnd"/>
      <w:r w:rsidRPr="00BF083C">
        <w:t xml:space="preserve"> de </w:t>
      </w:r>
      <w:proofErr w:type="spellStart"/>
      <w:r w:rsidRPr="00BF083C">
        <w:t>très</w:t>
      </w:r>
      <w:proofErr w:type="spellEnd"/>
      <w:r w:rsidRPr="00BF083C">
        <w:t xml:space="preserve"> </w:t>
      </w:r>
      <w:proofErr w:type="spellStart"/>
      <w:r w:rsidRPr="00BF083C">
        <w:t>près</w:t>
      </w:r>
      <w:proofErr w:type="spellEnd"/>
      <w:r w:rsidRPr="00BF083C">
        <w:t xml:space="preserve"> à </w:t>
      </w:r>
      <w:proofErr w:type="spellStart"/>
      <w:r w:rsidRPr="00BF083C">
        <w:t>l’économie</w:t>
      </w:r>
      <w:proofErr w:type="spellEnd"/>
      <w:r w:rsidRPr="00BF083C">
        <w:t xml:space="preserve"> durable des </w:t>
      </w:r>
      <w:proofErr w:type="spellStart"/>
      <w:r w:rsidRPr="00BF083C">
        <w:t>océans</w:t>
      </w:r>
      <w:proofErr w:type="spellEnd"/>
      <w:r w:rsidRPr="00BF083C">
        <w:t xml:space="preserve">. Pour </w:t>
      </w:r>
      <w:proofErr w:type="spellStart"/>
      <w:r w:rsidRPr="00BF083C">
        <w:t>permettre</w:t>
      </w:r>
      <w:proofErr w:type="spellEnd"/>
      <w:r w:rsidRPr="00BF083C">
        <w:t xml:space="preserve"> un retour </w:t>
      </w:r>
      <w:proofErr w:type="spellStart"/>
      <w:r w:rsidRPr="00BF083C">
        <w:t>économique</w:t>
      </w:r>
      <w:proofErr w:type="spellEnd"/>
      <w:r w:rsidRPr="00BF083C">
        <w:t xml:space="preserve"> important </w:t>
      </w:r>
      <w:proofErr w:type="spellStart"/>
      <w:r w:rsidRPr="00BF083C">
        <w:t>en</w:t>
      </w:r>
      <w:proofErr w:type="spellEnd"/>
      <w:r w:rsidRPr="00BF083C">
        <w:t xml:space="preserve"> aval, le travail </w:t>
      </w:r>
      <w:proofErr w:type="spellStart"/>
      <w:r w:rsidRPr="00BF083C">
        <w:t>fondamental</w:t>
      </w:r>
      <w:proofErr w:type="spellEnd"/>
      <w:r w:rsidRPr="00BF083C">
        <w:t xml:space="preserve"> de la COI au profit de la </w:t>
      </w:r>
      <w:proofErr w:type="spellStart"/>
      <w:r w:rsidRPr="00BF083C">
        <w:t>priorité</w:t>
      </w:r>
      <w:proofErr w:type="spellEnd"/>
      <w:r w:rsidRPr="00BF083C">
        <w:t xml:space="preserve"> </w:t>
      </w:r>
      <w:proofErr w:type="spellStart"/>
      <w:r w:rsidRPr="00BF083C">
        <w:t>globale</w:t>
      </w:r>
      <w:proofErr w:type="spellEnd"/>
      <w:r w:rsidRPr="00BF083C">
        <w:t xml:space="preserve"> Afrique </w:t>
      </w:r>
      <w:proofErr w:type="spellStart"/>
      <w:r w:rsidRPr="00BF083C">
        <w:t>commencera</w:t>
      </w:r>
      <w:proofErr w:type="spellEnd"/>
      <w:r w:rsidRPr="00BF083C">
        <w:t xml:space="preserve"> </w:t>
      </w:r>
      <w:proofErr w:type="spellStart"/>
      <w:r w:rsidRPr="00BF083C">
        <w:t>en</w:t>
      </w:r>
      <w:proofErr w:type="spellEnd"/>
      <w:r w:rsidRPr="00BF083C">
        <w:t xml:space="preserve"> </w:t>
      </w:r>
      <w:proofErr w:type="spellStart"/>
      <w:r w:rsidRPr="00BF083C">
        <w:t>amont</w:t>
      </w:r>
      <w:proofErr w:type="spellEnd"/>
      <w:r w:rsidRPr="00BF083C">
        <w:t xml:space="preserve">, par la mise </w:t>
      </w:r>
      <w:proofErr w:type="spellStart"/>
      <w:r w:rsidRPr="00BF083C">
        <w:t>en</w:t>
      </w:r>
      <w:proofErr w:type="spellEnd"/>
      <w:r w:rsidRPr="00BF083C">
        <w:t xml:space="preserve"> place d’un </w:t>
      </w:r>
      <w:proofErr w:type="spellStart"/>
      <w:r w:rsidRPr="00BF083C">
        <w:t>système</w:t>
      </w:r>
      <w:proofErr w:type="spellEnd"/>
      <w:r w:rsidRPr="00BF083C">
        <w:t xml:space="preserve"> </w:t>
      </w:r>
      <w:proofErr w:type="spellStart"/>
      <w:r w:rsidRPr="00BF083C">
        <w:t>africain</w:t>
      </w:r>
      <w:proofErr w:type="spellEnd"/>
      <w:r w:rsidRPr="00BF083C">
        <w:t xml:space="preserve"> </w:t>
      </w:r>
      <w:proofErr w:type="spellStart"/>
      <w:r w:rsidRPr="00BF083C">
        <w:t>efficace</w:t>
      </w:r>
      <w:proofErr w:type="spellEnd"/>
      <w:r w:rsidRPr="00BF083C">
        <w:t xml:space="preserve"> </w:t>
      </w:r>
      <w:proofErr w:type="spellStart"/>
      <w:r w:rsidRPr="00BF083C">
        <w:t>d’observation</w:t>
      </w:r>
      <w:proofErr w:type="spellEnd"/>
      <w:r w:rsidRPr="00BF083C">
        <w:t xml:space="preserve"> de </w:t>
      </w:r>
      <w:proofErr w:type="spellStart"/>
      <w:r w:rsidRPr="00BF083C">
        <w:t>l’océan</w:t>
      </w:r>
      <w:proofErr w:type="spellEnd"/>
      <w:r w:rsidRPr="00BF083C">
        <w:t xml:space="preserve">, le </w:t>
      </w:r>
      <w:proofErr w:type="spellStart"/>
      <w:r w:rsidRPr="00BF083C">
        <w:t>renforcement</w:t>
      </w:r>
      <w:proofErr w:type="spellEnd"/>
      <w:r w:rsidRPr="00BF083C">
        <w:t xml:space="preserve"> des </w:t>
      </w:r>
      <w:proofErr w:type="spellStart"/>
      <w:r w:rsidRPr="00BF083C">
        <w:t>activités</w:t>
      </w:r>
      <w:proofErr w:type="spellEnd"/>
      <w:r w:rsidRPr="00BF083C">
        <w:t xml:space="preserve"> de formation, la mise à disposition de </w:t>
      </w:r>
      <w:proofErr w:type="spellStart"/>
      <w:r w:rsidRPr="00BF083C">
        <w:t>moyens</w:t>
      </w:r>
      <w:proofErr w:type="spellEnd"/>
      <w:r w:rsidRPr="00BF083C">
        <w:t xml:space="preserve"> </w:t>
      </w:r>
      <w:proofErr w:type="spellStart"/>
      <w:r w:rsidRPr="00BF083C">
        <w:t>modernes</w:t>
      </w:r>
      <w:proofErr w:type="spellEnd"/>
      <w:r w:rsidRPr="00BF083C">
        <w:t xml:space="preserve"> de gestion des </w:t>
      </w:r>
      <w:proofErr w:type="spellStart"/>
      <w:r w:rsidRPr="00BF083C">
        <w:t>données</w:t>
      </w:r>
      <w:proofErr w:type="spellEnd"/>
      <w:r w:rsidRPr="00BF083C">
        <w:t xml:space="preserve">, et </w:t>
      </w:r>
      <w:proofErr w:type="spellStart"/>
      <w:r w:rsidRPr="00BF083C">
        <w:t>l’application</w:t>
      </w:r>
      <w:proofErr w:type="spellEnd"/>
      <w:r w:rsidRPr="00BF083C">
        <w:t xml:space="preserve"> des </w:t>
      </w:r>
      <w:proofErr w:type="spellStart"/>
      <w:r w:rsidRPr="00BF083C">
        <w:t>connaissances</w:t>
      </w:r>
      <w:proofErr w:type="spellEnd"/>
      <w:r w:rsidRPr="00BF083C">
        <w:t xml:space="preserve"> et des </w:t>
      </w:r>
      <w:proofErr w:type="spellStart"/>
      <w:r w:rsidRPr="00BF083C">
        <w:t>bonnes</w:t>
      </w:r>
      <w:proofErr w:type="spellEnd"/>
      <w:r w:rsidRPr="00BF083C">
        <w:t xml:space="preserve"> pratiques au </w:t>
      </w:r>
      <w:proofErr w:type="spellStart"/>
      <w:r w:rsidRPr="00BF083C">
        <w:t>développement</w:t>
      </w:r>
      <w:proofErr w:type="spellEnd"/>
      <w:r w:rsidRPr="00BF083C">
        <w:t xml:space="preserve"> de la gestion des zones </w:t>
      </w:r>
      <w:proofErr w:type="spellStart"/>
      <w:r w:rsidRPr="00BF083C">
        <w:t>côtières</w:t>
      </w:r>
      <w:proofErr w:type="spellEnd"/>
      <w:r w:rsidRPr="00BF083C">
        <w:t xml:space="preserve">, de la planification de </w:t>
      </w:r>
      <w:proofErr w:type="spellStart"/>
      <w:r w:rsidRPr="00BF083C">
        <w:t>l’espace</w:t>
      </w:r>
      <w:proofErr w:type="spellEnd"/>
      <w:r w:rsidRPr="00BF083C">
        <w:t xml:space="preserve"> </w:t>
      </w:r>
      <w:proofErr w:type="spellStart"/>
      <w:r w:rsidRPr="00BF083C">
        <w:t>marin</w:t>
      </w:r>
      <w:proofErr w:type="spellEnd"/>
      <w:r w:rsidRPr="00BF083C">
        <w:t xml:space="preserve"> et de la gestion des </w:t>
      </w:r>
      <w:proofErr w:type="spellStart"/>
      <w:r w:rsidRPr="00BF083C">
        <w:t>écosystèmes</w:t>
      </w:r>
      <w:proofErr w:type="spellEnd"/>
      <w:r w:rsidRPr="00BF083C">
        <w:t xml:space="preserve"> </w:t>
      </w:r>
      <w:proofErr w:type="spellStart"/>
      <w:r w:rsidRPr="00BF083C">
        <w:t>marins</w:t>
      </w:r>
      <w:proofErr w:type="spellEnd"/>
      <w:r w:rsidRPr="00BF083C">
        <w:t xml:space="preserve">, </w:t>
      </w:r>
      <w:proofErr w:type="spellStart"/>
      <w:r w:rsidRPr="00BF083C">
        <w:t>l’objectif</w:t>
      </w:r>
      <w:proofErr w:type="spellEnd"/>
      <w:r w:rsidRPr="00BF083C">
        <w:t xml:space="preserve"> </w:t>
      </w:r>
      <w:proofErr w:type="spellStart"/>
      <w:r w:rsidRPr="00BF083C">
        <w:t>étant</w:t>
      </w:r>
      <w:proofErr w:type="spellEnd"/>
      <w:r w:rsidRPr="00BF083C">
        <w:t xml:space="preserve"> de </w:t>
      </w:r>
      <w:proofErr w:type="spellStart"/>
      <w:r w:rsidRPr="00BF083C">
        <w:t>produire</w:t>
      </w:r>
      <w:proofErr w:type="spellEnd"/>
      <w:r w:rsidRPr="00BF083C">
        <w:t xml:space="preserve"> </w:t>
      </w:r>
      <w:proofErr w:type="spellStart"/>
      <w:r w:rsidRPr="00BF083C">
        <w:t>davantage</w:t>
      </w:r>
      <w:proofErr w:type="spellEnd"/>
      <w:r w:rsidRPr="00BF083C">
        <w:t xml:space="preserve"> de richesses et </w:t>
      </w:r>
      <w:proofErr w:type="spellStart"/>
      <w:r w:rsidRPr="00BF083C">
        <w:t>d’aider</w:t>
      </w:r>
      <w:proofErr w:type="spellEnd"/>
      <w:r w:rsidRPr="00BF083C">
        <w:t xml:space="preserve"> les pays à faire face aux </w:t>
      </w:r>
      <w:proofErr w:type="spellStart"/>
      <w:r w:rsidRPr="00BF083C">
        <w:t>diverses</w:t>
      </w:r>
      <w:proofErr w:type="spellEnd"/>
      <w:r w:rsidRPr="00BF083C">
        <w:t xml:space="preserve"> manifestations du </w:t>
      </w:r>
      <w:proofErr w:type="spellStart"/>
      <w:r w:rsidRPr="00BF083C">
        <w:t>changement</w:t>
      </w:r>
      <w:proofErr w:type="spellEnd"/>
      <w:r w:rsidRPr="00BF083C">
        <w:t xml:space="preserve"> </w:t>
      </w:r>
      <w:proofErr w:type="spellStart"/>
      <w:r w:rsidRPr="00BF083C">
        <w:t>climatique</w:t>
      </w:r>
      <w:proofErr w:type="spellEnd"/>
      <w:r w:rsidRPr="00BF083C">
        <w:t xml:space="preserve">. Pour </w:t>
      </w:r>
      <w:proofErr w:type="spellStart"/>
      <w:r w:rsidRPr="00BF083C">
        <w:t>atteindre</w:t>
      </w:r>
      <w:proofErr w:type="spellEnd"/>
      <w:r w:rsidRPr="00BF083C">
        <w:t xml:space="preserve"> </w:t>
      </w:r>
      <w:proofErr w:type="spellStart"/>
      <w:r w:rsidRPr="00BF083C">
        <w:t>ces</w:t>
      </w:r>
      <w:proofErr w:type="spellEnd"/>
      <w:r w:rsidRPr="00BF083C">
        <w:t xml:space="preserve"> </w:t>
      </w:r>
      <w:proofErr w:type="spellStart"/>
      <w:r w:rsidRPr="00BF083C">
        <w:t>objectifs</w:t>
      </w:r>
      <w:proofErr w:type="spellEnd"/>
      <w:r w:rsidRPr="00BF083C">
        <w:t xml:space="preserve"> </w:t>
      </w:r>
      <w:proofErr w:type="spellStart"/>
      <w:r w:rsidRPr="00BF083C">
        <w:t>ambitieux</w:t>
      </w:r>
      <w:proofErr w:type="spellEnd"/>
      <w:r w:rsidRPr="00BF083C">
        <w:t xml:space="preserve">, il </w:t>
      </w:r>
      <w:proofErr w:type="spellStart"/>
      <w:r w:rsidRPr="00BF083C">
        <w:t>faudra</w:t>
      </w:r>
      <w:proofErr w:type="spellEnd"/>
      <w:r w:rsidRPr="00BF083C">
        <w:t xml:space="preserve"> mobiliser des </w:t>
      </w:r>
      <w:proofErr w:type="spellStart"/>
      <w:r w:rsidRPr="00BF083C">
        <w:t>ressources</w:t>
      </w:r>
      <w:proofErr w:type="spellEnd"/>
      <w:r w:rsidRPr="00BF083C">
        <w:t xml:space="preserve"> </w:t>
      </w:r>
      <w:proofErr w:type="spellStart"/>
      <w:r w:rsidRPr="00BF083C">
        <w:t>importantes</w:t>
      </w:r>
      <w:proofErr w:type="spellEnd"/>
      <w:r w:rsidRPr="00BF083C">
        <w:t xml:space="preserve"> et </w:t>
      </w:r>
      <w:proofErr w:type="spellStart"/>
      <w:r w:rsidRPr="00BF083C">
        <w:t>coordonner</w:t>
      </w:r>
      <w:proofErr w:type="spellEnd"/>
      <w:r w:rsidRPr="00BF083C">
        <w:t xml:space="preserve"> les efforts </w:t>
      </w:r>
      <w:proofErr w:type="spellStart"/>
      <w:r w:rsidRPr="00BF083C">
        <w:t>nationaux</w:t>
      </w:r>
      <w:proofErr w:type="spellEnd"/>
      <w:r w:rsidRPr="00BF083C">
        <w:t xml:space="preserve">, </w:t>
      </w:r>
      <w:proofErr w:type="spellStart"/>
      <w:r w:rsidRPr="00BF083C">
        <w:t>bilatéraux</w:t>
      </w:r>
      <w:proofErr w:type="spellEnd"/>
      <w:r w:rsidRPr="00BF083C">
        <w:t xml:space="preserve"> et </w:t>
      </w:r>
      <w:proofErr w:type="spellStart"/>
      <w:r w:rsidRPr="00BF083C">
        <w:t>multilatéraux</w:t>
      </w:r>
      <w:proofErr w:type="spellEnd"/>
      <w:r w:rsidRPr="00BF083C">
        <w:t xml:space="preserve">. La </w:t>
      </w:r>
      <w:proofErr w:type="spellStart"/>
      <w:r w:rsidRPr="00BF083C">
        <w:t>Décennie</w:t>
      </w:r>
      <w:proofErr w:type="spellEnd"/>
      <w:r w:rsidRPr="00BF083C">
        <w:t xml:space="preserve"> pour les sciences </w:t>
      </w:r>
      <w:proofErr w:type="spellStart"/>
      <w:r w:rsidRPr="00BF083C">
        <w:t>océaniques</w:t>
      </w:r>
      <w:proofErr w:type="spellEnd"/>
      <w:r w:rsidRPr="00BF083C">
        <w:t xml:space="preserve">, </w:t>
      </w:r>
      <w:proofErr w:type="spellStart"/>
      <w:r w:rsidRPr="00BF083C">
        <w:t>coordonnée</w:t>
      </w:r>
      <w:proofErr w:type="spellEnd"/>
      <w:r w:rsidRPr="00BF083C">
        <w:t xml:space="preserve"> par la COI, </w:t>
      </w:r>
      <w:proofErr w:type="spellStart"/>
      <w:r w:rsidRPr="00BF083C">
        <w:t>poursuivra</w:t>
      </w:r>
      <w:proofErr w:type="spellEnd"/>
      <w:r w:rsidRPr="00BF083C">
        <w:t xml:space="preserve"> la </w:t>
      </w:r>
      <w:proofErr w:type="spellStart"/>
      <w:r w:rsidRPr="00BF083C">
        <w:t>dynamique</w:t>
      </w:r>
      <w:proofErr w:type="spellEnd"/>
      <w:r w:rsidRPr="00BF083C">
        <w:t xml:space="preserve"> de la « </w:t>
      </w:r>
      <w:proofErr w:type="spellStart"/>
      <w:r w:rsidRPr="00BF083C">
        <w:t>Décennie</w:t>
      </w:r>
      <w:proofErr w:type="spellEnd"/>
      <w:r w:rsidRPr="00BF083C">
        <w:t xml:space="preserve"> </w:t>
      </w:r>
      <w:proofErr w:type="spellStart"/>
      <w:r w:rsidRPr="00BF083C">
        <w:t>africaine</w:t>
      </w:r>
      <w:proofErr w:type="spellEnd"/>
      <w:r w:rsidRPr="00BF083C">
        <w:t xml:space="preserve"> des </w:t>
      </w:r>
      <w:proofErr w:type="spellStart"/>
      <w:r w:rsidRPr="00BF083C">
        <w:t>mers</w:t>
      </w:r>
      <w:proofErr w:type="spellEnd"/>
      <w:r w:rsidRPr="00BF083C">
        <w:t xml:space="preserve"> et des </w:t>
      </w:r>
      <w:proofErr w:type="spellStart"/>
      <w:r w:rsidRPr="00BF083C">
        <w:t>océans</w:t>
      </w:r>
      <w:proofErr w:type="spellEnd"/>
      <w:r w:rsidRPr="00BF083C">
        <w:t xml:space="preserve"> » (2015-2025), et </w:t>
      </w:r>
      <w:proofErr w:type="spellStart"/>
      <w:r w:rsidRPr="00BF083C">
        <w:t>créera</w:t>
      </w:r>
      <w:proofErr w:type="spellEnd"/>
      <w:r w:rsidRPr="00BF083C">
        <w:t xml:space="preserve"> des synergies avec les initiatives de </w:t>
      </w:r>
      <w:proofErr w:type="spellStart"/>
      <w:r w:rsidRPr="00BF083C">
        <w:t>l’Union</w:t>
      </w:r>
      <w:proofErr w:type="spellEnd"/>
      <w:r w:rsidRPr="00BF083C">
        <w:t xml:space="preserve"> </w:t>
      </w:r>
      <w:proofErr w:type="spellStart"/>
      <w:r w:rsidRPr="00BF083C">
        <w:t>africaine</w:t>
      </w:r>
      <w:proofErr w:type="spellEnd"/>
      <w:r w:rsidRPr="00BF083C">
        <w:t>.</w:t>
      </w:r>
    </w:p>
    <w:p w14:paraId="4D7495CB" w14:textId="77777777" w:rsidR="00C50366" w:rsidRPr="00BF083C" w:rsidRDefault="00C50366" w:rsidP="00427F27">
      <w:pPr>
        <w:pStyle w:val="Marge"/>
        <w:tabs>
          <w:tab w:val="clear" w:pos="567"/>
          <w:tab w:val="left" w:pos="1162"/>
        </w:tabs>
        <w:spacing w:line="240" w:lineRule="auto"/>
        <w:rPr>
          <w:b/>
          <w:bCs/>
          <w:i/>
          <w:iCs/>
        </w:rPr>
      </w:pPr>
      <w:proofErr w:type="spellStart"/>
      <w:r w:rsidRPr="00BF083C">
        <w:rPr>
          <w:b/>
          <w:bCs/>
          <w:i/>
          <w:iCs/>
        </w:rPr>
        <w:t>Priorité</w:t>
      </w:r>
      <w:proofErr w:type="spellEnd"/>
      <w:r w:rsidRPr="00BF083C">
        <w:rPr>
          <w:b/>
          <w:bCs/>
          <w:i/>
          <w:iCs/>
        </w:rPr>
        <w:t xml:space="preserve"> </w:t>
      </w:r>
      <w:proofErr w:type="spellStart"/>
      <w:r w:rsidRPr="00BF083C">
        <w:rPr>
          <w:b/>
          <w:bCs/>
          <w:i/>
          <w:iCs/>
        </w:rPr>
        <w:t>globale</w:t>
      </w:r>
      <w:proofErr w:type="spellEnd"/>
      <w:r w:rsidRPr="00BF083C">
        <w:rPr>
          <w:b/>
          <w:bCs/>
          <w:i/>
          <w:iCs/>
        </w:rPr>
        <w:t xml:space="preserve"> Égalité des genres</w:t>
      </w:r>
    </w:p>
    <w:p w14:paraId="52BA811C" w14:textId="6477F98C" w:rsidR="00427F27" w:rsidRPr="00BF083C" w:rsidRDefault="00427F27" w:rsidP="00427F27">
      <w:pPr>
        <w:pStyle w:val="Marge"/>
        <w:tabs>
          <w:tab w:val="clear" w:pos="567"/>
          <w:tab w:val="left" w:pos="1162"/>
        </w:tabs>
        <w:spacing w:line="240" w:lineRule="auto"/>
      </w:pPr>
      <w:r w:rsidRPr="00BF083C">
        <w:rPr>
          <w:bdr w:val="single" w:sz="4" w:space="0" w:color="auto"/>
        </w:rPr>
        <w:t>03012</w:t>
      </w:r>
      <w:r w:rsidRPr="00BF083C">
        <w:tab/>
        <w:t xml:space="preserve">La contribution de la COI à la </w:t>
      </w:r>
      <w:proofErr w:type="spellStart"/>
      <w:r w:rsidRPr="00BF083C">
        <w:t>priorité</w:t>
      </w:r>
      <w:proofErr w:type="spellEnd"/>
      <w:r w:rsidRPr="00BF083C">
        <w:t xml:space="preserve"> </w:t>
      </w:r>
      <w:proofErr w:type="spellStart"/>
      <w:r w:rsidRPr="00BF083C">
        <w:t>globale</w:t>
      </w:r>
      <w:proofErr w:type="spellEnd"/>
      <w:r w:rsidRPr="00BF083C">
        <w:t xml:space="preserve"> Égalité des genres </w:t>
      </w:r>
      <w:proofErr w:type="spellStart"/>
      <w:r w:rsidRPr="00BF083C">
        <w:t>consistera</w:t>
      </w:r>
      <w:proofErr w:type="spellEnd"/>
      <w:r w:rsidRPr="00BF083C">
        <w:t xml:space="preserve"> </w:t>
      </w:r>
      <w:proofErr w:type="spellStart"/>
      <w:r w:rsidRPr="00BF083C">
        <w:t>notamment</w:t>
      </w:r>
      <w:proofErr w:type="spellEnd"/>
      <w:r w:rsidRPr="00BF083C">
        <w:t xml:space="preserve"> à faire </w:t>
      </w:r>
      <w:proofErr w:type="spellStart"/>
      <w:r w:rsidRPr="00BF083C">
        <w:t>en</w:t>
      </w:r>
      <w:proofErr w:type="spellEnd"/>
      <w:r w:rsidRPr="00BF083C">
        <w:t xml:space="preserve"> </w:t>
      </w:r>
      <w:proofErr w:type="spellStart"/>
      <w:r w:rsidRPr="00BF083C">
        <w:t>sorte</w:t>
      </w:r>
      <w:proofErr w:type="spellEnd"/>
      <w:r w:rsidRPr="00BF083C">
        <w:t xml:space="preserve"> que la </w:t>
      </w:r>
      <w:proofErr w:type="spellStart"/>
      <w:r w:rsidRPr="00BF083C">
        <w:t>coopération</w:t>
      </w:r>
      <w:proofErr w:type="spellEnd"/>
      <w:r w:rsidRPr="00BF083C">
        <w:t xml:space="preserve"> </w:t>
      </w:r>
      <w:proofErr w:type="spellStart"/>
      <w:r w:rsidRPr="00BF083C">
        <w:t>scientifique</w:t>
      </w:r>
      <w:proofErr w:type="spellEnd"/>
      <w:r w:rsidRPr="00BF083C">
        <w:t xml:space="preserve"> </w:t>
      </w:r>
      <w:proofErr w:type="spellStart"/>
      <w:r w:rsidRPr="00BF083C">
        <w:t>internationale</w:t>
      </w:r>
      <w:proofErr w:type="spellEnd"/>
      <w:r w:rsidRPr="00BF083C">
        <w:t xml:space="preserve"> </w:t>
      </w:r>
      <w:proofErr w:type="spellStart"/>
      <w:r w:rsidRPr="00BF083C">
        <w:t>en</w:t>
      </w:r>
      <w:proofErr w:type="spellEnd"/>
      <w:r w:rsidRPr="00BF083C">
        <w:t xml:space="preserve"> </w:t>
      </w:r>
      <w:proofErr w:type="spellStart"/>
      <w:r w:rsidRPr="00BF083C">
        <w:t>faveur</w:t>
      </w:r>
      <w:proofErr w:type="spellEnd"/>
      <w:r w:rsidRPr="00BF083C">
        <w:t xml:space="preserve"> de la </w:t>
      </w:r>
      <w:proofErr w:type="spellStart"/>
      <w:r w:rsidRPr="00BF083C">
        <w:t>paix</w:t>
      </w:r>
      <w:proofErr w:type="spellEnd"/>
      <w:r w:rsidRPr="00BF083C">
        <w:t xml:space="preserve"> et de la </w:t>
      </w:r>
      <w:proofErr w:type="spellStart"/>
      <w:r w:rsidRPr="00BF083C">
        <w:t>durabilité</w:t>
      </w:r>
      <w:proofErr w:type="spellEnd"/>
      <w:r w:rsidRPr="00BF083C">
        <w:t xml:space="preserve"> </w:t>
      </w:r>
      <w:proofErr w:type="spellStart"/>
      <w:r w:rsidRPr="00BF083C">
        <w:t>favorise</w:t>
      </w:r>
      <w:proofErr w:type="spellEnd"/>
      <w:r w:rsidRPr="00BF083C">
        <w:t xml:space="preserve"> </w:t>
      </w:r>
      <w:proofErr w:type="spellStart"/>
      <w:r w:rsidRPr="00BF083C">
        <w:t>l’égalité</w:t>
      </w:r>
      <w:proofErr w:type="spellEnd"/>
      <w:r w:rsidRPr="00BF083C">
        <w:t xml:space="preserve"> </w:t>
      </w:r>
      <w:proofErr w:type="spellStart"/>
      <w:r w:rsidRPr="00BF083C">
        <w:t>en</w:t>
      </w:r>
      <w:proofErr w:type="spellEnd"/>
      <w:r w:rsidRPr="00BF083C">
        <w:t xml:space="preserve"> matière de </w:t>
      </w:r>
      <w:proofErr w:type="spellStart"/>
      <w:r w:rsidRPr="00BF083C">
        <w:t>représentation</w:t>
      </w:r>
      <w:proofErr w:type="spellEnd"/>
      <w:r w:rsidRPr="00BF083C">
        <w:t xml:space="preserve"> et </w:t>
      </w:r>
      <w:proofErr w:type="spellStart"/>
      <w:r w:rsidRPr="00BF083C">
        <w:t>d’expression</w:t>
      </w:r>
      <w:proofErr w:type="spellEnd"/>
      <w:r w:rsidRPr="00BF083C">
        <w:t xml:space="preserve"> des femmes et des hommes, </w:t>
      </w:r>
      <w:proofErr w:type="spellStart"/>
      <w:r w:rsidRPr="00BF083C">
        <w:t>ainsi</w:t>
      </w:r>
      <w:proofErr w:type="spellEnd"/>
      <w:r w:rsidRPr="00BF083C">
        <w:t xml:space="preserve"> </w:t>
      </w:r>
      <w:proofErr w:type="spellStart"/>
      <w:r w:rsidRPr="00BF083C">
        <w:t>qu’à</w:t>
      </w:r>
      <w:proofErr w:type="spellEnd"/>
      <w:r w:rsidRPr="00BF083C">
        <w:t xml:space="preserve"> </w:t>
      </w:r>
      <w:proofErr w:type="spellStart"/>
      <w:r w:rsidRPr="00BF083C">
        <w:t>créer</w:t>
      </w:r>
      <w:proofErr w:type="spellEnd"/>
      <w:r w:rsidRPr="00BF083C">
        <w:t xml:space="preserve"> les conditions </w:t>
      </w:r>
      <w:proofErr w:type="spellStart"/>
      <w:r w:rsidRPr="00BF083C">
        <w:t>nécessaires</w:t>
      </w:r>
      <w:proofErr w:type="spellEnd"/>
      <w:r w:rsidRPr="00BF083C">
        <w:t xml:space="preserve"> pour que les femmes et les hommes </w:t>
      </w:r>
      <w:proofErr w:type="spellStart"/>
      <w:r w:rsidRPr="00BF083C">
        <w:t>deviennent</w:t>
      </w:r>
      <w:proofErr w:type="spellEnd"/>
      <w:r w:rsidRPr="00BF083C">
        <w:t xml:space="preserve"> des </w:t>
      </w:r>
      <w:proofErr w:type="spellStart"/>
      <w:r w:rsidRPr="00BF083C">
        <w:t>acteurs</w:t>
      </w:r>
      <w:proofErr w:type="spellEnd"/>
      <w:r w:rsidRPr="00BF083C">
        <w:t xml:space="preserve"> </w:t>
      </w:r>
      <w:proofErr w:type="spellStart"/>
      <w:r w:rsidRPr="00BF083C">
        <w:t>en</w:t>
      </w:r>
      <w:proofErr w:type="spellEnd"/>
      <w:r w:rsidRPr="00BF083C">
        <w:t xml:space="preserve"> matière </w:t>
      </w:r>
      <w:proofErr w:type="spellStart"/>
      <w:r w:rsidRPr="00BF083C">
        <w:t>d’atténuation</w:t>
      </w:r>
      <w:proofErr w:type="spellEnd"/>
      <w:r w:rsidRPr="00BF083C">
        <w:t xml:space="preserve">, </w:t>
      </w:r>
      <w:proofErr w:type="spellStart"/>
      <w:r w:rsidRPr="00BF083C">
        <w:t>d’adaptation</w:t>
      </w:r>
      <w:proofErr w:type="spellEnd"/>
      <w:r w:rsidRPr="00BF083C">
        <w:t xml:space="preserve">, de </w:t>
      </w:r>
      <w:proofErr w:type="spellStart"/>
      <w:r w:rsidRPr="00BF083C">
        <w:t>résilience</w:t>
      </w:r>
      <w:proofErr w:type="spellEnd"/>
      <w:r w:rsidRPr="00BF083C">
        <w:t xml:space="preserve"> et de </w:t>
      </w:r>
      <w:proofErr w:type="spellStart"/>
      <w:r w:rsidRPr="00BF083C">
        <w:t>durabilité</w:t>
      </w:r>
      <w:proofErr w:type="spellEnd"/>
      <w:r w:rsidRPr="00BF083C">
        <w:t xml:space="preserve">. La COI </w:t>
      </w:r>
      <w:proofErr w:type="spellStart"/>
      <w:r w:rsidRPr="00BF083C">
        <w:t>continuera</w:t>
      </w:r>
      <w:proofErr w:type="spellEnd"/>
      <w:r w:rsidRPr="00BF083C">
        <w:t xml:space="preserve"> de </w:t>
      </w:r>
      <w:proofErr w:type="spellStart"/>
      <w:r w:rsidRPr="00BF083C">
        <w:t>surveiller</w:t>
      </w:r>
      <w:proofErr w:type="spellEnd"/>
      <w:r w:rsidRPr="00BF083C">
        <w:t xml:space="preserve"> la situation de </w:t>
      </w:r>
      <w:proofErr w:type="spellStart"/>
      <w:r w:rsidRPr="00BF083C">
        <w:t>l’égalité</w:t>
      </w:r>
      <w:proofErr w:type="spellEnd"/>
      <w:r w:rsidRPr="00BF083C">
        <w:t xml:space="preserve"> des genres dans les sciences </w:t>
      </w:r>
      <w:proofErr w:type="spellStart"/>
      <w:r w:rsidRPr="00BF083C">
        <w:t>océaniques</w:t>
      </w:r>
      <w:proofErr w:type="spellEnd"/>
      <w:r w:rsidRPr="00BF083C">
        <w:t xml:space="preserve">. Des </w:t>
      </w:r>
      <w:proofErr w:type="spellStart"/>
      <w:r w:rsidRPr="00BF083C">
        <w:t>données</w:t>
      </w:r>
      <w:proofErr w:type="spellEnd"/>
      <w:r w:rsidRPr="00BF083C">
        <w:t xml:space="preserve"> </w:t>
      </w:r>
      <w:proofErr w:type="spellStart"/>
      <w:r w:rsidRPr="00BF083C">
        <w:t>clés</w:t>
      </w:r>
      <w:proofErr w:type="spellEnd"/>
      <w:r w:rsidRPr="00BF083C">
        <w:t xml:space="preserve"> </w:t>
      </w:r>
      <w:proofErr w:type="spellStart"/>
      <w:r w:rsidRPr="00BF083C">
        <w:t>ventilées</w:t>
      </w:r>
      <w:proofErr w:type="spellEnd"/>
      <w:r w:rsidRPr="00BF083C">
        <w:t xml:space="preserve"> par </w:t>
      </w:r>
      <w:proofErr w:type="spellStart"/>
      <w:r w:rsidRPr="00BF083C">
        <w:t>sexe</w:t>
      </w:r>
      <w:proofErr w:type="spellEnd"/>
      <w:r w:rsidRPr="00BF083C">
        <w:t xml:space="preserve"> </w:t>
      </w:r>
      <w:proofErr w:type="spellStart"/>
      <w:r w:rsidRPr="00BF083C">
        <w:t>seront</w:t>
      </w:r>
      <w:proofErr w:type="spellEnd"/>
      <w:r w:rsidRPr="00BF083C">
        <w:t xml:space="preserve"> </w:t>
      </w:r>
      <w:proofErr w:type="spellStart"/>
      <w:r w:rsidRPr="00BF083C">
        <w:t>intégrées</w:t>
      </w:r>
      <w:proofErr w:type="spellEnd"/>
      <w:r w:rsidRPr="00BF083C">
        <w:t xml:space="preserve"> au </w:t>
      </w:r>
      <w:proofErr w:type="spellStart"/>
      <w:r w:rsidRPr="00BF083C">
        <w:t>portail</w:t>
      </w:r>
      <w:proofErr w:type="spellEnd"/>
      <w:r w:rsidRPr="00BF083C">
        <w:t xml:space="preserve"> </w:t>
      </w:r>
      <w:proofErr w:type="spellStart"/>
      <w:r w:rsidRPr="00BF083C">
        <w:t>consacré</w:t>
      </w:r>
      <w:proofErr w:type="spellEnd"/>
      <w:r w:rsidRPr="00BF083C">
        <w:t xml:space="preserve"> au Rapport </w:t>
      </w:r>
      <w:proofErr w:type="spellStart"/>
      <w:r w:rsidRPr="00BF083C">
        <w:t>mondial</w:t>
      </w:r>
      <w:proofErr w:type="spellEnd"/>
      <w:r w:rsidRPr="00BF083C">
        <w:t xml:space="preserve"> sur les sciences </w:t>
      </w:r>
      <w:proofErr w:type="spellStart"/>
      <w:r w:rsidRPr="00BF083C">
        <w:t>océaniques</w:t>
      </w:r>
      <w:proofErr w:type="spellEnd"/>
      <w:r w:rsidRPr="00BF083C">
        <w:t xml:space="preserve">, qui les </w:t>
      </w:r>
      <w:proofErr w:type="spellStart"/>
      <w:r w:rsidRPr="00BF083C">
        <w:t>mettra</w:t>
      </w:r>
      <w:proofErr w:type="spellEnd"/>
      <w:r w:rsidRPr="00BF083C">
        <w:t xml:space="preserve"> à la disposition des </w:t>
      </w:r>
      <w:proofErr w:type="spellStart"/>
      <w:r w:rsidRPr="00BF083C">
        <w:t>utilisateurs</w:t>
      </w:r>
      <w:proofErr w:type="spellEnd"/>
      <w:r w:rsidRPr="00BF083C">
        <w:t xml:space="preserve"> pour guider les </w:t>
      </w:r>
      <w:proofErr w:type="spellStart"/>
      <w:r w:rsidRPr="00BF083C">
        <w:t>investissements</w:t>
      </w:r>
      <w:proofErr w:type="spellEnd"/>
      <w:r w:rsidRPr="00BF083C">
        <w:t xml:space="preserve"> et les efforts de </w:t>
      </w:r>
      <w:proofErr w:type="spellStart"/>
      <w:r w:rsidRPr="00BF083C">
        <w:t>développement</w:t>
      </w:r>
      <w:proofErr w:type="spellEnd"/>
      <w:r w:rsidRPr="00BF083C">
        <w:t xml:space="preserve"> des </w:t>
      </w:r>
      <w:proofErr w:type="spellStart"/>
      <w:r w:rsidRPr="00BF083C">
        <w:t>capacités</w:t>
      </w:r>
      <w:proofErr w:type="spellEnd"/>
      <w:r w:rsidRPr="00BF083C">
        <w:t xml:space="preserve">. La Commission </w:t>
      </w:r>
      <w:proofErr w:type="spellStart"/>
      <w:r w:rsidRPr="00BF083C">
        <w:t>favorisera</w:t>
      </w:r>
      <w:proofErr w:type="spellEnd"/>
      <w:r w:rsidRPr="00BF083C">
        <w:t xml:space="preserve"> </w:t>
      </w:r>
      <w:proofErr w:type="spellStart"/>
      <w:r w:rsidRPr="00BF083C">
        <w:t>également</w:t>
      </w:r>
      <w:proofErr w:type="spellEnd"/>
      <w:r w:rsidRPr="00BF083C">
        <w:t xml:space="preserve"> la mise </w:t>
      </w:r>
      <w:proofErr w:type="spellStart"/>
      <w:r w:rsidRPr="00BF083C">
        <w:t>en</w:t>
      </w:r>
      <w:proofErr w:type="spellEnd"/>
      <w:r w:rsidRPr="00BF083C">
        <w:t xml:space="preserve"> place de </w:t>
      </w:r>
      <w:proofErr w:type="spellStart"/>
      <w:r w:rsidRPr="00BF083C">
        <w:t>réseaux</w:t>
      </w:r>
      <w:proofErr w:type="spellEnd"/>
      <w:r w:rsidRPr="00BF083C">
        <w:t xml:space="preserve"> de </w:t>
      </w:r>
      <w:proofErr w:type="spellStart"/>
      <w:r w:rsidRPr="00BF083C">
        <w:t>jeunes</w:t>
      </w:r>
      <w:proofErr w:type="spellEnd"/>
      <w:r w:rsidRPr="00BF083C">
        <w:t xml:space="preserve"> </w:t>
      </w:r>
      <w:proofErr w:type="spellStart"/>
      <w:r w:rsidRPr="00BF083C">
        <w:t>spécialistes</w:t>
      </w:r>
      <w:proofErr w:type="spellEnd"/>
      <w:r w:rsidRPr="00BF083C">
        <w:t xml:space="preserve"> des </w:t>
      </w:r>
      <w:proofErr w:type="spellStart"/>
      <w:r w:rsidRPr="00BF083C">
        <w:t>océans</w:t>
      </w:r>
      <w:proofErr w:type="spellEnd"/>
      <w:r w:rsidRPr="00BF083C">
        <w:t xml:space="preserve"> et </w:t>
      </w:r>
      <w:proofErr w:type="spellStart"/>
      <w:r w:rsidRPr="00BF083C">
        <w:t>cherchera</w:t>
      </w:r>
      <w:proofErr w:type="spellEnd"/>
      <w:r w:rsidRPr="00BF083C">
        <w:t xml:space="preserve"> à </w:t>
      </w:r>
      <w:proofErr w:type="spellStart"/>
      <w:r w:rsidRPr="00BF083C">
        <w:t>soutenir</w:t>
      </w:r>
      <w:proofErr w:type="spellEnd"/>
      <w:r w:rsidRPr="00BF083C">
        <w:t xml:space="preserve"> </w:t>
      </w:r>
      <w:proofErr w:type="spellStart"/>
      <w:r w:rsidRPr="00BF083C">
        <w:t>leur</w:t>
      </w:r>
      <w:proofErr w:type="spellEnd"/>
      <w:r w:rsidRPr="00BF083C">
        <w:t xml:space="preserve"> formation </w:t>
      </w:r>
      <w:proofErr w:type="spellStart"/>
      <w:r w:rsidRPr="00BF083C">
        <w:t>professionnelle</w:t>
      </w:r>
      <w:proofErr w:type="spellEnd"/>
      <w:r w:rsidRPr="00BF083C">
        <w:t xml:space="preserve"> et </w:t>
      </w:r>
      <w:proofErr w:type="spellStart"/>
      <w:r w:rsidRPr="00BF083C">
        <w:t>leur</w:t>
      </w:r>
      <w:proofErr w:type="spellEnd"/>
      <w:r w:rsidRPr="00BF083C">
        <w:t xml:space="preserve"> participation aux affaires </w:t>
      </w:r>
      <w:proofErr w:type="spellStart"/>
      <w:r w:rsidRPr="00BF083C">
        <w:t>maritimes</w:t>
      </w:r>
      <w:proofErr w:type="spellEnd"/>
      <w:r w:rsidRPr="00BF083C">
        <w:t xml:space="preserve">, sur </w:t>
      </w:r>
      <w:proofErr w:type="spellStart"/>
      <w:r w:rsidRPr="00BF083C">
        <w:t>une</w:t>
      </w:r>
      <w:proofErr w:type="spellEnd"/>
      <w:r w:rsidRPr="00BF083C">
        <w:t xml:space="preserve"> base </w:t>
      </w:r>
      <w:proofErr w:type="spellStart"/>
      <w:r w:rsidRPr="00BF083C">
        <w:t>équitable</w:t>
      </w:r>
      <w:proofErr w:type="spellEnd"/>
      <w:r w:rsidRPr="00BF083C">
        <w:t xml:space="preserve"> et </w:t>
      </w:r>
      <w:proofErr w:type="spellStart"/>
      <w:r w:rsidRPr="00BF083C">
        <w:t>respectueuse</w:t>
      </w:r>
      <w:proofErr w:type="spellEnd"/>
      <w:r w:rsidRPr="00BF083C">
        <w:t xml:space="preserve"> de la </w:t>
      </w:r>
      <w:proofErr w:type="spellStart"/>
      <w:r w:rsidRPr="00BF083C">
        <w:t>parité</w:t>
      </w:r>
      <w:proofErr w:type="spellEnd"/>
      <w:r w:rsidRPr="00BF083C">
        <w:t xml:space="preserve"> hommes-femmes.</w:t>
      </w:r>
    </w:p>
    <w:p w14:paraId="5B81B92C" w14:textId="72F70056" w:rsidR="00427F27" w:rsidRPr="00BF083C" w:rsidRDefault="00C50366" w:rsidP="00427F27">
      <w:pPr>
        <w:pStyle w:val="Marge"/>
        <w:tabs>
          <w:tab w:val="clear" w:pos="567"/>
          <w:tab w:val="left" w:pos="1162"/>
        </w:tabs>
        <w:spacing w:line="240" w:lineRule="auto"/>
        <w:rPr>
          <w:b/>
          <w:bCs/>
          <w:i/>
          <w:iCs/>
        </w:rPr>
      </w:pPr>
      <w:proofErr w:type="spellStart"/>
      <w:r w:rsidRPr="00BF083C">
        <w:rPr>
          <w:b/>
          <w:bCs/>
          <w:i/>
          <w:iCs/>
        </w:rPr>
        <w:t>Groupes</w:t>
      </w:r>
      <w:proofErr w:type="spellEnd"/>
      <w:r w:rsidRPr="00BF083C">
        <w:rPr>
          <w:b/>
          <w:bCs/>
          <w:i/>
          <w:iCs/>
        </w:rPr>
        <w:t xml:space="preserve"> </w:t>
      </w:r>
      <w:proofErr w:type="spellStart"/>
      <w:r w:rsidRPr="00BF083C">
        <w:rPr>
          <w:b/>
          <w:bCs/>
          <w:i/>
          <w:iCs/>
        </w:rPr>
        <w:t>prioritaires</w:t>
      </w:r>
      <w:proofErr w:type="spellEnd"/>
    </w:p>
    <w:p w14:paraId="1DC0C07B" w14:textId="6F7197D6" w:rsidR="00C50366" w:rsidRPr="00BF083C" w:rsidRDefault="00427F27" w:rsidP="00427F27">
      <w:pPr>
        <w:pStyle w:val="Marge"/>
        <w:tabs>
          <w:tab w:val="clear" w:pos="567"/>
          <w:tab w:val="left" w:pos="1162"/>
        </w:tabs>
        <w:spacing w:line="240" w:lineRule="auto"/>
      </w:pPr>
      <w:r w:rsidRPr="00BF083C">
        <w:rPr>
          <w:bdr w:val="single" w:sz="4" w:space="0" w:color="auto"/>
        </w:rPr>
        <w:t>03013</w:t>
      </w:r>
      <w:r w:rsidRPr="00BF083C">
        <w:tab/>
      </w:r>
      <w:proofErr w:type="spellStart"/>
      <w:r w:rsidRPr="00BF083C">
        <w:t>Guidée</w:t>
      </w:r>
      <w:proofErr w:type="spellEnd"/>
      <w:r w:rsidRPr="00BF083C">
        <w:t xml:space="preserve"> par les </w:t>
      </w:r>
      <w:proofErr w:type="spellStart"/>
      <w:r w:rsidRPr="00BF083C">
        <w:t>Modalités</w:t>
      </w:r>
      <w:proofErr w:type="spellEnd"/>
      <w:r w:rsidRPr="00BF083C">
        <w:t xml:space="preserve"> </w:t>
      </w:r>
      <w:proofErr w:type="spellStart"/>
      <w:r w:rsidRPr="00BF083C">
        <w:t>d’action</w:t>
      </w:r>
      <w:proofErr w:type="spellEnd"/>
      <w:r w:rsidRPr="00BF083C">
        <w:t xml:space="preserve"> </w:t>
      </w:r>
      <w:proofErr w:type="spellStart"/>
      <w:r w:rsidRPr="00BF083C">
        <w:t>accélérées</w:t>
      </w:r>
      <w:proofErr w:type="spellEnd"/>
      <w:r w:rsidRPr="00BF083C">
        <w:t xml:space="preserve"> des petits </w:t>
      </w:r>
      <w:proofErr w:type="spellStart"/>
      <w:r w:rsidRPr="00BF083C">
        <w:t>États</w:t>
      </w:r>
      <w:proofErr w:type="spellEnd"/>
      <w:r w:rsidRPr="00BF083C">
        <w:t xml:space="preserve"> </w:t>
      </w:r>
      <w:proofErr w:type="spellStart"/>
      <w:r w:rsidRPr="00BF083C">
        <w:t>insulaires</w:t>
      </w:r>
      <w:proofErr w:type="spellEnd"/>
      <w:r w:rsidRPr="00BF083C">
        <w:t xml:space="preserve"> </w:t>
      </w:r>
      <w:proofErr w:type="spellStart"/>
      <w:r w:rsidRPr="00BF083C">
        <w:t>en</w:t>
      </w:r>
      <w:proofErr w:type="spellEnd"/>
      <w:r w:rsidRPr="00BF083C">
        <w:t xml:space="preserve"> </w:t>
      </w:r>
      <w:proofErr w:type="spellStart"/>
      <w:r w:rsidRPr="00BF083C">
        <w:t>développement</w:t>
      </w:r>
      <w:proofErr w:type="spellEnd"/>
      <w:r w:rsidRPr="00BF083C">
        <w:t xml:space="preserve"> (Orientations de Samoa) et par le Plan </w:t>
      </w:r>
      <w:proofErr w:type="spellStart"/>
      <w:r w:rsidRPr="00BF083C">
        <w:t>d’action</w:t>
      </w:r>
      <w:proofErr w:type="spellEnd"/>
      <w:r w:rsidRPr="00BF083C">
        <w:t xml:space="preserve"> de </w:t>
      </w:r>
      <w:proofErr w:type="spellStart"/>
      <w:r w:rsidRPr="00BF083C">
        <w:t>l’UNESCO</w:t>
      </w:r>
      <w:proofErr w:type="spellEnd"/>
      <w:r w:rsidRPr="00BF083C">
        <w:t xml:space="preserve"> pour les PEID, la COI </w:t>
      </w:r>
      <w:proofErr w:type="spellStart"/>
      <w:r w:rsidRPr="00BF083C">
        <w:t>agira</w:t>
      </w:r>
      <w:proofErr w:type="spellEnd"/>
      <w:r w:rsidRPr="00BF083C">
        <w:t xml:space="preserve"> </w:t>
      </w:r>
      <w:proofErr w:type="spellStart"/>
      <w:r w:rsidRPr="00BF083C">
        <w:t>en</w:t>
      </w:r>
      <w:proofErr w:type="spellEnd"/>
      <w:r w:rsidRPr="00BF083C">
        <w:t xml:space="preserve"> tant que fervent </w:t>
      </w:r>
      <w:proofErr w:type="spellStart"/>
      <w:r w:rsidRPr="00BF083C">
        <w:t>défenseur</w:t>
      </w:r>
      <w:proofErr w:type="spellEnd"/>
      <w:r w:rsidRPr="00BF083C">
        <w:t xml:space="preserve"> des PEID, dans le cadre d’un dialogue </w:t>
      </w:r>
      <w:proofErr w:type="spellStart"/>
      <w:r w:rsidRPr="00BF083C">
        <w:t>accru</w:t>
      </w:r>
      <w:proofErr w:type="spellEnd"/>
      <w:r w:rsidRPr="00BF083C">
        <w:t xml:space="preserve"> avec </w:t>
      </w:r>
      <w:proofErr w:type="spellStart"/>
      <w:r w:rsidRPr="00BF083C">
        <w:t>ces</w:t>
      </w:r>
      <w:proofErr w:type="spellEnd"/>
      <w:r w:rsidRPr="00BF083C">
        <w:t xml:space="preserve"> </w:t>
      </w:r>
      <w:proofErr w:type="spellStart"/>
      <w:r w:rsidRPr="00BF083C">
        <w:t>États</w:t>
      </w:r>
      <w:proofErr w:type="spellEnd"/>
      <w:r w:rsidRPr="00BF083C">
        <w:t xml:space="preserve"> et </w:t>
      </w:r>
      <w:proofErr w:type="spellStart"/>
      <w:r w:rsidRPr="00BF083C">
        <w:t>en</w:t>
      </w:r>
      <w:proofErr w:type="spellEnd"/>
      <w:r w:rsidRPr="00BF083C">
        <w:t xml:space="preserve"> tenant </w:t>
      </w:r>
      <w:proofErr w:type="spellStart"/>
      <w:r w:rsidRPr="00BF083C">
        <w:t>compte</w:t>
      </w:r>
      <w:proofErr w:type="spellEnd"/>
      <w:r w:rsidRPr="00BF083C">
        <w:t xml:space="preserve"> de </w:t>
      </w:r>
      <w:proofErr w:type="spellStart"/>
      <w:r w:rsidRPr="00BF083C">
        <w:t>l’enquête</w:t>
      </w:r>
      <w:proofErr w:type="spellEnd"/>
      <w:r w:rsidRPr="00BF083C">
        <w:t xml:space="preserve"> </w:t>
      </w:r>
      <w:proofErr w:type="spellStart"/>
      <w:r w:rsidRPr="00BF083C">
        <w:t>qu’elle</w:t>
      </w:r>
      <w:proofErr w:type="spellEnd"/>
      <w:r w:rsidRPr="00BF083C">
        <w:t xml:space="preserve"> a </w:t>
      </w:r>
      <w:proofErr w:type="spellStart"/>
      <w:r w:rsidRPr="00BF083C">
        <w:t>récemment</w:t>
      </w:r>
      <w:proofErr w:type="spellEnd"/>
      <w:r w:rsidRPr="00BF083C">
        <w:t xml:space="preserve"> </w:t>
      </w:r>
      <w:proofErr w:type="spellStart"/>
      <w:r w:rsidRPr="00BF083C">
        <w:t>menée</w:t>
      </w:r>
      <w:proofErr w:type="spellEnd"/>
      <w:r w:rsidRPr="00BF083C">
        <w:t xml:space="preserve"> sur les </w:t>
      </w:r>
      <w:proofErr w:type="spellStart"/>
      <w:r w:rsidRPr="00BF083C">
        <w:t>besoins</w:t>
      </w:r>
      <w:proofErr w:type="spellEnd"/>
      <w:r w:rsidRPr="00BF083C">
        <w:t xml:space="preserve"> </w:t>
      </w:r>
      <w:proofErr w:type="spellStart"/>
      <w:r w:rsidRPr="00BF083C">
        <w:t>en</w:t>
      </w:r>
      <w:proofErr w:type="spellEnd"/>
      <w:r w:rsidRPr="00BF083C">
        <w:t xml:space="preserve"> matière de </w:t>
      </w:r>
      <w:proofErr w:type="spellStart"/>
      <w:r w:rsidRPr="00BF083C">
        <w:t>développement</w:t>
      </w:r>
      <w:proofErr w:type="spellEnd"/>
      <w:r w:rsidRPr="00BF083C">
        <w:t xml:space="preserve"> des </w:t>
      </w:r>
      <w:proofErr w:type="spellStart"/>
      <w:r w:rsidRPr="00BF083C">
        <w:t>capacités</w:t>
      </w:r>
      <w:proofErr w:type="spellEnd"/>
      <w:r w:rsidRPr="00BF083C">
        <w:t xml:space="preserve">, </w:t>
      </w:r>
      <w:proofErr w:type="spellStart"/>
      <w:r w:rsidRPr="00BF083C">
        <w:t>laquelle</w:t>
      </w:r>
      <w:proofErr w:type="spellEnd"/>
      <w:r w:rsidRPr="00BF083C">
        <w:t xml:space="preserve"> </w:t>
      </w:r>
      <w:proofErr w:type="spellStart"/>
      <w:r w:rsidRPr="00BF083C">
        <w:t>décrivait</w:t>
      </w:r>
      <w:proofErr w:type="spellEnd"/>
      <w:r w:rsidRPr="00BF083C">
        <w:t xml:space="preserve"> les </w:t>
      </w:r>
      <w:proofErr w:type="spellStart"/>
      <w:r w:rsidRPr="00BF083C">
        <w:t>intérêts</w:t>
      </w:r>
      <w:proofErr w:type="spellEnd"/>
      <w:r w:rsidRPr="00BF083C">
        <w:t xml:space="preserve"> </w:t>
      </w:r>
      <w:proofErr w:type="spellStart"/>
      <w:r w:rsidRPr="00BF083C">
        <w:t>spécifiques</w:t>
      </w:r>
      <w:proofErr w:type="spellEnd"/>
      <w:r w:rsidRPr="00BF083C">
        <w:t xml:space="preserve"> des </w:t>
      </w:r>
      <w:proofErr w:type="spellStart"/>
      <w:r w:rsidRPr="00BF083C">
        <w:t>États</w:t>
      </w:r>
      <w:proofErr w:type="spellEnd"/>
      <w:r w:rsidRPr="00BF083C">
        <w:t xml:space="preserve"> </w:t>
      </w:r>
      <w:proofErr w:type="spellStart"/>
      <w:r w:rsidRPr="00BF083C">
        <w:t>insulaires</w:t>
      </w:r>
      <w:proofErr w:type="spellEnd"/>
      <w:r w:rsidRPr="00BF083C">
        <w:t xml:space="preserve">. Elle </w:t>
      </w:r>
      <w:proofErr w:type="spellStart"/>
      <w:r w:rsidRPr="00BF083C">
        <w:t>continuera</w:t>
      </w:r>
      <w:proofErr w:type="spellEnd"/>
      <w:r w:rsidRPr="00BF083C">
        <w:t xml:space="preserve"> de </w:t>
      </w:r>
      <w:proofErr w:type="spellStart"/>
      <w:r w:rsidRPr="00BF083C">
        <w:t>fournir</w:t>
      </w:r>
      <w:proofErr w:type="spellEnd"/>
      <w:r w:rsidRPr="00BF083C">
        <w:t xml:space="preserve"> des services </w:t>
      </w:r>
      <w:proofErr w:type="spellStart"/>
      <w:r w:rsidRPr="00BF083C">
        <w:t>d’alerte</w:t>
      </w:r>
      <w:proofErr w:type="spellEnd"/>
      <w:r w:rsidRPr="00BF083C">
        <w:t xml:space="preserve"> aux tsunamis </w:t>
      </w:r>
      <w:proofErr w:type="spellStart"/>
      <w:r w:rsidRPr="00BF083C">
        <w:t>en</w:t>
      </w:r>
      <w:proofErr w:type="spellEnd"/>
      <w:r w:rsidRPr="00BF083C">
        <w:t xml:space="preserve"> </w:t>
      </w:r>
      <w:proofErr w:type="spellStart"/>
      <w:r w:rsidRPr="00BF083C">
        <w:t>mettant</w:t>
      </w:r>
      <w:proofErr w:type="spellEnd"/>
      <w:r w:rsidRPr="00BF083C">
        <w:t xml:space="preserve"> </w:t>
      </w:r>
      <w:proofErr w:type="spellStart"/>
      <w:r w:rsidRPr="00BF083C">
        <w:t>particulièrement</w:t>
      </w:r>
      <w:proofErr w:type="spellEnd"/>
      <w:r w:rsidRPr="00BF083C">
        <w:t xml:space="preserve"> </w:t>
      </w:r>
      <w:proofErr w:type="spellStart"/>
      <w:r w:rsidRPr="00BF083C">
        <w:t>l’accent</w:t>
      </w:r>
      <w:proofErr w:type="spellEnd"/>
      <w:r w:rsidRPr="00BF083C">
        <w:t xml:space="preserve"> sur la </w:t>
      </w:r>
      <w:proofErr w:type="spellStart"/>
      <w:r w:rsidRPr="00BF083C">
        <w:t>préparation</w:t>
      </w:r>
      <w:proofErr w:type="spellEnd"/>
      <w:r w:rsidRPr="00BF083C">
        <w:t xml:space="preserve"> des pays dans le cadre de son programme </w:t>
      </w:r>
      <w:proofErr w:type="spellStart"/>
      <w:r w:rsidRPr="00BF083C">
        <w:t>pilote</w:t>
      </w:r>
      <w:proofErr w:type="spellEnd"/>
      <w:r w:rsidRPr="00BF083C">
        <w:t xml:space="preserve"> « Tsunami Ready ». Le Programme </w:t>
      </w:r>
      <w:proofErr w:type="spellStart"/>
      <w:r w:rsidRPr="00BF083C">
        <w:t>mondial</w:t>
      </w:r>
      <w:proofErr w:type="spellEnd"/>
      <w:r w:rsidRPr="00BF083C">
        <w:t xml:space="preserve"> de recherche sur le </w:t>
      </w:r>
      <w:proofErr w:type="spellStart"/>
      <w:r w:rsidRPr="00BF083C">
        <w:t>climat</w:t>
      </w:r>
      <w:proofErr w:type="spellEnd"/>
      <w:r w:rsidRPr="00BF083C">
        <w:t xml:space="preserve">, </w:t>
      </w:r>
      <w:proofErr w:type="spellStart"/>
      <w:r w:rsidRPr="00BF083C">
        <w:t>coparrainé</w:t>
      </w:r>
      <w:proofErr w:type="spellEnd"/>
      <w:r w:rsidRPr="00BF083C">
        <w:t xml:space="preserve"> par la COI, </w:t>
      </w:r>
      <w:proofErr w:type="spellStart"/>
      <w:r w:rsidRPr="00BF083C">
        <w:t>aidera</w:t>
      </w:r>
      <w:proofErr w:type="spellEnd"/>
      <w:r w:rsidRPr="00BF083C">
        <w:t xml:space="preserve"> les PEID à faire face aux </w:t>
      </w:r>
      <w:proofErr w:type="spellStart"/>
      <w:r w:rsidRPr="00BF083C">
        <w:t>conséquences</w:t>
      </w:r>
      <w:proofErr w:type="spellEnd"/>
      <w:r w:rsidRPr="00BF083C">
        <w:t xml:space="preserve"> de </w:t>
      </w:r>
      <w:proofErr w:type="spellStart"/>
      <w:r w:rsidRPr="00BF083C">
        <w:t>l’élévation</w:t>
      </w:r>
      <w:proofErr w:type="spellEnd"/>
      <w:r w:rsidRPr="00BF083C">
        <w:t xml:space="preserve"> du </w:t>
      </w:r>
      <w:proofErr w:type="spellStart"/>
      <w:r w:rsidRPr="00BF083C">
        <w:t>niveau</w:t>
      </w:r>
      <w:proofErr w:type="spellEnd"/>
      <w:r w:rsidRPr="00BF083C">
        <w:t xml:space="preserve"> de la </w:t>
      </w:r>
      <w:proofErr w:type="spellStart"/>
      <w:r w:rsidRPr="00BF083C">
        <w:t>mer</w:t>
      </w:r>
      <w:proofErr w:type="spellEnd"/>
      <w:r w:rsidRPr="00BF083C">
        <w:t xml:space="preserve"> et de </w:t>
      </w:r>
      <w:proofErr w:type="spellStart"/>
      <w:r w:rsidRPr="00BF083C">
        <w:t>ses</w:t>
      </w:r>
      <w:proofErr w:type="spellEnd"/>
      <w:r w:rsidRPr="00BF083C">
        <w:t xml:space="preserve"> variations </w:t>
      </w:r>
      <w:proofErr w:type="spellStart"/>
      <w:r w:rsidRPr="00BF083C">
        <w:t>régionales</w:t>
      </w:r>
      <w:proofErr w:type="spellEnd"/>
      <w:r w:rsidRPr="00BF083C">
        <w:t xml:space="preserve">. La formation aux affaires </w:t>
      </w:r>
      <w:proofErr w:type="spellStart"/>
      <w:r w:rsidRPr="00BF083C">
        <w:t>maritimes</w:t>
      </w:r>
      <w:proofErr w:type="spellEnd"/>
      <w:r w:rsidRPr="00BF083C">
        <w:t xml:space="preserve"> sera </w:t>
      </w:r>
      <w:proofErr w:type="spellStart"/>
      <w:r w:rsidRPr="00BF083C">
        <w:t>renforcée</w:t>
      </w:r>
      <w:proofErr w:type="spellEnd"/>
      <w:r w:rsidRPr="00BF083C">
        <w:t xml:space="preserve">. Elle </w:t>
      </w:r>
      <w:proofErr w:type="spellStart"/>
      <w:r w:rsidRPr="00BF083C">
        <w:t>commencera</w:t>
      </w:r>
      <w:proofErr w:type="spellEnd"/>
      <w:r w:rsidRPr="00BF083C">
        <w:t xml:space="preserve"> pour la première </w:t>
      </w:r>
      <w:proofErr w:type="spellStart"/>
      <w:r w:rsidRPr="00BF083C">
        <w:t>fois</w:t>
      </w:r>
      <w:proofErr w:type="spellEnd"/>
      <w:r w:rsidRPr="00BF083C">
        <w:t xml:space="preserve"> dans le </w:t>
      </w:r>
      <w:proofErr w:type="spellStart"/>
      <w:r w:rsidRPr="00BF083C">
        <w:t>Pacifique</w:t>
      </w:r>
      <w:proofErr w:type="spellEnd"/>
      <w:r w:rsidRPr="00BF083C">
        <w:t xml:space="preserve"> et sera </w:t>
      </w:r>
      <w:proofErr w:type="spellStart"/>
      <w:r w:rsidRPr="00BF083C">
        <w:t>axée</w:t>
      </w:r>
      <w:proofErr w:type="spellEnd"/>
      <w:r w:rsidRPr="00BF083C">
        <w:t xml:space="preserve"> sur le </w:t>
      </w:r>
      <w:proofErr w:type="spellStart"/>
      <w:r w:rsidRPr="00BF083C">
        <w:t>développement</w:t>
      </w:r>
      <w:proofErr w:type="spellEnd"/>
      <w:r w:rsidRPr="00BF083C">
        <w:t xml:space="preserve"> des </w:t>
      </w:r>
      <w:proofErr w:type="spellStart"/>
      <w:r w:rsidRPr="00BF083C">
        <w:t>capacités</w:t>
      </w:r>
      <w:proofErr w:type="spellEnd"/>
      <w:r w:rsidRPr="00BF083C">
        <w:t xml:space="preserve"> des PEID dans le </w:t>
      </w:r>
      <w:proofErr w:type="spellStart"/>
      <w:r w:rsidRPr="00BF083C">
        <w:t>domaine</w:t>
      </w:r>
      <w:proofErr w:type="spellEnd"/>
      <w:r w:rsidRPr="00BF083C">
        <w:t xml:space="preserve"> des sciences et des technologies </w:t>
      </w:r>
      <w:proofErr w:type="spellStart"/>
      <w:r w:rsidRPr="00BF083C">
        <w:t>océanographiques</w:t>
      </w:r>
      <w:proofErr w:type="spellEnd"/>
      <w:r w:rsidRPr="00BF083C">
        <w:t xml:space="preserve">, </w:t>
      </w:r>
      <w:proofErr w:type="spellStart"/>
      <w:r w:rsidRPr="00BF083C">
        <w:t>ainsi</w:t>
      </w:r>
      <w:proofErr w:type="spellEnd"/>
      <w:r w:rsidRPr="00BF083C">
        <w:t xml:space="preserve"> que sur </w:t>
      </w:r>
      <w:proofErr w:type="spellStart"/>
      <w:r w:rsidRPr="00BF083C">
        <w:t>l’amélioration</w:t>
      </w:r>
      <w:proofErr w:type="spellEnd"/>
      <w:r w:rsidRPr="00BF083C">
        <w:t xml:space="preserve"> de la </w:t>
      </w:r>
      <w:proofErr w:type="spellStart"/>
      <w:r w:rsidRPr="00BF083C">
        <w:t>coopération</w:t>
      </w:r>
      <w:proofErr w:type="spellEnd"/>
      <w:r w:rsidRPr="00BF083C">
        <w:t xml:space="preserve"> </w:t>
      </w:r>
      <w:proofErr w:type="spellStart"/>
      <w:r w:rsidRPr="00BF083C">
        <w:t>en</w:t>
      </w:r>
      <w:proofErr w:type="spellEnd"/>
      <w:r w:rsidRPr="00BF083C">
        <w:t xml:space="preserve"> </w:t>
      </w:r>
      <w:proofErr w:type="spellStart"/>
      <w:r w:rsidRPr="00BF083C">
        <w:t>vue</w:t>
      </w:r>
      <w:proofErr w:type="spellEnd"/>
      <w:r w:rsidRPr="00BF083C">
        <w:t xml:space="preserve"> de la gestion de </w:t>
      </w:r>
      <w:proofErr w:type="spellStart"/>
      <w:r w:rsidRPr="00BF083C">
        <w:t>tous</w:t>
      </w:r>
      <w:proofErr w:type="spellEnd"/>
      <w:r w:rsidRPr="00BF083C">
        <w:t xml:space="preserve"> les aspects </w:t>
      </w:r>
      <w:proofErr w:type="spellStart"/>
      <w:r w:rsidRPr="00BF083C">
        <w:t>liés</w:t>
      </w:r>
      <w:proofErr w:type="spellEnd"/>
      <w:r w:rsidRPr="00BF083C">
        <w:t xml:space="preserve"> à la </w:t>
      </w:r>
      <w:proofErr w:type="spellStart"/>
      <w:r w:rsidRPr="00BF083C">
        <w:t>santé</w:t>
      </w:r>
      <w:proofErr w:type="spellEnd"/>
      <w:r w:rsidRPr="00BF083C">
        <w:t xml:space="preserve"> des </w:t>
      </w:r>
      <w:proofErr w:type="spellStart"/>
      <w:r w:rsidRPr="00BF083C">
        <w:t>océans</w:t>
      </w:r>
      <w:proofErr w:type="spellEnd"/>
      <w:r w:rsidRPr="00BF083C">
        <w:t xml:space="preserve">, y </w:t>
      </w:r>
      <w:proofErr w:type="spellStart"/>
      <w:r w:rsidRPr="00BF083C">
        <w:t>compris</w:t>
      </w:r>
      <w:proofErr w:type="spellEnd"/>
      <w:r w:rsidRPr="00BF083C">
        <w:t xml:space="preserve"> les </w:t>
      </w:r>
      <w:proofErr w:type="spellStart"/>
      <w:r w:rsidRPr="00BF083C">
        <w:t>effets</w:t>
      </w:r>
      <w:proofErr w:type="spellEnd"/>
      <w:r w:rsidRPr="00BF083C">
        <w:t xml:space="preserve"> de </w:t>
      </w:r>
      <w:proofErr w:type="spellStart"/>
      <w:r w:rsidRPr="00BF083C">
        <w:t>l’acidification</w:t>
      </w:r>
      <w:proofErr w:type="spellEnd"/>
      <w:r w:rsidRPr="00BF083C">
        <w:t xml:space="preserve"> des </w:t>
      </w:r>
      <w:proofErr w:type="spellStart"/>
      <w:r w:rsidRPr="00BF083C">
        <w:t>océans</w:t>
      </w:r>
      <w:proofErr w:type="spellEnd"/>
      <w:r w:rsidRPr="00BF083C">
        <w:t xml:space="preserve"> et les impacts des </w:t>
      </w:r>
      <w:proofErr w:type="spellStart"/>
      <w:r w:rsidRPr="00BF083C">
        <w:t>espèces</w:t>
      </w:r>
      <w:proofErr w:type="spellEnd"/>
      <w:r w:rsidRPr="00BF083C">
        <w:t xml:space="preserve"> </w:t>
      </w:r>
      <w:proofErr w:type="spellStart"/>
      <w:r w:rsidRPr="00BF083C">
        <w:t>envahissantes</w:t>
      </w:r>
      <w:proofErr w:type="spellEnd"/>
      <w:r w:rsidRPr="00BF083C">
        <w:t xml:space="preserve">. La COI </w:t>
      </w:r>
      <w:proofErr w:type="spellStart"/>
      <w:r w:rsidRPr="00BF083C">
        <w:t>aidera</w:t>
      </w:r>
      <w:proofErr w:type="spellEnd"/>
      <w:r w:rsidRPr="00BF083C">
        <w:t xml:space="preserve"> les PEID des </w:t>
      </w:r>
      <w:proofErr w:type="spellStart"/>
      <w:r w:rsidRPr="00BF083C">
        <w:t>Caraïbes</w:t>
      </w:r>
      <w:proofErr w:type="spellEnd"/>
      <w:r w:rsidRPr="00BF083C">
        <w:t xml:space="preserve"> </w:t>
      </w:r>
      <w:proofErr w:type="spellStart"/>
      <w:r w:rsidRPr="00BF083C">
        <w:t>en</w:t>
      </w:r>
      <w:proofErr w:type="spellEnd"/>
      <w:r w:rsidRPr="00BF083C">
        <w:t xml:space="preserve"> </w:t>
      </w:r>
      <w:proofErr w:type="spellStart"/>
      <w:r w:rsidRPr="00BF083C">
        <w:t>mettant</w:t>
      </w:r>
      <w:proofErr w:type="spellEnd"/>
      <w:r w:rsidRPr="00BF083C">
        <w:t xml:space="preserve"> </w:t>
      </w:r>
      <w:proofErr w:type="spellStart"/>
      <w:r w:rsidRPr="00BF083C">
        <w:t>en</w:t>
      </w:r>
      <w:proofErr w:type="spellEnd"/>
      <w:r w:rsidRPr="00BF083C">
        <w:t xml:space="preserve"> place des services de surveillance des </w:t>
      </w:r>
      <w:proofErr w:type="spellStart"/>
      <w:r w:rsidRPr="00BF083C">
        <w:t>sargasses</w:t>
      </w:r>
      <w:proofErr w:type="spellEnd"/>
      <w:r w:rsidRPr="00BF083C">
        <w:t xml:space="preserve">. Une attention </w:t>
      </w:r>
      <w:proofErr w:type="spellStart"/>
      <w:r w:rsidRPr="00BF083C">
        <w:t>particulière</w:t>
      </w:r>
      <w:proofErr w:type="spellEnd"/>
      <w:r w:rsidRPr="00BF083C">
        <w:t xml:space="preserve"> </w:t>
      </w:r>
      <w:proofErr w:type="spellStart"/>
      <w:r w:rsidRPr="00BF083C">
        <w:t>devra</w:t>
      </w:r>
      <w:proofErr w:type="spellEnd"/>
      <w:r w:rsidRPr="00BF083C">
        <w:t xml:space="preserve"> </w:t>
      </w:r>
      <w:proofErr w:type="spellStart"/>
      <w:r w:rsidRPr="00BF083C">
        <w:t>être</w:t>
      </w:r>
      <w:proofErr w:type="spellEnd"/>
      <w:r w:rsidRPr="00BF083C">
        <w:t xml:space="preserve"> </w:t>
      </w:r>
      <w:proofErr w:type="spellStart"/>
      <w:r w:rsidRPr="00BF083C">
        <w:t>portée</w:t>
      </w:r>
      <w:proofErr w:type="spellEnd"/>
      <w:r w:rsidRPr="00BF083C">
        <w:t xml:space="preserve"> à la </w:t>
      </w:r>
      <w:proofErr w:type="spellStart"/>
      <w:r w:rsidRPr="00BF083C">
        <w:t>désignation</w:t>
      </w:r>
      <w:proofErr w:type="spellEnd"/>
      <w:r w:rsidRPr="00BF083C">
        <w:t xml:space="preserve"> de divers points </w:t>
      </w:r>
      <w:proofErr w:type="spellStart"/>
      <w:r w:rsidRPr="00BF083C">
        <w:t>focaux</w:t>
      </w:r>
      <w:proofErr w:type="spellEnd"/>
      <w:r w:rsidRPr="00BF083C">
        <w:t xml:space="preserve"> </w:t>
      </w:r>
      <w:proofErr w:type="spellStart"/>
      <w:r w:rsidRPr="00BF083C">
        <w:t>ou</w:t>
      </w:r>
      <w:proofErr w:type="spellEnd"/>
      <w:r w:rsidRPr="00BF083C">
        <w:t xml:space="preserve"> points de contact dans les PEID pour </w:t>
      </w:r>
      <w:proofErr w:type="spellStart"/>
      <w:r w:rsidRPr="00BF083C">
        <w:t>garantir</w:t>
      </w:r>
      <w:proofErr w:type="spellEnd"/>
      <w:r w:rsidRPr="00BF083C">
        <w:t xml:space="preserve"> et </w:t>
      </w:r>
      <w:proofErr w:type="spellStart"/>
      <w:r w:rsidRPr="00BF083C">
        <w:t>faciliter</w:t>
      </w:r>
      <w:proofErr w:type="spellEnd"/>
      <w:r w:rsidRPr="00BF083C">
        <w:t xml:space="preserve"> la </w:t>
      </w:r>
      <w:r w:rsidRPr="00BF083C">
        <w:lastRenderedPageBreak/>
        <w:t xml:space="preserve">participation active de </w:t>
      </w:r>
      <w:proofErr w:type="spellStart"/>
      <w:r w:rsidRPr="00BF083C">
        <w:t>ces</w:t>
      </w:r>
      <w:proofErr w:type="spellEnd"/>
      <w:r w:rsidRPr="00BF083C">
        <w:t xml:space="preserve"> </w:t>
      </w:r>
      <w:proofErr w:type="spellStart"/>
      <w:r w:rsidRPr="00BF083C">
        <w:t>États</w:t>
      </w:r>
      <w:proofErr w:type="spellEnd"/>
      <w:r w:rsidRPr="00BF083C">
        <w:t xml:space="preserve"> aux </w:t>
      </w:r>
      <w:proofErr w:type="spellStart"/>
      <w:r w:rsidRPr="00BF083C">
        <w:t>activités</w:t>
      </w:r>
      <w:proofErr w:type="spellEnd"/>
      <w:r w:rsidRPr="00BF083C">
        <w:t xml:space="preserve"> de programme et aux initiatives de </w:t>
      </w:r>
      <w:proofErr w:type="spellStart"/>
      <w:r w:rsidRPr="00BF083C">
        <w:t>renforcement</w:t>
      </w:r>
      <w:proofErr w:type="spellEnd"/>
      <w:r w:rsidRPr="00BF083C">
        <w:t xml:space="preserve"> des </w:t>
      </w:r>
      <w:proofErr w:type="spellStart"/>
      <w:r w:rsidRPr="00BF083C">
        <w:t>capacités</w:t>
      </w:r>
      <w:proofErr w:type="spellEnd"/>
      <w:r w:rsidRPr="00BF083C">
        <w:t xml:space="preserve"> de la COI.</w:t>
      </w:r>
    </w:p>
    <w:p w14:paraId="70C0F61B" w14:textId="48D639FB" w:rsidR="00427F27" w:rsidRPr="00BF083C" w:rsidRDefault="00427F27" w:rsidP="009D0EB6">
      <w:pPr>
        <w:pStyle w:val="Marge"/>
        <w:tabs>
          <w:tab w:val="clear" w:pos="567"/>
          <w:tab w:val="left" w:pos="1162"/>
        </w:tabs>
        <w:spacing w:line="240" w:lineRule="auto"/>
      </w:pPr>
      <w:r w:rsidRPr="00BF083C">
        <w:rPr>
          <w:bdr w:val="single" w:sz="4" w:space="0" w:color="auto"/>
        </w:rPr>
        <w:t>03014</w:t>
      </w:r>
      <w:r w:rsidRPr="00BF083C">
        <w:tab/>
        <w:t xml:space="preserve">La Commission </w:t>
      </w:r>
      <w:proofErr w:type="spellStart"/>
      <w:r w:rsidRPr="00BF083C">
        <w:t>continuera</w:t>
      </w:r>
      <w:proofErr w:type="spellEnd"/>
      <w:r w:rsidRPr="00BF083C">
        <w:t xml:space="preserve"> de </w:t>
      </w:r>
      <w:proofErr w:type="spellStart"/>
      <w:r w:rsidRPr="00BF083C">
        <w:t>renforcer</w:t>
      </w:r>
      <w:proofErr w:type="spellEnd"/>
      <w:r w:rsidRPr="00BF083C">
        <w:t xml:space="preserve"> </w:t>
      </w:r>
      <w:proofErr w:type="spellStart"/>
      <w:r w:rsidRPr="00BF083C">
        <w:t>sa</w:t>
      </w:r>
      <w:proofErr w:type="spellEnd"/>
      <w:r w:rsidRPr="00BF083C">
        <w:t xml:space="preserve"> </w:t>
      </w:r>
      <w:proofErr w:type="spellStart"/>
      <w:r w:rsidRPr="00BF083C">
        <w:t>capacité</w:t>
      </w:r>
      <w:proofErr w:type="spellEnd"/>
      <w:r w:rsidRPr="00BF083C">
        <w:t xml:space="preserve"> de mobilisation </w:t>
      </w:r>
      <w:proofErr w:type="spellStart"/>
      <w:r w:rsidRPr="00BF083C">
        <w:t>en</w:t>
      </w:r>
      <w:proofErr w:type="spellEnd"/>
      <w:r w:rsidRPr="00BF083C">
        <w:t xml:space="preserve"> </w:t>
      </w:r>
      <w:proofErr w:type="spellStart"/>
      <w:r w:rsidRPr="00BF083C">
        <w:t>coopérant</w:t>
      </w:r>
      <w:proofErr w:type="spellEnd"/>
      <w:r w:rsidRPr="00BF083C">
        <w:t xml:space="preserve"> avec un </w:t>
      </w:r>
      <w:proofErr w:type="spellStart"/>
      <w:r w:rsidRPr="00BF083C">
        <w:t>nombre</w:t>
      </w:r>
      <w:proofErr w:type="spellEnd"/>
      <w:r w:rsidRPr="00BF083C">
        <w:t xml:space="preserve"> </w:t>
      </w:r>
      <w:proofErr w:type="spellStart"/>
      <w:r w:rsidRPr="00BF083C">
        <w:t>accru</w:t>
      </w:r>
      <w:proofErr w:type="spellEnd"/>
      <w:r w:rsidRPr="00BF083C">
        <w:t xml:space="preserve"> de </w:t>
      </w:r>
      <w:proofErr w:type="spellStart"/>
      <w:r w:rsidRPr="00BF083C">
        <w:t>partenaires</w:t>
      </w:r>
      <w:proofErr w:type="spellEnd"/>
      <w:r w:rsidRPr="00BF083C">
        <w:t xml:space="preserve"> </w:t>
      </w:r>
      <w:proofErr w:type="spellStart"/>
      <w:r w:rsidRPr="00BF083C">
        <w:t>nationaux</w:t>
      </w:r>
      <w:proofErr w:type="spellEnd"/>
      <w:r w:rsidRPr="00BF083C">
        <w:t xml:space="preserve">, </w:t>
      </w:r>
      <w:proofErr w:type="spellStart"/>
      <w:r w:rsidRPr="00BF083C">
        <w:t>régionaux</w:t>
      </w:r>
      <w:proofErr w:type="spellEnd"/>
      <w:r w:rsidRPr="00BF083C">
        <w:t xml:space="preserve"> et </w:t>
      </w:r>
      <w:proofErr w:type="spellStart"/>
      <w:r w:rsidRPr="00BF083C">
        <w:t>internationaux</w:t>
      </w:r>
      <w:proofErr w:type="spellEnd"/>
      <w:r w:rsidRPr="00BF083C">
        <w:t xml:space="preserve"> </w:t>
      </w:r>
      <w:proofErr w:type="spellStart"/>
      <w:r w:rsidRPr="00BF083C">
        <w:t>appartenant</w:t>
      </w:r>
      <w:proofErr w:type="spellEnd"/>
      <w:r w:rsidRPr="00BF083C">
        <w:t xml:space="preserve"> aux </w:t>
      </w:r>
      <w:proofErr w:type="spellStart"/>
      <w:r w:rsidRPr="00BF083C">
        <w:t>communautés</w:t>
      </w:r>
      <w:proofErr w:type="spellEnd"/>
      <w:r w:rsidRPr="00BF083C">
        <w:t xml:space="preserve"> </w:t>
      </w:r>
      <w:proofErr w:type="spellStart"/>
      <w:r w:rsidRPr="00BF083C">
        <w:t>scientifiques</w:t>
      </w:r>
      <w:proofErr w:type="spellEnd"/>
      <w:r w:rsidRPr="00BF083C">
        <w:t xml:space="preserve">, aux </w:t>
      </w:r>
      <w:proofErr w:type="spellStart"/>
      <w:r w:rsidRPr="00BF083C">
        <w:t>gouvernements</w:t>
      </w:r>
      <w:proofErr w:type="spellEnd"/>
      <w:r w:rsidRPr="00BF083C">
        <w:t xml:space="preserve">, au </w:t>
      </w:r>
      <w:proofErr w:type="spellStart"/>
      <w:r w:rsidRPr="00BF083C">
        <w:t>secteur</w:t>
      </w:r>
      <w:proofErr w:type="spellEnd"/>
      <w:r w:rsidRPr="00BF083C">
        <w:t xml:space="preserve"> </w:t>
      </w:r>
      <w:proofErr w:type="spellStart"/>
      <w:r w:rsidRPr="00BF083C">
        <w:t>privé</w:t>
      </w:r>
      <w:proofErr w:type="spellEnd"/>
      <w:r w:rsidRPr="00BF083C">
        <w:t xml:space="preserve"> et aux organisations de la </w:t>
      </w:r>
      <w:proofErr w:type="spellStart"/>
      <w:r w:rsidRPr="00BF083C">
        <w:t>société</w:t>
      </w:r>
      <w:proofErr w:type="spellEnd"/>
      <w:r w:rsidRPr="00BF083C">
        <w:t xml:space="preserve"> civile </w:t>
      </w:r>
      <w:proofErr w:type="spellStart"/>
      <w:r w:rsidRPr="00BF083C">
        <w:t>œuvrant</w:t>
      </w:r>
      <w:proofErr w:type="spellEnd"/>
      <w:r w:rsidRPr="00BF083C">
        <w:t xml:space="preserve"> dans les </w:t>
      </w:r>
      <w:proofErr w:type="spellStart"/>
      <w:r w:rsidRPr="00BF083C">
        <w:t>domaines</w:t>
      </w:r>
      <w:proofErr w:type="spellEnd"/>
      <w:r w:rsidRPr="00BF083C">
        <w:t xml:space="preserve"> de la recherche </w:t>
      </w:r>
      <w:proofErr w:type="spellStart"/>
      <w:r w:rsidRPr="00BF083C">
        <w:t>océanographique</w:t>
      </w:r>
      <w:proofErr w:type="spellEnd"/>
      <w:r w:rsidRPr="00BF083C">
        <w:t xml:space="preserve">, des services </w:t>
      </w:r>
      <w:proofErr w:type="spellStart"/>
      <w:r w:rsidRPr="00BF083C">
        <w:t>opérationnels</w:t>
      </w:r>
      <w:proofErr w:type="spellEnd"/>
      <w:r w:rsidRPr="00BF083C">
        <w:t xml:space="preserve">, de </w:t>
      </w:r>
      <w:proofErr w:type="spellStart"/>
      <w:r w:rsidRPr="00BF083C">
        <w:t>l’interface</w:t>
      </w:r>
      <w:proofErr w:type="spellEnd"/>
      <w:r w:rsidRPr="00BF083C">
        <w:t xml:space="preserve"> science-politiques-</w:t>
      </w:r>
      <w:proofErr w:type="spellStart"/>
      <w:r w:rsidRPr="00BF083C">
        <w:t>société</w:t>
      </w:r>
      <w:proofErr w:type="spellEnd"/>
      <w:r w:rsidRPr="00BF083C">
        <w:t xml:space="preserve">, de la </w:t>
      </w:r>
      <w:proofErr w:type="spellStart"/>
      <w:r w:rsidRPr="00BF083C">
        <w:t>technologie</w:t>
      </w:r>
      <w:proofErr w:type="spellEnd"/>
      <w:r w:rsidRPr="00BF083C">
        <w:t xml:space="preserve"> et de </w:t>
      </w:r>
      <w:proofErr w:type="spellStart"/>
      <w:r w:rsidRPr="00BF083C">
        <w:t>l’innovation</w:t>
      </w:r>
      <w:proofErr w:type="spellEnd"/>
      <w:r w:rsidRPr="00BF083C">
        <w:t xml:space="preserve">, de </w:t>
      </w:r>
      <w:proofErr w:type="spellStart"/>
      <w:r w:rsidRPr="00BF083C">
        <w:t>l’éducation</w:t>
      </w:r>
      <w:proofErr w:type="spellEnd"/>
      <w:r w:rsidRPr="00BF083C">
        <w:t xml:space="preserve"> et du </w:t>
      </w:r>
      <w:proofErr w:type="spellStart"/>
      <w:r w:rsidRPr="00BF083C">
        <w:t>financement</w:t>
      </w:r>
      <w:proofErr w:type="spellEnd"/>
      <w:r w:rsidRPr="00BF083C">
        <w:t xml:space="preserve"> de la science, dans le but de faire </w:t>
      </w:r>
      <w:proofErr w:type="spellStart"/>
      <w:r w:rsidRPr="00BF083C">
        <w:t>progresser</w:t>
      </w:r>
      <w:proofErr w:type="spellEnd"/>
      <w:r w:rsidRPr="00BF083C">
        <w:t xml:space="preserve"> la production de </w:t>
      </w:r>
      <w:proofErr w:type="spellStart"/>
      <w:r w:rsidRPr="00BF083C">
        <w:t>connaissances</w:t>
      </w:r>
      <w:proofErr w:type="spellEnd"/>
      <w:r w:rsidRPr="00BF083C">
        <w:t xml:space="preserve">, de </w:t>
      </w:r>
      <w:proofErr w:type="spellStart"/>
      <w:r w:rsidRPr="00BF083C">
        <w:t>données</w:t>
      </w:r>
      <w:proofErr w:type="spellEnd"/>
      <w:r w:rsidRPr="00BF083C">
        <w:t xml:space="preserve"> et </w:t>
      </w:r>
      <w:proofErr w:type="spellStart"/>
      <w:r w:rsidRPr="00BF083C">
        <w:t>d’informations</w:t>
      </w:r>
      <w:proofErr w:type="spellEnd"/>
      <w:r w:rsidRPr="00BF083C">
        <w:t xml:space="preserve"> </w:t>
      </w:r>
      <w:proofErr w:type="spellStart"/>
      <w:r w:rsidRPr="00BF083C">
        <w:t>permettant</w:t>
      </w:r>
      <w:proofErr w:type="spellEnd"/>
      <w:r w:rsidRPr="00BF083C">
        <w:t xml:space="preserve"> </w:t>
      </w:r>
      <w:proofErr w:type="spellStart"/>
      <w:r w:rsidRPr="00BF083C">
        <w:t>d’éclairer</w:t>
      </w:r>
      <w:proofErr w:type="spellEnd"/>
      <w:r w:rsidRPr="00BF083C">
        <w:t xml:space="preserve"> </w:t>
      </w:r>
      <w:proofErr w:type="spellStart"/>
      <w:r w:rsidRPr="00BF083C">
        <w:t>l’élaboration</w:t>
      </w:r>
      <w:proofErr w:type="spellEnd"/>
      <w:r w:rsidRPr="00BF083C">
        <w:t xml:space="preserve"> </w:t>
      </w:r>
      <w:proofErr w:type="spellStart"/>
      <w:r w:rsidRPr="00BF083C">
        <w:t>d’actions</w:t>
      </w:r>
      <w:proofErr w:type="spellEnd"/>
      <w:r w:rsidRPr="00BF083C">
        <w:t xml:space="preserve"> </w:t>
      </w:r>
      <w:proofErr w:type="spellStart"/>
      <w:r w:rsidRPr="00BF083C">
        <w:t>efficaces</w:t>
      </w:r>
      <w:proofErr w:type="spellEnd"/>
      <w:r w:rsidRPr="00BF083C">
        <w:t xml:space="preserve">. La </w:t>
      </w:r>
      <w:proofErr w:type="spellStart"/>
      <w:r w:rsidRPr="00BF083C">
        <w:t>Décennie</w:t>
      </w:r>
      <w:proofErr w:type="spellEnd"/>
      <w:r w:rsidRPr="00BF083C">
        <w:t xml:space="preserve"> </w:t>
      </w:r>
      <w:proofErr w:type="spellStart"/>
      <w:r w:rsidRPr="00BF083C">
        <w:t>constituera</w:t>
      </w:r>
      <w:proofErr w:type="spellEnd"/>
      <w:r w:rsidRPr="00BF083C">
        <w:t xml:space="preserve"> un </w:t>
      </w:r>
      <w:proofErr w:type="spellStart"/>
      <w:r w:rsidRPr="00BF083C">
        <w:t>pilier</w:t>
      </w:r>
      <w:proofErr w:type="spellEnd"/>
      <w:r w:rsidRPr="00BF083C">
        <w:t xml:space="preserve"> </w:t>
      </w:r>
      <w:proofErr w:type="spellStart"/>
      <w:r w:rsidRPr="00BF083C">
        <w:t>supplémentaire</w:t>
      </w:r>
      <w:proofErr w:type="spellEnd"/>
      <w:r w:rsidRPr="00BF083C">
        <w:t xml:space="preserve"> pour </w:t>
      </w:r>
      <w:proofErr w:type="spellStart"/>
      <w:r w:rsidRPr="00BF083C">
        <w:t>atteindre</w:t>
      </w:r>
      <w:proofErr w:type="spellEnd"/>
      <w:r w:rsidRPr="00BF083C">
        <w:t xml:space="preserve"> </w:t>
      </w:r>
      <w:proofErr w:type="spellStart"/>
      <w:r w:rsidRPr="00BF083C">
        <w:t>ces</w:t>
      </w:r>
      <w:proofErr w:type="spellEnd"/>
      <w:r w:rsidRPr="00BF083C">
        <w:t xml:space="preserve"> </w:t>
      </w:r>
      <w:proofErr w:type="spellStart"/>
      <w:r w:rsidRPr="00BF083C">
        <w:t>objectifs</w:t>
      </w:r>
      <w:proofErr w:type="spellEnd"/>
      <w:r w:rsidRPr="00BF083C">
        <w:t xml:space="preserve"> </w:t>
      </w:r>
      <w:proofErr w:type="spellStart"/>
      <w:r w:rsidRPr="00BF083C">
        <w:t>grâce</w:t>
      </w:r>
      <w:proofErr w:type="spellEnd"/>
      <w:r w:rsidRPr="00BF083C">
        <w:t xml:space="preserve"> à de nouveaux </w:t>
      </w:r>
      <w:proofErr w:type="spellStart"/>
      <w:r w:rsidRPr="00BF083C">
        <w:t>partenariats</w:t>
      </w:r>
      <w:proofErr w:type="spellEnd"/>
      <w:r w:rsidRPr="00BF083C">
        <w:t xml:space="preserve"> </w:t>
      </w:r>
      <w:proofErr w:type="spellStart"/>
      <w:r w:rsidRPr="00BF083C">
        <w:t>innovants</w:t>
      </w:r>
      <w:proofErr w:type="spellEnd"/>
      <w:r w:rsidRPr="00BF083C">
        <w:t xml:space="preserve">. Les </w:t>
      </w:r>
      <w:proofErr w:type="spellStart"/>
      <w:r w:rsidRPr="00BF083C">
        <w:t>partenariats</w:t>
      </w:r>
      <w:proofErr w:type="spellEnd"/>
      <w:r w:rsidRPr="00BF083C">
        <w:t xml:space="preserve"> </w:t>
      </w:r>
      <w:proofErr w:type="spellStart"/>
      <w:r w:rsidRPr="00BF083C">
        <w:t>en</w:t>
      </w:r>
      <w:proofErr w:type="spellEnd"/>
      <w:r w:rsidRPr="00BF083C">
        <w:t xml:space="preserve"> </w:t>
      </w:r>
      <w:proofErr w:type="spellStart"/>
      <w:r w:rsidRPr="00BF083C">
        <w:t>faveur</w:t>
      </w:r>
      <w:proofErr w:type="spellEnd"/>
      <w:r w:rsidRPr="00BF083C">
        <w:t xml:space="preserve"> du </w:t>
      </w:r>
      <w:proofErr w:type="spellStart"/>
      <w:r w:rsidRPr="00BF083C">
        <w:t>développement</w:t>
      </w:r>
      <w:proofErr w:type="spellEnd"/>
      <w:r w:rsidRPr="00BF083C">
        <w:t xml:space="preserve"> des </w:t>
      </w:r>
      <w:proofErr w:type="spellStart"/>
      <w:r w:rsidRPr="00BF083C">
        <w:t>capacités</w:t>
      </w:r>
      <w:proofErr w:type="spellEnd"/>
      <w:r w:rsidRPr="00BF083C">
        <w:t xml:space="preserve">, les </w:t>
      </w:r>
      <w:proofErr w:type="spellStart"/>
      <w:r w:rsidRPr="00BF083C">
        <w:t>outils</w:t>
      </w:r>
      <w:proofErr w:type="spellEnd"/>
      <w:r w:rsidRPr="00BF083C">
        <w:t xml:space="preserve"> de planification de </w:t>
      </w:r>
      <w:proofErr w:type="spellStart"/>
      <w:r w:rsidRPr="00BF083C">
        <w:t>l’espace</w:t>
      </w:r>
      <w:proofErr w:type="spellEnd"/>
      <w:r w:rsidRPr="00BF083C">
        <w:t xml:space="preserve"> </w:t>
      </w:r>
      <w:proofErr w:type="spellStart"/>
      <w:r w:rsidRPr="00BF083C">
        <w:t>marin</w:t>
      </w:r>
      <w:proofErr w:type="spellEnd"/>
      <w:r w:rsidRPr="00BF083C">
        <w:t xml:space="preserve">, les initiatives </w:t>
      </w:r>
      <w:proofErr w:type="spellStart"/>
      <w:r w:rsidRPr="00BF083C">
        <w:t>transdisciplinaires</w:t>
      </w:r>
      <w:proofErr w:type="spellEnd"/>
      <w:r w:rsidRPr="00BF083C">
        <w:t xml:space="preserve"> et </w:t>
      </w:r>
      <w:proofErr w:type="spellStart"/>
      <w:r w:rsidRPr="00BF083C">
        <w:t>multipartites</w:t>
      </w:r>
      <w:proofErr w:type="spellEnd"/>
      <w:r w:rsidRPr="00BF083C">
        <w:t xml:space="preserve"> dans les </w:t>
      </w:r>
      <w:proofErr w:type="spellStart"/>
      <w:r w:rsidRPr="00BF083C">
        <w:t>domaines</w:t>
      </w:r>
      <w:proofErr w:type="spellEnd"/>
      <w:r w:rsidRPr="00BF083C">
        <w:t xml:space="preserve"> des sciences </w:t>
      </w:r>
      <w:proofErr w:type="spellStart"/>
      <w:r w:rsidRPr="00BF083C">
        <w:t>océaniques</w:t>
      </w:r>
      <w:proofErr w:type="spellEnd"/>
      <w:r w:rsidRPr="00BF083C">
        <w:t xml:space="preserve">, de </w:t>
      </w:r>
      <w:proofErr w:type="spellStart"/>
      <w:r w:rsidRPr="00BF083C">
        <w:t>l’observation</w:t>
      </w:r>
      <w:proofErr w:type="spellEnd"/>
      <w:r w:rsidRPr="00BF083C">
        <w:t xml:space="preserve">, des </w:t>
      </w:r>
      <w:proofErr w:type="spellStart"/>
      <w:r w:rsidRPr="00BF083C">
        <w:t>données</w:t>
      </w:r>
      <w:proofErr w:type="spellEnd"/>
      <w:r w:rsidRPr="00BF083C">
        <w:t xml:space="preserve"> et des </w:t>
      </w:r>
      <w:proofErr w:type="spellStart"/>
      <w:r w:rsidRPr="00BF083C">
        <w:t>informations</w:t>
      </w:r>
      <w:proofErr w:type="spellEnd"/>
      <w:r w:rsidRPr="00BF083C">
        <w:t xml:space="preserve"> </w:t>
      </w:r>
      <w:proofErr w:type="spellStart"/>
      <w:r w:rsidRPr="00BF083C">
        <w:t>contribueront</w:t>
      </w:r>
      <w:proofErr w:type="spellEnd"/>
      <w:r w:rsidRPr="00BF083C">
        <w:t xml:space="preserve"> à </w:t>
      </w:r>
      <w:proofErr w:type="spellStart"/>
      <w:r w:rsidRPr="00BF083C">
        <w:t>créer</w:t>
      </w:r>
      <w:proofErr w:type="spellEnd"/>
      <w:r w:rsidRPr="00BF083C">
        <w:t xml:space="preserve"> un </w:t>
      </w:r>
      <w:proofErr w:type="spellStart"/>
      <w:r w:rsidRPr="00BF083C">
        <w:t>environnement</w:t>
      </w:r>
      <w:proofErr w:type="spellEnd"/>
      <w:r w:rsidRPr="00BF083C">
        <w:t xml:space="preserve"> </w:t>
      </w:r>
      <w:proofErr w:type="spellStart"/>
      <w:r w:rsidRPr="00BF083C">
        <w:t>propice</w:t>
      </w:r>
      <w:proofErr w:type="spellEnd"/>
      <w:r w:rsidRPr="00BF083C">
        <w:t xml:space="preserve"> à la mobilisation des </w:t>
      </w:r>
      <w:proofErr w:type="spellStart"/>
      <w:r w:rsidRPr="00BF083C">
        <w:t>praticiens</w:t>
      </w:r>
      <w:proofErr w:type="spellEnd"/>
      <w:r w:rsidRPr="00BF083C">
        <w:t xml:space="preserve">, des </w:t>
      </w:r>
      <w:proofErr w:type="spellStart"/>
      <w:r w:rsidRPr="00BF083C">
        <w:t>décideurs</w:t>
      </w:r>
      <w:proofErr w:type="spellEnd"/>
      <w:r w:rsidRPr="00BF083C">
        <w:t xml:space="preserve"> et du </w:t>
      </w:r>
      <w:proofErr w:type="spellStart"/>
      <w:r w:rsidRPr="00BF083C">
        <w:t>secteur</w:t>
      </w:r>
      <w:proofErr w:type="spellEnd"/>
      <w:r w:rsidRPr="00BF083C">
        <w:t xml:space="preserve"> </w:t>
      </w:r>
      <w:proofErr w:type="spellStart"/>
      <w:r w:rsidRPr="00BF083C">
        <w:t>privé</w:t>
      </w:r>
      <w:proofErr w:type="spellEnd"/>
      <w:r w:rsidRPr="00BF083C">
        <w:t xml:space="preserve"> au service de </w:t>
      </w:r>
      <w:proofErr w:type="spellStart"/>
      <w:r w:rsidRPr="00BF083C">
        <w:t>l’élaboration</w:t>
      </w:r>
      <w:proofErr w:type="spellEnd"/>
      <w:r w:rsidRPr="00BF083C">
        <w:t xml:space="preserve"> et de </w:t>
      </w:r>
      <w:proofErr w:type="spellStart"/>
      <w:r w:rsidRPr="00BF083C">
        <w:t>l’utilisation</w:t>
      </w:r>
      <w:proofErr w:type="spellEnd"/>
      <w:r w:rsidRPr="00BF083C">
        <w:t xml:space="preserve"> de solutions </w:t>
      </w:r>
      <w:proofErr w:type="spellStart"/>
      <w:r w:rsidRPr="00BF083C">
        <w:t>fondées</w:t>
      </w:r>
      <w:proofErr w:type="spellEnd"/>
      <w:r w:rsidRPr="00BF083C">
        <w:t xml:space="preserve"> sur les sciences. Les </w:t>
      </w:r>
      <w:proofErr w:type="spellStart"/>
      <w:r w:rsidRPr="00BF083C">
        <w:t>États</w:t>
      </w:r>
      <w:proofErr w:type="spellEnd"/>
      <w:r w:rsidRPr="00BF083C">
        <w:t xml:space="preserve"> </w:t>
      </w:r>
      <w:proofErr w:type="spellStart"/>
      <w:r w:rsidRPr="00BF083C">
        <w:t>membres</w:t>
      </w:r>
      <w:proofErr w:type="spellEnd"/>
      <w:r w:rsidRPr="00BF083C">
        <w:t xml:space="preserve"> </w:t>
      </w:r>
      <w:proofErr w:type="spellStart"/>
      <w:r w:rsidRPr="00BF083C">
        <w:t>continueront</w:t>
      </w:r>
      <w:proofErr w:type="spellEnd"/>
      <w:r w:rsidRPr="00BF083C">
        <w:t xml:space="preserve"> de </w:t>
      </w:r>
      <w:proofErr w:type="spellStart"/>
      <w:r w:rsidRPr="00BF083C">
        <w:t>s’impliquer</w:t>
      </w:r>
      <w:proofErr w:type="spellEnd"/>
      <w:r w:rsidRPr="00BF083C">
        <w:t xml:space="preserve"> par le </w:t>
      </w:r>
      <w:proofErr w:type="spellStart"/>
      <w:r w:rsidRPr="00BF083C">
        <w:t>biais</w:t>
      </w:r>
      <w:proofErr w:type="spellEnd"/>
      <w:r w:rsidRPr="00BF083C">
        <w:t xml:space="preserve"> des cadres de coordination </w:t>
      </w:r>
      <w:proofErr w:type="spellStart"/>
      <w:r w:rsidRPr="00BF083C">
        <w:t>existants</w:t>
      </w:r>
      <w:proofErr w:type="spellEnd"/>
      <w:r w:rsidRPr="00BF083C">
        <w:t xml:space="preserve"> de la COI et de la </w:t>
      </w:r>
      <w:proofErr w:type="spellStart"/>
      <w:r w:rsidRPr="00BF083C">
        <w:t>Décennie</w:t>
      </w:r>
      <w:proofErr w:type="spellEnd"/>
      <w:r w:rsidRPr="00BF083C">
        <w:t xml:space="preserve">, </w:t>
      </w:r>
      <w:proofErr w:type="spellStart"/>
      <w:r w:rsidRPr="00BF083C">
        <w:t>tandis</w:t>
      </w:r>
      <w:proofErr w:type="spellEnd"/>
      <w:r w:rsidRPr="00BF083C">
        <w:t xml:space="preserve"> que le </w:t>
      </w:r>
      <w:proofErr w:type="spellStart"/>
      <w:r w:rsidRPr="00BF083C">
        <w:t>mandat</w:t>
      </w:r>
      <w:proofErr w:type="spellEnd"/>
      <w:r w:rsidRPr="00BF083C">
        <w:t xml:space="preserve"> technique et </w:t>
      </w:r>
      <w:proofErr w:type="spellStart"/>
      <w:r w:rsidRPr="00BF083C">
        <w:t>scientifique</w:t>
      </w:r>
      <w:proofErr w:type="spellEnd"/>
      <w:r w:rsidRPr="00BF083C">
        <w:t xml:space="preserve"> </w:t>
      </w:r>
      <w:proofErr w:type="spellStart"/>
      <w:r w:rsidRPr="00BF083C">
        <w:t>traditionnel</w:t>
      </w:r>
      <w:proofErr w:type="spellEnd"/>
      <w:r w:rsidRPr="00BF083C">
        <w:t xml:space="preserve"> sera </w:t>
      </w:r>
      <w:proofErr w:type="spellStart"/>
      <w:r w:rsidRPr="00BF083C">
        <w:t>élargi</w:t>
      </w:r>
      <w:proofErr w:type="spellEnd"/>
      <w:r w:rsidRPr="00BF083C">
        <w:t xml:space="preserve"> et que </w:t>
      </w:r>
      <w:proofErr w:type="spellStart"/>
      <w:r w:rsidRPr="00BF083C">
        <w:t>l’attention</w:t>
      </w:r>
      <w:proofErr w:type="spellEnd"/>
      <w:r w:rsidRPr="00BF083C">
        <w:t xml:space="preserve"> des parties </w:t>
      </w:r>
      <w:proofErr w:type="spellStart"/>
      <w:r w:rsidRPr="00BF083C">
        <w:t>prenantes</w:t>
      </w:r>
      <w:proofErr w:type="spellEnd"/>
      <w:r w:rsidRPr="00BF083C">
        <w:t xml:space="preserve"> </w:t>
      </w:r>
      <w:proofErr w:type="spellStart"/>
      <w:r w:rsidRPr="00BF083C">
        <w:t>nationales</w:t>
      </w:r>
      <w:proofErr w:type="spellEnd"/>
      <w:r w:rsidRPr="00BF083C">
        <w:t xml:space="preserve"> </w:t>
      </w:r>
      <w:proofErr w:type="spellStart"/>
      <w:r w:rsidRPr="00BF083C">
        <w:t>œuvrant</w:t>
      </w:r>
      <w:proofErr w:type="spellEnd"/>
      <w:r w:rsidRPr="00BF083C">
        <w:t xml:space="preserve"> dans le </w:t>
      </w:r>
      <w:proofErr w:type="spellStart"/>
      <w:r w:rsidRPr="00BF083C">
        <w:t>domaine</w:t>
      </w:r>
      <w:proofErr w:type="spellEnd"/>
      <w:r w:rsidRPr="00BF083C">
        <w:t xml:space="preserve"> des </w:t>
      </w:r>
      <w:proofErr w:type="spellStart"/>
      <w:r w:rsidRPr="00BF083C">
        <w:t>océans</w:t>
      </w:r>
      <w:proofErr w:type="spellEnd"/>
      <w:r w:rsidRPr="00BF083C">
        <w:t xml:space="preserve"> sera </w:t>
      </w:r>
      <w:proofErr w:type="spellStart"/>
      <w:r w:rsidRPr="00BF083C">
        <w:t>appelée</w:t>
      </w:r>
      <w:proofErr w:type="spellEnd"/>
      <w:r w:rsidRPr="00BF083C">
        <w:t xml:space="preserve"> sur la </w:t>
      </w:r>
      <w:proofErr w:type="spellStart"/>
      <w:r w:rsidRPr="00BF083C">
        <w:t>valeur</w:t>
      </w:r>
      <w:proofErr w:type="spellEnd"/>
      <w:r w:rsidRPr="00BF083C">
        <w:t xml:space="preserve"> </w:t>
      </w:r>
      <w:proofErr w:type="spellStart"/>
      <w:r w:rsidRPr="00BF083C">
        <w:t>socioéconomique</w:t>
      </w:r>
      <w:proofErr w:type="spellEnd"/>
      <w:r w:rsidRPr="00BF083C">
        <w:t xml:space="preserve"> des </w:t>
      </w:r>
      <w:proofErr w:type="spellStart"/>
      <w:r w:rsidRPr="00BF083C">
        <w:t>activités</w:t>
      </w:r>
      <w:proofErr w:type="spellEnd"/>
      <w:r w:rsidRPr="00BF083C">
        <w:t xml:space="preserve"> de la COI. De </w:t>
      </w:r>
      <w:proofErr w:type="spellStart"/>
      <w:r w:rsidRPr="00BF083C">
        <w:t>nouvelles</w:t>
      </w:r>
      <w:proofErr w:type="spellEnd"/>
      <w:r w:rsidRPr="00BF083C">
        <w:t xml:space="preserve"> </w:t>
      </w:r>
      <w:proofErr w:type="spellStart"/>
      <w:r w:rsidRPr="00BF083C">
        <w:t>formes</w:t>
      </w:r>
      <w:proofErr w:type="spellEnd"/>
      <w:r w:rsidRPr="00BF083C">
        <w:t xml:space="preserve"> de </w:t>
      </w:r>
      <w:proofErr w:type="spellStart"/>
      <w:r w:rsidRPr="00BF083C">
        <w:t>coopération</w:t>
      </w:r>
      <w:proofErr w:type="spellEnd"/>
      <w:r w:rsidRPr="00BF083C">
        <w:t xml:space="preserve"> et, </w:t>
      </w:r>
      <w:proofErr w:type="spellStart"/>
      <w:r w:rsidRPr="00BF083C">
        <w:t>potentiellement</w:t>
      </w:r>
      <w:proofErr w:type="spellEnd"/>
      <w:r w:rsidRPr="00BF083C">
        <w:t xml:space="preserve">, des liens </w:t>
      </w:r>
      <w:proofErr w:type="spellStart"/>
      <w:r w:rsidRPr="00BF083C">
        <w:t>formels</w:t>
      </w:r>
      <w:proofErr w:type="spellEnd"/>
      <w:r w:rsidRPr="00BF083C">
        <w:t xml:space="preserve"> plus </w:t>
      </w:r>
      <w:proofErr w:type="spellStart"/>
      <w:r w:rsidRPr="00BF083C">
        <w:t>étroits</w:t>
      </w:r>
      <w:proofErr w:type="spellEnd"/>
      <w:r w:rsidRPr="00BF083C">
        <w:t xml:space="preserve"> </w:t>
      </w:r>
      <w:proofErr w:type="spellStart"/>
      <w:r w:rsidRPr="00BF083C">
        <w:t>seront</w:t>
      </w:r>
      <w:proofErr w:type="spellEnd"/>
      <w:r w:rsidRPr="00BF083C">
        <w:t xml:space="preserve"> </w:t>
      </w:r>
      <w:proofErr w:type="spellStart"/>
      <w:r w:rsidRPr="00BF083C">
        <w:t>envisagés</w:t>
      </w:r>
      <w:proofErr w:type="spellEnd"/>
      <w:r w:rsidRPr="00BF083C">
        <w:t xml:space="preserve"> entre la COI et </w:t>
      </w:r>
      <w:proofErr w:type="spellStart"/>
      <w:r w:rsidRPr="00BF083C">
        <w:t>d’autres</w:t>
      </w:r>
      <w:proofErr w:type="spellEnd"/>
      <w:r w:rsidRPr="00BF083C">
        <w:t xml:space="preserve"> </w:t>
      </w:r>
      <w:proofErr w:type="spellStart"/>
      <w:r w:rsidRPr="00BF083C">
        <w:t>organismes</w:t>
      </w:r>
      <w:proofErr w:type="spellEnd"/>
      <w:r w:rsidRPr="00BF083C">
        <w:t xml:space="preserve"> du </w:t>
      </w:r>
      <w:proofErr w:type="spellStart"/>
      <w:r w:rsidRPr="00BF083C">
        <w:t>système</w:t>
      </w:r>
      <w:proofErr w:type="spellEnd"/>
      <w:r w:rsidRPr="00BF083C">
        <w:t xml:space="preserve"> des Nations </w:t>
      </w:r>
      <w:proofErr w:type="spellStart"/>
      <w:r w:rsidRPr="00BF083C">
        <w:t>Unies</w:t>
      </w:r>
      <w:proofErr w:type="spellEnd"/>
      <w:r w:rsidRPr="00BF083C">
        <w:t xml:space="preserve">, </w:t>
      </w:r>
      <w:proofErr w:type="spellStart"/>
      <w:r w:rsidRPr="00BF083C">
        <w:t>étant</w:t>
      </w:r>
      <w:proofErr w:type="spellEnd"/>
      <w:r w:rsidRPr="00BF083C">
        <w:t xml:space="preserve"> </w:t>
      </w:r>
      <w:proofErr w:type="spellStart"/>
      <w:r w:rsidRPr="00BF083C">
        <w:t>entendu</w:t>
      </w:r>
      <w:proofErr w:type="spellEnd"/>
      <w:r w:rsidRPr="00BF083C">
        <w:t xml:space="preserve"> que les sciences </w:t>
      </w:r>
      <w:proofErr w:type="spellStart"/>
      <w:r w:rsidRPr="00BF083C">
        <w:t>océaniques</w:t>
      </w:r>
      <w:proofErr w:type="spellEnd"/>
      <w:r w:rsidRPr="00BF083C">
        <w:t xml:space="preserve"> </w:t>
      </w:r>
      <w:proofErr w:type="spellStart"/>
      <w:r w:rsidRPr="00BF083C">
        <w:t>représentent</w:t>
      </w:r>
      <w:proofErr w:type="spellEnd"/>
      <w:r w:rsidRPr="00BF083C">
        <w:t xml:space="preserve"> </w:t>
      </w:r>
      <w:proofErr w:type="spellStart"/>
      <w:r w:rsidRPr="00BF083C">
        <w:t>une</w:t>
      </w:r>
      <w:proofErr w:type="spellEnd"/>
      <w:r w:rsidRPr="00BF083C">
        <w:t xml:space="preserve"> </w:t>
      </w:r>
      <w:proofErr w:type="spellStart"/>
      <w:r w:rsidRPr="00BF083C">
        <w:t>nécessité</w:t>
      </w:r>
      <w:proofErr w:type="spellEnd"/>
      <w:r w:rsidRPr="00BF083C">
        <w:t xml:space="preserve"> </w:t>
      </w:r>
      <w:proofErr w:type="spellStart"/>
      <w:r w:rsidRPr="00BF083C">
        <w:t>fondamentale</w:t>
      </w:r>
      <w:proofErr w:type="spellEnd"/>
      <w:r w:rsidRPr="00BF083C">
        <w:t xml:space="preserve"> et </w:t>
      </w:r>
      <w:proofErr w:type="spellStart"/>
      <w:r w:rsidRPr="00BF083C">
        <w:t>transversale</w:t>
      </w:r>
      <w:proofErr w:type="spellEnd"/>
      <w:r w:rsidRPr="00BF083C">
        <w:t xml:space="preserve"> pour la </w:t>
      </w:r>
      <w:proofErr w:type="spellStart"/>
      <w:r w:rsidRPr="00BF083C">
        <w:t>réalisation</w:t>
      </w:r>
      <w:proofErr w:type="spellEnd"/>
      <w:r w:rsidRPr="00BF083C">
        <w:t xml:space="preserve"> des missions </w:t>
      </w:r>
      <w:proofErr w:type="spellStart"/>
      <w:r w:rsidRPr="00BF083C">
        <w:t>d’autres</w:t>
      </w:r>
      <w:proofErr w:type="spellEnd"/>
      <w:r w:rsidRPr="00BF083C">
        <w:t xml:space="preserve"> institutions du </w:t>
      </w:r>
      <w:proofErr w:type="spellStart"/>
      <w:r w:rsidRPr="00BF083C">
        <w:t>système</w:t>
      </w:r>
      <w:proofErr w:type="spellEnd"/>
      <w:r w:rsidRPr="00BF083C">
        <w:t xml:space="preserve">. </w:t>
      </w:r>
    </w:p>
    <w:p w14:paraId="42AA4E8D" w14:textId="7EC79661" w:rsidR="00C50366" w:rsidRPr="00BF083C" w:rsidRDefault="00C50366" w:rsidP="00C50366">
      <w:pPr>
        <w:pStyle w:val="ListParagraph"/>
        <w:numPr>
          <w:ilvl w:val="0"/>
          <w:numId w:val="34"/>
        </w:numPr>
        <w:pBdr>
          <w:bottom w:val="single" w:sz="4" w:space="1" w:color="auto"/>
        </w:pBdr>
        <w:tabs>
          <w:tab w:val="clear" w:pos="567"/>
          <w:tab w:val="left" w:pos="709"/>
        </w:tabs>
        <w:spacing w:after="240" w:line="240" w:lineRule="auto"/>
        <w:ind w:left="709" w:hanging="709"/>
        <w:contextualSpacing w:val="0"/>
        <w:jc w:val="left"/>
        <w:rPr>
          <w:rFonts w:cs="Arial"/>
          <w:b/>
          <w:bCs/>
          <w:snapToGrid/>
          <w:sz w:val="24"/>
        </w:rPr>
      </w:pPr>
      <w:r w:rsidRPr="00BF083C">
        <w:rPr>
          <w:rFonts w:cs="Arial"/>
          <w:b/>
          <w:bCs/>
          <w:snapToGrid/>
          <w:sz w:val="24"/>
        </w:rPr>
        <w:t xml:space="preserve">Commission </w:t>
      </w:r>
      <w:proofErr w:type="spellStart"/>
      <w:r w:rsidRPr="00BF083C">
        <w:rPr>
          <w:rFonts w:cs="Arial"/>
          <w:b/>
          <w:bCs/>
          <w:snapToGrid/>
          <w:sz w:val="24"/>
        </w:rPr>
        <w:t>océanographique</w:t>
      </w:r>
      <w:proofErr w:type="spellEnd"/>
      <w:r w:rsidRPr="00BF083C">
        <w:rPr>
          <w:rFonts w:cs="Arial"/>
          <w:b/>
          <w:bCs/>
          <w:snapToGrid/>
          <w:sz w:val="24"/>
        </w:rPr>
        <w:t xml:space="preserve"> </w:t>
      </w:r>
      <w:proofErr w:type="spellStart"/>
      <w:r w:rsidRPr="00BF083C">
        <w:rPr>
          <w:rFonts w:cs="Arial"/>
          <w:b/>
          <w:bCs/>
          <w:snapToGrid/>
          <w:sz w:val="24"/>
        </w:rPr>
        <w:t>intergouvernementale</w:t>
      </w:r>
      <w:proofErr w:type="spellEnd"/>
      <w:r w:rsidRPr="00BF083C">
        <w:rPr>
          <w:rFonts w:cs="Arial"/>
          <w:b/>
          <w:bCs/>
          <w:snapToGrid/>
          <w:sz w:val="24"/>
        </w:rPr>
        <w:t xml:space="preserve"> : </w:t>
      </w:r>
      <w:r w:rsidRPr="00BF083C">
        <w:rPr>
          <w:rFonts w:cs="Arial"/>
          <w:b/>
          <w:bCs/>
          <w:snapToGrid/>
          <w:sz w:val="24"/>
        </w:rPr>
        <w:br/>
        <w:t xml:space="preserve">Axe </w:t>
      </w:r>
      <w:proofErr w:type="spellStart"/>
      <w:r w:rsidRPr="00BF083C">
        <w:rPr>
          <w:rFonts w:cs="Arial"/>
          <w:b/>
          <w:bCs/>
          <w:snapToGrid/>
          <w:sz w:val="24"/>
        </w:rPr>
        <w:t>d’action</w:t>
      </w:r>
      <w:proofErr w:type="spellEnd"/>
      <w:r w:rsidRPr="00BF083C">
        <w:rPr>
          <w:rFonts w:cs="Arial"/>
          <w:b/>
          <w:bCs/>
          <w:snapToGrid/>
          <w:sz w:val="24"/>
        </w:rPr>
        <w:t xml:space="preserve"> pour 2022-2025</w:t>
      </w:r>
    </w:p>
    <w:p w14:paraId="45F87CAC" w14:textId="6B8C9217" w:rsidR="009D0EB6" w:rsidRPr="00BF083C" w:rsidRDefault="00EC5F05"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r w:rsidRPr="00BF083C">
        <w:rPr>
          <w:rFonts w:ascii="MyriadPro-Bold" w:hAnsi="MyriadPro-Bold" w:cs="MyriadPro-Bold"/>
          <w:b/>
          <w:bCs/>
          <w:snapToGrid/>
          <w:color w:val="365F91" w:themeColor="accent1" w:themeShade="BF"/>
          <w:sz w:val="24"/>
        </w:rPr>
        <w:t>EFFET 3</w:t>
      </w:r>
    </w:p>
    <w:p w14:paraId="7CEC351E" w14:textId="6C2041D1" w:rsidR="009D0EB6" w:rsidRPr="00BF083C" w:rsidRDefault="00EC5F05" w:rsidP="009D0EB6">
      <w:pPr>
        <w:widowControl/>
        <w:tabs>
          <w:tab w:val="clear" w:pos="567"/>
          <w:tab w:val="left" w:pos="1162"/>
        </w:tabs>
        <w:autoSpaceDE w:val="0"/>
        <w:autoSpaceDN w:val="0"/>
        <w:snapToGrid/>
        <w:spacing w:line="240" w:lineRule="auto"/>
        <w:jc w:val="left"/>
        <w:textAlignment w:val="auto"/>
        <w:rPr>
          <w:rFonts w:cs="Arial"/>
          <w:szCs w:val="22"/>
        </w:rPr>
      </w:pPr>
      <w:proofErr w:type="spellStart"/>
      <w:r w:rsidRPr="00BF083C">
        <w:rPr>
          <w:rFonts w:ascii="MyriadPro-Bold" w:hAnsi="MyriadPro-Bold" w:cs="MyriadPro-Bold"/>
          <w:b/>
          <w:bCs/>
          <w:snapToGrid/>
          <w:color w:val="365F91" w:themeColor="accent1" w:themeShade="BF"/>
          <w:sz w:val="24"/>
        </w:rPr>
        <w:t>Renforcer</w:t>
      </w:r>
      <w:proofErr w:type="spellEnd"/>
      <w:r w:rsidRPr="00BF083C">
        <w:rPr>
          <w:rFonts w:ascii="MyriadPro-Bold" w:hAnsi="MyriadPro-Bold" w:cs="MyriadPro-Bold"/>
          <w:b/>
          <w:bCs/>
          <w:snapToGrid/>
          <w:color w:val="365F91" w:themeColor="accent1" w:themeShade="BF"/>
          <w:sz w:val="24"/>
        </w:rPr>
        <w:t xml:space="preserve"> la </w:t>
      </w:r>
      <w:proofErr w:type="spellStart"/>
      <w:r w:rsidRPr="00BF083C">
        <w:rPr>
          <w:rFonts w:ascii="MyriadPro-Bold" w:hAnsi="MyriadPro-Bold" w:cs="MyriadPro-Bold"/>
          <w:b/>
          <w:bCs/>
          <w:snapToGrid/>
          <w:color w:val="365F91" w:themeColor="accent1" w:themeShade="BF"/>
          <w:sz w:val="24"/>
        </w:rPr>
        <w:t>connaissance</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en</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faveur</w:t>
      </w:r>
      <w:proofErr w:type="spellEnd"/>
      <w:r w:rsidRPr="00BF083C">
        <w:rPr>
          <w:rFonts w:ascii="MyriadPro-Bold" w:hAnsi="MyriadPro-Bold" w:cs="MyriadPro-Bold"/>
          <w:b/>
          <w:bCs/>
          <w:snapToGrid/>
          <w:color w:val="365F91" w:themeColor="accent1" w:themeShade="BF"/>
          <w:sz w:val="24"/>
        </w:rPr>
        <w:t xml:space="preserve"> de </w:t>
      </w:r>
      <w:proofErr w:type="spellStart"/>
      <w:r w:rsidRPr="00BF083C">
        <w:rPr>
          <w:rFonts w:ascii="MyriadPro-Bold" w:hAnsi="MyriadPro-Bold" w:cs="MyriadPro-Bold"/>
          <w:b/>
          <w:bCs/>
          <w:snapToGrid/>
          <w:color w:val="365F91" w:themeColor="accent1" w:themeShade="BF"/>
          <w:sz w:val="24"/>
        </w:rPr>
        <w:t>l’action</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climatique</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du</w:t>
      </w:r>
      <w:proofErr w:type="spellEnd"/>
      <w:r w:rsidRPr="00BF083C">
        <w:rPr>
          <w:rFonts w:ascii="MyriadPro-Bold" w:hAnsi="MyriadPro-Bold" w:cs="MyriadPro-Bold"/>
          <w:b/>
          <w:bCs/>
          <w:snapToGrid/>
          <w:color w:val="365F91" w:themeColor="accent1" w:themeShade="BF"/>
          <w:sz w:val="24"/>
        </w:rPr>
        <w:t xml:space="preserve"> respect de la </w:t>
      </w:r>
      <w:proofErr w:type="spellStart"/>
      <w:r w:rsidRPr="00BF083C">
        <w:rPr>
          <w:rFonts w:ascii="MyriadPro-Bold" w:hAnsi="MyriadPro-Bold" w:cs="MyriadPro-Bold"/>
          <w:b/>
          <w:bCs/>
          <w:snapToGrid/>
          <w:color w:val="365F91" w:themeColor="accent1" w:themeShade="BF"/>
          <w:sz w:val="24"/>
        </w:rPr>
        <w:t>biodiversité</w:t>
      </w:r>
      <w:proofErr w:type="spellEnd"/>
      <w:r w:rsidRPr="00BF083C">
        <w:rPr>
          <w:rFonts w:ascii="MyriadPro-Bold" w:hAnsi="MyriadPro-Bold" w:cs="MyriadPro-Bold"/>
          <w:b/>
          <w:bCs/>
          <w:snapToGrid/>
          <w:color w:val="365F91" w:themeColor="accent1" w:themeShade="BF"/>
          <w:sz w:val="24"/>
        </w:rPr>
        <w:t xml:space="preserve">, de la gestion de </w:t>
      </w:r>
      <w:proofErr w:type="spellStart"/>
      <w:r w:rsidRPr="00BF083C">
        <w:rPr>
          <w:rFonts w:ascii="MyriadPro-Bold" w:hAnsi="MyriadPro-Bold" w:cs="MyriadPro-Bold"/>
          <w:b/>
          <w:bCs/>
          <w:snapToGrid/>
          <w:color w:val="365F91" w:themeColor="accent1" w:themeShade="BF"/>
          <w:sz w:val="24"/>
        </w:rPr>
        <w:t>l’eau</w:t>
      </w:r>
      <w:proofErr w:type="spellEnd"/>
      <w:r w:rsidRPr="00BF083C">
        <w:rPr>
          <w:rFonts w:ascii="MyriadPro-Bold" w:hAnsi="MyriadPro-Bold" w:cs="MyriadPro-Bold"/>
          <w:b/>
          <w:bCs/>
          <w:snapToGrid/>
          <w:color w:val="365F91" w:themeColor="accent1" w:themeShade="BF"/>
          <w:sz w:val="24"/>
        </w:rPr>
        <w:t xml:space="preserve"> et de </w:t>
      </w:r>
      <w:proofErr w:type="spellStart"/>
      <w:r w:rsidRPr="00BF083C">
        <w:rPr>
          <w:rFonts w:ascii="MyriadPro-Bold" w:hAnsi="MyriadPro-Bold" w:cs="MyriadPro-Bold"/>
          <w:b/>
          <w:bCs/>
          <w:snapToGrid/>
          <w:color w:val="365F91" w:themeColor="accent1" w:themeShade="BF"/>
          <w:sz w:val="24"/>
        </w:rPr>
        <w:t>l’océan</w:t>
      </w:r>
      <w:proofErr w:type="spellEnd"/>
      <w:r w:rsidRPr="00BF083C">
        <w:rPr>
          <w:rFonts w:ascii="MyriadPro-Bold" w:hAnsi="MyriadPro-Bold" w:cs="MyriadPro-Bold"/>
          <w:b/>
          <w:bCs/>
          <w:snapToGrid/>
          <w:color w:val="365F91" w:themeColor="accent1" w:themeShade="BF"/>
          <w:sz w:val="24"/>
        </w:rPr>
        <w:t xml:space="preserve">, et de la </w:t>
      </w:r>
      <w:proofErr w:type="spellStart"/>
      <w:r w:rsidRPr="00BF083C">
        <w:rPr>
          <w:rFonts w:ascii="MyriadPro-Bold" w:hAnsi="MyriadPro-Bold" w:cs="MyriadPro-Bold"/>
          <w:b/>
          <w:bCs/>
          <w:snapToGrid/>
          <w:color w:val="365F91" w:themeColor="accent1" w:themeShade="BF"/>
          <w:sz w:val="24"/>
        </w:rPr>
        <w:t>réduction</w:t>
      </w:r>
      <w:proofErr w:type="spellEnd"/>
      <w:r w:rsidRPr="00BF083C">
        <w:rPr>
          <w:rFonts w:ascii="MyriadPro-Bold" w:hAnsi="MyriadPro-Bold" w:cs="MyriadPro-Bold"/>
          <w:b/>
          <w:bCs/>
          <w:snapToGrid/>
          <w:color w:val="365F91" w:themeColor="accent1" w:themeShade="BF"/>
          <w:sz w:val="24"/>
        </w:rPr>
        <w:t xml:space="preserve"> des </w:t>
      </w:r>
      <w:proofErr w:type="spellStart"/>
      <w:r w:rsidRPr="00BF083C">
        <w:rPr>
          <w:rFonts w:ascii="MyriadPro-Bold" w:hAnsi="MyriadPro-Bold" w:cs="MyriadPro-Bold"/>
          <w:b/>
          <w:bCs/>
          <w:snapToGrid/>
          <w:color w:val="365F91" w:themeColor="accent1" w:themeShade="BF"/>
          <w:sz w:val="24"/>
        </w:rPr>
        <w:t>risques</w:t>
      </w:r>
      <w:proofErr w:type="spellEnd"/>
      <w:r w:rsidRPr="00BF083C">
        <w:rPr>
          <w:rFonts w:ascii="MyriadPro-Bold" w:hAnsi="MyriadPro-Bold" w:cs="MyriadPro-Bold"/>
          <w:b/>
          <w:bCs/>
          <w:snapToGrid/>
          <w:color w:val="365F91" w:themeColor="accent1" w:themeShade="BF"/>
          <w:sz w:val="24"/>
        </w:rPr>
        <w:t xml:space="preserve"> de catastrophe</w:t>
      </w:r>
    </w:p>
    <w:p w14:paraId="0E5AC5EC" w14:textId="1BB37C1D" w:rsidR="009D0EB6" w:rsidRPr="00BF083C" w:rsidRDefault="009D0EB6" w:rsidP="009D0EB6">
      <w:pPr>
        <w:widowControl/>
        <w:tabs>
          <w:tab w:val="clear" w:pos="567"/>
          <w:tab w:val="left" w:pos="1162"/>
        </w:tabs>
        <w:autoSpaceDE w:val="0"/>
        <w:autoSpaceDN w:val="0"/>
        <w:snapToGrid/>
        <w:spacing w:line="240" w:lineRule="auto"/>
        <w:jc w:val="left"/>
        <w:textAlignment w:val="auto"/>
        <w:rPr>
          <w:rFonts w:cs="Arial"/>
          <w:szCs w:val="22"/>
        </w:rPr>
      </w:pPr>
    </w:p>
    <w:p w14:paraId="4FAD23D9" w14:textId="3C39988D" w:rsidR="009D0EB6" w:rsidRPr="00BF083C" w:rsidRDefault="00EC5F05"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szCs w:val="22"/>
        </w:rPr>
      </w:pPr>
      <w:r w:rsidRPr="00BF083C">
        <w:rPr>
          <w:rFonts w:ascii="MyriadPro-Bold" w:hAnsi="MyriadPro-Bold" w:cs="MyriadPro-Bold"/>
          <w:b/>
          <w:bCs/>
          <w:snapToGrid/>
          <w:szCs w:val="22"/>
        </w:rPr>
        <w:t xml:space="preserve">PRODUIT 3.IOC1 : Les </w:t>
      </w:r>
      <w:proofErr w:type="spellStart"/>
      <w:r w:rsidRPr="00BF083C">
        <w:rPr>
          <w:rFonts w:ascii="MyriadPro-Bold" w:hAnsi="MyriadPro-Bold" w:cs="MyriadPro-Bold"/>
          <w:b/>
          <w:bCs/>
          <w:snapToGrid/>
          <w:szCs w:val="22"/>
        </w:rPr>
        <w:t>États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membres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reçoivent</w:t>
      </w:r>
      <w:proofErr w:type="spellEnd"/>
      <w:r w:rsidRPr="00BF083C">
        <w:rPr>
          <w:rFonts w:ascii="MyriadPro-Bold" w:hAnsi="MyriadPro-Bold" w:cs="MyriadPro-Bold"/>
          <w:b/>
          <w:bCs/>
          <w:snapToGrid/>
          <w:szCs w:val="22"/>
        </w:rPr>
        <w:t xml:space="preserve"> un </w:t>
      </w:r>
      <w:proofErr w:type="spellStart"/>
      <w:r w:rsidRPr="00BF083C">
        <w:rPr>
          <w:rFonts w:ascii="MyriadPro-Bold" w:hAnsi="MyriadPro-Bold" w:cs="MyriadPro-Bold"/>
          <w:b/>
          <w:bCs/>
          <w:snapToGrid/>
          <w:szCs w:val="22"/>
        </w:rPr>
        <w:t>soutien</w:t>
      </w:r>
      <w:proofErr w:type="spellEnd"/>
      <w:r w:rsidRPr="00BF083C">
        <w:rPr>
          <w:rFonts w:ascii="MyriadPro-Bold" w:hAnsi="MyriadPro-Bold" w:cs="MyriadPro-Bold"/>
          <w:b/>
          <w:bCs/>
          <w:snapToGrid/>
          <w:szCs w:val="22"/>
        </w:rPr>
        <w:t xml:space="preserve"> critique pour </w:t>
      </w:r>
      <w:proofErr w:type="spellStart"/>
      <w:r w:rsidRPr="00BF083C">
        <w:rPr>
          <w:rFonts w:ascii="MyriadPro-Bold" w:hAnsi="MyriadPro-Bold" w:cs="MyriadPro-Bold"/>
          <w:b/>
          <w:bCs/>
          <w:snapToGrid/>
          <w:szCs w:val="22"/>
        </w:rPr>
        <w:t>renforcer</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leur</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capacité</w:t>
      </w:r>
      <w:proofErr w:type="spellEnd"/>
      <w:r w:rsidRPr="00BF083C">
        <w:rPr>
          <w:rFonts w:ascii="MyriadPro-Bold" w:hAnsi="MyriadPro-Bold" w:cs="MyriadPro-Bold"/>
          <w:b/>
          <w:bCs/>
          <w:snapToGrid/>
          <w:szCs w:val="22"/>
        </w:rPr>
        <w:t xml:space="preserve"> de </w:t>
      </w:r>
      <w:proofErr w:type="spellStart"/>
      <w:r w:rsidRPr="00BF083C">
        <w:rPr>
          <w:rFonts w:ascii="MyriadPro-Bold" w:hAnsi="MyriadPro-Bold" w:cs="MyriadPro-Bold"/>
          <w:b/>
          <w:bCs/>
          <w:snapToGrid/>
          <w:szCs w:val="22"/>
        </w:rPr>
        <w:t>mener</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recherches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scientifiques</w:t>
      </w:r>
      <w:proofErr w:type="spellEnd"/>
      <w:r w:rsidRPr="00BF083C">
        <w:rPr>
          <w:rFonts w:ascii="MyriadPro-Bold" w:hAnsi="MyriadPro-Bold" w:cs="MyriadPro-Bold"/>
          <w:b/>
          <w:bCs/>
          <w:snapToGrid/>
          <w:szCs w:val="22"/>
        </w:rPr>
        <w:t xml:space="preserve"> marines, de </w:t>
      </w:r>
      <w:proofErr w:type="spellStart"/>
      <w:r w:rsidRPr="00BF083C">
        <w:rPr>
          <w:rFonts w:ascii="MyriadPro-Bold" w:hAnsi="MyriadPro-Bold" w:cs="MyriadPro-Bold"/>
          <w:b/>
          <w:bCs/>
          <w:snapToGrid/>
          <w:szCs w:val="22"/>
        </w:rPr>
        <w:t>produire</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connaissances</w:t>
      </w:r>
      <w:proofErr w:type="spellEnd"/>
      <w:r w:rsidRPr="00BF083C">
        <w:rPr>
          <w:rFonts w:ascii="MyriadPro-Bold" w:hAnsi="MyriadPro-Bold" w:cs="MyriadPro-Bold"/>
          <w:b/>
          <w:bCs/>
          <w:snapToGrid/>
          <w:szCs w:val="22"/>
        </w:rPr>
        <w:t xml:space="preserve"> et </w:t>
      </w:r>
      <w:proofErr w:type="spellStart"/>
      <w:r w:rsidRPr="00BF083C">
        <w:rPr>
          <w:rFonts w:ascii="MyriadPro-Bold" w:hAnsi="MyriadPro-Bold" w:cs="MyriadPro-Bold"/>
          <w:b/>
          <w:bCs/>
          <w:snapToGrid/>
          <w:szCs w:val="22"/>
        </w:rPr>
        <w:t>d’élaborer</w:t>
      </w:r>
      <w:proofErr w:type="spellEnd"/>
      <w:r w:rsidRPr="00BF083C">
        <w:rPr>
          <w:rFonts w:ascii="MyriadPro-Bold" w:hAnsi="MyriadPro-Bold" w:cs="MyriadPro-Bold"/>
          <w:b/>
          <w:bCs/>
          <w:snapToGrid/>
          <w:szCs w:val="22"/>
        </w:rPr>
        <w:t xml:space="preserve"> et de </w:t>
      </w:r>
      <w:proofErr w:type="spellStart"/>
      <w:r w:rsidRPr="00BF083C">
        <w:rPr>
          <w:rFonts w:ascii="MyriadPro-Bold" w:hAnsi="MyriadPro-Bold" w:cs="MyriadPro-Bold"/>
          <w:b/>
          <w:bCs/>
          <w:snapToGrid/>
          <w:szCs w:val="22"/>
        </w:rPr>
        <w:t>mettre</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en</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œuvre</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outils</w:t>
      </w:r>
      <w:proofErr w:type="spellEnd"/>
      <w:r w:rsidRPr="00BF083C">
        <w:rPr>
          <w:rFonts w:ascii="MyriadPro-Bold" w:hAnsi="MyriadPro-Bold" w:cs="MyriadPro-Bold"/>
          <w:b/>
          <w:bCs/>
          <w:snapToGrid/>
          <w:szCs w:val="22"/>
        </w:rPr>
        <w:t xml:space="preserve">, services et politiques </w:t>
      </w:r>
      <w:proofErr w:type="spellStart"/>
      <w:r w:rsidRPr="00BF083C">
        <w:rPr>
          <w:rFonts w:ascii="MyriadPro-Bold" w:hAnsi="MyriadPro-Bold" w:cs="MyriadPro-Bold"/>
          <w:b/>
          <w:bCs/>
          <w:snapToGrid/>
          <w:szCs w:val="22"/>
        </w:rPr>
        <w:t>fondés</w:t>
      </w:r>
      <w:proofErr w:type="spellEnd"/>
      <w:r w:rsidRPr="00BF083C">
        <w:rPr>
          <w:rFonts w:ascii="MyriadPro-Bold" w:hAnsi="MyriadPro-Bold" w:cs="MyriadPro-Bold"/>
          <w:b/>
          <w:bCs/>
          <w:snapToGrid/>
          <w:szCs w:val="22"/>
        </w:rPr>
        <w:t xml:space="preserve"> sur la science </w:t>
      </w:r>
      <w:proofErr w:type="spellStart"/>
      <w:r w:rsidRPr="00BF083C">
        <w:rPr>
          <w:rFonts w:ascii="MyriadPro-Bold" w:hAnsi="MyriadPro-Bold" w:cs="MyriadPro-Bold"/>
          <w:b/>
          <w:bCs/>
          <w:snapToGrid/>
          <w:szCs w:val="22"/>
        </w:rPr>
        <w:t>afin</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d’inverser</w:t>
      </w:r>
      <w:proofErr w:type="spellEnd"/>
      <w:r w:rsidRPr="00BF083C">
        <w:rPr>
          <w:rFonts w:ascii="MyriadPro-Bold" w:hAnsi="MyriadPro-Bold" w:cs="MyriadPro-Bold"/>
          <w:b/>
          <w:bCs/>
          <w:snapToGrid/>
          <w:szCs w:val="22"/>
        </w:rPr>
        <w:t xml:space="preserve"> le </w:t>
      </w:r>
      <w:proofErr w:type="spellStart"/>
      <w:r w:rsidRPr="00BF083C">
        <w:rPr>
          <w:rFonts w:ascii="MyriadPro-Bold" w:hAnsi="MyriadPro-Bold" w:cs="MyriadPro-Bold"/>
          <w:b/>
          <w:bCs/>
          <w:snapToGrid/>
          <w:szCs w:val="22"/>
        </w:rPr>
        <w:t>déclin</w:t>
      </w:r>
      <w:proofErr w:type="spellEnd"/>
      <w:r w:rsidRPr="00BF083C">
        <w:rPr>
          <w:rFonts w:ascii="MyriadPro-Bold" w:hAnsi="MyriadPro-Bold" w:cs="MyriadPro-Bold"/>
          <w:b/>
          <w:bCs/>
          <w:snapToGrid/>
          <w:szCs w:val="22"/>
        </w:rPr>
        <w:t xml:space="preserve"> de la </w:t>
      </w:r>
      <w:proofErr w:type="spellStart"/>
      <w:r w:rsidRPr="00BF083C">
        <w:rPr>
          <w:rFonts w:ascii="MyriadPro-Bold" w:hAnsi="MyriadPro-Bold" w:cs="MyriadPro-Bold"/>
          <w:b/>
          <w:bCs/>
          <w:snapToGrid/>
          <w:szCs w:val="22"/>
        </w:rPr>
        <w:t>santé</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océans</w:t>
      </w:r>
      <w:proofErr w:type="spellEnd"/>
      <w:r w:rsidRPr="00BF083C">
        <w:rPr>
          <w:rFonts w:ascii="MyriadPro-Bold" w:hAnsi="MyriadPro-Bold" w:cs="MyriadPro-Bold"/>
          <w:b/>
          <w:bCs/>
          <w:snapToGrid/>
          <w:szCs w:val="22"/>
        </w:rPr>
        <w:t xml:space="preserve"> et </w:t>
      </w:r>
      <w:proofErr w:type="spellStart"/>
      <w:r w:rsidRPr="00BF083C">
        <w:rPr>
          <w:rFonts w:ascii="MyriadPro-Bold" w:hAnsi="MyriadPro-Bold" w:cs="MyriadPro-Bold"/>
          <w:b/>
          <w:bCs/>
          <w:snapToGrid/>
          <w:szCs w:val="22"/>
        </w:rPr>
        <w:t>d’accélérer</w:t>
      </w:r>
      <w:proofErr w:type="spellEnd"/>
      <w:r w:rsidRPr="00BF083C">
        <w:rPr>
          <w:rFonts w:ascii="MyriadPro-Bold" w:hAnsi="MyriadPro-Bold" w:cs="MyriadPro-Bold"/>
          <w:b/>
          <w:bCs/>
          <w:snapToGrid/>
          <w:szCs w:val="22"/>
        </w:rPr>
        <w:t xml:space="preserve"> la transition </w:t>
      </w:r>
      <w:proofErr w:type="spellStart"/>
      <w:r w:rsidRPr="00BF083C">
        <w:rPr>
          <w:rFonts w:ascii="MyriadPro-Bold" w:hAnsi="MyriadPro-Bold" w:cs="MyriadPro-Bold"/>
          <w:b/>
          <w:bCs/>
          <w:snapToGrid/>
          <w:szCs w:val="22"/>
        </w:rPr>
        <w:t>vers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une</w:t>
      </w:r>
      <w:proofErr w:type="spellEnd"/>
      <w:r w:rsidRPr="00BF083C">
        <w:rPr>
          <w:rFonts w:ascii="MyriadPro-Bold" w:hAnsi="MyriadPro-Bold" w:cs="MyriadPro-Bold"/>
          <w:b/>
          <w:bCs/>
          <w:snapToGrid/>
          <w:szCs w:val="22"/>
        </w:rPr>
        <w:t xml:space="preserve"> gestion durable des </w:t>
      </w:r>
      <w:proofErr w:type="spellStart"/>
      <w:r w:rsidRPr="00BF083C">
        <w:rPr>
          <w:rFonts w:ascii="MyriadPro-Bold" w:hAnsi="MyriadPro-Bold" w:cs="MyriadPro-Bold"/>
          <w:b/>
          <w:bCs/>
          <w:snapToGrid/>
          <w:szCs w:val="22"/>
        </w:rPr>
        <w:t>risques</w:t>
      </w:r>
      <w:proofErr w:type="spellEnd"/>
      <w:r w:rsidRPr="00BF083C">
        <w:rPr>
          <w:rFonts w:ascii="MyriadPro-Bold" w:hAnsi="MyriadPro-Bold" w:cs="MyriadPro-Bold"/>
          <w:b/>
          <w:bCs/>
          <w:snapToGrid/>
          <w:szCs w:val="22"/>
        </w:rPr>
        <w:t xml:space="preserve"> et des </w:t>
      </w:r>
      <w:proofErr w:type="spellStart"/>
      <w:r w:rsidRPr="00BF083C">
        <w:rPr>
          <w:rFonts w:ascii="MyriadPro-Bold" w:hAnsi="MyriadPro-Bold" w:cs="MyriadPro-Bold"/>
          <w:b/>
          <w:bCs/>
          <w:snapToGrid/>
          <w:szCs w:val="22"/>
        </w:rPr>
        <w:t>opportunités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liés</w:t>
      </w:r>
      <w:proofErr w:type="spellEnd"/>
      <w:r w:rsidRPr="00BF083C">
        <w:rPr>
          <w:rFonts w:ascii="MyriadPro-Bold" w:hAnsi="MyriadPro-Bold" w:cs="MyriadPro-Bold"/>
          <w:b/>
          <w:bCs/>
          <w:snapToGrid/>
          <w:szCs w:val="22"/>
        </w:rPr>
        <w:t xml:space="preserve"> aux </w:t>
      </w:r>
      <w:proofErr w:type="spellStart"/>
      <w:r w:rsidRPr="00BF083C">
        <w:rPr>
          <w:rFonts w:ascii="MyriadPro-Bold" w:hAnsi="MyriadPro-Bold" w:cs="MyriadPro-Bold"/>
          <w:b/>
          <w:bCs/>
          <w:snapToGrid/>
          <w:szCs w:val="22"/>
        </w:rPr>
        <w:t>océans</w:t>
      </w:r>
      <w:proofErr w:type="spellEnd"/>
      <w:r w:rsidRPr="00BF083C">
        <w:rPr>
          <w:rStyle w:val="FootnoteReference"/>
          <w:rFonts w:ascii="MyriadPro-Bold" w:hAnsi="MyriadPro-Bold" w:cs="MyriadPro-Bold"/>
          <w:b/>
          <w:bCs/>
          <w:snapToGrid/>
          <w:szCs w:val="22"/>
        </w:rPr>
        <w:footnoteReference w:id="2"/>
      </w:r>
    </w:p>
    <w:p w14:paraId="7F6AAE2C" w14:textId="3AA8D7C7" w:rsidR="009D0EB6" w:rsidRPr="00BF083C"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rPr>
      </w:pPr>
    </w:p>
    <w:p w14:paraId="35FC8D09" w14:textId="4317234B" w:rsidR="009D0EB6" w:rsidRPr="00BF083C" w:rsidRDefault="009D0EB6" w:rsidP="009D0EB6">
      <w:pPr>
        <w:pStyle w:val="Marge"/>
        <w:tabs>
          <w:tab w:val="clear" w:pos="567"/>
          <w:tab w:val="left" w:pos="1162"/>
        </w:tabs>
        <w:spacing w:after="120" w:line="240" w:lineRule="auto"/>
      </w:pPr>
      <w:r w:rsidRPr="00BF083C">
        <w:rPr>
          <w:bdr w:val="single" w:sz="4" w:space="0" w:color="auto"/>
        </w:rPr>
        <w:t>03015</w:t>
      </w:r>
      <w:r w:rsidRPr="00BF083C">
        <w:tab/>
        <w:t xml:space="preserve">Le </w:t>
      </w:r>
      <w:proofErr w:type="spellStart"/>
      <w:r w:rsidRPr="00BF083C">
        <w:t>Projet</w:t>
      </w:r>
      <w:proofErr w:type="spellEnd"/>
      <w:r w:rsidRPr="00BF083C">
        <w:t xml:space="preserve"> de </w:t>
      </w:r>
      <w:proofErr w:type="spellStart"/>
      <w:r w:rsidRPr="00BF083C">
        <w:t>stratégie</w:t>
      </w:r>
      <w:proofErr w:type="spellEnd"/>
      <w:r w:rsidRPr="00BF083C">
        <w:t xml:space="preserve"> à </w:t>
      </w:r>
      <w:proofErr w:type="spellStart"/>
      <w:r w:rsidRPr="00BF083C">
        <w:t>moyen</w:t>
      </w:r>
      <w:proofErr w:type="spellEnd"/>
      <w:r w:rsidRPr="00BF083C">
        <w:t xml:space="preserve"> </w:t>
      </w:r>
      <w:proofErr w:type="spellStart"/>
      <w:r w:rsidRPr="00BF083C">
        <w:t>terme</w:t>
      </w:r>
      <w:proofErr w:type="spellEnd"/>
      <w:r w:rsidRPr="00BF083C">
        <w:t xml:space="preserve"> de la COI pour 2022-2029 a pour ambition de « </w:t>
      </w:r>
      <w:proofErr w:type="spellStart"/>
      <w:r w:rsidRPr="00BF083C">
        <w:t>réunir</w:t>
      </w:r>
      <w:proofErr w:type="spellEnd"/>
      <w:r w:rsidRPr="00BF083C">
        <w:t xml:space="preserve"> les </w:t>
      </w:r>
      <w:proofErr w:type="spellStart"/>
      <w:r w:rsidRPr="00BF083C">
        <w:t>gouvernements</w:t>
      </w:r>
      <w:proofErr w:type="spellEnd"/>
      <w:r w:rsidRPr="00BF083C">
        <w:t xml:space="preserve"> et la </w:t>
      </w:r>
      <w:proofErr w:type="spellStart"/>
      <w:r w:rsidRPr="00BF083C">
        <w:t>communauté</w:t>
      </w:r>
      <w:proofErr w:type="spellEnd"/>
      <w:r w:rsidRPr="00BF083C">
        <w:t xml:space="preserve"> </w:t>
      </w:r>
      <w:proofErr w:type="spellStart"/>
      <w:r w:rsidRPr="00BF083C">
        <w:t>scientifique</w:t>
      </w:r>
      <w:proofErr w:type="spellEnd"/>
      <w:r w:rsidRPr="00BF083C">
        <w:t xml:space="preserve"> au service de « </w:t>
      </w:r>
      <w:proofErr w:type="spellStart"/>
      <w:r w:rsidRPr="00BF083C">
        <w:t>L’océan</w:t>
      </w:r>
      <w:proofErr w:type="spellEnd"/>
      <w:r w:rsidRPr="00BF083C">
        <w:t xml:space="preserve"> </w:t>
      </w:r>
      <w:proofErr w:type="spellStart"/>
      <w:r w:rsidRPr="00BF083C">
        <w:t>dont</w:t>
      </w:r>
      <w:proofErr w:type="spellEnd"/>
      <w:r w:rsidRPr="00BF083C">
        <w:t xml:space="preserve"> nous </w:t>
      </w:r>
      <w:proofErr w:type="spellStart"/>
      <w:r w:rsidRPr="00BF083C">
        <w:t>avons</w:t>
      </w:r>
      <w:proofErr w:type="spellEnd"/>
      <w:r w:rsidRPr="00BF083C">
        <w:t xml:space="preserve"> </w:t>
      </w:r>
      <w:proofErr w:type="spellStart"/>
      <w:r w:rsidRPr="00BF083C">
        <w:t>besoin</w:t>
      </w:r>
      <w:proofErr w:type="spellEnd"/>
      <w:r w:rsidRPr="00BF083C">
        <w:t xml:space="preserve"> pour le </w:t>
      </w:r>
      <w:proofErr w:type="spellStart"/>
      <w:r w:rsidRPr="00BF083C">
        <w:t>futur</w:t>
      </w:r>
      <w:proofErr w:type="spellEnd"/>
      <w:r w:rsidRPr="00BF083C">
        <w:t xml:space="preserve"> que nous </w:t>
      </w:r>
      <w:proofErr w:type="spellStart"/>
      <w:r w:rsidRPr="00BF083C">
        <w:t>voulons</w:t>
      </w:r>
      <w:proofErr w:type="spellEnd"/>
      <w:r w:rsidRPr="00BF083C">
        <w:t xml:space="preserve"> » ». Par la </w:t>
      </w:r>
      <w:proofErr w:type="spellStart"/>
      <w:r w:rsidRPr="00BF083C">
        <w:t>coopération</w:t>
      </w:r>
      <w:proofErr w:type="spellEnd"/>
      <w:r w:rsidRPr="00BF083C">
        <w:t xml:space="preserve"> </w:t>
      </w:r>
      <w:proofErr w:type="spellStart"/>
      <w:r w:rsidRPr="00BF083C">
        <w:t>internationale</w:t>
      </w:r>
      <w:proofErr w:type="spellEnd"/>
      <w:r w:rsidRPr="00BF083C">
        <w:t xml:space="preserve">, la COI aspire à </w:t>
      </w:r>
      <w:proofErr w:type="spellStart"/>
      <w:r w:rsidRPr="00BF083C">
        <w:t>constituer</w:t>
      </w:r>
      <w:proofErr w:type="spellEnd"/>
      <w:r w:rsidRPr="00BF083C">
        <w:t xml:space="preserve"> des </w:t>
      </w:r>
      <w:proofErr w:type="spellStart"/>
      <w:r w:rsidRPr="00BF083C">
        <w:t>connaissances</w:t>
      </w:r>
      <w:proofErr w:type="spellEnd"/>
      <w:r w:rsidRPr="00BF083C">
        <w:t xml:space="preserve"> </w:t>
      </w:r>
      <w:proofErr w:type="spellStart"/>
      <w:r w:rsidRPr="00BF083C">
        <w:t>scientifiques</w:t>
      </w:r>
      <w:proofErr w:type="spellEnd"/>
      <w:r w:rsidRPr="00BF083C">
        <w:t xml:space="preserve"> et à les appliquer </w:t>
      </w:r>
      <w:proofErr w:type="spellStart"/>
      <w:r w:rsidRPr="00BF083C">
        <w:t>afin</w:t>
      </w:r>
      <w:proofErr w:type="spellEnd"/>
      <w:r w:rsidRPr="00BF083C">
        <w:t xml:space="preserve"> </w:t>
      </w:r>
      <w:proofErr w:type="spellStart"/>
      <w:r w:rsidRPr="00BF083C">
        <w:t>d’atteindre</w:t>
      </w:r>
      <w:proofErr w:type="spellEnd"/>
      <w:r w:rsidRPr="00BF083C">
        <w:t xml:space="preserve"> les </w:t>
      </w:r>
      <w:proofErr w:type="spellStart"/>
      <w:r w:rsidRPr="00BF083C">
        <w:t>objectifs</w:t>
      </w:r>
      <w:proofErr w:type="spellEnd"/>
      <w:r w:rsidRPr="00BF083C">
        <w:t xml:space="preserve"> de haut </w:t>
      </w:r>
      <w:proofErr w:type="spellStart"/>
      <w:r w:rsidRPr="00BF083C">
        <w:t>niveau</w:t>
      </w:r>
      <w:proofErr w:type="spellEnd"/>
      <w:r w:rsidRPr="00BF083C">
        <w:t xml:space="preserve"> ci-après, </w:t>
      </w:r>
      <w:proofErr w:type="spellStart"/>
      <w:r w:rsidRPr="00BF083C">
        <w:t>en</w:t>
      </w:r>
      <w:proofErr w:type="spellEnd"/>
      <w:r w:rsidRPr="00BF083C">
        <w:t xml:space="preserve"> </w:t>
      </w:r>
      <w:proofErr w:type="spellStart"/>
      <w:r w:rsidRPr="00BF083C">
        <w:t>veillant</w:t>
      </w:r>
      <w:proofErr w:type="spellEnd"/>
      <w:r w:rsidRPr="00BF083C">
        <w:t xml:space="preserve"> </w:t>
      </w:r>
      <w:proofErr w:type="spellStart"/>
      <w:r w:rsidRPr="00BF083C">
        <w:t>particulièrement</w:t>
      </w:r>
      <w:proofErr w:type="spellEnd"/>
      <w:r w:rsidRPr="00BF083C">
        <w:t xml:space="preserve"> à </w:t>
      </w:r>
      <w:proofErr w:type="spellStart"/>
      <w:r w:rsidRPr="00BF083C">
        <w:t>ce</w:t>
      </w:r>
      <w:proofErr w:type="spellEnd"/>
      <w:r w:rsidRPr="00BF083C">
        <w:t xml:space="preserve"> que les </w:t>
      </w:r>
      <w:proofErr w:type="spellStart"/>
      <w:r w:rsidRPr="00BF083C">
        <w:t>États</w:t>
      </w:r>
      <w:proofErr w:type="spellEnd"/>
      <w:r w:rsidRPr="00BF083C">
        <w:t xml:space="preserve"> </w:t>
      </w:r>
      <w:proofErr w:type="spellStart"/>
      <w:r w:rsidRPr="00BF083C">
        <w:t>membres</w:t>
      </w:r>
      <w:proofErr w:type="spellEnd"/>
      <w:r w:rsidRPr="00BF083C">
        <w:t xml:space="preserve"> </w:t>
      </w:r>
      <w:proofErr w:type="spellStart"/>
      <w:r w:rsidRPr="00BF083C">
        <w:t>aient</w:t>
      </w:r>
      <w:proofErr w:type="spellEnd"/>
      <w:r w:rsidRPr="00BF083C">
        <w:t xml:space="preserve"> la </w:t>
      </w:r>
      <w:proofErr w:type="spellStart"/>
      <w:r w:rsidRPr="00BF083C">
        <w:t>capacité</w:t>
      </w:r>
      <w:proofErr w:type="spellEnd"/>
      <w:r w:rsidRPr="00BF083C">
        <w:t xml:space="preserve"> de les </w:t>
      </w:r>
      <w:proofErr w:type="spellStart"/>
      <w:r w:rsidRPr="00BF083C">
        <w:t>réaliser</w:t>
      </w:r>
      <w:proofErr w:type="spellEnd"/>
      <w:r w:rsidRPr="00BF083C">
        <w:t>:</w:t>
      </w:r>
    </w:p>
    <w:p w14:paraId="43D90EEA" w14:textId="563D9575" w:rsidR="00EC5F05" w:rsidRPr="00BF083C" w:rsidRDefault="00EC5F05" w:rsidP="00EC5F05">
      <w:pPr>
        <w:pStyle w:val="Marge"/>
        <w:tabs>
          <w:tab w:val="clear" w:pos="567"/>
          <w:tab w:val="left" w:pos="1162"/>
        </w:tabs>
        <w:spacing w:line="240" w:lineRule="auto"/>
      </w:pPr>
      <w:r w:rsidRPr="00BF083C">
        <w:t xml:space="preserve">1. un </w:t>
      </w:r>
      <w:proofErr w:type="spellStart"/>
      <w:r w:rsidRPr="00BF083C">
        <w:t>océan</w:t>
      </w:r>
      <w:proofErr w:type="spellEnd"/>
      <w:r w:rsidRPr="00BF083C">
        <w:t xml:space="preserve"> sain et des services </w:t>
      </w:r>
      <w:proofErr w:type="spellStart"/>
      <w:r w:rsidRPr="00BF083C">
        <w:t>écosystémiques</w:t>
      </w:r>
      <w:proofErr w:type="spellEnd"/>
      <w:r w:rsidRPr="00BF083C">
        <w:t xml:space="preserve"> </w:t>
      </w:r>
      <w:proofErr w:type="spellStart"/>
      <w:r w:rsidRPr="00BF083C">
        <w:t>marins</w:t>
      </w:r>
      <w:proofErr w:type="spellEnd"/>
      <w:r w:rsidRPr="00BF083C">
        <w:t xml:space="preserve"> durables ;</w:t>
      </w:r>
    </w:p>
    <w:p w14:paraId="791E0C02" w14:textId="5420E991" w:rsidR="00EC5F05" w:rsidRPr="00BF083C" w:rsidRDefault="00EC5F05" w:rsidP="00EC5F05">
      <w:pPr>
        <w:pStyle w:val="Marge"/>
        <w:tabs>
          <w:tab w:val="clear" w:pos="567"/>
          <w:tab w:val="left" w:pos="1162"/>
        </w:tabs>
        <w:spacing w:line="240" w:lineRule="auto"/>
      </w:pPr>
      <w:r w:rsidRPr="00BF083C">
        <w:t xml:space="preserve">2. des </w:t>
      </w:r>
      <w:proofErr w:type="spellStart"/>
      <w:r w:rsidRPr="00BF083C">
        <w:t>systèmes</w:t>
      </w:r>
      <w:proofErr w:type="spellEnd"/>
      <w:r w:rsidRPr="00BF083C">
        <w:t xml:space="preserve"> </w:t>
      </w:r>
      <w:proofErr w:type="spellStart"/>
      <w:r w:rsidRPr="00BF083C">
        <w:t>d’alerte</w:t>
      </w:r>
      <w:proofErr w:type="spellEnd"/>
      <w:r w:rsidRPr="00BF083C">
        <w:t xml:space="preserve"> </w:t>
      </w:r>
      <w:proofErr w:type="spellStart"/>
      <w:r w:rsidRPr="00BF083C">
        <w:t>efficaces</w:t>
      </w:r>
      <w:proofErr w:type="spellEnd"/>
      <w:r w:rsidRPr="00BF083C">
        <w:t xml:space="preserve"> et des </w:t>
      </w:r>
      <w:proofErr w:type="spellStart"/>
      <w:r w:rsidRPr="00BF083C">
        <w:t>mécanismes</w:t>
      </w:r>
      <w:proofErr w:type="spellEnd"/>
      <w:r w:rsidRPr="00BF083C">
        <w:t xml:space="preserve"> </w:t>
      </w:r>
      <w:proofErr w:type="spellStart"/>
      <w:r w:rsidRPr="00BF083C">
        <w:t>efficients</w:t>
      </w:r>
      <w:proofErr w:type="spellEnd"/>
      <w:r w:rsidRPr="00BF083C">
        <w:t xml:space="preserve"> de </w:t>
      </w:r>
      <w:proofErr w:type="spellStart"/>
      <w:r w:rsidRPr="00BF083C">
        <w:t>préparation</w:t>
      </w:r>
      <w:proofErr w:type="spellEnd"/>
      <w:r w:rsidRPr="00BF083C">
        <w:t xml:space="preserve"> aux tsunamis et </w:t>
      </w:r>
      <w:proofErr w:type="spellStart"/>
      <w:r w:rsidRPr="00BF083C">
        <w:t>autres</w:t>
      </w:r>
      <w:proofErr w:type="spellEnd"/>
      <w:r w:rsidRPr="00BF083C">
        <w:t xml:space="preserve"> </w:t>
      </w:r>
      <w:proofErr w:type="spellStart"/>
      <w:r w:rsidRPr="00BF083C">
        <w:t>aléas</w:t>
      </w:r>
      <w:proofErr w:type="spellEnd"/>
      <w:r w:rsidRPr="00BF083C">
        <w:t xml:space="preserve"> </w:t>
      </w:r>
      <w:proofErr w:type="spellStart"/>
      <w:r w:rsidRPr="00BF083C">
        <w:t>naturels</w:t>
      </w:r>
      <w:proofErr w:type="spellEnd"/>
      <w:r w:rsidRPr="00BF083C">
        <w:t xml:space="preserve"> </w:t>
      </w:r>
      <w:proofErr w:type="spellStart"/>
      <w:r w:rsidRPr="00BF083C">
        <w:t>liés</w:t>
      </w:r>
      <w:proofErr w:type="spellEnd"/>
      <w:r w:rsidRPr="00BF083C">
        <w:t xml:space="preserve"> aux </w:t>
      </w:r>
      <w:proofErr w:type="spellStart"/>
      <w:r w:rsidRPr="00BF083C">
        <w:t>océans</w:t>
      </w:r>
      <w:proofErr w:type="spellEnd"/>
      <w:r w:rsidRPr="00BF083C">
        <w:t xml:space="preserve"> ;</w:t>
      </w:r>
    </w:p>
    <w:p w14:paraId="22E60E0A" w14:textId="48DD9620" w:rsidR="00EC5F05" w:rsidRPr="00BF083C" w:rsidRDefault="00EC5F05" w:rsidP="00EC5F05">
      <w:pPr>
        <w:pStyle w:val="Marge"/>
        <w:tabs>
          <w:tab w:val="clear" w:pos="567"/>
          <w:tab w:val="left" w:pos="1162"/>
        </w:tabs>
        <w:spacing w:line="240" w:lineRule="auto"/>
      </w:pPr>
      <w:r w:rsidRPr="00BF083C">
        <w:t xml:space="preserve">3. la </w:t>
      </w:r>
      <w:proofErr w:type="spellStart"/>
      <w:r w:rsidRPr="00BF083C">
        <w:t>résilience</w:t>
      </w:r>
      <w:proofErr w:type="spellEnd"/>
      <w:r w:rsidRPr="00BF083C">
        <w:t xml:space="preserve"> au </w:t>
      </w:r>
      <w:proofErr w:type="spellStart"/>
      <w:r w:rsidRPr="00BF083C">
        <w:t>changement</w:t>
      </w:r>
      <w:proofErr w:type="spellEnd"/>
      <w:r w:rsidRPr="00BF083C">
        <w:t xml:space="preserve"> </w:t>
      </w:r>
      <w:proofErr w:type="spellStart"/>
      <w:r w:rsidRPr="00BF083C">
        <w:t>climatique</w:t>
      </w:r>
      <w:proofErr w:type="spellEnd"/>
      <w:r w:rsidRPr="00BF083C">
        <w:t xml:space="preserve"> et la contribution à </w:t>
      </w:r>
      <w:proofErr w:type="spellStart"/>
      <w:r w:rsidRPr="00BF083C">
        <w:t>l’atténuation</w:t>
      </w:r>
      <w:proofErr w:type="spellEnd"/>
      <w:r w:rsidRPr="00BF083C">
        <w:t xml:space="preserve"> de </w:t>
      </w:r>
      <w:proofErr w:type="spellStart"/>
      <w:r w:rsidRPr="00BF083C">
        <w:t>ses</w:t>
      </w:r>
      <w:proofErr w:type="spellEnd"/>
      <w:r w:rsidRPr="00BF083C">
        <w:t xml:space="preserve"> </w:t>
      </w:r>
      <w:proofErr w:type="spellStart"/>
      <w:r w:rsidRPr="00BF083C">
        <w:t>effets</w:t>
      </w:r>
      <w:proofErr w:type="spellEnd"/>
      <w:r w:rsidRPr="00BF083C">
        <w:t xml:space="preserve"> ;</w:t>
      </w:r>
    </w:p>
    <w:p w14:paraId="3DAE12BB" w14:textId="48004F6B" w:rsidR="00EC5F05" w:rsidRPr="00BF083C" w:rsidRDefault="00EC5F05" w:rsidP="00EC5F05">
      <w:pPr>
        <w:pStyle w:val="Marge"/>
        <w:tabs>
          <w:tab w:val="clear" w:pos="567"/>
          <w:tab w:val="left" w:pos="1162"/>
        </w:tabs>
        <w:spacing w:line="240" w:lineRule="auto"/>
      </w:pPr>
      <w:r w:rsidRPr="00BF083C">
        <w:t xml:space="preserve">4. des services </w:t>
      </w:r>
      <w:proofErr w:type="spellStart"/>
      <w:r w:rsidRPr="00BF083C">
        <w:t>fondés</w:t>
      </w:r>
      <w:proofErr w:type="spellEnd"/>
      <w:r w:rsidRPr="00BF083C">
        <w:t xml:space="preserve"> sur les sciences pour </w:t>
      </w:r>
      <w:proofErr w:type="spellStart"/>
      <w:r w:rsidRPr="00BF083C">
        <w:t>une</w:t>
      </w:r>
      <w:proofErr w:type="spellEnd"/>
      <w:r w:rsidRPr="00BF083C">
        <w:t xml:space="preserve"> </w:t>
      </w:r>
      <w:proofErr w:type="spellStart"/>
      <w:r w:rsidRPr="00BF083C">
        <w:t>économie</w:t>
      </w:r>
      <w:proofErr w:type="spellEnd"/>
      <w:r w:rsidRPr="00BF083C">
        <w:t xml:space="preserve"> durable des </w:t>
      </w:r>
      <w:proofErr w:type="spellStart"/>
      <w:r w:rsidRPr="00BF083C">
        <w:t>océans</w:t>
      </w:r>
      <w:proofErr w:type="spellEnd"/>
      <w:r w:rsidRPr="00BF083C">
        <w:t xml:space="preserve"> ;</w:t>
      </w:r>
    </w:p>
    <w:p w14:paraId="5A115B3C" w14:textId="7189BB5F" w:rsidR="00EC5F05" w:rsidRPr="00BF083C" w:rsidRDefault="00EC5F05" w:rsidP="00EC5F05">
      <w:pPr>
        <w:pStyle w:val="Marge"/>
        <w:tabs>
          <w:tab w:val="clear" w:pos="567"/>
          <w:tab w:val="left" w:pos="1162"/>
        </w:tabs>
        <w:spacing w:line="240" w:lineRule="auto"/>
      </w:pPr>
      <w:r w:rsidRPr="00BF083C">
        <w:lastRenderedPageBreak/>
        <w:t xml:space="preserve">5. </w:t>
      </w:r>
      <w:proofErr w:type="spellStart"/>
      <w:r w:rsidRPr="00BF083C">
        <w:t>l’anticipation</w:t>
      </w:r>
      <w:proofErr w:type="spellEnd"/>
      <w:r w:rsidRPr="00BF083C">
        <w:t xml:space="preserve"> des questions </w:t>
      </w:r>
      <w:proofErr w:type="spellStart"/>
      <w:r w:rsidRPr="00BF083C">
        <w:t>émergentes</w:t>
      </w:r>
      <w:proofErr w:type="spellEnd"/>
      <w:r w:rsidRPr="00BF083C">
        <w:t xml:space="preserve"> dans le </w:t>
      </w:r>
      <w:proofErr w:type="spellStart"/>
      <w:r w:rsidRPr="00BF083C">
        <w:t>domaine</w:t>
      </w:r>
      <w:proofErr w:type="spellEnd"/>
      <w:r w:rsidRPr="00BF083C">
        <w:t xml:space="preserve"> de </w:t>
      </w:r>
      <w:proofErr w:type="spellStart"/>
      <w:r w:rsidRPr="00BF083C">
        <w:t>l’océanographie</w:t>
      </w:r>
      <w:proofErr w:type="spellEnd"/>
      <w:r w:rsidRPr="00BF083C">
        <w:t>.</w:t>
      </w:r>
    </w:p>
    <w:p w14:paraId="001118D9" w14:textId="7FE47A3A" w:rsidR="009D0EB6" w:rsidRPr="00BF083C" w:rsidRDefault="009D0EB6" w:rsidP="009D0EB6">
      <w:pPr>
        <w:pStyle w:val="Marge"/>
        <w:tabs>
          <w:tab w:val="clear" w:pos="567"/>
          <w:tab w:val="left" w:pos="1162"/>
        </w:tabs>
        <w:spacing w:line="240" w:lineRule="auto"/>
        <w:rPr>
          <w:b/>
          <w:bCs/>
          <w:i/>
          <w:iCs/>
        </w:rPr>
      </w:pPr>
      <w:r w:rsidRPr="00BF083C">
        <w:rPr>
          <w:b/>
          <w:bCs/>
          <w:i/>
          <w:iCs/>
        </w:rPr>
        <w:t xml:space="preserve">Objectif 1 – Un </w:t>
      </w:r>
      <w:proofErr w:type="spellStart"/>
      <w:r w:rsidRPr="00BF083C">
        <w:rPr>
          <w:b/>
          <w:bCs/>
          <w:i/>
          <w:iCs/>
        </w:rPr>
        <w:t>océan</w:t>
      </w:r>
      <w:proofErr w:type="spellEnd"/>
      <w:r w:rsidRPr="00BF083C">
        <w:rPr>
          <w:b/>
          <w:bCs/>
          <w:i/>
          <w:iCs/>
        </w:rPr>
        <w:t xml:space="preserve"> sain et des services </w:t>
      </w:r>
      <w:proofErr w:type="spellStart"/>
      <w:r w:rsidRPr="00BF083C">
        <w:rPr>
          <w:b/>
          <w:bCs/>
          <w:i/>
          <w:iCs/>
        </w:rPr>
        <w:t>écosystémiques</w:t>
      </w:r>
      <w:proofErr w:type="spellEnd"/>
      <w:r w:rsidRPr="00BF083C">
        <w:rPr>
          <w:b/>
          <w:bCs/>
          <w:i/>
          <w:iCs/>
        </w:rPr>
        <w:t xml:space="preserve"> </w:t>
      </w:r>
      <w:proofErr w:type="spellStart"/>
      <w:r w:rsidRPr="00BF083C">
        <w:rPr>
          <w:b/>
          <w:bCs/>
          <w:i/>
          <w:iCs/>
        </w:rPr>
        <w:t>marins</w:t>
      </w:r>
      <w:proofErr w:type="spellEnd"/>
      <w:r w:rsidRPr="00BF083C">
        <w:rPr>
          <w:b/>
          <w:bCs/>
          <w:i/>
          <w:iCs/>
        </w:rPr>
        <w:t xml:space="preserve"> durables</w:t>
      </w:r>
    </w:p>
    <w:p w14:paraId="453BF566" w14:textId="2AE4872B" w:rsidR="009D0EB6" w:rsidRPr="00BF083C" w:rsidRDefault="009D0EB6" w:rsidP="009D0EB6">
      <w:pPr>
        <w:pStyle w:val="Marge"/>
        <w:tabs>
          <w:tab w:val="clear" w:pos="567"/>
          <w:tab w:val="left" w:pos="1162"/>
        </w:tabs>
        <w:spacing w:line="240" w:lineRule="auto"/>
      </w:pPr>
      <w:r w:rsidRPr="00BF083C">
        <w:rPr>
          <w:bdr w:val="single" w:sz="4" w:space="0" w:color="auto"/>
        </w:rPr>
        <w:t>03016</w:t>
      </w:r>
      <w:r w:rsidRPr="00BF083C">
        <w:tab/>
      </w:r>
      <w:proofErr w:type="spellStart"/>
      <w:r w:rsidRPr="00BF083C">
        <w:t>L’amélioration</w:t>
      </w:r>
      <w:proofErr w:type="spellEnd"/>
      <w:r w:rsidRPr="00BF083C">
        <w:t xml:space="preserve"> de la </w:t>
      </w:r>
      <w:proofErr w:type="spellStart"/>
      <w:r w:rsidRPr="00BF083C">
        <w:t>compréhension</w:t>
      </w:r>
      <w:proofErr w:type="spellEnd"/>
      <w:r w:rsidRPr="00BF083C">
        <w:t xml:space="preserve"> </w:t>
      </w:r>
      <w:proofErr w:type="spellStart"/>
      <w:r w:rsidRPr="00BF083C">
        <w:t>scientifique</w:t>
      </w:r>
      <w:proofErr w:type="spellEnd"/>
      <w:r w:rsidRPr="00BF083C">
        <w:t xml:space="preserve"> des </w:t>
      </w:r>
      <w:proofErr w:type="spellStart"/>
      <w:r w:rsidRPr="00BF083C">
        <w:t>écosystèmes</w:t>
      </w:r>
      <w:proofErr w:type="spellEnd"/>
      <w:r w:rsidRPr="00BF083C">
        <w:t xml:space="preserve"> </w:t>
      </w:r>
      <w:proofErr w:type="spellStart"/>
      <w:r w:rsidRPr="00BF083C">
        <w:t>océaniques</w:t>
      </w:r>
      <w:proofErr w:type="spellEnd"/>
      <w:r w:rsidRPr="00BF083C">
        <w:t xml:space="preserve">, la </w:t>
      </w:r>
      <w:proofErr w:type="spellStart"/>
      <w:r w:rsidRPr="00BF083C">
        <w:t>définition</w:t>
      </w:r>
      <w:proofErr w:type="spellEnd"/>
      <w:r w:rsidRPr="00BF083C">
        <w:t xml:space="preserve"> </w:t>
      </w:r>
      <w:proofErr w:type="spellStart"/>
      <w:r w:rsidRPr="00BF083C">
        <w:t>d’indicateurs</w:t>
      </w:r>
      <w:proofErr w:type="spellEnd"/>
      <w:r w:rsidRPr="00BF083C">
        <w:t xml:space="preserve"> </w:t>
      </w:r>
      <w:proofErr w:type="spellStart"/>
      <w:r w:rsidRPr="00BF083C">
        <w:t>fiables</w:t>
      </w:r>
      <w:proofErr w:type="spellEnd"/>
      <w:r w:rsidRPr="00BF083C">
        <w:t xml:space="preserve"> de </w:t>
      </w:r>
      <w:proofErr w:type="spellStart"/>
      <w:r w:rsidRPr="00BF083C">
        <w:t>leur</w:t>
      </w:r>
      <w:proofErr w:type="spellEnd"/>
      <w:r w:rsidRPr="00BF083C">
        <w:t xml:space="preserve"> </w:t>
      </w:r>
      <w:proofErr w:type="spellStart"/>
      <w:r w:rsidRPr="00BF083C">
        <w:t>santé</w:t>
      </w:r>
      <w:proofErr w:type="spellEnd"/>
      <w:r w:rsidRPr="00BF083C">
        <w:t xml:space="preserve"> et la </w:t>
      </w:r>
      <w:proofErr w:type="spellStart"/>
      <w:r w:rsidRPr="00BF083C">
        <w:t>compréhension</w:t>
      </w:r>
      <w:proofErr w:type="spellEnd"/>
      <w:r w:rsidRPr="00BF083C">
        <w:t xml:space="preserve"> de la </w:t>
      </w:r>
      <w:proofErr w:type="spellStart"/>
      <w:r w:rsidRPr="00BF083C">
        <w:t>vulnérabilité</w:t>
      </w:r>
      <w:proofErr w:type="spellEnd"/>
      <w:r w:rsidRPr="00BF083C">
        <w:t xml:space="preserve"> des </w:t>
      </w:r>
      <w:proofErr w:type="spellStart"/>
      <w:r w:rsidRPr="00BF083C">
        <w:t>écosystèmes</w:t>
      </w:r>
      <w:proofErr w:type="spellEnd"/>
      <w:r w:rsidRPr="00BF083C">
        <w:t xml:space="preserve">, par </w:t>
      </w:r>
      <w:proofErr w:type="spellStart"/>
      <w:r w:rsidRPr="00BF083C">
        <w:t>exemple</w:t>
      </w:r>
      <w:proofErr w:type="spellEnd"/>
      <w:r w:rsidRPr="00BF083C">
        <w:t xml:space="preserve"> </w:t>
      </w:r>
      <w:proofErr w:type="spellStart"/>
      <w:r w:rsidRPr="00BF083C">
        <w:t>en</w:t>
      </w:r>
      <w:proofErr w:type="spellEnd"/>
      <w:r w:rsidRPr="00BF083C">
        <w:t xml:space="preserve"> </w:t>
      </w:r>
      <w:proofErr w:type="spellStart"/>
      <w:r w:rsidRPr="00BF083C">
        <w:t>ce</w:t>
      </w:r>
      <w:proofErr w:type="spellEnd"/>
      <w:r w:rsidRPr="00BF083C">
        <w:t xml:space="preserve"> qui </w:t>
      </w:r>
      <w:proofErr w:type="spellStart"/>
      <w:r w:rsidRPr="00BF083C">
        <w:t>concerne</w:t>
      </w:r>
      <w:proofErr w:type="spellEnd"/>
      <w:r w:rsidRPr="00BF083C">
        <w:t xml:space="preserve"> les </w:t>
      </w:r>
      <w:proofErr w:type="spellStart"/>
      <w:r w:rsidRPr="00BF083C">
        <w:t>facteurs</w:t>
      </w:r>
      <w:proofErr w:type="spellEnd"/>
      <w:r w:rsidRPr="00BF083C">
        <w:t xml:space="preserve"> de stress multiples, </w:t>
      </w:r>
      <w:proofErr w:type="spellStart"/>
      <w:r w:rsidRPr="00BF083C">
        <w:t>sont</w:t>
      </w:r>
      <w:proofErr w:type="spellEnd"/>
      <w:r w:rsidRPr="00BF083C">
        <w:t xml:space="preserve"> </w:t>
      </w:r>
      <w:proofErr w:type="spellStart"/>
      <w:r w:rsidRPr="00BF083C">
        <w:t>essentielles</w:t>
      </w:r>
      <w:proofErr w:type="spellEnd"/>
      <w:r w:rsidRPr="00BF083C">
        <w:t xml:space="preserve"> pour </w:t>
      </w:r>
      <w:proofErr w:type="spellStart"/>
      <w:r w:rsidRPr="00BF083C">
        <w:t>surveiller</w:t>
      </w:r>
      <w:proofErr w:type="spellEnd"/>
      <w:r w:rsidRPr="00BF083C">
        <w:t xml:space="preserve"> et </w:t>
      </w:r>
      <w:proofErr w:type="spellStart"/>
      <w:r w:rsidRPr="00BF083C">
        <w:t>anticiper</w:t>
      </w:r>
      <w:proofErr w:type="spellEnd"/>
      <w:r w:rsidRPr="00BF083C">
        <w:t xml:space="preserve"> la </w:t>
      </w:r>
      <w:proofErr w:type="spellStart"/>
      <w:r w:rsidRPr="00BF083C">
        <w:t>santé</w:t>
      </w:r>
      <w:proofErr w:type="spellEnd"/>
      <w:r w:rsidRPr="00BF083C">
        <w:t xml:space="preserve"> et la </w:t>
      </w:r>
      <w:proofErr w:type="spellStart"/>
      <w:r w:rsidRPr="00BF083C">
        <w:t>résilience</w:t>
      </w:r>
      <w:proofErr w:type="spellEnd"/>
      <w:r w:rsidRPr="00BF083C">
        <w:t xml:space="preserve"> des </w:t>
      </w:r>
      <w:proofErr w:type="spellStart"/>
      <w:r w:rsidRPr="00BF083C">
        <w:t>écosystèmes</w:t>
      </w:r>
      <w:proofErr w:type="spellEnd"/>
      <w:r w:rsidRPr="00BF083C">
        <w:t xml:space="preserve"> et pour </w:t>
      </w:r>
      <w:proofErr w:type="spellStart"/>
      <w:r w:rsidRPr="00BF083C">
        <w:t>mettre</w:t>
      </w:r>
      <w:proofErr w:type="spellEnd"/>
      <w:r w:rsidRPr="00BF083C">
        <w:t xml:space="preserve"> </w:t>
      </w:r>
      <w:proofErr w:type="spellStart"/>
      <w:r w:rsidRPr="00BF083C">
        <w:t>en</w:t>
      </w:r>
      <w:proofErr w:type="spellEnd"/>
      <w:r w:rsidRPr="00BF083C">
        <w:t xml:space="preserve"> place </w:t>
      </w:r>
      <w:proofErr w:type="spellStart"/>
      <w:r w:rsidRPr="00BF083C">
        <w:t>une</w:t>
      </w:r>
      <w:proofErr w:type="spellEnd"/>
      <w:r w:rsidRPr="00BF083C">
        <w:t xml:space="preserve"> gestion </w:t>
      </w:r>
      <w:proofErr w:type="spellStart"/>
      <w:r w:rsidRPr="00BF083C">
        <w:t>écosystémique</w:t>
      </w:r>
      <w:proofErr w:type="spellEnd"/>
      <w:r w:rsidRPr="00BF083C">
        <w:t xml:space="preserve">, </w:t>
      </w:r>
      <w:proofErr w:type="spellStart"/>
      <w:r w:rsidRPr="00BF083C">
        <w:t>fondement</w:t>
      </w:r>
      <w:proofErr w:type="spellEnd"/>
      <w:r w:rsidRPr="00BF083C">
        <w:t xml:space="preserve"> </w:t>
      </w:r>
      <w:proofErr w:type="spellStart"/>
      <w:r w:rsidRPr="00BF083C">
        <w:t>d’une</w:t>
      </w:r>
      <w:proofErr w:type="spellEnd"/>
      <w:r w:rsidRPr="00BF083C">
        <w:t xml:space="preserve"> </w:t>
      </w:r>
      <w:proofErr w:type="spellStart"/>
      <w:r w:rsidRPr="00BF083C">
        <w:t>économie</w:t>
      </w:r>
      <w:proofErr w:type="spellEnd"/>
      <w:r w:rsidRPr="00BF083C">
        <w:t xml:space="preserve"> </w:t>
      </w:r>
      <w:proofErr w:type="spellStart"/>
      <w:r w:rsidRPr="00BF083C">
        <w:t>océanique</w:t>
      </w:r>
      <w:proofErr w:type="spellEnd"/>
      <w:r w:rsidRPr="00BF083C">
        <w:t xml:space="preserve"> durable et </w:t>
      </w:r>
      <w:proofErr w:type="spellStart"/>
      <w:r w:rsidRPr="00BF083C">
        <w:t>d’une</w:t>
      </w:r>
      <w:proofErr w:type="spellEnd"/>
      <w:r w:rsidRPr="00BF083C">
        <w:t xml:space="preserve"> </w:t>
      </w:r>
      <w:proofErr w:type="spellStart"/>
      <w:r w:rsidRPr="00BF083C">
        <w:t>meilleure</w:t>
      </w:r>
      <w:proofErr w:type="spellEnd"/>
      <w:r w:rsidRPr="00BF083C">
        <w:t xml:space="preserve"> </w:t>
      </w:r>
      <w:proofErr w:type="spellStart"/>
      <w:r w:rsidRPr="00BF083C">
        <w:t>gouvernance</w:t>
      </w:r>
      <w:proofErr w:type="spellEnd"/>
      <w:r w:rsidRPr="00BF083C">
        <w:t xml:space="preserve"> des </w:t>
      </w:r>
      <w:proofErr w:type="spellStart"/>
      <w:r w:rsidRPr="00BF083C">
        <w:t>océans</w:t>
      </w:r>
      <w:proofErr w:type="spellEnd"/>
      <w:r w:rsidRPr="00BF083C">
        <w:t xml:space="preserve">. Les </w:t>
      </w:r>
      <w:proofErr w:type="spellStart"/>
      <w:r w:rsidRPr="00BF083C">
        <w:t>principales</w:t>
      </w:r>
      <w:proofErr w:type="spellEnd"/>
      <w:r w:rsidRPr="00BF083C">
        <w:t xml:space="preserve"> parties </w:t>
      </w:r>
      <w:proofErr w:type="spellStart"/>
      <w:r w:rsidRPr="00BF083C">
        <w:t>prenantes</w:t>
      </w:r>
      <w:proofErr w:type="spellEnd"/>
      <w:r w:rsidRPr="00BF083C">
        <w:t xml:space="preserve"> </w:t>
      </w:r>
      <w:proofErr w:type="spellStart"/>
      <w:r w:rsidRPr="00BF083C">
        <w:t>doivent</w:t>
      </w:r>
      <w:proofErr w:type="spellEnd"/>
      <w:r w:rsidRPr="00BF083C">
        <w:t xml:space="preserve"> </w:t>
      </w:r>
      <w:proofErr w:type="spellStart"/>
      <w:r w:rsidRPr="00BF083C">
        <w:t>mieux</w:t>
      </w:r>
      <w:proofErr w:type="spellEnd"/>
      <w:r w:rsidRPr="00BF083C">
        <w:t xml:space="preserve"> </w:t>
      </w:r>
      <w:proofErr w:type="spellStart"/>
      <w:r w:rsidRPr="00BF083C">
        <w:t>coordonner</w:t>
      </w:r>
      <w:proofErr w:type="spellEnd"/>
      <w:r w:rsidRPr="00BF083C">
        <w:t xml:space="preserve"> </w:t>
      </w:r>
      <w:proofErr w:type="spellStart"/>
      <w:r w:rsidRPr="00BF083C">
        <w:t>leurs</w:t>
      </w:r>
      <w:proofErr w:type="spellEnd"/>
      <w:r w:rsidRPr="00BF083C">
        <w:t xml:space="preserve"> travaux de recherche et de gestion des </w:t>
      </w:r>
      <w:proofErr w:type="spellStart"/>
      <w:r w:rsidRPr="00BF083C">
        <w:t>écosystèmes</w:t>
      </w:r>
      <w:proofErr w:type="spellEnd"/>
      <w:r w:rsidRPr="00BF083C">
        <w:t xml:space="preserve"> et </w:t>
      </w:r>
      <w:proofErr w:type="spellStart"/>
      <w:r w:rsidRPr="00BF083C">
        <w:t>resserrer</w:t>
      </w:r>
      <w:proofErr w:type="spellEnd"/>
      <w:r w:rsidRPr="00BF083C">
        <w:t xml:space="preserve"> </w:t>
      </w:r>
      <w:proofErr w:type="spellStart"/>
      <w:r w:rsidRPr="00BF083C">
        <w:t>leur</w:t>
      </w:r>
      <w:proofErr w:type="spellEnd"/>
      <w:r w:rsidRPr="00BF083C">
        <w:t xml:space="preserve"> </w:t>
      </w:r>
      <w:proofErr w:type="spellStart"/>
      <w:r w:rsidRPr="00BF083C">
        <w:t>coopération</w:t>
      </w:r>
      <w:proofErr w:type="spellEnd"/>
      <w:r w:rsidRPr="00BF083C">
        <w:t xml:space="preserve"> </w:t>
      </w:r>
      <w:proofErr w:type="spellStart"/>
      <w:r w:rsidRPr="00BF083C">
        <w:t>en</w:t>
      </w:r>
      <w:proofErr w:type="spellEnd"/>
      <w:r w:rsidRPr="00BF083C">
        <w:t xml:space="preserve"> la matière.</w:t>
      </w:r>
    </w:p>
    <w:p w14:paraId="7B8DFB6A" w14:textId="14A295C3" w:rsidR="00FA2C9C" w:rsidRPr="00BF083C" w:rsidRDefault="00FA2C9C" w:rsidP="00FA2C9C">
      <w:pPr>
        <w:pStyle w:val="Marge"/>
        <w:tabs>
          <w:tab w:val="clear" w:pos="567"/>
          <w:tab w:val="left" w:pos="1162"/>
        </w:tabs>
        <w:spacing w:line="240" w:lineRule="auto"/>
        <w:rPr>
          <w:b/>
          <w:bCs/>
          <w:i/>
          <w:iCs/>
        </w:rPr>
      </w:pPr>
      <w:r w:rsidRPr="00BF083C">
        <w:rPr>
          <w:b/>
          <w:bCs/>
          <w:i/>
          <w:iCs/>
        </w:rPr>
        <w:t xml:space="preserve">Objectif 2 – Des </w:t>
      </w:r>
      <w:proofErr w:type="spellStart"/>
      <w:r w:rsidRPr="00BF083C">
        <w:rPr>
          <w:b/>
          <w:bCs/>
          <w:i/>
          <w:iCs/>
        </w:rPr>
        <w:t>systèmes</w:t>
      </w:r>
      <w:proofErr w:type="spellEnd"/>
      <w:r w:rsidRPr="00BF083C">
        <w:rPr>
          <w:b/>
          <w:bCs/>
          <w:i/>
          <w:iCs/>
        </w:rPr>
        <w:t xml:space="preserve"> </w:t>
      </w:r>
      <w:proofErr w:type="spellStart"/>
      <w:r w:rsidRPr="00BF083C">
        <w:rPr>
          <w:b/>
          <w:bCs/>
          <w:i/>
          <w:iCs/>
        </w:rPr>
        <w:t>d’alerte</w:t>
      </w:r>
      <w:proofErr w:type="spellEnd"/>
      <w:r w:rsidRPr="00BF083C">
        <w:rPr>
          <w:b/>
          <w:bCs/>
          <w:i/>
          <w:iCs/>
        </w:rPr>
        <w:t xml:space="preserve"> </w:t>
      </w:r>
      <w:proofErr w:type="spellStart"/>
      <w:r w:rsidRPr="00BF083C">
        <w:rPr>
          <w:b/>
          <w:bCs/>
          <w:i/>
          <w:iCs/>
        </w:rPr>
        <w:t>efficaces</w:t>
      </w:r>
      <w:proofErr w:type="spellEnd"/>
      <w:r w:rsidRPr="00BF083C">
        <w:rPr>
          <w:b/>
          <w:bCs/>
          <w:i/>
          <w:iCs/>
        </w:rPr>
        <w:t xml:space="preserve"> et des </w:t>
      </w:r>
      <w:proofErr w:type="spellStart"/>
      <w:r w:rsidRPr="00BF083C">
        <w:rPr>
          <w:b/>
          <w:bCs/>
          <w:i/>
          <w:iCs/>
        </w:rPr>
        <w:t>mécanismes</w:t>
      </w:r>
      <w:proofErr w:type="spellEnd"/>
      <w:r w:rsidRPr="00BF083C">
        <w:rPr>
          <w:b/>
          <w:bCs/>
          <w:i/>
          <w:iCs/>
        </w:rPr>
        <w:t xml:space="preserve"> </w:t>
      </w:r>
      <w:proofErr w:type="spellStart"/>
      <w:r w:rsidRPr="00BF083C">
        <w:rPr>
          <w:b/>
          <w:bCs/>
          <w:i/>
          <w:iCs/>
        </w:rPr>
        <w:t>efficients</w:t>
      </w:r>
      <w:proofErr w:type="spellEnd"/>
      <w:r w:rsidRPr="00BF083C">
        <w:rPr>
          <w:b/>
          <w:bCs/>
          <w:i/>
          <w:iCs/>
        </w:rPr>
        <w:t xml:space="preserve"> de </w:t>
      </w:r>
      <w:proofErr w:type="spellStart"/>
      <w:r w:rsidRPr="00BF083C">
        <w:rPr>
          <w:b/>
          <w:bCs/>
          <w:i/>
          <w:iCs/>
        </w:rPr>
        <w:t>préparation</w:t>
      </w:r>
      <w:proofErr w:type="spellEnd"/>
      <w:r w:rsidRPr="00BF083C">
        <w:rPr>
          <w:b/>
          <w:bCs/>
          <w:i/>
          <w:iCs/>
        </w:rPr>
        <w:t xml:space="preserve"> aux tsunamis et </w:t>
      </w:r>
      <w:proofErr w:type="spellStart"/>
      <w:r w:rsidRPr="00BF083C">
        <w:rPr>
          <w:b/>
          <w:bCs/>
          <w:i/>
          <w:iCs/>
        </w:rPr>
        <w:t>autres</w:t>
      </w:r>
      <w:proofErr w:type="spellEnd"/>
      <w:r w:rsidRPr="00BF083C">
        <w:rPr>
          <w:b/>
          <w:bCs/>
          <w:i/>
          <w:iCs/>
        </w:rPr>
        <w:t xml:space="preserve"> </w:t>
      </w:r>
      <w:proofErr w:type="spellStart"/>
      <w:r w:rsidRPr="00BF083C">
        <w:rPr>
          <w:b/>
          <w:bCs/>
          <w:i/>
          <w:iCs/>
        </w:rPr>
        <w:t>aléas</w:t>
      </w:r>
      <w:proofErr w:type="spellEnd"/>
      <w:r w:rsidRPr="00BF083C">
        <w:rPr>
          <w:b/>
          <w:bCs/>
          <w:i/>
          <w:iCs/>
        </w:rPr>
        <w:t xml:space="preserve"> </w:t>
      </w:r>
      <w:proofErr w:type="spellStart"/>
      <w:r w:rsidRPr="00BF083C">
        <w:rPr>
          <w:b/>
          <w:bCs/>
          <w:i/>
          <w:iCs/>
        </w:rPr>
        <w:t>naturels</w:t>
      </w:r>
      <w:proofErr w:type="spellEnd"/>
      <w:r w:rsidRPr="00BF083C">
        <w:rPr>
          <w:b/>
          <w:bCs/>
          <w:i/>
          <w:iCs/>
        </w:rPr>
        <w:t xml:space="preserve"> </w:t>
      </w:r>
      <w:proofErr w:type="spellStart"/>
      <w:r w:rsidRPr="00BF083C">
        <w:rPr>
          <w:b/>
          <w:bCs/>
          <w:i/>
          <w:iCs/>
        </w:rPr>
        <w:t>liés</w:t>
      </w:r>
      <w:proofErr w:type="spellEnd"/>
      <w:r w:rsidRPr="00BF083C">
        <w:rPr>
          <w:b/>
          <w:bCs/>
          <w:i/>
          <w:iCs/>
        </w:rPr>
        <w:t xml:space="preserve"> aux </w:t>
      </w:r>
      <w:proofErr w:type="spellStart"/>
      <w:r w:rsidRPr="00BF083C">
        <w:rPr>
          <w:b/>
          <w:bCs/>
          <w:i/>
          <w:iCs/>
        </w:rPr>
        <w:t>océans</w:t>
      </w:r>
      <w:proofErr w:type="spellEnd"/>
    </w:p>
    <w:p w14:paraId="56E75147" w14:textId="3E9DB3D3" w:rsidR="00FA2C9C" w:rsidRPr="00BF083C" w:rsidRDefault="00FA2C9C" w:rsidP="00FA2C9C">
      <w:pPr>
        <w:pStyle w:val="Marge"/>
        <w:tabs>
          <w:tab w:val="clear" w:pos="567"/>
          <w:tab w:val="left" w:pos="1162"/>
        </w:tabs>
        <w:spacing w:line="240" w:lineRule="auto"/>
      </w:pPr>
      <w:r w:rsidRPr="00BF083C">
        <w:rPr>
          <w:bdr w:val="single" w:sz="4" w:space="0" w:color="auto"/>
        </w:rPr>
        <w:t>03017</w:t>
      </w:r>
      <w:r w:rsidRPr="00BF083C">
        <w:tab/>
        <w:t xml:space="preserve">Avec </w:t>
      </w:r>
      <w:proofErr w:type="spellStart"/>
      <w:r w:rsidRPr="00BF083C">
        <w:t>l’accélération</w:t>
      </w:r>
      <w:proofErr w:type="spellEnd"/>
      <w:r w:rsidRPr="00BF083C">
        <w:t xml:space="preserve"> de </w:t>
      </w:r>
      <w:proofErr w:type="spellStart"/>
      <w:r w:rsidRPr="00BF083C">
        <w:t>l’aménagement</w:t>
      </w:r>
      <w:proofErr w:type="spellEnd"/>
      <w:r w:rsidRPr="00BF083C">
        <w:t xml:space="preserve"> du littoral et face à un </w:t>
      </w:r>
      <w:proofErr w:type="spellStart"/>
      <w:r w:rsidRPr="00BF083C">
        <w:t>environnement</w:t>
      </w:r>
      <w:proofErr w:type="spellEnd"/>
      <w:r w:rsidRPr="00BF083C">
        <w:t xml:space="preserve"> </w:t>
      </w:r>
      <w:proofErr w:type="spellStart"/>
      <w:r w:rsidRPr="00BF083C">
        <w:t>en</w:t>
      </w:r>
      <w:proofErr w:type="spellEnd"/>
      <w:r w:rsidRPr="00BF083C">
        <w:t xml:space="preserve"> </w:t>
      </w:r>
      <w:proofErr w:type="spellStart"/>
      <w:r w:rsidRPr="00BF083C">
        <w:t>pleine</w:t>
      </w:r>
      <w:proofErr w:type="spellEnd"/>
      <w:r w:rsidRPr="00BF083C">
        <w:t xml:space="preserve"> mutation, la </w:t>
      </w:r>
      <w:proofErr w:type="spellStart"/>
      <w:r w:rsidRPr="00BF083C">
        <w:t>société</w:t>
      </w:r>
      <w:proofErr w:type="spellEnd"/>
      <w:r w:rsidRPr="00BF083C">
        <w:t xml:space="preserve"> </w:t>
      </w:r>
      <w:proofErr w:type="spellStart"/>
      <w:r w:rsidRPr="00BF083C">
        <w:t>devient</w:t>
      </w:r>
      <w:proofErr w:type="spellEnd"/>
      <w:r w:rsidRPr="00BF083C">
        <w:t xml:space="preserve"> de plus </w:t>
      </w:r>
      <w:proofErr w:type="spellStart"/>
      <w:r w:rsidRPr="00BF083C">
        <w:t>en</w:t>
      </w:r>
      <w:proofErr w:type="spellEnd"/>
      <w:r w:rsidRPr="00BF083C">
        <w:t xml:space="preserve"> plus </w:t>
      </w:r>
      <w:proofErr w:type="spellStart"/>
      <w:r w:rsidRPr="00BF083C">
        <w:t>vulnérable</w:t>
      </w:r>
      <w:proofErr w:type="spellEnd"/>
      <w:r w:rsidRPr="00BF083C">
        <w:t xml:space="preserve"> aux </w:t>
      </w:r>
      <w:proofErr w:type="spellStart"/>
      <w:r w:rsidRPr="00BF083C">
        <w:t>aléas</w:t>
      </w:r>
      <w:proofErr w:type="spellEnd"/>
      <w:r w:rsidRPr="00BF083C">
        <w:t xml:space="preserve"> </w:t>
      </w:r>
      <w:proofErr w:type="spellStart"/>
      <w:r w:rsidRPr="00BF083C">
        <w:t>côtiers</w:t>
      </w:r>
      <w:proofErr w:type="spellEnd"/>
      <w:r w:rsidRPr="00BF083C">
        <w:t xml:space="preserve"> </w:t>
      </w:r>
      <w:proofErr w:type="spellStart"/>
      <w:r w:rsidRPr="00BF083C">
        <w:t>tels</w:t>
      </w:r>
      <w:proofErr w:type="spellEnd"/>
      <w:r w:rsidRPr="00BF083C">
        <w:t xml:space="preserve"> que les tsunamis, les cyclones </w:t>
      </w:r>
      <w:proofErr w:type="spellStart"/>
      <w:r w:rsidRPr="00BF083C">
        <w:t>tropicaux</w:t>
      </w:r>
      <w:proofErr w:type="spellEnd"/>
      <w:r w:rsidRPr="00BF083C">
        <w:t xml:space="preserve">, les </w:t>
      </w:r>
      <w:proofErr w:type="spellStart"/>
      <w:r w:rsidRPr="00BF083C">
        <w:t>inondations</w:t>
      </w:r>
      <w:proofErr w:type="spellEnd"/>
      <w:r w:rsidRPr="00BF083C">
        <w:t xml:space="preserve"> </w:t>
      </w:r>
      <w:proofErr w:type="spellStart"/>
      <w:r w:rsidRPr="00BF083C">
        <w:t>côtières</w:t>
      </w:r>
      <w:proofErr w:type="spellEnd"/>
      <w:r w:rsidRPr="00BF083C">
        <w:t xml:space="preserve"> et les </w:t>
      </w:r>
      <w:proofErr w:type="spellStart"/>
      <w:r w:rsidRPr="00BF083C">
        <w:t>efflorescences</w:t>
      </w:r>
      <w:proofErr w:type="spellEnd"/>
      <w:r w:rsidRPr="00BF083C">
        <w:t xml:space="preserve"> </w:t>
      </w:r>
      <w:proofErr w:type="spellStart"/>
      <w:r w:rsidRPr="00BF083C">
        <w:t>algales</w:t>
      </w:r>
      <w:proofErr w:type="spellEnd"/>
      <w:r w:rsidRPr="00BF083C">
        <w:t xml:space="preserve"> </w:t>
      </w:r>
      <w:proofErr w:type="spellStart"/>
      <w:r w:rsidRPr="00BF083C">
        <w:t>nuisibles</w:t>
      </w:r>
      <w:proofErr w:type="spellEnd"/>
      <w:r w:rsidRPr="00BF083C">
        <w:t xml:space="preserve">, pour ne citer que </w:t>
      </w:r>
      <w:proofErr w:type="spellStart"/>
      <w:r w:rsidRPr="00BF083C">
        <w:t>quelques</w:t>
      </w:r>
      <w:proofErr w:type="spellEnd"/>
      <w:r w:rsidRPr="00BF083C">
        <w:t xml:space="preserve"> </w:t>
      </w:r>
      <w:proofErr w:type="spellStart"/>
      <w:r w:rsidRPr="00BF083C">
        <w:t>exemples</w:t>
      </w:r>
      <w:proofErr w:type="spellEnd"/>
      <w:r w:rsidRPr="00BF083C">
        <w:t xml:space="preserve">. Les pays </w:t>
      </w:r>
      <w:proofErr w:type="spellStart"/>
      <w:r w:rsidRPr="00BF083C">
        <w:t>doivent</w:t>
      </w:r>
      <w:proofErr w:type="spellEnd"/>
      <w:r w:rsidRPr="00BF083C">
        <w:t xml:space="preserve"> </w:t>
      </w:r>
      <w:proofErr w:type="spellStart"/>
      <w:r w:rsidRPr="00BF083C">
        <w:t>connaître</w:t>
      </w:r>
      <w:proofErr w:type="spellEnd"/>
      <w:r w:rsidRPr="00BF083C">
        <w:t xml:space="preserve"> </w:t>
      </w:r>
      <w:proofErr w:type="spellStart"/>
      <w:r w:rsidRPr="00BF083C">
        <w:t>ces</w:t>
      </w:r>
      <w:proofErr w:type="spellEnd"/>
      <w:r w:rsidRPr="00BF083C">
        <w:t xml:space="preserve"> </w:t>
      </w:r>
      <w:proofErr w:type="spellStart"/>
      <w:r w:rsidRPr="00BF083C">
        <w:t>aléas</w:t>
      </w:r>
      <w:proofErr w:type="spellEnd"/>
      <w:r w:rsidRPr="00BF083C">
        <w:t xml:space="preserve"> et </w:t>
      </w:r>
      <w:proofErr w:type="spellStart"/>
      <w:r w:rsidRPr="00BF083C">
        <w:t>s’y</w:t>
      </w:r>
      <w:proofErr w:type="spellEnd"/>
      <w:r w:rsidRPr="00BF083C">
        <w:t xml:space="preserve"> </w:t>
      </w:r>
      <w:proofErr w:type="spellStart"/>
      <w:r w:rsidRPr="00BF083C">
        <w:t>préparer</w:t>
      </w:r>
      <w:proofErr w:type="spellEnd"/>
      <w:r w:rsidRPr="00BF083C">
        <w:t xml:space="preserve"> ; </w:t>
      </w:r>
      <w:proofErr w:type="spellStart"/>
      <w:r w:rsidRPr="00BF083C">
        <w:t>ils</w:t>
      </w:r>
      <w:proofErr w:type="spellEnd"/>
      <w:r w:rsidRPr="00BF083C">
        <w:t xml:space="preserve"> </w:t>
      </w:r>
      <w:proofErr w:type="spellStart"/>
      <w:r w:rsidRPr="00BF083C">
        <w:t>doivent</w:t>
      </w:r>
      <w:proofErr w:type="spellEnd"/>
      <w:r w:rsidRPr="00BF083C">
        <w:t xml:space="preserve"> </w:t>
      </w:r>
      <w:proofErr w:type="spellStart"/>
      <w:r w:rsidRPr="00BF083C">
        <w:t>également</w:t>
      </w:r>
      <w:proofErr w:type="spellEnd"/>
      <w:r w:rsidRPr="00BF083C">
        <w:t xml:space="preserve"> </w:t>
      </w:r>
      <w:proofErr w:type="spellStart"/>
      <w:r w:rsidRPr="00BF083C">
        <w:t>avoir</w:t>
      </w:r>
      <w:proofErr w:type="spellEnd"/>
      <w:r w:rsidRPr="00BF083C">
        <w:t xml:space="preserve"> </w:t>
      </w:r>
      <w:proofErr w:type="spellStart"/>
      <w:r w:rsidRPr="00BF083C">
        <w:t>accès</w:t>
      </w:r>
      <w:proofErr w:type="spellEnd"/>
      <w:r w:rsidRPr="00BF083C">
        <w:t xml:space="preserve"> aux </w:t>
      </w:r>
      <w:proofErr w:type="spellStart"/>
      <w:r w:rsidRPr="00BF083C">
        <w:t>informations</w:t>
      </w:r>
      <w:proofErr w:type="spellEnd"/>
      <w:r w:rsidRPr="00BF083C">
        <w:t xml:space="preserve"> </w:t>
      </w:r>
      <w:proofErr w:type="spellStart"/>
      <w:r w:rsidRPr="00BF083C">
        <w:t>nécessaires</w:t>
      </w:r>
      <w:proofErr w:type="spellEnd"/>
      <w:r w:rsidRPr="00BF083C">
        <w:t xml:space="preserve"> à la planification de </w:t>
      </w:r>
      <w:proofErr w:type="spellStart"/>
      <w:r w:rsidRPr="00BF083C">
        <w:t>l’adaptation</w:t>
      </w:r>
      <w:proofErr w:type="spellEnd"/>
      <w:r w:rsidRPr="00BF083C">
        <w:t xml:space="preserve"> </w:t>
      </w:r>
      <w:proofErr w:type="spellStart"/>
      <w:r w:rsidRPr="00BF083C">
        <w:t>côtière</w:t>
      </w:r>
      <w:proofErr w:type="spellEnd"/>
      <w:r w:rsidRPr="00BF083C">
        <w:t xml:space="preserve">, à </w:t>
      </w:r>
      <w:proofErr w:type="spellStart"/>
      <w:r w:rsidRPr="00BF083C">
        <w:t>l’atténuation</w:t>
      </w:r>
      <w:proofErr w:type="spellEnd"/>
      <w:r w:rsidRPr="00BF083C">
        <w:t xml:space="preserve"> des </w:t>
      </w:r>
      <w:proofErr w:type="spellStart"/>
      <w:r w:rsidRPr="00BF083C">
        <w:t>risques</w:t>
      </w:r>
      <w:proofErr w:type="spellEnd"/>
      <w:r w:rsidRPr="00BF083C">
        <w:t xml:space="preserve"> </w:t>
      </w:r>
      <w:proofErr w:type="spellStart"/>
      <w:r w:rsidRPr="00BF083C">
        <w:t>ainsi</w:t>
      </w:r>
      <w:proofErr w:type="spellEnd"/>
      <w:r w:rsidRPr="00BF083C">
        <w:t xml:space="preserve"> </w:t>
      </w:r>
      <w:proofErr w:type="spellStart"/>
      <w:r w:rsidRPr="00BF083C">
        <w:t>qu’à</w:t>
      </w:r>
      <w:proofErr w:type="spellEnd"/>
      <w:r w:rsidRPr="00BF083C">
        <w:t xml:space="preserve"> la </w:t>
      </w:r>
      <w:proofErr w:type="spellStart"/>
      <w:r w:rsidRPr="00BF083C">
        <w:t>sécurité</w:t>
      </w:r>
      <w:proofErr w:type="spellEnd"/>
      <w:r w:rsidRPr="00BF083C">
        <w:t xml:space="preserve"> des </w:t>
      </w:r>
      <w:proofErr w:type="spellStart"/>
      <w:r w:rsidRPr="00BF083C">
        <w:t>activités</w:t>
      </w:r>
      <w:proofErr w:type="spellEnd"/>
      <w:r w:rsidRPr="00BF083C">
        <w:t xml:space="preserve"> </w:t>
      </w:r>
      <w:proofErr w:type="spellStart"/>
      <w:r w:rsidRPr="00BF083C">
        <w:t>maritimes</w:t>
      </w:r>
      <w:proofErr w:type="spellEnd"/>
      <w:r w:rsidRPr="00BF083C">
        <w:t xml:space="preserve">. </w:t>
      </w:r>
      <w:proofErr w:type="spellStart"/>
      <w:r w:rsidRPr="00BF083C">
        <w:t>Cela</w:t>
      </w:r>
      <w:proofErr w:type="spellEnd"/>
      <w:r w:rsidRPr="00BF083C">
        <w:t xml:space="preserve"> </w:t>
      </w:r>
      <w:proofErr w:type="spellStart"/>
      <w:r w:rsidRPr="00BF083C">
        <w:t>nécessite</w:t>
      </w:r>
      <w:proofErr w:type="spellEnd"/>
      <w:r w:rsidRPr="00BF083C">
        <w:t xml:space="preserve"> de </w:t>
      </w:r>
      <w:proofErr w:type="spellStart"/>
      <w:r w:rsidRPr="00BF083C">
        <w:t>poursuivre</w:t>
      </w:r>
      <w:proofErr w:type="spellEnd"/>
      <w:r w:rsidRPr="00BF083C">
        <w:t xml:space="preserve"> la mise </w:t>
      </w:r>
      <w:proofErr w:type="spellStart"/>
      <w:r w:rsidRPr="00BF083C">
        <w:t>en</w:t>
      </w:r>
      <w:proofErr w:type="spellEnd"/>
      <w:r w:rsidRPr="00BF083C">
        <w:t xml:space="preserve"> place de </w:t>
      </w:r>
      <w:proofErr w:type="spellStart"/>
      <w:r w:rsidRPr="00BF083C">
        <w:t>systèmes</w:t>
      </w:r>
      <w:proofErr w:type="spellEnd"/>
      <w:r w:rsidRPr="00BF083C">
        <w:t xml:space="preserve"> </w:t>
      </w:r>
      <w:proofErr w:type="spellStart"/>
      <w:r w:rsidRPr="00BF083C">
        <w:t>d’observation</w:t>
      </w:r>
      <w:proofErr w:type="spellEnd"/>
      <w:r w:rsidRPr="00BF083C">
        <w:t xml:space="preserve"> et de </w:t>
      </w:r>
      <w:proofErr w:type="spellStart"/>
      <w:r w:rsidRPr="00BF083C">
        <w:t>prévision</w:t>
      </w:r>
      <w:proofErr w:type="spellEnd"/>
      <w:r w:rsidRPr="00BF083C">
        <w:t xml:space="preserve"> </w:t>
      </w:r>
      <w:proofErr w:type="spellStart"/>
      <w:r w:rsidRPr="00BF083C">
        <w:t>océaniques</w:t>
      </w:r>
      <w:proofErr w:type="spellEnd"/>
      <w:r w:rsidRPr="00BF083C">
        <w:t xml:space="preserve"> et </w:t>
      </w:r>
      <w:proofErr w:type="spellStart"/>
      <w:r w:rsidRPr="00BF083C">
        <w:t>côtières</w:t>
      </w:r>
      <w:proofErr w:type="spellEnd"/>
      <w:r w:rsidRPr="00BF083C">
        <w:t xml:space="preserve"> et </w:t>
      </w:r>
      <w:proofErr w:type="spellStart"/>
      <w:r w:rsidRPr="00BF083C">
        <w:t>d’élaborer</w:t>
      </w:r>
      <w:proofErr w:type="spellEnd"/>
      <w:r w:rsidRPr="00BF083C">
        <w:t xml:space="preserve"> </w:t>
      </w:r>
      <w:proofErr w:type="spellStart"/>
      <w:r w:rsidRPr="00BF083C">
        <w:t>une</w:t>
      </w:r>
      <w:proofErr w:type="spellEnd"/>
      <w:r w:rsidRPr="00BF083C">
        <w:t xml:space="preserve"> </w:t>
      </w:r>
      <w:proofErr w:type="spellStart"/>
      <w:r w:rsidRPr="00BF083C">
        <w:t>série</w:t>
      </w:r>
      <w:proofErr w:type="spellEnd"/>
      <w:r w:rsidRPr="00BF083C">
        <w:t xml:space="preserve"> </w:t>
      </w:r>
      <w:proofErr w:type="spellStart"/>
      <w:r w:rsidRPr="00BF083C">
        <w:t>d’outils</w:t>
      </w:r>
      <w:proofErr w:type="spellEnd"/>
      <w:r w:rsidRPr="00BF083C">
        <w:t xml:space="preserve"> </w:t>
      </w:r>
      <w:proofErr w:type="spellStart"/>
      <w:r w:rsidRPr="00BF083C">
        <w:t>d’aide</w:t>
      </w:r>
      <w:proofErr w:type="spellEnd"/>
      <w:r w:rsidRPr="00BF083C">
        <w:t xml:space="preserve"> à la prise de </w:t>
      </w:r>
      <w:proofErr w:type="spellStart"/>
      <w:r w:rsidRPr="00BF083C">
        <w:t>décisions</w:t>
      </w:r>
      <w:proofErr w:type="spellEnd"/>
      <w:r w:rsidRPr="00BF083C">
        <w:t xml:space="preserve"> sur le plan local, y </w:t>
      </w:r>
      <w:proofErr w:type="spellStart"/>
      <w:r w:rsidRPr="00BF083C">
        <w:t>compris</w:t>
      </w:r>
      <w:proofErr w:type="spellEnd"/>
      <w:r w:rsidRPr="00BF083C">
        <w:t xml:space="preserve"> des </w:t>
      </w:r>
      <w:proofErr w:type="spellStart"/>
      <w:r w:rsidRPr="00BF083C">
        <w:t>systèmes</w:t>
      </w:r>
      <w:proofErr w:type="spellEnd"/>
      <w:r w:rsidRPr="00BF083C">
        <w:t xml:space="preserve"> </w:t>
      </w:r>
      <w:proofErr w:type="spellStart"/>
      <w:r w:rsidRPr="00BF083C">
        <w:t>d’alerte</w:t>
      </w:r>
      <w:proofErr w:type="spellEnd"/>
      <w:r w:rsidRPr="00BF083C">
        <w:t xml:space="preserve"> </w:t>
      </w:r>
      <w:proofErr w:type="spellStart"/>
      <w:r w:rsidRPr="00BF083C">
        <w:t>rapide</w:t>
      </w:r>
      <w:proofErr w:type="spellEnd"/>
      <w:r w:rsidRPr="00BF083C">
        <w:t>.</w:t>
      </w:r>
    </w:p>
    <w:p w14:paraId="0BAD0246" w14:textId="50E276EE" w:rsidR="009D0EB6" w:rsidRPr="00BF083C" w:rsidRDefault="00FA2C9C" w:rsidP="009D0EB6">
      <w:pPr>
        <w:pStyle w:val="Marge"/>
        <w:tabs>
          <w:tab w:val="clear" w:pos="567"/>
          <w:tab w:val="left" w:pos="1162"/>
        </w:tabs>
        <w:spacing w:line="240" w:lineRule="auto"/>
        <w:rPr>
          <w:b/>
          <w:bCs/>
          <w:i/>
          <w:iCs/>
        </w:rPr>
      </w:pPr>
      <w:r w:rsidRPr="00BF083C">
        <w:rPr>
          <w:b/>
          <w:bCs/>
          <w:i/>
          <w:iCs/>
        </w:rPr>
        <w:t xml:space="preserve">Objectif 3 La </w:t>
      </w:r>
      <w:proofErr w:type="spellStart"/>
      <w:r w:rsidRPr="00BF083C">
        <w:rPr>
          <w:b/>
          <w:bCs/>
          <w:i/>
          <w:iCs/>
        </w:rPr>
        <w:t>résilience</w:t>
      </w:r>
      <w:proofErr w:type="spellEnd"/>
      <w:r w:rsidRPr="00BF083C">
        <w:rPr>
          <w:b/>
          <w:bCs/>
          <w:i/>
          <w:iCs/>
        </w:rPr>
        <w:t xml:space="preserve"> au </w:t>
      </w:r>
      <w:proofErr w:type="spellStart"/>
      <w:r w:rsidRPr="00BF083C">
        <w:rPr>
          <w:b/>
          <w:bCs/>
          <w:i/>
          <w:iCs/>
        </w:rPr>
        <w:t>changement</w:t>
      </w:r>
      <w:proofErr w:type="spellEnd"/>
      <w:r w:rsidRPr="00BF083C">
        <w:rPr>
          <w:b/>
          <w:bCs/>
          <w:i/>
          <w:iCs/>
        </w:rPr>
        <w:t xml:space="preserve"> </w:t>
      </w:r>
      <w:proofErr w:type="spellStart"/>
      <w:r w:rsidRPr="00BF083C">
        <w:rPr>
          <w:b/>
          <w:bCs/>
          <w:i/>
          <w:iCs/>
        </w:rPr>
        <w:t>climatique</w:t>
      </w:r>
      <w:proofErr w:type="spellEnd"/>
      <w:r w:rsidRPr="00BF083C">
        <w:rPr>
          <w:b/>
          <w:bCs/>
          <w:i/>
          <w:iCs/>
        </w:rPr>
        <w:t xml:space="preserve"> et la contribution à son </w:t>
      </w:r>
      <w:proofErr w:type="spellStart"/>
      <w:r w:rsidRPr="00BF083C">
        <w:rPr>
          <w:b/>
          <w:bCs/>
          <w:i/>
          <w:iCs/>
        </w:rPr>
        <w:t>atténuation</w:t>
      </w:r>
      <w:proofErr w:type="spellEnd"/>
    </w:p>
    <w:p w14:paraId="5342131F" w14:textId="6FE1FD1D" w:rsidR="00FA2C9C" w:rsidRPr="00BF083C" w:rsidRDefault="00FA2C9C" w:rsidP="00FA2C9C">
      <w:pPr>
        <w:pStyle w:val="Marge"/>
        <w:tabs>
          <w:tab w:val="clear" w:pos="567"/>
          <w:tab w:val="left" w:pos="1162"/>
        </w:tabs>
        <w:spacing w:line="240" w:lineRule="auto"/>
      </w:pPr>
      <w:r w:rsidRPr="00BF083C">
        <w:rPr>
          <w:bdr w:val="single" w:sz="4" w:space="0" w:color="auto"/>
        </w:rPr>
        <w:t>03018</w:t>
      </w:r>
      <w:r w:rsidRPr="00BF083C">
        <w:tab/>
        <w:t xml:space="preserve">Le </w:t>
      </w:r>
      <w:proofErr w:type="spellStart"/>
      <w:r w:rsidRPr="00BF083C">
        <w:t>changement</w:t>
      </w:r>
      <w:proofErr w:type="spellEnd"/>
      <w:r w:rsidRPr="00BF083C">
        <w:t xml:space="preserve"> et la </w:t>
      </w:r>
      <w:proofErr w:type="spellStart"/>
      <w:r w:rsidRPr="00BF083C">
        <w:t>variabilité</w:t>
      </w:r>
      <w:proofErr w:type="spellEnd"/>
      <w:r w:rsidRPr="00BF083C">
        <w:t xml:space="preserve"> </w:t>
      </w:r>
      <w:proofErr w:type="spellStart"/>
      <w:r w:rsidRPr="00BF083C">
        <w:t>climatiques</w:t>
      </w:r>
      <w:proofErr w:type="spellEnd"/>
      <w:r w:rsidRPr="00BF083C">
        <w:t xml:space="preserve"> </w:t>
      </w:r>
      <w:proofErr w:type="spellStart"/>
      <w:r w:rsidRPr="00BF083C">
        <w:t>entraînent</w:t>
      </w:r>
      <w:proofErr w:type="spellEnd"/>
      <w:r w:rsidRPr="00BF083C">
        <w:t xml:space="preserve"> </w:t>
      </w:r>
      <w:proofErr w:type="spellStart"/>
      <w:r w:rsidRPr="00BF083C">
        <w:t>une</w:t>
      </w:r>
      <w:proofErr w:type="spellEnd"/>
      <w:r w:rsidRPr="00BF083C">
        <w:t xml:space="preserve"> </w:t>
      </w:r>
      <w:proofErr w:type="spellStart"/>
      <w:r w:rsidRPr="00BF083C">
        <w:t>évolution</w:t>
      </w:r>
      <w:proofErr w:type="spellEnd"/>
      <w:r w:rsidRPr="00BF083C">
        <w:t xml:space="preserve"> des </w:t>
      </w:r>
      <w:proofErr w:type="spellStart"/>
      <w:r w:rsidRPr="00BF083C">
        <w:t>températures</w:t>
      </w:r>
      <w:proofErr w:type="spellEnd"/>
      <w:r w:rsidRPr="00BF083C">
        <w:t xml:space="preserve">, </w:t>
      </w:r>
      <w:proofErr w:type="spellStart"/>
      <w:r w:rsidRPr="00BF083C">
        <w:t>une</w:t>
      </w:r>
      <w:proofErr w:type="spellEnd"/>
      <w:r w:rsidRPr="00BF083C">
        <w:t xml:space="preserve"> modification du </w:t>
      </w:r>
      <w:proofErr w:type="spellStart"/>
      <w:r w:rsidRPr="00BF083C">
        <w:t>profil</w:t>
      </w:r>
      <w:proofErr w:type="spellEnd"/>
      <w:r w:rsidRPr="00BF083C">
        <w:t xml:space="preserve"> et de </w:t>
      </w:r>
      <w:proofErr w:type="spellStart"/>
      <w:r w:rsidRPr="00BF083C">
        <w:t>l’intensité</w:t>
      </w:r>
      <w:proofErr w:type="spellEnd"/>
      <w:r w:rsidRPr="00BF083C">
        <w:t xml:space="preserve"> des cyclones </w:t>
      </w:r>
      <w:proofErr w:type="spellStart"/>
      <w:r w:rsidRPr="00BF083C">
        <w:t>tropicaux</w:t>
      </w:r>
      <w:proofErr w:type="spellEnd"/>
      <w:r w:rsidRPr="00BF083C">
        <w:t xml:space="preserve">, des </w:t>
      </w:r>
      <w:proofErr w:type="spellStart"/>
      <w:r w:rsidRPr="00BF083C">
        <w:t>tempêtes</w:t>
      </w:r>
      <w:proofErr w:type="spellEnd"/>
      <w:r w:rsidRPr="00BF083C">
        <w:t xml:space="preserve">, des </w:t>
      </w:r>
      <w:proofErr w:type="spellStart"/>
      <w:r w:rsidRPr="00BF083C">
        <w:t>précipitations</w:t>
      </w:r>
      <w:proofErr w:type="spellEnd"/>
      <w:r w:rsidRPr="00BF083C">
        <w:t xml:space="preserve"> et des </w:t>
      </w:r>
      <w:proofErr w:type="spellStart"/>
      <w:r w:rsidRPr="00BF083C">
        <w:t>épisodes</w:t>
      </w:r>
      <w:proofErr w:type="spellEnd"/>
      <w:r w:rsidRPr="00BF083C">
        <w:t xml:space="preserve"> de </w:t>
      </w:r>
      <w:proofErr w:type="spellStart"/>
      <w:r w:rsidRPr="00BF083C">
        <w:t>sécheresse</w:t>
      </w:r>
      <w:proofErr w:type="spellEnd"/>
      <w:r w:rsidRPr="00BF083C">
        <w:t xml:space="preserve">, </w:t>
      </w:r>
      <w:proofErr w:type="spellStart"/>
      <w:r w:rsidRPr="00BF083C">
        <w:t>ainsi</w:t>
      </w:r>
      <w:proofErr w:type="spellEnd"/>
      <w:r w:rsidRPr="00BF083C">
        <w:t xml:space="preserve"> </w:t>
      </w:r>
      <w:proofErr w:type="spellStart"/>
      <w:r w:rsidRPr="00BF083C">
        <w:t>qu’une</w:t>
      </w:r>
      <w:proofErr w:type="spellEnd"/>
      <w:r w:rsidRPr="00BF083C">
        <w:t xml:space="preserve"> </w:t>
      </w:r>
      <w:proofErr w:type="spellStart"/>
      <w:r w:rsidRPr="00BF083C">
        <w:t>élévation</w:t>
      </w:r>
      <w:proofErr w:type="spellEnd"/>
      <w:r w:rsidRPr="00BF083C">
        <w:t xml:space="preserve"> du </w:t>
      </w:r>
      <w:proofErr w:type="spellStart"/>
      <w:r w:rsidRPr="00BF083C">
        <w:t>niveau</w:t>
      </w:r>
      <w:proofErr w:type="spellEnd"/>
      <w:r w:rsidRPr="00BF083C">
        <w:t xml:space="preserve"> de la </w:t>
      </w:r>
      <w:proofErr w:type="spellStart"/>
      <w:r w:rsidRPr="00BF083C">
        <w:t>mer</w:t>
      </w:r>
      <w:proofErr w:type="spellEnd"/>
      <w:r w:rsidRPr="00BF083C">
        <w:t xml:space="preserve">, entre </w:t>
      </w:r>
      <w:proofErr w:type="spellStart"/>
      <w:r w:rsidRPr="00BF083C">
        <w:t>autres</w:t>
      </w:r>
      <w:proofErr w:type="spellEnd"/>
      <w:r w:rsidRPr="00BF083C">
        <w:t xml:space="preserve">. </w:t>
      </w:r>
      <w:proofErr w:type="spellStart"/>
      <w:r w:rsidRPr="00BF083C">
        <w:t>En</w:t>
      </w:r>
      <w:proofErr w:type="spellEnd"/>
      <w:r w:rsidRPr="00BF083C">
        <w:t xml:space="preserve"> </w:t>
      </w:r>
      <w:proofErr w:type="spellStart"/>
      <w:r w:rsidRPr="00BF083C">
        <w:t>outre</w:t>
      </w:r>
      <w:proofErr w:type="spellEnd"/>
      <w:r w:rsidRPr="00BF083C">
        <w:t xml:space="preserve">, les </w:t>
      </w:r>
      <w:proofErr w:type="spellStart"/>
      <w:r w:rsidRPr="00BF083C">
        <w:t>émissions</w:t>
      </w:r>
      <w:proofErr w:type="spellEnd"/>
      <w:r w:rsidRPr="00BF083C">
        <w:t xml:space="preserve"> de </w:t>
      </w:r>
      <w:proofErr w:type="spellStart"/>
      <w:r w:rsidRPr="00BF083C">
        <w:t>carbone</w:t>
      </w:r>
      <w:proofErr w:type="spellEnd"/>
      <w:r w:rsidRPr="00BF083C">
        <w:t xml:space="preserve"> </w:t>
      </w:r>
      <w:proofErr w:type="spellStart"/>
      <w:r w:rsidRPr="00BF083C">
        <w:t>entraînent</w:t>
      </w:r>
      <w:proofErr w:type="spellEnd"/>
      <w:r w:rsidRPr="00BF083C">
        <w:t xml:space="preserve"> </w:t>
      </w:r>
      <w:proofErr w:type="spellStart"/>
      <w:r w:rsidRPr="00BF083C">
        <w:t>une</w:t>
      </w:r>
      <w:proofErr w:type="spellEnd"/>
      <w:r w:rsidRPr="00BF083C">
        <w:t xml:space="preserve"> acidification des </w:t>
      </w:r>
      <w:proofErr w:type="spellStart"/>
      <w:r w:rsidRPr="00BF083C">
        <w:t>océans</w:t>
      </w:r>
      <w:proofErr w:type="spellEnd"/>
      <w:r w:rsidRPr="00BF083C">
        <w:t xml:space="preserve">. Les </w:t>
      </w:r>
      <w:proofErr w:type="spellStart"/>
      <w:r w:rsidRPr="00BF083C">
        <w:t>effets</w:t>
      </w:r>
      <w:proofErr w:type="spellEnd"/>
      <w:r w:rsidRPr="00BF083C">
        <w:t xml:space="preserve"> </w:t>
      </w:r>
      <w:proofErr w:type="spellStart"/>
      <w:r w:rsidRPr="00BF083C">
        <w:t>combinés</w:t>
      </w:r>
      <w:proofErr w:type="spellEnd"/>
      <w:r w:rsidRPr="00BF083C">
        <w:t xml:space="preserve"> se </w:t>
      </w:r>
      <w:proofErr w:type="spellStart"/>
      <w:r w:rsidRPr="00BF083C">
        <w:t>manifestent</w:t>
      </w:r>
      <w:proofErr w:type="spellEnd"/>
      <w:r w:rsidRPr="00BF083C">
        <w:t xml:space="preserve"> </w:t>
      </w:r>
      <w:proofErr w:type="spellStart"/>
      <w:r w:rsidRPr="00BF083C">
        <w:t>par</w:t>
      </w:r>
      <w:proofErr w:type="spellEnd"/>
      <w:r w:rsidRPr="00BF083C">
        <w:t xml:space="preserve"> la </w:t>
      </w:r>
      <w:proofErr w:type="spellStart"/>
      <w:r w:rsidRPr="00BF083C">
        <w:t>désoxygénation</w:t>
      </w:r>
      <w:proofErr w:type="spellEnd"/>
      <w:r w:rsidRPr="00BF083C">
        <w:t xml:space="preserve"> des </w:t>
      </w:r>
      <w:proofErr w:type="spellStart"/>
      <w:r w:rsidRPr="00BF083C">
        <w:t>océans</w:t>
      </w:r>
      <w:proofErr w:type="spellEnd"/>
      <w:r w:rsidRPr="00BF083C">
        <w:t xml:space="preserve">, </w:t>
      </w:r>
      <w:proofErr w:type="spellStart"/>
      <w:r w:rsidRPr="00BF083C">
        <w:t>l’érosion</w:t>
      </w:r>
      <w:proofErr w:type="spellEnd"/>
      <w:r w:rsidRPr="00BF083C">
        <w:t xml:space="preserve"> </w:t>
      </w:r>
      <w:proofErr w:type="spellStart"/>
      <w:r w:rsidRPr="00BF083C">
        <w:t>côtière</w:t>
      </w:r>
      <w:proofErr w:type="spellEnd"/>
      <w:r w:rsidRPr="00BF083C">
        <w:t xml:space="preserve">, etc. De </w:t>
      </w:r>
      <w:proofErr w:type="spellStart"/>
      <w:r w:rsidRPr="00BF083C">
        <w:t>nombreux</w:t>
      </w:r>
      <w:proofErr w:type="spellEnd"/>
      <w:r w:rsidRPr="00BF083C">
        <w:t xml:space="preserve"> </w:t>
      </w:r>
      <w:proofErr w:type="spellStart"/>
      <w:r w:rsidRPr="00BF083C">
        <w:t>objectifs</w:t>
      </w:r>
      <w:proofErr w:type="spellEnd"/>
      <w:r w:rsidRPr="00BF083C">
        <w:t xml:space="preserve"> de </w:t>
      </w:r>
      <w:proofErr w:type="spellStart"/>
      <w:r w:rsidRPr="00BF083C">
        <w:t>développement</w:t>
      </w:r>
      <w:proofErr w:type="spellEnd"/>
      <w:r w:rsidRPr="00BF083C">
        <w:t xml:space="preserve"> </w:t>
      </w:r>
      <w:proofErr w:type="spellStart"/>
      <w:r w:rsidRPr="00BF083C">
        <w:t>humain</w:t>
      </w:r>
      <w:proofErr w:type="spellEnd"/>
      <w:r w:rsidRPr="00BF083C">
        <w:t xml:space="preserve">, </w:t>
      </w:r>
      <w:proofErr w:type="spellStart"/>
      <w:r w:rsidRPr="00BF083C">
        <w:t>tels</w:t>
      </w:r>
      <w:proofErr w:type="spellEnd"/>
      <w:r w:rsidRPr="00BF083C">
        <w:t xml:space="preserve"> que la </w:t>
      </w:r>
      <w:proofErr w:type="spellStart"/>
      <w:r w:rsidRPr="00BF083C">
        <w:t>sécurité</w:t>
      </w:r>
      <w:proofErr w:type="spellEnd"/>
      <w:r w:rsidRPr="00BF083C">
        <w:t xml:space="preserve"> </w:t>
      </w:r>
      <w:proofErr w:type="spellStart"/>
      <w:r w:rsidRPr="00BF083C">
        <w:t>alimentaire</w:t>
      </w:r>
      <w:proofErr w:type="spellEnd"/>
      <w:r w:rsidRPr="00BF083C">
        <w:t xml:space="preserve"> et la </w:t>
      </w:r>
      <w:proofErr w:type="spellStart"/>
      <w:r w:rsidRPr="00BF083C">
        <w:t>santé</w:t>
      </w:r>
      <w:proofErr w:type="spellEnd"/>
      <w:r w:rsidRPr="00BF083C">
        <w:t xml:space="preserve">, </w:t>
      </w:r>
      <w:proofErr w:type="spellStart"/>
      <w:r w:rsidRPr="00BF083C">
        <w:t>l’accès</w:t>
      </w:r>
      <w:proofErr w:type="spellEnd"/>
      <w:r w:rsidRPr="00BF083C">
        <w:t xml:space="preserve"> aux </w:t>
      </w:r>
      <w:proofErr w:type="spellStart"/>
      <w:r w:rsidRPr="00BF083C">
        <w:t>ressources</w:t>
      </w:r>
      <w:proofErr w:type="spellEnd"/>
      <w:r w:rsidRPr="00BF083C">
        <w:t xml:space="preserve"> </w:t>
      </w:r>
      <w:proofErr w:type="spellStart"/>
      <w:r w:rsidRPr="00BF083C">
        <w:t>en</w:t>
      </w:r>
      <w:proofErr w:type="spellEnd"/>
      <w:r w:rsidRPr="00BF083C">
        <w:t xml:space="preserve"> </w:t>
      </w:r>
      <w:proofErr w:type="spellStart"/>
      <w:r w:rsidRPr="00BF083C">
        <w:t>eau</w:t>
      </w:r>
      <w:proofErr w:type="spellEnd"/>
      <w:r w:rsidRPr="00BF083C">
        <w:t xml:space="preserve"> et la </w:t>
      </w:r>
      <w:proofErr w:type="spellStart"/>
      <w:r w:rsidRPr="00BF083C">
        <w:t>préparation</w:t>
      </w:r>
      <w:proofErr w:type="spellEnd"/>
      <w:r w:rsidRPr="00BF083C">
        <w:t xml:space="preserve"> aux catastrophes, </w:t>
      </w:r>
      <w:proofErr w:type="spellStart"/>
      <w:r w:rsidRPr="00BF083C">
        <w:t>sont</w:t>
      </w:r>
      <w:proofErr w:type="spellEnd"/>
      <w:r w:rsidRPr="00BF083C">
        <w:t xml:space="preserve"> </w:t>
      </w:r>
      <w:proofErr w:type="spellStart"/>
      <w:r w:rsidRPr="00BF083C">
        <w:t>menacés</w:t>
      </w:r>
      <w:proofErr w:type="spellEnd"/>
      <w:r w:rsidRPr="00BF083C">
        <w:t xml:space="preserve"> par le </w:t>
      </w:r>
      <w:proofErr w:type="spellStart"/>
      <w:r w:rsidRPr="00BF083C">
        <w:t>changement</w:t>
      </w:r>
      <w:proofErr w:type="spellEnd"/>
      <w:r w:rsidRPr="00BF083C">
        <w:t xml:space="preserve"> </w:t>
      </w:r>
      <w:proofErr w:type="spellStart"/>
      <w:r w:rsidRPr="00BF083C">
        <w:t>climatique</w:t>
      </w:r>
      <w:proofErr w:type="spellEnd"/>
      <w:r w:rsidRPr="00BF083C">
        <w:t xml:space="preserve">. Les </w:t>
      </w:r>
      <w:proofErr w:type="spellStart"/>
      <w:r w:rsidRPr="00BF083C">
        <w:t>océans</w:t>
      </w:r>
      <w:proofErr w:type="spellEnd"/>
      <w:r w:rsidRPr="00BF083C">
        <w:t xml:space="preserve"> </w:t>
      </w:r>
      <w:proofErr w:type="spellStart"/>
      <w:r w:rsidRPr="00BF083C">
        <w:t>jouent</w:t>
      </w:r>
      <w:proofErr w:type="spellEnd"/>
      <w:r w:rsidRPr="00BF083C">
        <w:t xml:space="preserve"> un </w:t>
      </w:r>
      <w:proofErr w:type="spellStart"/>
      <w:r w:rsidRPr="00BF083C">
        <w:t>rôle</w:t>
      </w:r>
      <w:proofErr w:type="spellEnd"/>
      <w:r w:rsidRPr="00BF083C">
        <w:t xml:space="preserve"> capital dans la </w:t>
      </w:r>
      <w:proofErr w:type="spellStart"/>
      <w:r w:rsidRPr="00BF083C">
        <w:t>régulation</w:t>
      </w:r>
      <w:proofErr w:type="spellEnd"/>
      <w:r w:rsidRPr="00BF083C">
        <w:t xml:space="preserve"> du </w:t>
      </w:r>
      <w:proofErr w:type="spellStart"/>
      <w:r w:rsidRPr="00BF083C">
        <w:t>climat</w:t>
      </w:r>
      <w:proofErr w:type="spellEnd"/>
      <w:r w:rsidRPr="00BF083C">
        <w:t xml:space="preserve">. Il </w:t>
      </w:r>
      <w:proofErr w:type="spellStart"/>
      <w:r w:rsidRPr="00BF083C">
        <w:t>est</w:t>
      </w:r>
      <w:proofErr w:type="spellEnd"/>
      <w:r w:rsidRPr="00BF083C">
        <w:t xml:space="preserve"> </w:t>
      </w:r>
      <w:proofErr w:type="spellStart"/>
      <w:r w:rsidRPr="00BF083C">
        <w:t>donc</w:t>
      </w:r>
      <w:proofErr w:type="spellEnd"/>
      <w:r w:rsidRPr="00BF083C">
        <w:t xml:space="preserve"> </w:t>
      </w:r>
      <w:proofErr w:type="spellStart"/>
      <w:r w:rsidRPr="00BF083C">
        <w:t>nécessaire</w:t>
      </w:r>
      <w:proofErr w:type="spellEnd"/>
      <w:r w:rsidRPr="00BF083C">
        <w:t xml:space="preserve"> de </w:t>
      </w:r>
      <w:proofErr w:type="spellStart"/>
      <w:r w:rsidRPr="00BF083C">
        <w:t>mener</w:t>
      </w:r>
      <w:proofErr w:type="spellEnd"/>
      <w:r w:rsidRPr="00BF083C">
        <w:t xml:space="preserve"> </w:t>
      </w:r>
      <w:proofErr w:type="spellStart"/>
      <w:r w:rsidRPr="00BF083C">
        <w:t>une</w:t>
      </w:r>
      <w:proofErr w:type="spellEnd"/>
      <w:r w:rsidRPr="00BF083C">
        <w:t xml:space="preserve"> action </w:t>
      </w:r>
      <w:proofErr w:type="spellStart"/>
      <w:r w:rsidRPr="00BF083C">
        <w:t>mondiale</w:t>
      </w:r>
      <w:proofErr w:type="spellEnd"/>
      <w:r w:rsidRPr="00BF083C">
        <w:t xml:space="preserve"> </w:t>
      </w:r>
      <w:proofErr w:type="spellStart"/>
      <w:r w:rsidRPr="00BF083C">
        <w:t>coordonnée</w:t>
      </w:r>
      <w:proofErr w:type="spellEnd"/>
      <w:r w:rsidRPr="00BF083C">
        <w:t xml:space="preserve"> pour </w:t>
      </w:r>
      <w:proofErr w:type="spellStart"/>
      <w:r w:rsidRPr="00BF083C">
        <w:t>inclure</w:t>
      </w:r>
      <w:proofErr w:type="spellEnd"/>
      <w:r w:rsidRPr="00BF083C">
        <w:t xml:space="preserve"> </w:t>
      </w:r>
      <w:proofErr w:type="spellStart"/>
      <w:r w:rsidRPr="00BF083C">
        <w:t>pleinement</w:t>
      </w:r>
      <w:proofErr w:type="spellEnd"/>
      <w:r w:rsidRPr="00BF083C">
        <w:t xml:space="preserve"> la dimension </w:t>
      </w:r>
      <w:proofErr w:type="spellStart"/>
      <w:r w:rsidRPr="00BF083C">
        <w:t>océanique</w:t>
      </w:r>
      <w:proofErr w:type="spellEnd"/>
      <w:r w:rsidRPr="00BF083C">
        <w:t xml:space="preserve"> dans le </w:t>
      </w:r>
      <w:proofErr w:type="spellStart"/>
      <w:r w:rsidRPr="00BF083C">
        <w:t>contexte</w:t>
      </w:r>
      <w:proofErr w:type="spellEnd"/>
      <w:r w:rsidRPr="00BF083C">
        <w:t xml:space="preserve"> de </w:t>
      </w:r>
      <w:proofErr w:type="spellStart"/>
      <w:r w:rsidRPr="00BF083C">
        <w:t>l’amélioration</w:t>
      </w:r>
      <w:proofErr w:type="spellEnd"/>
      <w:r w:rsidRPr="00BF083C">
        <w:t xml:space="preserve"> de </w:t>
      </w:r>
      <w:proofErr w:type="spellStart"/>
      <w:r w:rsidRPr="00BF083C">
        <w:t>nos</w:t>
      </w:r>
      <w:proofErr w:type="spellEnd"/>
      <w:r w:rsidRPr="00BF083C">
        <w:t xml:space="preserve"> </w:t>
      </w:r>
      <w:proofErr w:type="spellStart"/>
      <w:r w:rsidRPr="00BF083C">
        <w:t>capacités</w:t>
      </w:r>
      <w:proofErr w:type="spellEnd"/>
      <w:r w:rsidRPr="00BF083C">
        <w:t xml:space="preserve"> de </w:t>
      </w:r>
      <w:proofErr w:type="spellStart"/>
      <w:r w:rsidRPr="00BF083C">
        <w:t>compréhension</w:t>
      </w:r>
      <w:proofErr w:type="spellEnd"/>
      <w:r w:rsidRPr="00BF083C">
        <w:t xml:space="preserve"> et de </w:t>
      </w:r>
      <w:proofErr w:type="spellStart"/>
      <w:r w:rsidRPr="00BF083C">
        <w:t>prédiction</w:t>
      </w:r>
      <w:proofErr w:type="spellEnd"/>
      <w:r w:rsidRPr="00BF083C">
        <w:t xml:space="preserve"> du </w:t>
      </w:r>
      <w:proofErr w:type="spellStart"/>
      <w:r w:rsidRPr="00BF083C">
        <w:t>changement</w:t>
      </w:r>
      <w:proofErr w:type="spellEnd"/>
      <w:r w:rsidRPr="00BF083C">
        <w:t xml:space="preserve"> </w:t>
      </w:r>
      <w:proofErr w:type="spellStart"/>
      <w:r w:rsidRPr="00BF083C">
        <w:t>climatique</w:t>
      </w:r>
      <w:proofErr w:type="spellEnd"/>
      <w:r w:rsidRPr="00BF083C">
        <w:t xml:space="preserve"> et de </w:t>
      </w:r>
      <w:proofErr w:type="spellStart"/>
      <w:r w:rsidRPr="00BF083C">
        <w:t>ses</w:t>
      </w:r>
      <w:proofErr w:type="spellEnd"/>
      <w:r w:rsidRPr="00BF083C">
        <w:t xml:space="preserve"> </w:t>
      </w:r>
      <w:proofErr w:type="spellStart"/>
      <w:r w:rsidRPr="00BF083C">
        <w:t>effets</w:t>
      </w:r>
      <w:proofErr w:type="spellEnd"/>
      <w:r w:rsidRPr="00BF083C">
        <w:t xml:space="preserve"> sur les </w:t>
      </w:r>
      <w:proofErr w:type="spellStart"/>
      <w:r w:rsidRPr="00BF083C">
        <w:t>océans</w:t>
      </w:r>
      <w:proofErr w:type="spellEnd"/>
      <w:r w:rsidRPr="00BF083C">
        <w:t xml:space="preserve">, </w:t>
      </w:r>
      <w:proofErr w:type="spellStart"/>
      <w:r w:rsidRPr="00BF083C">
        <w:t>en</w:t>
      </w:r>
      <w:proofErr w:type="spellEnd"/>
      <w:r w:rsidRPr="00BF083C">
        <w:t xml:space="preserve"> </w:t>
      </w:r>
      <w:proofErr w:type="spellStart"/>
      <w:r w:rsidRPr="00BF083C">
        <w:t>donnant</w:t>
      </w:r>
      <w:proofErr w:type="spellEnd"/>
      <w:r w:rsidRPr="00BF083C">
        <w:t xml:space="preserve"> des orientations pour </w:t>
      </w:r>
      <w:proofErr w:type="spellStart"/>
      <w:r w:rsidRPr="00BF083C">
        <w:t>l’élaboration</w:t>
      </w:r>
      <w:proofErr w:type="spellEnd"/>
      <w:r w:rsidRPr="00BF083C">
        <w:t xml:space="preserve"> et </w:t>
      </w:r>
      <w:proofErr w:type="spellStart"/>
      <w:r w:rsidRPr="00BF083C">
        <w:t>l’accélération</w:t>
      </w:r>
      <w:proofErr w:type="spellEnd"/>
      <w:r w:rsidRPr="00BF083C">
        <w:t xml:space="preserve"> de la mise </w:t>
      </w:r>
      <w:proofErr w:type="spellStart"/>
      <w:r w:rsidRPr="00BF083C">
        <w:t>en</w:t>
      </w:r>
      <w:proofErr w:type="spellEnd"/>
      <w:r w:rsidRPr="00BF083C">
        <w:t xml:space="preserve"> </w:t>
      </w:r>
      <w:proofErr w:type="spellStart"/>
      <w:r w:rsidRPr="00BF083C">
        <w:t>œuvre</w:t>
      </w:r>
      <w:proofErr w:type="spellEnd"/>
      <w:r w:rsidRPr="00BF083C">
        <w:t xml:space="preserve"> de </w:t>
      </w:r>
      <w:proofErr w:type="spellStart"/>
      <w:r w:rsidRPr="00BF083C">
        <w:t>stratégies</w:t>
      </w:r>
      <w:proofErr w:type="spellEnd"/>
      <w:r w:rsidRPr="00BF083C">
        <w:t xml:space="preserve"> </w:t>
      </w:r>
      <w:proofErr w:type="spellStart"/>
      <w:r w:rsidRPr="00BF083C">
        <w:t>d’adaptation</w:t>
      </w:r>
      <w:proofErr w:type="spellEnd"/>
      <w:r w:rsidRPr="00BF083C">
        <w:t xml:space="preserve"> et </w:t>
      </w:r>
      <w:proofErr w:type="spellStart"/>
      <w:r w:rsidRPr="00BF083C">
        <w:t>d’atténuation</w:t>
      </w:r>
      <w:proofErr w:type="spellEnd"/>
      <w:r w:rsidRPr="00BF083C">
        <w:t xml:space="preserve"> </w:t>
      </w:r>
      <w:proofErr w:type="spellStart"/>
      <w:r w:rsidRPr="00BF083C">
        <w:t>efficaces</w:t>
      </w:r>
      <w:proofErr w:type="spellEnd"/>
      <w:r w:rsidRPr="00BF083C">
        <w:t>.</w:t>
      </w:r>
    </w:p>
    <w:p w14:paraId="084DE91C" w14:textId="42564942" w:rsidR="00FA2C9C" w:rsidRPr="00BF083C" w:rsidRDefault="00FA2C9C" w:rsidP="00FA2C9C">
      <w:pPr>
        <w:pStyle w:val="Marge"/>
        <w:tabs>
          <w:tab w:val="clear" w:pos="567"/>
          <w:tab w:val="left" w:pos="1162"/>
        </w:tabs>
        <w:spacing w:line="240" w:lineRule="auto"/>
        <w:rPr>
          <w:b/>
          <w:bCs/>
          <w:i/>
          <w:iCs/>
        </w:rPr>
      </w:pPr>
      <w:r w:rsidRPr="00BF083C">
        <w:rPr>
          <w:b/>
          <w:bCs/>
          <w:i/>
          <w:iCs/>
        </w:rPr>
        <w:t xml:space="preserve">Objectif 4 – Des services </w:t>
      </w:r>
      <w:proofErr w:type="spellStart"/>
      <w:r w:rsidRPr="00BF083C">
        <w:rPr>
          <w:b/>
          <w:bCs/>
          <w:i/>
          <w:iCs/>
        </w:rPr>
        <w:t>fondés</w:t>
      </w:r>
      <w:proofErr w:type="spellEnd"/>
      <w:r w:rsidRPr="00BF083C">
        <w:rPr>
          <w:b/>
          <w:bCs/>
          <w:i/>
          <w:iCs/>
        </w:rPr>
        <w:t xml:space="preserve"> sur les sciences pour </w:t>
      </w:r>
      <w:proofErr w:type="spellStart"/>
      <w:r w:rsidRPr="00BF083C">
        <w:rPr>
          <w:b/>
          <w:bCs/>
          <w:i/>
          <w:iCs/>
        </w:rPr>
        <w:t>une</w:t>
      </w:r>
      <w:proofErr w:type="spellEnd"/>
      <w:r w:rsidRPr="00BF083C">
        <w:rPr>
          <w:b/>
          <w:bCs/>
          <w:i/>
          <w:iCs/>
        </w:rPr>
        <w:t xml:space="preserve"> </w:t>
      </w:r>
      <w:proofErr w:type="spellStart"/>
      <w:r w:rsidRPr="00BF083C">
        <w:rPr>
          <w:b/>
          <w:bCs/>
          <w:i/>
          <w:iCs/>
        </w:rPr>
        <w:t>économie</w:t>
      </w:r>
      <w:proofErr w:type="spellEnd"/>
      <w:r w:rsidRPr="00BF083C">
        <w:rPr>
          <w:b/>
          <w:bCs/>
          <w:i/>
          <w:iCs/>
        </w:rPr>
        <w:t xml:space="preserve"> durable des </w:t>
      </w:r>
      <w:proofErr w:type="spellStart"/>
      <w:r w:rsidRPr="00BF083C">
        <w:rPr>
          <w:b/>
          <w:bCs/>
          <w:i/>
          <w:iCs/>
        </w:rPr>
        <w:t>océans</w:t>
      </w:r>
      <w:proofErr w:type="spellEnd"/>
    </w:p>
    <w:p w14:paraId="545487A4" w14:textId="6ABA667F" w:rsidR="00FA2C9C" w:rsidRPr="00BF083C" w:rsidRDefault="00FA2C9C" w:rsidP="00FA2C9C">
      <w:pPr>
        <w:pStyle w:val="Marge"/>
        <w:tabs>
          <w:tab w:val="clear" w:pos="567"/>
          <w:tab w:val="left" w:pos="1162"/>
        </w:tabs>
        <w:spacing w:line="240" w:lineRule="auto"/>
      </w:pPr>
      <w:r w:rsidRPr="00BF083C">
        <w:rPr>
          <w:bdr w:val="single" w:sz="4" w:space="0" w:color="auto"/>
        </w:rPr>
        <w:t>03019</w:t>
      </w:r>
      <w:r w:rsidRPr="00BF083C">
        <w:tab/>
        <w:t xml:space="preserve">Une </w:t>
      </w:r>
      <w:proofErr w:type="spellStart"/>
      <w:r w:rsidRPr="00BF083C">
        <w:t>économie</w:t>
      </w:r>
      <w:proofErr w:type="spellEnd"/>
      <w:r w:rsidRPr="00BF083C">
        <w:t xml:space="preserve"> </w:t>
      </w:r>
      <w:proofErr w:type="spellStart"/>
      <w:r w:rsidRPr="00BF083C">
        <w:t>océanique</w:t>
      </w:r>
      <w:proofErr w:type="spellEnd"/>
      <w:r w:rsidRPr="00BF083C">
        <w:t xml:space="preserve"> </w:t>
      </w:r>
      <w:proofErr w:type="spellStart"/>
      <w:r w:rsidRPr="00BF083C">
        <w:t>est</w:t>
      </w:r>
      <w:proofErr w:type="spellEnd"/>
      <w:r w:rsidRPr="00BF083C">
        <w:t xml:space="preserve"> durable </w:t>
      </w:r>
      <w:proofErr w:type="spellStart"/>
      <w:r w:rsidRPr="00BF083C">
        <w:t>lorsque</w:t>
      </w:r>
      <w:proofErr w:type="spellEnd"/>
      <w:r w:rsidRPr="00BF083C">
        <w:t xml:space="preserve"> les </w:t>
      </w:r>
      <w:proofErr w:type="spellStart"/>
      <w:r w:rsidRPr="00BF083C">
        <w:t>activités</w:t>
      </w:r>
      <w:proofErr w:type="spellEnd"/>
      <w:r w:rsidRPr="00BF083C">
        <w:t xml:space="preserve"> </w:t>
      </w:r>
      <w:proofErr w:type="spellStart"/>
      <w:r w:rsidRPr="00BF083C">
        <w:t>sont</w:t>
      </w:r>
      <w:proofErr w:type="spellEnd"/>
      <w:r w:rsidRPr="00BF083C">
        <w:t xml:space="preserve"> </w:t>
      </w:r>
      <w:proofErr w:type="spellStart"/>
      <w:r w:rsidRPr="00BF083C">
        <w:t>menées</w:t>
      </w:r>
      <w:proofErr w:type="spellEnd"/>
      <w:r w:rsidRPr="00BF083C">
        <w:t xml:space="preserve"> </w:t>
      </w:r>
      <w:proofErr w:type="spellStart"/>
      <w:r w:rsidRPr="00BF083C">
        <w:t>en</w:t>
      </w:r>
      <w:proofErr w:type="spellEnd"/>
      <w:r w:rsidRPr="00BF083C">
        <w:t xml:space="preserve"> </w:t>
      </w:r>
      <w:proofErr w:type="spellStart"/>
      <w:r w:rsidRPr="00BF083C">
        <w:t>harmonie</w:t>
      </w:r>
      <w:proofErr w:type="spellEnd"/>
      <w:r w:rsidRPr="00BF083C">
        <w:t xml:space="preserve"> avec la </w:t>
      </w:r>
      <w:proofErr w:type="spellStart"/>
      <w:r w:rsidRPr="00BF083C">
        <w:t>capacité</w:t>
      </w:r>
      <w:proofErr w:type="spellEnd"/>
      <w:r w:rsidRPr="00BF083C">
        <w:t xml:space="preserve"> à long </w:t>
      </w:r>
      <w:proofErr w:type="spellStart"/>
      <w:r w:rsidRPr="00BF083C">
        <w:t>terme</w:t>
      </w:r>
      <w:proofErr w:type="spellEnd"/>
      <w:r w:rsidRPr="00BF083C">
        <w:t xml:space="preserve"> des </w:t>
      </w:r>
      <w:proofErr w:type="spellStart"/>
      <w:r w:rsidRPr="00BF083C">
        <w:t>écosystèmes</w:t>
      </w:r>
      <w:proofErr w:type="spellEnd"/>
      <w:r w:rsidRPr="00BF083C">
        <w:t xml:space="preserve"> </w:t>
      </w:r>
      <w:proofErr w:type="spellStart"/>
      <w:r w:rsidRPr="00BF083C">
        <w:t>océaniques</w:t>
      </w:r>
      <w:proofErr w:type="spellEnd"/>
      <w:r w:rsidRPr="00BF083C">
        <w:t xml:space="preserve"> de les </w:t>
      </w:r>
      <w:proofErr w:type="spellStart"/>
      <w:r w:rsidRPr="00BF083C">
        <w:t>soutenir</w:t>
      </w:r>
      <w:proofErr w:type="spellEnd"/>
      <w:r w:rsidRPr="00BF083C">
        <w:t xml:space="preserve">. Pour </w:t>
      </w:r>
      <w:proofErr w:type="spellStart"/>
      <w:r w:rsidRPr="00BF083C">
        <w:t>atteindre</w:t>
      </w:r>
      <w:proofErr w:type="spellEnd"/>
      <w:r w:rsidRPr="00BF083C">
        <w:t xml:space="preserve"> un </w:t>
      </w:r>
      <w:proofErr w:type="spellStart"/>
      <w:r w:rsidRPr="00BF083C">
        <w:t>tel</w:t>
      </w:r>
      <w:proofErr w:type="spellEnd"/>
      <w:r w:rsidRPr="00BF083C">
        <w:t xml:space="preserve"> </w:t>
      </w:r>
      <w:proofErr w:type="spellStart"/>
      <w:r w:rsidRPr="00BF083C">
        <w:t>équilibre</w:t>
      </w:r>
      <w:proofErr w:type="spellEnd"/>
      <w:r w:rsidRPr="00BF083C">
        <w:t xml:space="preserve">, il faut des observations </w:t>
      </w:r>
      <w:proofErr w:type="spellStart"/>
      <w:r w:rsidRPr="00BF083C">
        <w:t>océaniques</w:t>
      </w:r>
      <w:proofErr w:type="spellEnd"/>
      <w:r w:rsidRPr="00BF083C">
        <w:t xml:space="preserve">, des services et </w:t>
      </w:r>
      <w:proofErr w:type="spellStart"/>
      <w:r w:rsidRPr="00BF083C">
        <w:t>produits</w:t>
      </w:r>
      <w:proofErr w:type="spellEnd"/>
      <w:r w:rsidRPr="00BF083C">
        <w:t xml:space="preserve"> de </w:t>
      </w:r>
      <w:proofErr w:type="spellStart"/>
      <w:r w:rsidRPr="00BF083C">
        <w:t>données</w:t>
      </w:r>
      <w:proofErr w:type="spellEnd"/>
      <w:r w:rsidRPr="00BF083C">
        <w:t xml:space="preserve"> </w:t>
      </w:r>
      <w:proofErr w:type="spellStart"/>
      <w:r w:rsidRPr="00BF083C">
        <w:t>adaptés</w:t>
      </w:r>
      <w:proofErr w:type="spellEnd"/>
      <w:r w:rsidRPr="00BF083C">
        <w:t xml:space="preserve"> aux </w:t>
      </w:r>
      <w:proofErr w:type="spellStart"/>
      <w:r w:rsidRPr="00BF083C">
        <w:t>besoins</w:t>
      </w:r>
      <w:proofErr w:type="spellEnd"/>
      <w:r w:rsidRPr="00BF083C">
        <w:t xml:space="preserve">, des </w:t>
      </w:r>
      <w:proofErr w:type="spellStart"/>
      <w:r w:rsidRPr="00BF083C">
        <w:t>évaluations</w:t>
      </w:r>
      <w:proofErr w:type="spellEnd"/>
      <w:r w:rsidRPr="00BF083C">
        <w:t xml:space="preserve"> </w:t>
      </w:r>
      <w:proofErr w:type="spellStart"/>
      <w:r w:rsidRPr="00BF083C">
        <w:t>scientifiques</w:t>
      </w:r>
      <w:proofErr w:type="spellEnd"/>
      <w:r w:rsidRPr="00BF083C">
        <w:t xml:space="preserve">, un </w:t>
      </w:r>
      <w:proofErr w:type="spellStart"/>
      <w:r w:rsidRPr="00BF083C">
        <w:t>suivi</w:t>
      </w:r>
      <w:proofErr w:type="spellEnd"/>
      <w:r w:rsidRPr="00BF083C">
        <w:t xml:space="preserve"> de la </w:t>
      </w:r>
      <w:proofErr w:type="spellStart"/>
      <w:r w:rsidRPr="00BF083C">
        <w:t>santé</w:t>
      </w:r>
      <w:proofErr w:type="spellEnd"/>
      <w:r w:rsidRPr="00BF083C">
        <w:t xml:space="preserve"> des </w:t>
      </w:r>
      <w:proofErr w:type="spellStart"/>
      <w:r w:rsidRPr="00BF083C">
        <w:t>écosystèmes</w:t>
      </w:r>
      <w:proofErr w:type="spellEnd"/>
      <w:r w:rsidRPr="00BF083C">
        <w:t xml:space="preserve"> </w:t>
      </w:r>
      <w:proofErr w:type="spellStart"/>
      <w:r w:rsidRPr="00BF083C">
        <w:t>océaniques</w:t>
      </w:r>
      <w:proofErr w:type="spellEnd"/>
      <w:r w:rsidRPr="00BF083C">
        <w:t xml:space="preserve"> et des </w:t>
      </w:r>
      <w:proofErr w:type="spellStart"/>
      <w:r w:rsidRPr="00BF083C">
        <w:t>prévisions</w:t>
      </w:r>
      <w:proofErr w:type="spellEnd"/>
      <w:r w:rsidRPr="00BF083C">
        <w:t xml:space="preserve"> </w:t>
      </w:r>
      <w:proofErr w:type="spellStart"/>
      <w:r w:rsidRPr="00BF083C">
        <w:t>en</w:t>
      </w:r>
      <w:proofErr w:type="spellEnd"/>
      <w:r w:rsidRPr="00BF083C">
        <w:t xml:space="preserve"> la matière. Il </w:t>
      </w:r>
      <w:proofErr w:type="spellStart"/>
      <w:r w:rsidRPr="00BF083C">
        <w:t>est</w:t>
      </w:r>
      <w:proofErr w:type="spellEnd"/>
      <w:r w:rsidRPr="00BF083C">
        <w:t xml:space="preserve"> </w:t>
      </w:r>
      <w:proofErr w:type="spellStart"/>
      <w:r w:rsidRPr="00BF083C">
        <w:t>nécessaire</w:t>
      </w:r>
      <w:proofErr w:type="spellEnd"/>
      <w:r w:rsidRPr="00BF083C">
        <w:t xml:space="preserve"> de disposer </w:t>
      </w:r>
      <w:proofErr w:type="spellStart"/>
      <w:r w:rsidRPr="00BF083C">
        <w:t>d’outils</w:t>
      </w:r>
      <w:proofErr w:type="spellEnd"/>
      <w:r w:rsidRPr="00BF083C">
        <w:t xml:space="preserve"> de gestion des </w:t>
      </w:r>
      <w:proofErr w:type="spellStart"/>
      <w:r w:rsidRPr="00BF083C">
        <w:t>océans</w:t>
      </w:r>
      <w:proofErr w:type="spellEnd"/>
      <w:r w:rsidRPr="00BF083C">
        <w:t xml:space="preserve"> </w:t>
      </w:r>
      <w:proofErr w:type="spellStart"/>
      <w:r w:rsidRPr="00BF083C">
        <w:t>fondés</w:t>
      </w:r>
      <w:proofErr w:type="spellEnd"/>
      <w:r w:rsidRPr="00BF083C">
        <w:t xml:space="preserve"> sur les </w:t>
      </w:r>
      <w:proofErr w:type="spellStart"/>
      <w:r w:rsidRPr="00BF083C">
        <w:t>connaissances</w:t>
      </w:r>
      <w:proofErr w:type="spellEnd"/>
      <w:r w:rsidRPr="00BF083C">
        <w:t xml:space="preserve">, </w:t>
      </w:r>
      <w:proofErr w:type="spellStart"/>
      <w:r w:rsidRPr="00BF083C">
        <w:t>tels</w:t>
      </w:r>
      <w:proofErr w:type="spellEnd"/>
      <w:r w:rsidRPr="00BF083C">
        <w:t xml:space="preserve"> que la planification de </w:t>
      </w:r>
      <w:proofErr w:type="spellStart"/>
      <w:r w:rsidRPr="00BF083C">
        <w:t>l’espace</w:t>
      </w:r>
      <w:proofErr w:type="spellEnd"/>
      <w:r w:rsidRPr="00BF083C">
        <w:t xml:space="preserve"> </w:t>
      </w:r>
      <w:proofErr w:type="spellStart"/>
      <w:r w:rsidRPr="00BF083C">
        <w:t>marin</w:t>
      </w:r>
      <w:proofErr w:type="spellEnd"/>
      <w:r w:rsidRPr="00BF083C">
        <w:t xml:space="preserve">, la gestion des zones </w:t>
      </w:r>
      <w:proofErr w:type="spellStart"/>
      <w:r w:rsidRPr="00BF083C">
        <w:t>côtières</w:t>
      </w:r>
      <w:proofErr w:type="spellEnd"/>
      <w:r w:rsidRPr="00BF083C">
        <w:t xml:space="preserve">, les zones marines protégées et la gestion des grands </w:t>
      </w:r>
      <w:proofErr w:type="spellStart"/>
      <w:r w:rsidRPr="00BF083C">
        <w:t>écosystèmes</w:t>
      </w:r>
      <w:proofErr w:type="spellEnd"/>
      <w:r w:rsidRPr="00BF083C">
        <w:t xml:space="preserve"> </w:t>
      </w:r>
      <w:proofErr w:type="spellStart"/>
      <w:r w:rsidRPr="00BF083C">
        <w:t>marins</w:t>
      </w:r>
      <w:proofErr w:type="spellEnd"/>
      <w:r w:rsidRPr="00BF083C">
        <w:t xml:space="preserve">, pour que les </w:t>
      </w:r>
      <w:proofErr w:type="spellStart"/>
      <w:r w:rsidRPr="00BF083C">
        <w:t>acteurs</w:t>
      </w:r>
      <w:proofErr w:type="spellEnd"/>
      <w:r w:rsidRPr="00BF083C">
        <w:t xml:space="preserve"> du </w:t>
      </w:r>
      <w:proofErr w:type="spellStart"/>
      <w:r w:rsidRPr="00BF083C">
        <w:t>secteur</w:t>
      </w:r>
      <w:proofErr w:type="spellEnd"/>
      <w:r w:rsidRPr="00BF083C">
        <w:t xml:space="preserve"> des </w:t>
      </w:r>
      <w:proofErr w:type="spellStart"/>
      <w:r w:rsidRPr="00BF083C">
        <w:t>océans</w:t>
      </w:r>
      <w:proofErr w:type="spellEnd"/>
      <w:r w:rsidRPr="00BF083C">
        <w:t xml:space="preserve"> </w:t>
      </w:r>
      <w:proofErr w:type="spellStart"/>
      <w:r w:rsidRPr="00BF083C">
        <w:t>puissent</w:t>
      </w:r>
      <w:proofErr w:type="spellEnd"/>
      <w:r w:rsidRPr="00BF083C">
        <w:t xml:space="preserve"> </w:t>
      </w:r>
      <w:proofErr w:type="spellStart"/>
      <w:r w:rsidRPr="00BF083C">
        <w:t>définir</w:t>
      </w:r>
      <w:proofErr w:type="spellEnd"/>
      <w:r w:rsidRPr="00BF083C">
        <w:t xml:space="preserve"> des </w:t>
      </w:r>
      <w:proofErr w:type="spellStart"/>
      <w:r w:rsidRPr="00BF083C">
        <w:t>objectifs</w:t>
      </w:r>
      <w:proofErr w:type="spellEnd"/>
      <w:r w:rsidRPr="00BF083C">
        <w:t xml:space="preserve"> </w:t>
      </w:r>
      <w:proofErr w:type="spellStart"/>
      <w:r w:rsidRPr="00BF083C">
        <w:t>environnementaux</w:t>
      </w:r>
      <w:proofErr w:type="spellEnd"/>
      <w:r w:rsidRPr="00BF083C">
        <w:t xml:space="preserve"> et </w:t>
      </w:r>
      <w:proofErr w:type="spellStart"/>
      <w:r w:rsidRPr="00BF083C">
        <w:t>socioéconomiques</w:t>
      </w:r>
      <w:proofErr w:type="spellEnd"/>
      <w:r w:rsidRPr="00BF083C">
        <w:t xml:space="preserve">, </w:t>
      </w:r>
      <w:proofErr w:type="spellStart"/>
      <w:r w:rsidRPr="00BF083C">
        <w:t>élaborer</w:t>
      </w:r>
      <w:proofErr w:type="spellEnd"/>
      <w:r w:rsidRPr="00BF083C">
        <w:t xml:space="preserve"> des plans </w:t>
      </w:r>
      <w:proofErr w:type="spellStart"/>
      <w:r w:rsidRPr="00BF083C">
        <w:t>opérationnels</w:t>
      </w:r>
      <w:proofErr w:type="spellEnd"/>
      <w:r w:rsidRPr="00BF083C">
        <w:t xml:space="preserve">, </w:t>
      </w:r>
      <w:proofErr w:type="spellStart"/>
      <w:r w:rsidRPr="00BF083C">
        <w:t>définir</w:t>
      </w:r>
      <w:proofErr w:type="spellEnd"/>
      <w:r w:rsidRPr="00BF083C">
        <w:t xml:space="preserve"> des </w:t>
      </w:r>
      <w:proofErr w:type="spellStart"/>
      <w:r w:rsidRPr="00BF083C">
        <w:t>limites</w:t>
      </w:r>
      <w:proofErr w:type="spellEnd"/>
      <w:r w:rsidRPr="00BF083C">
        <w:t xml:space="preserve"> </w:t>
      </w:r>
      <w:proofErr w:type="spellStart"/>
      <w:r w:rsidRPr="00BF083C">
        <w:t>sûres</w:t>
      </w:r>
      <w:proofErr w:type="spellEnd"/>
      <w:r w:rsidRPr="00BF083C">
        <w:t xml:space="preserve"> et des </w:t>
      </w:r>
      <w:proofErr w:type="spellStart"/>
      <w:r w:rsidRPr="00BF083C">
        <w:t>principes</w:t>
      </w:r>
      <w:proofErr w:type="spellEnd"/>
      <w:r w:rsidRPr="00BF083C">
        <w:t xml:space="preserve"> </w:t>
      </w:r>
      <w:proofErr w:type="spellStart"/>
      <w:r w:rsidRPr="00BF083C">
        <w:t>directeurs</w:t>
      </w:r>
      <w:proofErr w:type="spellEnd"/>
      <w:r w:rsidRPr="00BF083C">
        <w:t xml:space="preserve"> pour les </w:t>
      </w:r>
      <w:proofErr w:type="spellStart"/>
      <w:r w:rsidRPr="00BF083C">
        <w:t>opérations</w:t>
      </w:r>
      <w:proofErr w:type="spellEnd"/>
      <w:r w:rsidRPr="00BF083C">
        <w:t xml:space="preserve">, et </w:t>
      </w:r>
      <w:proofErr w:type="spellStart"/>
      <w:r w:rsidRPr="00BF083C">
        <w:t>réduire</w:t>
      </w:r>
      <w:proofErr w:type="spellEnd"/>
      <w:r w:rsidRPr="00BF083C">
        <w:t xml:space="preserve"> les </w:t>
      </w:r>
      <w:proofErr w:type="spellStart"/>
      <w:r w:rsidRPr="00BF083C">
        <w:t>conflits</w:t>
      </w:r>
      <w:proofErr w:type="spellEnd"/>
      <w:r w:rsidRPr="00BF083C">
        <w:t xml:space="preserve"> entre les multiples utilisations de </w:t>
      </w:r>
      <w:proofErr w:type="spellStart"/>
      <w:r w:rsidRPr="00BF083C">
        <w:t>l’espace</w:t>
      </w:r>
      <w:proofErr w:type="spellEnd"/>
      <w:r w:rsidRPr="00BF083C">
        <w:t xml:space="preserve"> </w:t>
      </w:r>
      <w:proofErr w:type="spellStart"/>
      <w:r w:rsidRPr="00BF083C">
        <w:t>océanique</w:t>
      </w:r>
      <w:proofErr w:type="spellEnd"/>
      <w:r w:rsidRPr="00BF083C">
        <w:t>.</w:t>
      </w:r>
    </w:p>
    <w:p w14:paraId="5BA7A128" w14:textId="647C6F68" w:rsidR="00FA2C9C" w:rsidRPr="00BF083C" w:rsidRDefault="00FA2C9C" w:rsidP="00FA2C9C">
      <w:pPr>
        <w:pStyle w:val="Marge"/>
        <w:tabs>
          <w:tab w:val="clear" w:pos="567"/>
          <w:tab w:val="left" w:pos="1162"/>
        </w:tabs>
        <w:spacing w:line="240" w:lineRule="auto"/>
        <w:rPr>
          <w:b/>
          <w:bCs/>
          <w:i/>
          <w:iCs/>
        </w:rPr>
      </w:pPr>
      <w:r w:rsidRPr="00BF083C">
        <w:rPr>
          <w:b/>
          <w:bCs/>
          <w:i/>
          <w:iCs/>
        </w:rPr>
        <w:t xml:space="preserve">Objectif 5 – Anticipation des questions </w:t>
      </w:r>
      <w:proofErr w:type="spellStart"/>
      <w:r w:rsidRPr="00BF083C">
        <w:rPr>
          <w:b/>
          <w:bCs/>
          <w:i/>
          <w:iCs/>
        </w:rPr>
        <w:t>émergentes</w:t>
      </w:r>
      <w:proofErr w:type="spellEnd"/>
      <w:r w:rsidRPr="00BF083C">
        <w:rPr>
          <w:b/>
          <w:bCs/>
          <w:i/>
          <w:iCs/>
        </w:rPr>
        <w:t xml:space="preserve"> dans le </w:t>
      </w:r>
      <w:proofErr w:type="spellStart"/>
      <w:r w:rsidRPr="00BF083C">
        <w:rPr>
          <w:b/>
          <w:bCs/>
          <w:i/>
          <w:iCs/>
        </w:rPr>
        <w:t>domaine</w:t>
      </w:r>
      <w:proofErr w:type="spellEnd"/>
      <w:r w:rsidRPr="00BF083C">
        <w:rPr>
          <w:b/>
          <w:bCs/>
          <w:i/>
          <w:iCs/>
        </w:rPr>
        <w:t xml:space="preserve"> de </w:t>
      </w:r>
      <w:proofErr w:type="spellStart"/>
      <w:r w:rsidRPr="00BF083C">
        <w:rPr>
          <w:b/>
          <w:bCs/>
          <w:i/>
          <w:iCs/>
        </w:rPr>
        <w:t>l’océanographie</w:t>
      </w:r>
      <w:proofErr w:type="spellEnd"/>
    </w:p>
    <w:p w14:paraId="41085CB5" w14:textId="378FF1DC" w:rsidR="00FA2C9C" w:rsidRPr="00BF083C" w:rsidRDefault="00FA2C9C" w:rsidP="00FA2C9C">
      <w:pPr>
        <w:pStyle w:val="Marge"/>
        <w:tabs>
          <w:tab w:val="clear" w:pos="567"/>
          <w:tab w:val="left" w:pos="1162"/>
        </w:tabs>
        <w:spacing w:line="240" w:lineRule="auto"/>
      </w:pPr>
      <w:r w:rsidRPr="00BF083C">
        <w:rPr>
          <w:bdr w:val="single" w:sz="4" w:space="0" w:color="auto"/>
        </w:rPr>
        <w:t>03020</w:t>
      </w:r>
      <w:r w:rsidRPr="00BF083C">
        <w:tab/>
        <w:t xml:space="preserve">Les </w:t>
      </w:r>
      <w:proofErr w:type="spellStart"/>
      <w:r w:rsidRPr="00BF083C">
        <w:t>océans</w:t>
      </w:r>
      <w:proofErr w:type="spellEnd"/>
      <w:r w:rsidRPr="00BF083C">
        <w:t xml:space="preserve"> </w:t>
      </w:r>
      <w:proofErr w:type="spellStart"/>
      <w:r w:rsidRPr="00BF083C">
        <w:t>restent</w:t>
      </w:r>
      <w:proofErr w:type="spellEnd"/>
      <w:r w:rsidRPr="00BF083C">
        <w:t xml:space="preserve"> </w:t>
      </w:r>
      <w:proofErr w:type="spellStart"/>
      <w:r w:rsidRPr="00BF083C">
        <w:t>l’un</w:t>
      </w:r>
      <w:proofErr w:type="spellEnd"/>
      <w:r w:rsidRPr="00BF083C">
        <w:t xml:space="preserve"> des </w:t>
      </w:r>
      <w:proofErr w:type="spellStart"/>
      <w:r w:rsidRPr="00BF083C">
        <w:t>domaines</w:t>
      </w:r>
      <w:proofErr w:type="spellEnd"/>
      <w:r w:rsidRPr="00BF083C">
        <w:t xml:space="preserve"> </w:t>
      </w:r>
      <w:proofErr w:type="spellStart"/>
      <w:r w:rsidRPr="00BF083C">
        <w:t>environnementaux</w:t>
      </w:r>
      <w:proofErr w:type="spellEnd"/>
      <w:r w:rsidRPr="00BF083C">
        <w:t xml:space="preserve"> les </w:t>
      </w:r>
      <w:proofErr w:type="spellStart"/>
      <w:r w:rsidRPr="00BF083C">
        <w:t>moins</w:t>
      </w:r>
      <w:proofErr w:type="spellEnd"/>
      <w:r w:rsidRPr="00BF083C">
        <w:t xml:space="preserve"> </w:t>
      </w:r>
      <w:proofErr w:type="spellStart"/>
      <w:r w:rsidRPr="00BF083C">
        <w:t>étudiés</w:t>
      </w:r>
      <w:proofErr w:type="spellEnd"/>
      <w:r w:rsidRPr="00BF083C">
        <w:t xml:space="preserve"> du </w:t>
      </w:r>
      <w:proofErr w:type="spellStart"/>
      <w:r w:rsidRPr="00BF083C">
        <w:t>système</w:t>
      </w:r>
      <w:proofErr w:type="spellEnd"/>
      <w:r w:rsidRPr="00BF083C">
        <w:t xml:space="preserve"> </w:t>
      </w:r>
      <w:proofErr w:type="spellStart"/>
      <w:r w:rsidRPr="00BF083C">
        <w:t>terrestre</w:t>
      </w:r>
      <w:proofErr w:type="spellEnd"/>
      <w:r w:rsidRPr="00BF083C">
        <w:t xml:space="preserve">. Des </w:t>
      </w:r>
      <w:proofErr w:type="spellStart"/>
      <w:r w:rsidRPr="00BF083C">
        <w:t>découvertes</w:t>
      </w:r>
      <w:proofErr w:type="spellEnd"/>
      <w:r w:rsidRPr="00BF083C">
        <w:t xml:space="preserve"> </w:t>
      </w:r>
      <w:proofErr w:type="spellStart"/>
      <w:r w:rsidRPr="00BF083C">
        <w:t>océanographiques</w:t>
      </w:r>
      <w:proofErr w:type="spellEnd"/>
      <w:r w:rsidRPr="00BF083C">
        <w:t xml:space="preserve"> </w:t>
      </w:r>
      <w:proofErr w:type="spellStart"/>
      <w:r w:rsidRPr="00BF083C">
        <w:t>sont</w:t>
      </w:r>
      <w:proofErr w:type="spellEnd"/>
      <w:r w:rsidRPr="00BF083C">
        <w:t xml:space="preserve"> encore </w:t>
      </w:r>
      <w:proofErr w:type="spellStart"/>
      <w:r w:rsidRPr="00BF083C">
        <w:t>possibles</w:t>
      </w:r>
      <w:proofErr w:type="spellEnd"/>
      <w:r w:rsidRPr="00BF083C">
        <w:t xml:space="preserve">. Dans le </w:t>
      </w:r>
      <w:proofErr w:type="spellStart"/>
      <w:r w:rsidRPr="00BF083C">
        <w:t>domaine</w:t>
      </w:r>
      <w:proofErr w:type="spellEnd"/>
      <w:r w:rsidRPr="00BF083C">
        <w:t xml:space="preserve"> </w:t>
      </w:r>
      <w:proofErr w:type="spellStart"/>
      <w:r w:rsidRPr="00BF083C">
        <w:t>océanique</w:t>
      </w:r>
      <w:proofErr w:type="spellEnd"/>
      <w:r w:rsidRPr="00BF083C">
        <w:t xml:space="preserve">, </w:t>
      </w:r>
      <w:r w:rsidRPr="00BF083C">
        <w:lastRenderedPageBreak/>
        <w:t xml:space="preserve">de </w:t>
      </w:r>
      <w:proofErr w:type="spellStart"/>
      <w:r w:rsidRPr="00BF083C">
        <w:t>nouvelles</w:t>
      </w:r>
      <w:proofErr w:type="spellEnd"/>
      <w:r w:rsidRPr="00BF083C">
        <w:t xml:space="preserve"> questions </w:t>
      </w:r>
      <w:proofErr w:type="spellStart"/>
      <w:r w:rsidRPr="00BF083C">
        <w:t>émergent</w:t>
      </w:r>
      <w:proofErr w:type="spellEnd"/>
      <w:r w:rsidRPr="00BF083C">
        <w:t xml:space="preserve"> </w:t>
      </w:r>
      <w:proofErr w:type="spellStart"/>
      <w:r w:rsidRPr="00BF083C">
        <w:t>constamment</w:t>
      </w:r>
      <w:proofErr w:type="spellEnd"/>
      <w:r w:rsidRPr="00BF083C">
        <w:t xml:space="preserve"> et </w:t>
      </w:r>
      <w:proofErr w:type="spellStart"/>
      <w:r w:rsidRPr="00BF083C">
        <w:t>sont</w:t>
      </w:r>
      <w:proofErr w:type="spellEnd"/>
      <w:r w:rsidRPr="00BF083C">
        <w:t xml:space="preserve"> </w:t>
      </w:r>
      <w:proofErr w:type="spellStart"/>
      <w:r w:rsidRPr="00BF083C">
        <w:t>susceptibles</w:t>
      </w:r>
      <w:proofErr w:type="spellEnd"/>
      <w:r w:rsidRPr="00BF083C">
        <w:t xml:space="preserve"> </w:t>
      </w:r>
      <w:proofErr w:type="spellStart"/>
      <w:r w:rsidRPr="00BF083C">
        <w:t>d’influer</w:t>
      </w:r>
      <w:proofErr w:type="spellEnd"/>
      <w:r w:rsidRPr="00BF083C">
        <w:t xml:space="preserve"> sur la </w:t>
      </w:r>
      <w:proofErr w:type="spellStart"/>
      <w:r w:rsidRPr="00BF083C">
        <w:t>santé</w:t>
      </w:r>
      <w:proofErr w:type="spellEnd"/>
      <w:r w:rsidRPr="00BF083C">
        <w:t xml:space="preserve"> des </w:t>
      </w:r>
      <w:proofErr w:type="spellStart"/>
      <w:r w:rsidRPr="00BF083C">
        <w:t>écosystèmes</w:t>
      </w:r>
      <w:proofErr w:type="spellEnd"/>
      <w:r w:rsidRPr="00BF083C">
        <w:t xml:space="preserve"> </w:t>
      </w:r>
      <w:proofErr w:type="spellStart"/>
      <w:r w:rsidRPr="00BF083C">
        <w:t>océaniques</w:t>
      </w:r>
      <w:proofErr w:type="spellEnd"/>
      <w:r w:rsidRPr="00BF083C">
        <w:t xml:space="preserve"> </w:t>
      </w:r>
      <w:proofErr w:type="spellStart"/>
      <w:r w:rsidRPr="00BF083C">
        <w:t>ainsi</w:t>
      </w:r>
      <w:proofErr w:type="spellEnd"/>
      <w:r w:rsidRPr="00BF083C">
        <w:t xml:space="preserve"> que sur le bien-</w:t>
      </w:r>
      <w:proofErr w:type="spellStart"/>
      <w:r w:rsidRPr="00BF083C">
        <w:t>être</w:t>
      </w:r>
      <w:proofErr w:type="spellEnd"/>
      <w:r w:rsidRPr="00BF083C">
        <w:t xml:space="preserve"> </w:t>
      </w:r>
      <w:proofErr w:type="spellStart"/>
      <w:r w:rsidRPr="00BF083C">
        <w:t>humain</w:t>
      </w:r>
      <w:proofErr w:type="spellEnd"/>
      <w:r w:rsidRPr="00BF083C">
        <w:t xml:space="preserve">. De nouveaux </w:t>
      </w:r>
      <w:proofErr w:type="spellStart"/>
      <w:r w:rsidRPr="00BF083C">
        <w:t>facteurs</w:t>
      </w:r>
      <w:proofErr w:type="spellEnd"/>
      <w:r w:rsidRPr="00BF083C">
        <w:t xml:space="preserve"> de stress, </w:t>
      </w:r>
      <w:proofErr w:type="spellStart"/>
      <w:r w:rsidRPr="00BF083C">
        <w:t>tels</w:t>
      </w:r>
      <w:proofErr w:type="spellEnd"/>
      <w:r w:rsidRPr="00BF083C">
        <w:t xml:space="preserve"> que les nouveaux contaminants </w:t>
      </w:r>
      <w:proofErr w:type="spellStart"/>
      <w:r w:rsidRPr="00BF083C">
        <w:t>ou</w:t>
      </w:r>
      <w:proofErr w:type="spellEnd"/>
      <w:r w:rsidRPr="00BF083C">
        <w:t xml:space="preserve"> les pressions </w:t>
      </w:r>
      <w:proofErr w:type="spellStart"/>
      <w:r w:rsidRPr="00BF083C">
        <w:t>exercées</w:t>
      </w:r>
      <w:proofErr w:type="spellEnd"/>
      <w:r w:rsidRPr="00BF083C">
        <w:t xml:space="preserve"> par de </w:t>
      </w:r>
      <w:proofErr w:type="spellStart"/>
      <w:r w:rsidRPr="00BF083C">
        <w:t>nouvelles</w:t>
      </w:r>
      <w:proofErr w:type="spellEnd"/>
      <w:r w:rsidRPr="00BF083C">
        <w:t xml:space="preserve"> </w:t>
      </w:r>
      <w:proofErr w:type="spellStart"/>
      <w:r w:rsidRPr="00BF083C">
        <w:t>activités</w:t>
      </w:r>
      <w:proofErr w:type="spellEnd"/>
      <w:r w:rsidRPr="00BF083C">
        <w:t xml:space="preserve">, </w:t>
      </w:r>
      <w:proofErr w:type="spellStart"/>
      <w:r w:rsidRPr="00BF083C">
        <w:t>peuvent</w:t>
      </w:r>
      <w:proofErr w:type="spellEnd"/>
      <w:r w:rsidRPr="00BF083C">
        <w:t xml:space="preserve"> </w:t>
      </w:r>
      <w:proofErr w:type="spellStart"/>
      <w:r w:rsidRPr="00BF083C">
        <w:t>venir</w:t>
      </w:r>
      <w:proofErr w:type="spellEnd"/>
      <w:r w:rsidRPr="00BF083C">
        <w:t xml:space="preserve"> </w:t>
      </w:r>
      <w:proofErr w:type="spellStart"/>
      <w:r w:rsidRPr="00BF083C">
        <w:t>s’ajouter</w:t>
      </w:r>
      <w:proofErr w:type="spellEnd"/>
      <w:r w:rsidRPr="00BF083C">
        <w:t xml:space="preserve"> à des </w:t>
      </w:r>
      <w:proofErr w:type="spellStart"/>
      <w:r w:rsidRPr="00BF083C">
        <w:t>facteurs</w:t>
      </w:r>
      <w:proofErr w:type="spellEnd"/>
      <w:r w:rsidRPr="00BF083C">
        <w:t xml:space="preserve"> de stress </w:t>
      </w:r>
      <w:proofErr w:type="spellStart"/>
      <w:r w:rsidRPr="00BF083C">
        <w:t>connus</w:t>
      </w:r>
      <w:proofErr w:type="spellEnd"/>
      <w:r w:rsidRPr="00BF083C">
        <w:t xml:space="preserve"> </w:t>
      </w:r>
      <w:proofErr w:type="spellStart"/>
      <w:r w:rsidRPr="00BF083C">
        <w:t>tels</w:t>
      </w:r>
      <w:proofErr w:type="spellEnd"/>
      <w:r w:rsidRPr="00BF083C">
        <w:t xml:space="preserve"> que </w:t>
      </w:r>
      <w:proofErr w:type="spellStart"/>
      <w:r w:rsidRPr="00BF083C">
        <w:t>l’acidification</w:t>
      </w:r>
      <w:proofErr w:type="spellEnd"/>
      <w:r w:rsidRPr="00BF083C">
        <w:t xml:space="preserve"> des </w:t>
      </w:r>
      <w:proofErr w:type="spellStart"/>
      <w:r w:rsidRPr="00BF083C">
        <w:t>océans</w:t>
      </w:r>
      <w:proofErr w:type="spellEnd"/>
      <w:r w:rsidRPr="00BF083C">
        <w:t xml:space="preserve">, la modification du cycle du </w:t>
      </w:r>
      <w:proofErr w:type="spellStart"/>
      <w:r w:rsidRPr="00BF083C">
        <w:t>carbone</w:t>
      </w:r>
      <w:proofErr w:type="spellEnd"/>
      <w:r w:rsidRPr="00BF083C">
        <w:t xml:space="preserve"> </w:t>
      </w:r>
      <w:proofErr w:type="spellStart"/>
      <w:r w:rsidRPr="00BF083C">
        <w:t>océanique</w:t>
      </w:r>
      <w:proofErr w:type="spellEnd"/>
      <w:r w:rsidRPr="00BF083C">
        <w:t xml:space="preserve">, la </w:t>
      </w:r>
      <w:proofErr w:type="spellStart"/>
      <w:r w:rsidRPr="00BF083C">
        <w:t>désoxygénation</w:t>
      </w:r>
      <w:proofErr w:type="spellEnd"/>
      <w:r w:rsidRPr="00BF083C">
        <w:t xml:space="preserve"> et le </w:t>
      </w:r>
      <w:proofErr w:type="spellStart"/>
      <w:r w:rsidRPr="00BF083C">
        <w:t>changement</w:t>
      </w:r>
      <w:proofErr w:type="spellEnd"/>
      <w:r w:rsidRPr="00BF083C">
        <w:t xml:space="preserve"> </w:t>
      </w:r>
      <w:proofErr w:type="spellStart"/>
      <w:r w:rsidRPr="00BF083C">
        <w:t>climatique</w:t>
      </w:r>
      <w:proofErr w:type="spellEnd"/>
      <w:r w:rsidRPr="00BF083C">
        <w:t xml:space="preserve">, et </w:t>
      </w:r>
      <w:proofErr w:type="spellStart"/>
      <w:r w:rsidRPr="00BF083C">
        <w:t>ainsi</w:t>
      </w:r>
      <w:proofErr w:type="spellEnd"/>
      <w:r w:rsidRPr="00BF083C">
        <w:t xml:space="preserve"> </w:t>
      </w:r>
      <w:proofErr w:type="spellStart"/>
      <w:r w:rsidRPr="00BF083C">
        <w:t>avoir</w:t>
      </w:r>
      <w:proofErr w:type="spellEnd"/>
      <w:r w:rsidRPr="00BF083C">
        <w:t xml:space="preserve"> des </w:t>
      </w:r>
      <w:proofErr w:type="spellStart"/>
      <w:r w:rsidRPr="00BF083C">
        <w:t>répercussions</w:t>
      </w:r>
      <w:proofErr w:type="spellEnd"/>
      <w:r w:rsidRPr="00BF083C">
        <w:t xml:space="preserve"> complexes sur les </w:t>
      </w:r>
      <w:proofErr w:type="spellStart"/>
      <w:r w:rsidRPr="00BF083C">
        <w:t>écosystèmes</w:t>
      </w:r>
      <w:proofErr w:type="spellEnd"/>
      <w:r w:rsidRPr="00BF083C">
        <w:t xml:space="preserve">. La recherche de pointe, </w:t>
      </w:r>
      <w:proofErr w:type="spellStart"/>
      <w:r w:rsidRPr="00BF083C">
        <w:t>l’innovation</w:t>
      </w:r>
      <w:proofErr w:type="spellEnd"/>
      <w:r w:rsidRPr="00BF083C">
        <w:t xml:space="preserve"> et le </w:t>
      </w:r>
      <w:proofErr w:type="spellStart"/>
      <w:r w:rsidRPr="00BF083C">
        <w:t>développement</w:t>
      </w:r>
      <w:proofErr w:type="spellEnd"/>
      <w:r w:rsidRPr="00BF083C">
        <w:t xml:space="preserve"> </w:t>
      </w:r>
      <w:proofErr w:type="spellStart"/>
      <w:r w:rsidRPr="00BF083C">
        <w:t>technologique</w:t>
      </w:r>
      <w:proofErr w:type="spellEnd"/>
      <w:r w:rsidRPr="00BF083C">
        <w:t xml:space="preserve">, </w:t>
      </w:r>
      <w:proofErr w:type="spellStart"/>
      <w:r w:rsidRPr="00BF083C">
        <w:t>notamment</w:t>
      </w:r>
      <w:proofErr w:type="spellEnd"/>
      <w:r w:rsidRPr="00BF083C">
        <w:t xml:space="preserve"> </w:t>
      </w:r>
      <w:proofErr w:type="spellStart"/>
      <w:r w:rsidRPr="00BF083C">
        <w:t>en</w:t>
      </w:r>
      <w:proofErr w:type="spellEnd"/>
      <w:r w:rsidRPr="00BF083C">
        <w:t xml:space="preserve"> matière </w:t>
      </w:r>
      <w:proofErr w:type="spellStart"/>
      <w:r w:rsidRPr="00BF083C">
        <w:t>d’observations</w:t>
      </w:r>
      <w:proofErr w:type="spellEnd"/>
      <w:r w:rsidRPr="00BF083C">
        <w:t xml:space="preserve"> et de mise </w:t>
      </w:r>
      <w:proofErr w:type="spellStart"/>
      <w:r w:rsidRPr="00BF083C">
        <w:t>en</w:t>
      </w:r>
      <w:proofErr w:type="spellEnd"/>
      <w:r w:rsidRPr="00BF083C">
        <w:t xml:space="preserve"> place d’un « </w:t>
      </w:r>
      <w:proofErr w:type="spellStart"/>
      <w:r w:rsidRPr="00BF083C">
        <w:t>écosystème</w:t>
      </w:r>
      <w:proofErr w:type="spellEnd"/>
      <w:r w:rsidRPr="00BF083C">
        <w:t xml:space="preserve"> </w:t>
      </w:r>
      <w:proofErr w:type="spellStart"/>
      <w:r w:rsidRPr="00BF083C">
        <w:t>mondial</w:t>
      </w:r>
      <w:proofErr w:type="spellEnd"/>
      <w:r w:rsidRPr="00BF083C">
        <w:t xml:space="preserve"> de </w:t>
      </w:r>
      <w:proofErr w:type="spellStart"/>
      <w:r w:rsidRPr="00BF083C">
        <w:t>données</w:t>
      </w:r>
      <w:proofErr w:type="spellEnd"/>
      <w:r w:rsidRPr="00BF083C">
        <w:t xml:space="preserve"> et </w:t>
      </w:r>
      <w:proofErr w:type="spellStart"/>
      <w:r w:rsidRPr="00BF083C">
        <w:t>d’informations</w:t>
      </w:r>
      <w:proofErr w:type="spellEnd"/>
      <w:r w:rsidRPr="00BF083C">
        <w:t xml:space="preserve"> », </w:t>
      </w:r>
      <w:proofErr w:type="spellStart"/>
      <w:r w:rsidRPr="00BF083C">
        <w:t>devraient</w:t>
      </w:r>
      <w:proofErr w:type="spellEnd"/>
      <w:r w:rsidRPr="00BF083C">
        <w:t xml:space="preserve"> </w:t>
      </w:r>
      <w:proofErr w:type="spellStart"/>
      <w:r w:rsidRPr="00BF083C">
        <w:t>accroître</w:t>
      </w:r>
      <w:proofErr w:type="spellEnd"/>
      <w:r w:rsidRPr="00BF083C">
        <w:t xml:space="preserve"> </w:t>
      </w:r>
      <w:proofErr w:type="spellStart"/>
      <w:r w:rsidRPr="00BF083C">
        <w:t>notre</w:t>
      </w:r>
      <w:proofErr w:type="spellEnd"/>
      <w:r w:rsidRPr="00BF083C">
        <w:t xml:space="preserve"> </w:t>
      </w:r>
      <w:proofErr w:type="spellStart"/>
      <w:r w:rsidRPr="00BF083C">
        <w:t>capacité</w:t>
      </w:r>
      <w:proofErr w:type="spellEnd"/>
      <w:r w:rsidRPr="00BF083C">
        <w:t xml:space="preserve"> </w:t>
      </w:r>
      <w:proofErr w:type="spellStart"/>
      <w:r w:rsidRPr="00BF083C">
        <w:t>d’anticiper</w:t>
      </w:r>
      <w:proofErr w:type="spellEnd"/>
      <w:r w:rsidRPr="00BF083C">
        <w:t xml:space="preserve"> </w:t>
      </w:r>
      <w:proofErr w:type="spellStart"/>
      <w:r w:rsidRPr="00BF083C">
        <w:t>ces</w:t>
      </w:r>
      <w:proofErr w:type="spellEnd"/>
      <w:r w:rsidRPr="00BF083C">
        <w:t xml:space="preserve"> </w:t>
      </w:r>
      <w:proofErr w:type="spellStart"/>
      <w:r w:rsidRPr="00BF083C">
        <w:t>problématiques</w:t>
      </w:r>
      <w:proofErr w:type="spellEnd"/>
      <w:r w:rsidRPr="00BF083C">
        <w:t xml:space="preserve"> </w:t>
      </w:r>
      <w:proofErr w:type="spellStart"/>
      <w:r w:rsidRPr="00BF083C">
        <w:t>émergentes</w:t>
      </w:r>
      <w:proofErr w:type="spellEnd"/>
      <w:r w:rsidRPr="00BF083C">
        <w:t xml:space="preserve">, </w:t>
      </w:r>
      <w:proofErr w:type="spellStart"/>
      <w:r w:rsidRPr="00BF083C">
        <w:t>d’éclairer</w:t>
      </w:r>
      <w:proofErr w:type="spellEnd"/>
      <w:r w:rsidRPr="00BF083C">
        <w:t xml:space="preserve"> la formulation des politiques, y </w:t>
      </w:r>
      <w:proofErr w:type="spellStart"/>
      <w:r w:rsidRPr="00BF083C">
        <w:t>compris</w:t>
      </w:r>
      <w:proofErr w:type="spellEnd"/>
      <w:r w:rsidRPr="00BF083C">
        <w:t xml:space="preserve"> dans le </w:t>
      </w:r>
      <w:proofErr w:type="spellStart"/>
      <w:r w:rsidRPr="00BF083C">
        <w:t>contexte</w:t>
      </w:r>
      <w:proofErr w:type="spellEnd"/>
      <w:r w:rsidRPr="00BF083C">
        <w:t xml:space="preserve"> des conventions </w:t>
      </w:r>
      <w:proofErr w:type="spellStart"/>
      <w:r w:rsidRPr="00BF083C">
        <w:t>régionales</w:t>
      </w:r>
      <w:proofErr w:type="spellEnd"/>
      <w:r w:rsidRPr="00BF083C">
        <w:t xml:space="preserve"> et </w:t>
      </w:r>
      <w:proofErr w:type="spellStart"/>
      <w:r w:rsidRPr="00BF083C">
        <w:t>mondiales</w:t>
      </w:r>
      <w:proofErr w:type="spellEnd"/>
      <w:r w:rsidRPr="00BF083C">
        <w:t xml:space="preserve"> </w:t>
      </w:r>
      <w:proofErr w:type="spellStart"/>
      <w:r w:rsidRPr="00BF083C">
        <w:t>pertinentes</w:t>
      </w:r>
      <w:proofErr w:type="spellEnd"/>
      <w:r w:rsidRPr="00BF083C">
        <w:t xml:space="preserve">, et de proposer </w:t>
      </w:r>
      <w:proofErr w:type="spellStart"/>
      <w:r w:rsidRPr="00BF083C">
        <w:t>en</w:t>
      </w:r>
      <w:proofErr w:type="spellEnd"/>
      <w:r w:rsidRPr="00BF083C">
        <w:t xml:space="preserve"> temps </w:t>
      </w:r>
      <w:proofErr w:type="spellStart"/>
      <w:r w:rsidRPr="00BF083C">
        <w:t>opportun</w:t>
      </w:r>
      <w:proofErr w:type="spellEnd"/>
      <w:r w:rsidRPr="00BF083C">
        <w:t xml:space="preserve"> des solutions </w:t>
      </w:r>
      <w:proofErr w:type="spellStart"/>
      <w:r w:rsidRPr="00BF083C">
        <w:t>faisant</w:t>
      </w:r>
      <w:proofErr w:type="spellEnd"/>
      <w:r w:rsidRPr="00BF083C">
        <w:t xml:space="preserve"> </w:t>
      </w:r>
      <w:proofErr w:type="spellStart"/>
      <w:r w:rsidRPr="00BF083C">
        <w:t>appel</w:t>
      </w:r>
      <w:proofErr w:type="spellEnd"/>
      <w:r w:rsidRPr="00BF083C">
        <w:t xml:space="preserve"> aux parties </w:t>
      </w:r>
      <w:proofErr w:type="spellStart"/>
      <w:r w:rsidRPr="00BF083C">
        <w:t>prenantes</w:t>
      </w:r>
      <w:proofErr w:type="spellEnd"/>
      <w:r w:rsidRPr="00BF083C">
        <w:t xml:space="preserve"> </w:t>
      </w:r>
      <w:proofErr w:type="spellStart"/>
      <w:r w:rsidRPr="00BF083C">
        <w:t>concernées</w:t>
      </w:r>
      <w:proofErr w:type="spellEnd"/>
      <w:r w:rsidRPr="00BF083C">
        <w:t>.</w:t>
      </w:r>
    </w:p>
    <w:p w14:paraId="497F8E58" w14:textId="035FDE89" w:rsidR="00FA2C9C" w:rsidRPr="00BF083C" w:rsidRDefault="00EC5F05" w:rsidP="007D5503">
      <w:pPr>
        <w:pStyle w:val="ListParagraph"/>
        <w:widowControl/>
        <w:numPr>
          <w:ilvl w:val="0"/>
          <w:numId w:val="34"/>
        </w:numPr>
        <w:pBdr>
          <w:bottom w:val="single" w:sz="4" w:space="1" w:color="auto"/>
        </w:pBdr>
        <w:tabs>
          <w:tab w:val="clear" w:pos="567"/>
        </w:tabs>
        <w:autoSpaceDE w:val="0"/>
        <w:autoSpaceDN w:val="0"/>
        <w:snapToGrid/>
        <w:spacing w:line="240" w:lineRule="auto"/>
        <w:ind w:left="709"/>
        <w:jc w:val="left"/>
        <w:textAlignment w:val="auto"/>
        <w:rPr>
          <w:rFonts w:cs="Arial"/>
          <w:b/>
          <w:bCs/>
          <w:snapToGrid/>
          <w:sz w:val="24"/>
        </w:rPr>
      </w:pPr>
      <w:r w:rsidRPr="00BF083C">
        <w:rPr>
          <w:rFonts w:cs="Arial"/>
          <w:b/>
          <w:bCs/>
          <w:snapToGrid/>
          <w:sz w:val="24"/>
        </w:rPr>
        <w:t xml:space="preserve">Commission </w:t>
      </w:r>
      <w:proofErr w:type="spellStart"/>
      <w:r w:rsidRPr="00BF083C">
        <w:rPr>
          <w:rFonts w:cs="Arial"/>
          <w:b/>
          <w:bCs/>
          <w:snapToGrid/>
          <w:sz w:val="24"/>
        </w:rPr>
        <w:t>océanographique</w:t>
      </w:r>
      <w:proofErr w:type="spellEnd"/>
      <w:r w:rsidRPr="00BF083C">
        <w:rPr>
          <w:rFonts w:cs="Arial"/>
          <w:b/>
          <w:bCs/>
          <w:snapToGrid/>
          <w:sz w:val="24"/>
        </w:rPr>
        <w:t xml:space="preserve"> </w:t>
      </w:r>
      <w:proofErr w:type="spellStart"/>
      <w:r w:rsidRPr="00BF083C">
        <w:rPr>
          <w:rFonts w:cs="Arial"/>
          <w:b/>
          <w:bCs/>
          <w:snapToGrid/>
          <w:sz w:val="24"/>
        </w:rPr>
        <w:t>intergouvernementale</w:t>
      </w:r>
      <w:proofErr w:type="spellEnd"/>
      <w:r w:rsidRPr="00BF083C">
        <w:rPr>
          <w:rFonts w:cs="Arial"/>
          <w:b/>
          <w:bCs/>
          <w:snapToGrid/>
          <w:sz w:val="24"/>
        </w:rPr>
        <w:t xml:space="preserve"> : </w:t>
      </w:r>
      <w:proofErr w:type="spellStart"/>
      <w:r w:rsidRPr="00BF083C">
        <w:rPr>
          <w:rFonts w:cs="Arial"/>
          <w:b/>
          <w:bCs/>
          <w:snapToGrid/>
          <w:sz w:val="24"/>
        </w:rPr>
        <w:t>Matrice</w:t>
      </w:r>
      <w:proofErr w:type="spellEnd"/>
      <w:r w:rsidRPr="00BF083C">
        <w:rPr>
          <w:rFonts w:cs="Arial"/>
          <w:b/>
          <w:bCs/>
          <w:snapToGrid/>
          <w:sz w:val="24"/>
        </w:rPr>
        <w:t xml:space="preserve"> de </w:t>
      </w:r>
      <w:proofErr w:type="spellStart"/>
      <w:r w:rsidRPr="00BF083C">
        <w:rPr>
          <w:rFonts w:cs="Arial"/>
          <w:b/>
          <w:bCs/>
          <w:snapToGrid/>
          <w:sz w:val="24"/>
        </w:rPr>
        <w:t>résultats</w:t>
      </w:r>
      <w:proofErr w:type="spellEnd"/>
    </w:p>
    <w:p w14:paraId="249492A1" w14:textId="72CA0347" w:rsidR="00FA2C9C" w:rsidRPr="00BF083C" w:rsidRDefault="00FA2C9C" w:rsidP="007D5503">
      <w:pPr>
        <w:pStyle w:val="Marge"/>
        <w:tabs>
          <w:tab w:val="clear" w:pos="567"/>
          <w:tab w:val="left" w:pos="1162"/>
        </w:tabs>
        <w:spacing w:after="0" w:line="240" w:lineRule="auto"/>
      </w:pPr>
    </w:p>
    <w:p w14:paraId="0CACAD15" w14:textId="178A373F" w:rsidR="007D5503" w:rsidRPr="00BF083C" w:rsidRDefault="00EC5F05"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r w:rsidRPr="00BF083C">
        <w:rPr>
          <w:rFonts w:ascii="MyriadPro-Bold" w:hAnsi="MyriadPro-Bold" w:cs="MyriadPro-Bold"/>
          <w:b/>
          <w:bCs/>
          <w:snapToGrid/>
          <w:color w:val="365F91" w:themeColor="accent1" w:themeShade="BF"/>
          <w:sz w:val="24"/>
        </w:rPr>
        <w:t>EFFET 3</w:t>
      </w:r>
    </w:p>
    <w:p w14:paraId="3A908E67" w14:textId="6CBFEFC4" w:rsidR="00FA2C9C" w:rsidRPr="00BF083C" w:rsidRDefault="00EC5F05"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proofErr w:type="spellStart"/>
      <w:r w:rsidRPr="00BF083C">
        <w:rPr>
          <w:rFonts w:ascii="MyriadPro-Bold" w:hAnsi="MyriadPro-Bold" w:cs="MyriadPro-Bold"/>
          <w:b/>
          <w:bCs/>
          <w:snapToGrid/>
          <w:color w:val="365F91" w:themeColor="accent1" w:themeShade="BF"/>
          <w:sz w:val="24"/>
        </w:rPr>
        <w:t>Renforcer</w:t>
      </w:r>
      <w:proofErr w:type="spellEnd"/>
      <w:r w:rsidRPr="00BF083C">
        <w:rPr>
          <w:rFonts w:ascii="MyriadPro-Bold" w:hAnsi="MyriadPro-Bold" w:cs="MyriadPro-Bold"/>
          <w:b/>
          <w:bCs/>
          <w:snapToGrid/>
          <w:color w:val="365F91" w:themeColor="accent1" w:themeShade="BF"/>
          <w:sz w:val="24"/>
        </w:rPr>
        <w:t xml:space="preserve"> la </w:t>
      </w:r>
      <w:proofErr w:type="spellStart"/>
      <w:r w:rsidRPr="00BF083C">
        <w:rPr>
          <w:rFonts w:ascii="MyriadPro-Bold" w:hAnsi="MyriadPro-Bold" w:cs="MyriadPro-Bold"/>
          <w:b/>
          <w:bCs/>
          <w:snapToGrid/>
          <w:color w:val="365F91" w:themeColor="accent1" w:themeShade="BF"/>
          <w:sz w:val="24"/>
        </w:rPr>
        <w:t>connaissance</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en</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faveur</w:t>
      </w:r>
      <w:proofErr w:type="spellEnd"/>
      <w:r w:rsidRPr="00BF083C">
        <w:rPr>
          <w:rFonts w:ascii="MyriadPro-Bold" w:hAnsi="MyriadPro-Bold" w:cs="MyriadPro-Bold"/>
          <w:b/>
          <w:bCs/>
          <w:snapToGrid/>
          <w:color w:val="365F91" w:themeColor="accent1" w:themeShade="BF"/>
          <w:sz w:val="24"/>
        </w:rPr>
        <w:t xml:space="preserve"> de </w:t>
      </w:r>
      <w:proofErr w:type="spellStart"/>
      <w:r w:rsidRPr="00BF083C">
        <w:rPr>
          <w:rFonts w:ascii="MyriadPro-Bold" w:hAnsi="MyriadPro-Bold" w:cs="MyriadPro-Bold"/>
          <w:b/>
          <w:bCs/>
          <w:snapToGrid/>
          <w:color w:val="365F91" w:themeColor="accent1" w:themeShade="BF"/>
          <w:sz w:val="24"/>
        </w:rPr>
        <w:t>l’action</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climatique</w:t>
      </w:r>
      <w:proofErr w:type="spellEnd"/>
      <w:r w:rsidRPr="00BF083C">
        <w:rPr>
          <w:rFonts w:ascii="MyriadPro-Bold" w:hAnsi="MyriadPro-Bold" w:cs="MyriadPro-Bold"/>
          <w:b/>
          <w:bCs/>
          <w:snapToGrid/>
          <w:color w:val="365F91" w:themeColor="accent1" w:themeShade="BF"/>
          <w:sz w:val="24"/>
        </w:rPr>
        <w:t xml:space="preserve">, </w:t>
      </w:r>
      <w:proofErr w:type="spellStart"/>
      <w:r w:rsidRPr="00BF083C">
        <w:rPr>
          <w:rFonts w:ascii="MyriadPro-Bold" w:hAnsi="MyriadPro-Bold" w:cs="MyriadPro-Bold"/>
          <w:b/>
          <w:bCs/>
          <w:snapToGrid/>
          <w:color w:val="365F91" w:themeColor="accent1" w:themeShade="BF"/>
          <w:sz w:val="24"/>
        </w:rPr>
        <w:t>du</w:t>
      </w:r>
      <w:proofErr w:type="spellEnd"/>
      <w:r w:rsidRPr="00BF083C">
        <w:rPr>
          <w:rFonts w:ascii="MyriadPro-Bold" w:hAnsi="MyriadPro-Bold" w:cs="MyriadPro-Bold"/>
          <w:b/>
          <w:bCs/>
          <w:snapToGrid/>
          <w:color w:val="365F91" w:themeColor="accent1" w:themeShade="BF"/>
          <w:sz w:val="24"/>
        </w:rPr>
        <w:t xml:space="preserve"> respect de la </w:t>
      </w:r>
      <w:proofErr w:type="spellStart"/>
      <w:r w:rsidRPr="00BF083C">
        <w:rPr>
          <w:rFonts w:ascii="MyriadPro-Bold" w:hAnsi="MyriadPro-Bold" w:cs="MyriadPro-Bold"/>
          <w:b/>
          <w:bCs/>
          <w:snapToGrid/>
          <w:color w:val="365F91" w:themeColor="accent1" w:themeShade="BF"/>
          <w:sz w:val="24"/>
        </w:rPr>
        <w:t>biodiversité</w:t>
      </w:r>
      <w:proofErr w:type="spellEnd"/>
      <w:r w:rsidRPr="00BF083C">
        <w:rPr>
          <w:rFonts w:ascii="MyriadPro-Bold" w:hAnsi="MyriadPro-Bold" w:cs="MyriadPro-Bold"/>
          <w:b/>
          <w:bCs/>
          <w:snapToGrid/>
          <w:color w:val="365F91" w:themeColor="accent1" w:themeShade="BF"/>
          <w:sz w:val="24"/>
        </w:rPr>
        <w:t xml:space="preserve">, de la gestion de </w:t>
      </w:r>
      <w:proofErr w:type="spellStart"/>
      <w:r w:rsidRPr="00BF083C">
        <w:rPr>
          <w:rFonts w:ascii="MyriadPro-Bold" w:hAnsi="MyriadPro-Bold" w:cs="MyriadPro-Bold"/>
          <w:b/>
          <w:bCs/>
          <w:snapToGrid/>
          <w:color w:val="365F91" w:themeColor="accent1" w:themeShade="BF"/>
          <w:sz w:val="24"/>
        </w:rPr>
        <w:t>l’eau</w:t>
      </w:r>
      <w:proofErr w:type="spellEnd"/>
      <w:r w:rsidRPr="00BF083C">
        <w:rPr>
          <w:rFonts w:ascii="MyriadPro-Bold" w:hAnsi="MyriadPro-Bold" w:cs="MyriadPro-Bold"/>
          <w:b/>
          <w:bCs/>
          <w:snapToGrid/>
          <w:color w:val="365F91" w:themeColor="accent1" w:themeShade="BF"/>
          <w:sz w:val="24"/>
        </w:rPr>
        <w:t xml:space="preserve"> et de </w:t>
      </w:r>
      <w:proofErr w:type="spellStart"/>
      <w:r w:rsidRPr="00BF083C">
        <w:rPr>
          <w:rFonts w:ascii="MyriadPro-Bold" w:hAnsi="MyriadPro-Bold" w:cs="MyriadPro-Bold"/>
          <w:b/>
          <w:bCs/>
          <w:snapToGrid/>
          <w:color w:val="365F91" w:themeColor="accent1" w:themeShade="BF"/>
          <w:sz w:val="24"/>
        </w:rPr>
        <w:t>l’océan</w:t>
      </w:r>
      <w:proofErr w:type="spellEnd"/>
      <w:r w:rsidRPr="00BF083C">
        <w:rPr>
          <w:rFonts w:ascii="MyriadPro-Bold" w:hAnsi="MyriadPro-Bold" w:cs="MyriadPro-Bold"/>
          <w:b/>
          <w:bCs/>
          <w:snapToGrid/>
          <w:color w:val="365F91" w:themeColor="accent1" w:themeShade="BF"/>
          <w:sz w:val="24"/>
        </w:rPr>
        <w:t xml:space="preserve">, et de la </w:t>
      </w:r>
      <w:proofErr w:type="spellStart"/>
      <w:r w:rsidRPr="00BF083C">
        <w:rPr>
          <w:rFonts w:ascii="MyriadPro-Bold" w:hAnsi="MyriadPro-Bold" w:cs="MyriadPro-Bold"/>
          <w:b/>
          <w:bCs/>
          <w:snapToGrid/>
          <w:color w:val="365F91" w:themeColor="accent1" w:themeShade="BF"/>
          <w:sz w:val="24"/>
        </w:rPr>
        <w:t>réduction</w:t>
      </w:r>
      <w:proofErr w:type="spellEnd"/>
      <w:r w:rsidRPr="00BF083C">
        <w:rPr>
          <w:rFonts w:ascii="MyriadPro-Bold" w:hAnsi="MyriadPro-Bold" w:cs="MyriadPro-Bold"/>
          <w:b/>
          <w:bCs/>
          <w:snapToGrid/>
          <w:color w:val="365F91" w:themeColor="accent1" w:themeShade="BF"/>
          <w:sz w:val="24"/>
        </w:rPr>
        <w:t xml:space="preserve"> des </w:t>
      </w:r>
      <w:proofErr w:type="spellStart"/>
      <w:r w:rsidRPr="00BF083C">
        <w:rPr>
          <w:rFonts w:ascii="MyriadPro-Bold" w:hAnsi="MyriadPro-Bold" w:cs="MyriadPro-Bold"/>
          <w:b/>
          <w:bCs/>
          <w:snapToGrid/>
          <w:color w:val="365F91" w:themeColor="accent1" w:themeShade="BF"/>
          <w:sz w:val="24"/>
        </w:rPr>
        <w:t>risques</w:t>
      </w:r>
      <w:proofErr w:type="spellEnd"/>
      <w:r w:rsidRPr="00BF083C">
        <w:rPr>
          <w:rFonts w:ascii="MyriadPro-Bold" w:hAnsi="MyriadPro-Bold" w:cs="MyriadPro-Bold"/>
          <w:b/>
          <w:bCs/>
          <w:snapToGrid/>
          <w:color w:val="365F91" w:themeColor="accent1" w:themeShade="BF"/>
          <w:sz w:val="24"/>
        </w:rPr>
        <w:t xml:space="preserve"> de catastrophe</w:t>
      </w:r>
    </w:p>
    <w:p w14:paraId="1A5E1B68" w14:textId="77777777" w:rsidR="00EC5F05" w:rsidRPr="00BF083C" w:rsidRDefault="00EC5F05" w:rsidP="007D5503">
      <w:pPr>
        <w:widowControl/>
        <w:tabs>
          <w:tab w:val="clear" w:pos="567"/>
        </w:tabs>
        <w:autoSpaceDE w:val="0"/>
        <w:autoSpaceDN w:val="0"/>
        <w:snapToGrid/>
        <w:spacing w:line="240" w:lineRule="auto"/>
        <w:jc w:val="left"/>
        <w:textAlignment w:val="auto"/>
      </w:pPr>
    </w:p>
    <w:p w14:paraId="735B10E1" w14:textId="41A306AA" w:rsidR="007D5503" w:rsidRPr="00BF083C" w:rsidRDefault="00EC5F05"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Cs w:val="22"/>
        </w:rPr>
      </w:pPr>
      <w:r w:rsidRPr="00BF083C">
        <w:rPr>
          <w:rFonts w:ascii="MyriadPro-Bold" w:hAnsi="MyriadPro-Bold" w:cs="MyriadPro-Bold"/>
          <w:b/>
          <w:bCs/>
          <w:snapToGrid/>
          <w:szCs w:val="22"/>
        </w:rPr>
        <w:t xml:space="preserve">PRODUIT 3.IOC1 : Les </w:t>
      </w:r>
      <w:proofErr w:type="spellStart"/>
      <w:r w:rsidRPr="00BF083C">
        <w:rPr>
          <w:rFonts w:ascii="MyriadPro-Bold" w:hAnsi="MyriadPro-Bold" w:cs="MyriadPro-Bold"/>
          <w:b/>
          <w:bCs/>
          <w:snapToGrid/>
          <w:szCs w:val="22"/>
        </w:rPr>
        <w:t>États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membres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reçoivent</w:t>
      </w:r>
      <w:proofErr w:type="spellEnd"/>
      <w:r w:rsidRPr="00BF083C">
        <w:rPr>
          <w:rFonts w:ascii="MyriadPro-Bold" w:hAnsi="MyriadPro-Bold" w:cs="MyriadPro-Bold"/>
          <w:b/>
          <w:bCs/>
          <w:snapToGrid/>
          <w:szCs w:val="22"/>
        </w:rPr>
        <w:t xml:space="preserve"> un </w:t>
      </w:r>
      <w:proofErr w:type="spellStart"/>
      <w:r w:rsidRPr="00BF083C">
        <w:rPr>
          <w:rFonts w:ascii="MyriadPro-Bold" w:hAnsi="MyriadPro-Bold" w:cs="MyriadPro-Bold"/>
          <w:b/>
          <w:bCs/>
          <w:snapToGrid/>
          <w:szCs w:val="22"/>
        </w:rPr>
        <w:t>soutien</w:t>
      </w:r>
      <w:proofErr w:type="spellEnd"/>
      <w:r w:rsidRPr="00BF083C">
        <w:rPr>
          <w:rFonts w:ascii="MyriadPro-Bold" w:hAnsi="MyriadPro-Bold" w:cs="MyriadPro-Bold"/>
          <w:b/>
          <w:bCs/>
          <w:snapToGrid/>
          <w:szCs w:val="22"/>
        </w:rPr>
        <w:t xml:space="preserve"> critique pour </w:t>
      </w:r>
      <w:proofErr w:type="spellStart"/>
      <w:r w:rsidRPr="00BF083C">
        <w:rPr>
          <w:rFonts w:ascii="MyriadPro-Bold" w:hAnsi="MyriadPro-Bold" w:cs="MyriadPro-Bold"/>
          <w:b/>
          <w:bCs/>
          <w:snapToGrid/>
          <w:szCs w:val="22"/>
        </w:rPr>
        <w:t>renforcer</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leur</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capacité</w:t>
      </w:r>
      <w:proofErr w:type="spellEnd"/>
      <w:r w:rsidRPr="00BF083C">
        <w:rPr>
          <w:rFonts w:ascii="MyriadPro-Bold" w:hAnsi="MyriadPro-Bold" w:cs="MyriadPro-Bold"/>
          <w:b/>
          <w:bCs/>
          <w:snapToGrid/>
          <w:szCs w:val="22"/>
        </w:rPr>
        <w:t xml:space="preserve"> de </w:t>
      </w:r>
      <w:proofErr w:type="spellStart"/>
      <w:r w:rsidRPr="00BF083C">
        <w:rPr>
          <w:rFonts w:ascii="MyriadPro-Bold" w:hAnsi="MyriadPro-Bold" w:cs="MyriadPro-Bold"/>
          <w:b/>
          <w:bCs/>
          <w:snapToGrid/>
          <w:szCs w:val="22"/>
        </w:rPr>
        <w:t>mener</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recherches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scientifiques</w:t>
      </w:r>
      <w:proofErr w:type="spellEnd"/>
      <w:r w:rsidRPr="00BF083C">
        <w:rPr>
          <w:rFonts w:ascii="MyriadPro-Bold" w:hAnsi="MyriadPro-Bold" w:cs="MyriadPro-Bold"/>
          <w:b/>
          <w:bCs/>
          <w:snapToGrid/>
          <w:szCs w:val="22"/>
        </w:rPr>
        <w:t xml:space="preserve"> marines, de </w:t>
      </w:r>
      <w:proofErr w:type="spellStart"/>
      <w:r w:rsidRPr="00BF083C">
        <w:rPr>
          <w:rFonts w:ascii="MyriadPro-Bold" w:hAnsi="MyriadPro-Bold" w:cs="MyriadPro-Bold"/>
          <w:b/>
          <w:bCs/>
          <w:snapToGrid/>
          <w:szCs w:val="22"/>
        </w:rPr>
        <w:t>produire</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connaissances</w:t>
      </w:r>
      <w:proofErr w:type="spellEnd"/>
      <w:r w:rsidRPr="00BF083C">
        <w:rPr>
          <w:rFonts w:ascii="MyriadPro-Bold" w:hAnsi="MyriadPro-Bold" w:cs="MyriadPro-Bold"/>
          <w:b/>
          <w:bCs/>
          <w:snapToGrid/>
          <w:szCs w:val="22"/>
        </w:rPr>
        <w:t xml:space="preserve"> et </w:t>
      </w:r>
      <w:proofErr w:type="spellStart"/>
      <w:r w:rsidRPr="00BF083C">
        <w:rPr>
          <w:rFonts w:ascii="MyriadPro-Bold" w:hAnsi="MyriadPro-Bold" w:cs="MyriadPro-Bold"/>
          <w:b/>
          <w:bCs/>
          <w:snapToGrid/>
          <w:szCs w:val="22"/>
        </w:rPr>
        <w:t>d’élaborer</w:t>
      </w:r>
      <w:proofErr w:type="spellEnd"/>
      <w:r w:rsidRPr="00BF083C">
        <w:rPr>
          <w:rFonts w:ascii="MyriadPro-Bold" w:hAnsi="MyriadPro-Bold" w:cs="MyriadPro-Bold"/>
          <w:b/>
          <w:bCs/>
          <w:snapToGrid/>
          <w:szCs w:val="22"/>
        </w:rPr>
        <w:t xml:space="preserve"> et de </w:t>
      </w:r>
      <w:proofErr w:type="spellStart"/>
      <w:r w:rsidRPr="00BF083C">
        <w:rPr>
          <w:rFonts w:ascii="MyriadPro-Bold" w:hAnsi="MyriadPro-Bold" w:cs="MyriadPro-Bold"/>
          <w:b/>
          <w:bCs/>
          <w:snapToGrid/>
          <w:szCs w:val="22"/>
        </w:rPr>
        <w:t>mettre</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en</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œuvre</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outils</w:t>
      </w:r>
      <w:proofErr w:type="spellEnd"/>
      <w:r w:rsidRPr="00BF083C">
        <w:rPr>
          <w:rFonts w:ascii="MyriadPro-Bold" w:hAnsi="MyriadPro-Bold" w:cs="MyriadPro-Bold"/>
          <w:b/>
          <w:bCs/>
          <w:snapToGrid/>
          <w:szCs w:val="22"/>
        </w:rPr>
        <w:t xml:space="preserve">, services et politiques </w:t>
      </w:r>
      <w:proofErr w:type="spellStart"/>
      <w:r w:rsidRPr="00BF083C">
        <w:rPr>
          <w:rFonts w:ascii="MyriadPro-Bold" w:hAnsi="MyriadPro-Bold" w:cs="MyriadPro-Bold"/>
          <w:b/>
          <w:bCs/>
          <w:snapToGrid/>
          <w:szCs w:val="22"/>
        </w:rPr>
        <w:t>fondés</w:t>
      </w:r>
      <w:proofErr w:type="spellEnd"/>
      <w:r w:rsidRPr="00BF083C">
        <w:rPr>
          <w:rFonts w:ascii="MyriadPro-Bold" w:hAnsi="MyriadPro-Bold" w:cs="MyriadPro-Bold"/>
          <w:b/>
          <w:bCs/>
          <w:snapToGrid/>
          <w:szCs w:val="22"/>
        </w:rPr>
        <w:t xml:space="preserve"> sur la science </w:t>
      </w:r>
      <w:proofErr w:type="spellStart"/>
      <w:r w:rsidRPr="00BF083C">
        <w:rPr>
          <w:rFonts w:ascii="MyriadPro-Bold" w:hAnsi="MyriadPro-Bold" w:cs="MyriadPro-Bold"/>
          <w:b/>
          <w:bCs/>
          <w:snapToGrid/>
          <w:szCs w:val="22"/>
        </w:rPr>
        <w:t>afin</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d’inverser</w:t>
      </w:r>
      <w:proofErr w:type="spellEnd"/>
      <w:r w:rsidRPr="00BF083C">
        <w:rPr>
          <w:rFonts w:ascii="MyriadPro-Bold" w:hAnsi="MyriadPro-Bold" w:cs="MyriadPro-Bold"/>
          <w:b/>
          <w:bCs/>
          <w:snapToGrid/>
          <w:szCs w:val="22"/>
        </w:rPr>
        <w:t xml:space="preserve"> le </w:t>
      </w:r>
      <w:proofErr w:type="spellStart"/>
      <w:r w:rsidRPr="00BF083C">
        <w:rPr>
          <w:rFonts w:ascii="MyriadPro-Bold" w:hAnsi="MyriadPro-Bold" w:cs="MyriadPro-Bold"/>
          <w:b/>
          <w:bCs/>
          <w:snapToGrid/>
          <w:szCs w:val="22"/>
        </w:rPr>
        <w:t>déclin</w:t>
      </w:r>
      <w:proofErr w:type="spellEnd"/>
      <w:r w:rsidRPr="00BF083C">
        <w:rPr>
          <w:rFonts w:ascii="MyriadPro-Bold" w:hAnsi="MyriadPro-Bold" w:cs="MyriadPro-Bold"/>
          <w:b/>
          <w:bCs/>
          <w:snapToGrid/>
          <w:szCs w:val="22"/>
        </w:rPr>
        <w:t xml:space="preserve"> de la </w:t>
      </w:r>
      <w:proofErr w:type="spellStart"/>
      <w:r w:rsidRPr="00BF083C">
        <w:rPr>
          <w:rFonts w:ascii="MyriadPro-Bold" w:hAnsi="MyriadPro-Bold" w:cs="MyriadPro-Bold"/>
          <w:b/>
          <w:bCs/>
          <w:snapToGrid/>
          <w:szCs w:val="22"/>
        </w:rPr>
        <w:t>santé</w:t>
      </w:r>
      <w:proofErr w:type="spellEnd"/>
      <w:r w:rsidRPr="00BF083C">
        <w:rPr>
          <w:rFonts w:ascii="MyriadPro-Bold" w:hAnsi="MyriadPro-Bold" w:cs="MyriadPro-Bold"/>
          <w:b/>
          <w:bCs/>
          <w:snapToGrid/>
          <w:szCs w:val="22"/>
        </w:rPr>
        <w:t xml:space="preserve"> des </w:t>
      </w:r>
      <w:proofErr w:type="spellStart"/>
      <w:r w:rsidRPr="00BF083C">
        <w:rPr>
          <w:rFonts w:ascii="MyriadPro-Bold" w:hAnsi="MyriadPro-Bold" w:cs="MyriadPro-Bold"/>
          <w:b/>
          <w:bCs/>
          <w:snapToGrid/>
          <w:szCs w:val="22"/>
        </w:rPr>
        <w:t>océans</w:t>
      </w:r>
      <w:proofErr w:type="spellEnd"/>
      <w:r w:rsidRPr="00BF083C">
        <w:rPr>
          <w:rFonts w:ascii="MyriadPro-Bold" w:hAnsi="MyriadPro-Bold" w:cs="MyriadPro-Bold"/>
          <w:b/>
          <w:bCs/>
          <w:snapToGrid/>
          <w:szCs w:val="22"/>
        </w:rPr>
        <w:t xml:space="preserve"> et </w:t>
      </w:r>
      <w:proofErr w:type="spellStart"/>
      <w:r w:rsidRPr="00BF083C">
        <w:rPr>
          <w:rFonts w:ascii="MyriadPro-Bold" w:hAnsi="MyriadPro-Bold" w:cs="MyriadPro-Bold"/>
          <w:b/>
          <w:bCs/>
          <w:snapToGrid/>
          <w:szCs w:val="22"/>
        </w:rPr>
        <w:t>d’accélérer</w:t>
      </w:r>
      <w:proofErr w:type="spellEnd"/>
      <w:r w:rsidRPr="00BF083C">
        <w:rPr>
          <w:rFonts w:ascii="MyriadPro-Bold" w:hAnsi="MyriadPro-Bold" w:cs="MyriadPro-Bold"/>
          <w:b/>
          <w:bCs/>
          <w:snapToGrid/>
          <w:szCs w:val="22"/>
        </w:rPr>
        <w:t xml:space="preserve"> la transition </w:t>
      </w:r>
      <w:proofErr w:type="spellStart"/>
      <w:r w:rsidRPr="00BF083C">
        <w:rPr>
          <w:rFonts w:ascii="MyriadPro-Bold" w:hAnsi="MyriadPro-Bold" w:cs="MyriadPro-Bold"/>
          <w:b/>
          <w:bCs/>
          <w:snapToGrid/>
          <w:szCs w:val="22"/>
        </w:rPr>
        <w:t>vers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une</w:t>
      </w:r>
      <w:proofErr w:type="spellEnd"/>
      <w:r w:rsidRPr="00BF083C">
        <w:rPr>
          <w:rFonts w:ascii="MyriadPro-Bold" w:hAnsi="MyriadPro-Bold" w:cs="MyriadPro-Bold"/>
          <w:b/>
          <w:bCs/>
          <w:snapToGrid/>
          <w:szCs w:val="22"/>
        </w:rPr>
        <w:t xml:space="preserve"> gestion durable des </w:t>
      </w:r>
      <w:proofErr w:type="spellStart"/>
      <w:r w:rsidRPr="00BF083C">
        <w:rPr>
          <w:rFonts w:ascii="MyriadPro-Bold" w:hAnsi="MyriadPro-Bold" w:cs="MyriadPro-Bold"/>
          <w:b/>
          <w:bCs/>
          <w:snapToGrid/>
          <w:szCs w:val="22"/>
        </w:rPr>
        <w:t>risques</w:t>
      </w:r>
      <w:proofErr w:type="spellEnd"/>
      <w:r w:rsidRPr="00BF083C">
        <w:rPr>
          <w:rFonts w:ascii="MyriadPro-Bold" w:hAnsi="MyriadPro-Bold" w:cs="MyriadPro-Bold"/>
          <w:b/>
          <w:bCs/>
          <w:snapToGrid/>
          <w:szCs w:val="22"/>
        </w:rPr>
        <w:t xml:space="preserve"> et des </w:t>
      </w:r>
      <w:proofErr w:type="spellStart"/>
      <w:r w:rsidRPr="00BF083C">
        <w:rPr>
          <w:rFonts w:ascii="MyriadPro-Bold" w:hAnsi="MyriadPro-Bold" w:cs="MyriadPro-Bold"/>
          <w:b/>
          <w:bCs/>
          <w:snapToGrid/>
          <w:szCs w:val="22"/>
        </w:rPr>
        <w:t>opportunités</w:t>
      </w:r>
      <w:proofErr w:type="spellEnd"/>
      <w:r w:rsidRPr="00BF083C">
        <w:rPr>
          <w:rFonts w:ascii="MyriadPro-Bold" w:hAnsi="MyriadPro-Bold" w:cs="MyriadPro-Bold"/>
          <w:b/>
          <w:bCs/>
          <w:snapToGrid/>
          <w:szCs w:val="22"/>
        </w:rPr>
        <w:t xml:space="preserve"> </w:t>
      </w:r>
      <w:proofErr w:type="spellStart"/>
      <w:r w:rsidRPr="00BF083C">
        <w:rPr>
          <w:rFonts w:ascii="MyriadPro-Bold" w:hAnsi="MyriadPro-Bold" w:cs="MyriadPro-Bold"/>
          <w:b/>
          <w:bCs/>
          <w:snapToGrid/>
          <w:szCs w:val="22"/>
        </w:rPr>
        <w:t>liés</w:t>
      </w:r>
      <w:proofErr w:type="spellEnd"/>
      <w:r w:rsidRPr="00BF083C">
        <w:rPr>
          <w:rFonts w:ascii="MyriadPro-Bold" w:hAnsi="MyriadPro-Bold" w:cs="MyriadPro-Bold"/>
          <w:b/>
          <w:bCs/>
          <w:snapToGrid/>
          <w:szCs w:val="22"/>
        </w:rPr>
        <w:t xml:space="preserve"> aux </w:t>
      </w:r>
      <w:proofErr w:type="spellStart"/>
      <w:r w:rsidRPr="00BF083C">
        <w:rPr>
          <w:rFonts w:ascii="MyriadPro-Bold" w:hAnsi="MyriadPro-Bold" w:cs="MyriadPro-Bold"/>
          <w:b/>
          <w:bCs/>
          <w:snapToGrid/>
          <w:szCs w:val="22"/>
        </w:rPr>
        <w:t>océans</w:t>
      </w:r>
      <w:proofErr w:type="spellEnd"/>
    </w:p>
    <w:p w14:paraId="315D38ED" w14:textId="3D8AAF75" w:rsidR="007D5503" w:rsidRPr="00BF083C"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rPr>
      </w:pPr>
    </w:p>
    <w:p w14:paraId="0C79FCFD" w14:textId="77777777" w:rsidR="00493800" w:rsidRPr="00BF083C" w:rsidRDefault="00493800"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Cs w:val="22"/>
        </w:rPr>
      </w:pPr>
    </w:p>
    <w:tbl>
      <w:tblPr>
        <w:tblW w:w="9639" w:type="dxa"/>
        <w:tblInd w:w="113" w:type="dxa"/>
        <w:tblBorders>
          <w:top w:val="single" w:sz="6" w:space="0" w:color="A1DAF8"/>
          <w:left w:val="single" w:sz="6" w:space="0" w:color="A1DAF8"/>
          <w:bottom w:val="single" w:sz="6" w:space="0" w:color="A1DAF8"/>
          <w:right w:val="single" w:sz="6" w:space="0" w:color="A1DAF8"/>
          <w:insideH w:val="single" w:sz="6" w:space="0" w:color="A1DAF8"/>
          <w:insideV w:val="single" w:sz="6" w:space="0" w:color="A1DAF8"/>
        </w:tblBorders>
        <w:tblLayout w:type="fixed"/>
        <w:tblCellMar>
          <w:left w:w="0" w:type="dxa"/>
          <w:right w:w="0" w:type="dxa"/>
        </w:tblCellMar>
        <w:tblLook w:val="01E0" w:firstRow="1" w:lastRow="1" w:firstColumn="1" w:lastColumn="1" w:noHBand="0" w:noVBand="0"/>
      </w:tblPr>
      <w:tblGrid>
        <w:gridCol w:w="3742"/>
        <w:gridCol w:w="3107"/>
        <w:gridCol w:w="2790"/>
      </w:tblGrid>
      <w:tr w:rsidR="00EC5F05" w:rsidRPr="00BF083C" w14:paraId="19936B24" w14:textId="77777777" w:rsidTr="0047242D">
        <w:trPr>
          <w:trHeight w:val="354"/>
        </w:trPr>
        <w:tc>
          <w:tcPr>
            <w:tcW w:w="3742" w:type="dxa"/>
            <w:tcBorders>
              <w:top w:val="nil"/>
              <w:left w:val="nil"/>
            </w:tcBorders>
          </w:tcPr>
          <w:p w14:paraId="1C9A248A" w14:textId="77777777" w:rsidR="00EC5F05" w:rsidRPr="00BF083C" w:rsidRDefault="00EC5F05" w:rsidP="0047242D">
            <w:pPr>
              <w:pStyle w:val="TableParagraph"/>
              <w:spacing w:before="77"/>
              <w:ind w:left="899"/>
              <w:rPr>
                <w:b/>
                <w:i/>
              </w:rPr>
            </w:pPr>
            <w:r w:rsidRPr="00BF083C">
              <w:rPr>
                <w:b/>
                <w:bCs/>
                <w:i/>
                <w:iCs/>
              </w:rPr>
              <w:t>Indicateurs de performance</w:t>
            </w:r>
          </w:p>
        </w:tc>
        <w:tc>
          <w:tcPr>
            <w:tcW w:w="3107" w:type="dxa"/>
            <w:tcBorders>
              <w:top w:val="nil"/>
            </w:tcBorders>
          </w:tcPr>
          <w:p w14:paraId="607870F6" w14:textId="77777777" w:rsidR="00EC5F05" w:rsidRPr="00BF083C" w:rsidRDefault="00EC5F05" w:rsidP="0047242D">
            <w:pPr>
              <w:pStyle w:val="TableParagraph"/>
              <w:spacing w:before="77"/>
              <w:ind w:left="941"/>
              <w:rPr>
                <w:b/>
                <w:i/>
              </w:rPr>
            </w:pPr>
            <w:r w:rsidRPr="00BF083C">
              <w:rPr>
                <w:b/>
                <w:bCs/>
                <w:i/>
                <w:iCs/>
              </w:rPr>
              <w:t>Données initiales</w:t>
            </w:r>
          </w:p>
        </w:tc>
        <w:tc>
          <w:tcPr>
            <w:tcW w:w="2790" w:type="dxa"/>
            <w:tcBorders>
              <w:top w:val="nil"/>
              <w:right w:val="nil"/>
            </w:tcBorders>
          </w:tcPr>
          <w:p w14:paraId="07927B5E" w14:textId="77777777" w:rsidR="00EC5F05" w:rsidRPr="00BF083C" w:rsidRDefault="00EC5F05" w:rsidP="0047242D">
            <w:pPr>
              <w:pStyle w:val="TableParagraph"/>
              <w:spacing w:before="77"/>
              <w:ind w:left="802"/>
              <w:rPr>
                <w:b/>
                <w:i/>
              </w:rPr>
            </w:pPr>
            <w:r w:rsidRPr="00BF083C">
              <w:rPr>
                <w:b/>
                <w:bCs/>
                <w:i/>
                <w:iCs/>
              </w:rPr>
              <w:t>Cibles pour 2023</w:t>
            </w:r>
          </w:p>
        </w:tc>
      </w:tr>
      <w:tr w:rsidR="00EC5F05" w:rsidRPr="00BF083C" w14:paraId="1E3CDC60" w14:textId="77777777" w:rsidTr="0047242D">
        <w:trPr>
          <w:trHeight w:val="1553"/>
        </w:trPr>
        <w:tc>
          <w:tcPr>
            <w:tcW w:w="3742" w:type="dxa"/>
            <w:tcBorders>
              <w:left w:val="nil"/>
            </w:tcBorders>
          </w:tcPr>
          <w:p w14:paraId="4781FB13" w14:textId="77777777" w:rsidR="00EC5F05" w:rsidRPr="00BF083C" w:rsidRDefault="00EC5F05" w:rsidP="0047242D">
            <w:pPr>
              <w:pStyle w:val="TableParagraph"/>
              <w:spacing w:before="13"/>
              <w:ind w:left="291" w:right="53" w:hanging="227"/>
            </w:pPr>
            <w:r w:rsidRPr="00BF083C">
              <w:t>1. Nombre d’États membres ayant recours à des experts participant activement à la conception et à la mise en œuvre d’activités de recherche océanique, produisant ainsi des connaissances pour répondre aux grandes questions relatives à la durabilité</w:t>
            </w:r>
          </w:p>
        </w:tc>
        <w:tc>
          <w:tcPr>
            <w:tcW w:w="3107" w:type="dxa"/>
          </w:tcPr>
          <w:p w14:paraId="6089EE2E" w14:textId="77777777" w:rsidR="00EC5F05" w:rsidRPr="00BF083C" w:rsidRDefault="00EC5F05" w:rsidP="00EC5F05">
            <w:pPr>
              <w:pStyle w:val="TableParagraph"/>
              <w:numPr>
                <w:ilvl w:val="0"/>
                <w:numId w:val="49"/>
              </w:numPr>
              <w:tabs>
                <w:tab w:val="left" w:pos="230"/>
              </w:tabs>
              <w:spacing w:before="28" w:line="218" w:lineRule="auto"/>
              <w:ind w:right="254" w:firstLine="0"/>
              <w:rPr>
                <w:i/>
              </w:rPr>
            </w:pPr>
            <w:r w:rsidRPr="00BF083C">
              <w:rPr>
                <w:i/>
                <w:iCs/>
              </w:rPr>
              <w:t>Experts de 51 États membres, dont 13 d’Afrique et 5 de PEID (37 % de femmes)</w:t>
            </w:r>
          </w:p>
          <w:p w14:paraId="2683323B" w14:textId="77777777" w:rsidR="00EC5F05" w:rsidRPr="00BF083C" w:rsidRDefault="00EC5F05" w:rsidP="00EC5F05">
            <w:pPr>
              <w:pStyle w:val="TableParagraph"/>
              <w:numPr>
                <w:ilvl w:val="0"/>
                <w:numId w:val="49"/>
              </w:numPr>
              <w:tabs>
                <w:tab w:val="left" w:pos="270"/>
              </w:tabs>
              <w:spacing w:before="28" w:line="218" w:lineRule="auto"/>
              <w:ind w:right="522" w:firstLine="0"/>
              <w:rPr>
                <w:i/>
              </w:rPr>
            </w:pPr>
            <w:r w:rsidRPr="00BF083C">
              <w:rPr>
                <w:i/>
                <w:iCs/>
              </w:rPr>
              <w:t>14.3.1 (acidification des océans) : 25 États membres,</w:t>
            </w:r>
          </w:p>
          <w:p w14:paraId="122ABAE8" w14:textId="77777777" w:rsidR="00EC5F05" w:rsidRPr="00BF083C" w:rsidRDefault="00EC5F05" w:rsidP="0047242D">
            <w:pPr>
              <w:pStyle w:val="TableParagraph"/>
              <w:spacing w:line="205" w:lineRule="exact"/>
              <w:rPr>
                <w:i/>
              </w:rPr>
            </w:pPr>
            <w:r w:rsidRPr="00BF083C">
              <w:rPr>
                <w:i/>
                <w:iCs/>
              </w:rPr>
              <w:t>dont 5 en Afrique et 1 PEID</w:t>
            </w:r>
          </w:p>
        </w:tc>
        <w:tc>
          <w:tcPr>
            <w:tcW w:w="2790" w:type="dxa"/>
            <w:tcBorders>
              <w:right w:val="nil"/>
            </w:tcBorders>
          </w:tcPr>
          <w:p w14:paraId="0C5115F9" w14:textId="77777777" w:rsidR="00EC5F05" w:rsidRPr="00BF083C" w:rsidRDefault="00EC5F05" w:rsidP="00EC5F05">
            <w:pPr>
              <w:pStyle w:val="TableParagraph"/>
              <w:numPr>
                <w:ilvl w:val="0"/>
                <w:numId w:val="48"/>
              </w:numPr>
              <w:tabs>
                <w:tab w:val="left" w:pos="229"/>
              </w:tabs>
              <w:spacing w:before="28" w:line="218" w:lineRule="auto"/>
              <w:ind w:right="517" w:hanging="1"/>
              <w:rPr>
                <w:i/>
              </w:rPr>
            </w:pPr>
            <w:r w:rsidRPr="00BF083C">
              <w:rPr>
                <w:i/>
                <w:iCs/>
              </w:rPr>
              <w:t>Experts de 60 États membres, dont 15 d’Afrique et 10 de PEID (45 % de femmes)</w:t>
            </w:r>
          </w:p>
          <w:p w14:paraId="1DC4B412" w14:textId="77777777" w:rsidR="00EC5F05" w:rsidRPr="00BF083C" w:rsidRDefault="00EC5F05" w:rsidP="00EC5F05">
            <w:pPr>
              <w:pStyle w:val="TableParagraph"/>
              <w:numPr>
                <w:ilvl w:val="0"/>
                <w:numId w:val="48"/>
              </w:numPr>
              <w:tabs>
                <w:tab w:val="left" w:pos="270"/>
              </w:tabs>
              <w:spacing w:before="28" w:line="218" w:lineRule="auto"/>
              <w:ind w:right="875" w:firstLine="0"/>
              <w:rPr>
                <w:i/>
              </w:rPr>
            </w:pPr>
            <w:r w:rsidRPr="00BF083C">
              <w:rPr>
                <w:i/>
                <w:iCs/>
              </w:rPr>
              <w:t>40 États membres, dont 8 en Afrique et 3 PEID</w:t>
            </w:r>
          </w:p>
        </w:tc>
      </w:tr>
      <w:tr w:rsidR="00EC5F05" w:rsidRPr="00BF083C" w14:paraId="381E8AE0" w14:textId="77777777" w:rsidTr="0047242D">
        <w:trPr>
          <w:trHeight w:val="1773"/>
        </w:trPr>
        <w:tc>
          <w:tcPr>
            <w:tcW w:w="3742" w:type="dxa"/>
            <w:tcBorders>
              <w:left w:val="nil"/>
            </w:tcBorders>
          </w:tcPr>
          <w:p w14:paraId="1FDF0D71" w14:textId="77777777" w:rsidR="00EC5F05" w:rsidRPr="00BF083C" w:rsidRDefault="00EC5F05" w:rsidP="0047242D">
            <w:pPr>
              <w:pStyle w:val="TableParagraph"/>
              <w:spacing w:before="12"/>
              <w:ind w:left="290" w:right="319" w:hanging="227"/>
            </w:pPr>
            <w:r w:rsidRPr="00BF083C">
              <w:t>2. Nombre d’États membres contribuant à faire progresser l’observation océanique et la gestion des données grâce au Système d’observation de l’océan (GOOS)</w:t>
            </w:r>
          </w:p>
          <w:p w14:paraId="4B13753A" w14:textId="77777777" w:rsidR="00EC5F05" w:rsidRPr="00BF083C" w:rsidRDefault="00EC5F05" w:rsidP="0047242D">
            <w:pPr>
              <w:pStyle w:val="TableParagraph"/>
              <w:spacing w:before="1" w:line="220" w:lineRule="atLeast"/>
              <w:ind w:left="290" w:right="124"/>
            </w:pPr>
            <w:r w:rsidRPr="00BF083C">
              <w:t>et au Système de données et d’information océanographiques (ODIS), fournissant ainsi des informations cruciales pour des solutions fondées sur la science</w:t>
            </w:r>
          </w:p>
        </w:tc>
        <w:tc>
          <w:tcPr>
            <w:tcW w:w="3107" w:type="dxa"/>
          </w:tcPr>
          <w:p w14:paraId="44850F5B" w14:textId="77777777" w:rsidR="00EC5F05" w:rsidRPr="00BF083C" w:rsidRDefault="00EC5F05" w:rsidP="00EC5F05">
            <w:pPr>
              <w:pStyle w:val="TableParagraph"/>
              <w:numPr>
                <w:ilvl w:val="0"/>
                <w:numId w:val="47"/>
              </w:numPr>
              <w:tabs>
                <w:tab w:val="left" w:pos="230"/>
              </w:tabs>
              <w:spacing w:before="28" w:line="218" w:lineRule="auto"/>
              <w:ind w:right="56" w:firstLine="0"/>
              <w:rPr>
                <w:i/>
              </w:rPr>
            </w:pPr>
            <w:r w:rsidRPr="00BF083C">
              <w:rPr>
                <w:i/>
                <w:iCs/>
              </w:rPr>
              <w:t>ODIS : pas de données initiales (nouvelle activité)</w:t>
            </w:r>
          </w:p>
          <w:p w14:paraId="3FAAF55E" w14:textId="77777777" w:rsidR="00EC5F05" w:rsidRPr="00BF083C" w:rsidRDefault="00EC5F05" w:rsidP="00EC5F05">
            <w:pPr>
              <w:pStyle w:val="TableParagraph"/>
              <w:numPr>
                <w:ilvl w:val="0"/>
                <w:numId w:val="47"/>
              </w:numPr>
              <w:tabs>
                <w:tab w:val="left" w:pos="270"/>
              </w:tabs>
              <w:spacing w:before="28" w:line="218" w:lineRule="auto"/>
              <w:ind w:right="1009" w:hanging="1"/>
              <w:rPr>
                <w:i/>
              </w:rPr>
            </w:pPr>
            <w:r w:rsidRPr="00BF083C">
              <w:rPr>
                <w:i/>
                <w:iCs/>
              </w:rPr>
              <w:t>GOOS : 66 États membres, dont 11 en Afrique et 8 PEID</w:t>
            </w:r>
          </w:p>
        </w:tc>
        <w:tc>
          <w:tcPr>
            <w:tcW w:w="2790" w:type="dxa"/>
            <w:tcBorders>
              <w:right w:val="nil"/>
            </w:tcBorders>
          </w:tcPr>
          <w:p w14:paraId="1C93F2CA" w14:textId="77777777" w:rsidR="00EC5F05" w:rsidRPr="00BF083C" w:rsidRDefault="00EC5F05" w:rsidP="00EC5F05">
            <w:pPr>
              <w:pStyle w:val="TableParagraph"/>
              <w:numPr>
                <w:ilvl w:val="0"/>
                <w:numId w:val="46"/>
              </w:numPr>
              <w:tabs>
                <w:tab w:val="left" w:pos="229"/>
              </w:tabs>
              <w:spacing w:before="28" w:line="218" w:lineRule="auto"/>
              <w:ind w:right="460" w:hanging="1"/>
              <w:rPr>
                <w:i/>
              </w:rPr>
            </w:pPr>
            <w:r w:rsidRPr="00BF083C">
              <w:rPr>
                <w:i/>
                <w:iCs/>
              </w:rPr>
              <w:t>25 États membres dont 5 PEID (y compris 2 PEID d’Afrique)</w:t>
            </w:r>
          </w:p>
          <w:p w14:paraId="72D5E87A" w14:textId="77777777" w:rsidR="00EC5F05" w:rsidRPr="00BF083C" w:rsidRDefault="00EC5F05" w:rsidP="0047242D">
            <w:pPr>
              <w:pStyle w:val="TableParagraph"/>
              <w:spacing w:line="204" w:lineRule="exact"/>
              <w:rPr>
                <w:i/>
              </w:rPr>
            </w:pPr>
            <w:r w:rsidRPr="00BF083C">
              <w:rPr>
                <w:i/>
                <w:iCs/>
              </w:rPr>
              <w:t>(40 % de femmes parmi les experts)</w:t>
            </w:r>
          </w:p>
          <w:p w14:paraId="134479E6" w14:textId="77777777" w:rsidR="00EC5F05" w:rsidRPr="00BF083C" w:rsidRDefault="00EC5F05" w:rsidP="00EC5F05">
            <w:pPr>
              <w:pStyle w:val="TableParagraph"/>
              <w:numPr>
                <w:ilvl w:val="0"/>
                <w:numId w:val="46"/>
              </w:numPr>
              <w:tabs>
                <w:tab w:val="left" w:pos="270"/>
              </w:tabs>
              <w:spacing w:before="9" w:line="210" w:lineRule="exact"/>
              <w:ind w:left="269" w:hanging="214"/>
              <w:rPr>
                <w:i/>
              </w:rPr>
            </w:pPr>
            <w:r w:rsidRPr="00BF083C">
              <w:rPr>
                <w:i/>
                <w:iCs/>
              </w:rPr>
              <w:t>70 États membres,</w:t>
            </w:r>
          </w:p>
          <w:p w14:paraId="45051D7C" w14:textId="77777777" w:rsidR="00EC5F05" w:rsidRPr="00BF083C" w:rsidRDefault="00EC5F05" w:rsidP="0047242D">
            <w:pPr>
              <w:pStyle w:val="TableParagraph"/>
              <w:spacing w:line="200" w:lineRule="exact"/>
              <w:rPr>
                <w:i/>
              </w:rPr>
            </w:pPr>
            <w:r w:rsidRPr="00BF083C">
              <w:rPr>
                <w:i/>
                <w:iCs/>
              </w:rPr>
              <w:t>dont 13 en Afrique et 10 PEID</w:t>
            </w:r>
          </w:p>
          <w:p w14:paraId="7048E8F9" w14:textId="77777777" w:rsidR="00EC5F05" w:rsidRPr="00BF083C" w:rsidRDefault="00EC5F05" w:rsidP="0047242D">
            <w:pPr>
              <w:pStyle w:val="TableParagraph"/>
              <w:spacing w:before="5" w:line="218" w:lineRule="auto"/>
              <w:ind w:right="308"/>
              <w:rPr>
                <w:i/>
              </w:rPr>
            </w:pPr>
            <w:r w:rsidRPr="00BF083C">
              <w:rPr>
                <w:i/>
                <w:iCs/>
              </w:rPr>
              <w:t>(40 % de femmes parmi les experts mobilisés)</w:t>
            </w:r>
          </w:p>
        </w:tc>
      </w:tr>
      <w:tr w:rsidR="00EC5F05" w:rsidRPr="00BF083C" w14:paraId="3E68D120" w14:textId="77777777" w:rsidTr="0047242D">
        <w:trPr>
          <w:trHeight w:val="1333"/>
        </w:trPr>
        <w:tc>
          <w:tcPr>
            <w:tcW w:w="3742" w:type="dxa"/>
            <w:tcBorders>
              <w:left w:val="nil"/>
            </w:tcBorders>
          </w:tcPr>
          <w:p w14:paraId="06C274F1" w14:textId="77777777" w:rsidR="00EC5F05" w:rsidRPr="00BF083C" w:rsidRDefault="00EC5F05" w:rsidP="0047242D">
            <w:pPr>
              <w:pStyle w:val="TableParagraph"/>
              <w:spacing w:before="12" w:line="220" w:lineRule="atLeast"/>
              <w:ind w:left="290" w:right="154" w:hanging="227"/>
            </w:pPr>
            <w:r w:rsidRPr="00BF083C">
              <w:t>3. Nombre d’États membres disposant de capacités renforcées pour concevoir et mettre en œuvre des systèmes d’alerte rapide et faire progresser la préparation et la résilience aux risques de tsunami et aux autres aléas liés aux océans</w:t>
            </w:r>
          </w:p>
        </w:tc>
        <w:tc>
          <w:tcPr>
            <w:tcW w:w="3107" w:type="dxa"/>
          </w:tcPr>
          <w:p w14:paraId="6D0CF28D" w14:textId="77777777" w:rsidR="00EC5F05" w:rsidRPr="00BF083C" w:rsidRDefault="00EC5F05" w:rsidP="0047242D">
            <w:pPr>
              <w:pStyle w:val="TableParagraph"/>
              <w:spacing w:before="12" w:line="210" w:lineRule="exact"/>
              <w:rPr>
                <w:i/>
              </w:rPr>
            </w:pPr>
            <w:r w:rsidRPr="00BF083C">
              <w:rPr>
                <w:i/>
                <w:iCs/>
              </w:rPr>
              <w:t>139 États membres,</w:t>
            </w:r>
          </w:p>
          <w:p w14:paraId="24C2037C" w14:textId="77777777" w:rsidR="00EC5F05" w:rsidRPr="00BF083C" w:rsidRDefault="00EC5F05" w:rsidP="0047242D">
            <w:pPr>
              <w:pStyle w:val="TableParagraph"/>
              <w:spacing w:line="210" w:lineRule="exact"/>
              <w:rPr>
                <w:i/>
              </w:rPr>
            </w:pPr>
            <w:r w:rsidRPr="00BF083C">
              <w:rPr>
                <w:i/>
                <w:iCs/>
              </w:rPr>
              <w:t>dont 9 en Afrique et 28 PEID</w:t>
            </w:r>
          </w:p>
        </w:tc>
        <w:tc>
          <w:tcPr>
            <w:tcW w:w="2790" w:type="dxa"/>
            <w:tcBorders>
              <w:right w:val="nil"/>
            </w:tcBorders>
          </w:tcPr>
          <w:p w14:paraId="420C740E" w14:textId="77777777" w:rsidR="00EC5F05" w:rsidRPr="00BF083C" w:rsidRDefault="00EC5F05" w:rsidP="0047242D">
            <w:pPr>
              <w:pStyle w:val="TableParagraph"/>
              <w:spacing w:before="13" w:line="210" w:lineRule="exact"/>
              <w:rPr>
                <w:i/>
              </w:rPr>
            </w:pPr>
            <w:r w:rsidRPr="00BF083C">
              <w:rPr>
                <w:i/>
                <w:iCs/>
              </w:rPr>
              <w:t>142 États membres,</w:t>
            </w:r>
          </w:p>
          <w:p w14:paraId="72CD05EA" w14:textId="77777777" w:rsidR="00EC5F05" w:rsidRPr="00BF083C" w:rsidRDefault="00EC5F05" w:rsidP="0047242D">
            <w:pPr>
              <w:pStyle w:val="TableParagraph"/>
              <w:spacing w:line="210" w:lineRule="exact"/>
              <w:rPr>
                <w:i/>
              </w:rPr>
            </w:pPr>
            <w:r w:rsidRPr="00BF083C">
              <w:rPr>
                <w:i/>
                <w:iCs/>
              </w:rPr>
              <w:t>dont 12 en Afrique et 29 PEID</w:t>
            </w:r>
          </w:p>
        </w:tc>
      </w:tr>
      <w:tr w:rsidR="00EC5F05" w:rsidRPr="00BF083C" w14:paraId="38782386" w14:textId="77777777" w:rsidTr="0047242D">
        <w:trPr>
          <w:trHeight w:val="1333"/>
        </w:trPr>
        <w:tc>
          <w:tcPr>
            <w:tcW w:w="3742" w:type="dxa"/>
            <w:tcBorders>
              <w:left w:val="nil"/>
            </w:tcBorders>
          </w:tcPr>
          <w:p w14:paraId="562BA0D9" w14:textId="77777777" w:rsidR="00EC5F05" w:rsidRPr="00BF083C" w:rsidRDefault="00EC5F05" w:rsidP="0047242D">
            <w:pPr>
              <w:pStyle w:val="TableParagraph"/>
              <w:spacing w:before="12" w:line="220" w:lineRule="atLeast"/>
              <w:ind w:left="290" w:right="84" w:hanging="227"/>
            </w:pPr>
            <w:r w:rsidRPr="00BF083C">
              <w:lastRenderedPageBreak/>
              <w:t>4. Nombre d’États membres fournissant des données et des informations au service des évaluations, des bases de données mondiales, de l’interface science-politique à l’appui d’une gestion durable des océans et de la prise de décision</w:t>
            </w:r>
          </w:p>
        </w:tc>
        <w:tc>
          <w:tcPr>
            <w:tcW w:w="3107" w:type="dxa"/>
          </w:tcPr>
          <w:p w14:paraId="62C69812" w14:textId="77777777" w:rsidR="00EC5F05" w:rsidRPr="00BF083C" w:rsidRDefault="00EC5F05" w:rsidP="0047242D">
            <w:pPr>
              <w:pStyle w:val="TableParagraph"/>
              <w:spacing w:before="28" w:line="218" w:lineRule="auto"/>
              <w:ind w:right="340"/>
              <w:rPr>
                <w:i/>
              </w:rPr>
            </w:pPr>
            <w:r w:rsidRPr="00BF083C">
              <w:rPr>
                <w:i/>
                <w:iCs/>
              </w:rPr>
              <w:t>50 États membres, dont 8 en Afrique et 5 PEID, fournissant des données par le</w:t>
            </w:r>
          </w:p>
          <w:p w14:paraId="77C4D250" w14:textId="77777777" w:rsidR="00EC5F05" w:rsidRPr="00BF083C" w:rsidRDefault="00EC5F05" w:rsidP="0047242D">
            <w:pPr>
              <w:pStyle w:val="TableParagraph"/>
              <w:spacing w:line="218" w:lineRule="auto"/>
              <w:ind w:right="179"/>
              <w:rPr>
                <w:i/>
              </w:rPr>
            </w:pPr>
            <w:r w:rsidRPr="00BF083C">
              <w:rPr>
                <w:i/>
                <w:iCs/>
              </w:rPr>
              <w:t>biais de la Carte générale bathymétrique des océans (GEBCO), du suivi des ODD</w:t>
            </w:r>
          </w:p>
          <w:p w14:paraId="54C536DB" w14:textId="77777777" w:rsidR="00EC5F05" w:rsidRPr="00BF083C" w:rsidRDefault="00EC5F05" w:rsidP="0047242D">
            <w:pPr>
              <w:pStyle w:val="TableParagraph"/>
              <w:spacing w:line="218" w:lineRule="auto"/>
              <w:ind w:right="1028"/>
              <w:rPr>
                <w:i/>
              </w:rPr>
            </w:pPr>
            <w:r w:rsidRPr="00BF083C">
              <w:rPr>
                <w:i/>
                <w:iCs/>
              </w:rPr>
              <w:t>et de l’Évaluation mondiale des océans (WOA)</w:t>
            </w:r>
          </w:p>
        </w:tc>
        <w:tc>
          <w:tcPr>
            <w:tcW w:w="2790" w:type="dxa"/>
            <w:tcBorders>
              <w:right w:val="nil"/>
            </w:tcBorders>
          </w:tcPr>
          <w:p w14:paraId="2CD649B3" w14:textId="77777777" w:rsidR="00EC5F05" w:rsidRPr="00BF083C" w:rsidRDefault="00EC5F05" w:rsidP="0047242D">
            <w:pPr>
              <w:pStyle w:val="TableParagraph"/>
              <w:spacing w:before="12" w:line="210" w:lineRule="exact"/>
              <w:rPr>
                <w:i/>
              </w:rPr>
            </w:pPr>
            <w:r w:rsidRPr="00BF083C">
              <w:rPr>
                <w:i/>
                <w:iCs/>
              </w:rPr>
              <w:t>70 États membres,</w:t>
            </w:r>
          </w:p>
          <w:p w14:paraId="33D61F36" w14:textId="77777777" w:rsidR="00EC5F05" w:rsidRPr="00BF083C" w:rsidRDefault="00EC5F05" w:rsidP="0047242D">
            <w:pPr>
              <w:pStyle w:val="TableParagraph"/>
              <w:spacing w:line="210" w:lineRule="exact"/>
              <w:rPr>
                <w:i/>
              </w:rPr>
            </w:pPr>
            <w:r w:rsidRPr="00BF083C">
              <w:rPr>
                <w:i/>
                <w:iCs/>
              </w:rPr>
              <w:t>dont 10 en Afrique et 8 PEID</w:t>
            </w:r>
          </w:p>
        </w:tc>
      </w:tr>
      <w:tr w:rsidR="00EC5F05" w:rsidRPr="00BF083C" w14:paraId="6F2489C0" w14:textId="77777777" w:rsidTr="0047242D">
        <w:trPr>
          <w:trHeight w:val="1261"/>
        </w:trPr>
        <w:tc>
          <w:tcPr>
            <w:tcW w:w="3742" w:type="dxa"/>
            <w:tcBorders>
              <w:left w:val="nil"/>
            </w:tcBorders>
          </w:tcPr>
          <w:p w14:paraId="73F79B67" w14:textId="77777777" w:rsidR="00EC5F05" w:rsidRPr="00BF083C" w:rsidRDefault="00EC5F05" w:rsidP="0047242D">
            <w:pPr>
              <w:pStyle w:val="TableParagraph"/>
              <w:spacing w:before="13"/>
              <w:ind w:left="290" w:right="154" w:hanging="227"/>
            </w:pPr>
            <w:r w:rsidRPr="00BF083C">
              <w:t>5. Nombre d’États membres ayant bénéficié de soutien pour la mise en œuvre de plans de gestion des océans fondés sur la science et de solutions transformatrices en faveur du développement durable</w:t>
            </w:r>
          </w:p>
        </w:tc>
        <w:tc>
          <w:tcPr>
            <w:tcW w:w="3107" w:type="dxa"/>
          </w:tcPr>
          <w:p w14:paraId="7D11A272" w14:textId="77777777" w:rsidR="00EC5F05" w:rsidRPr="00BF083C" w:rsidRDefault="00EC5F05" w:rsidP="00EC5F05">
            <w:pPr>
              <w:pStyle w:val="TableParagraph"/>
              <w:numPr>
                <w:ilvl w:val="0"/>
                <w:numId w:val="45"/>
              </w:numPr>
              <w:tabs>
                <w:tab w:val="left" w:pos="230"/>
              </w:tabs>
              <w:spacing w:before="28" w:line="218" w:lineRule="auto"/>
              <w:ind w:right="90" w:firstLine="0"/>
              <w:rPr>
                <w:i/>
              </w:rPr>
            </w:pPr>
            <w:r w:rsidRPr="00BF083C">
              <w:rPr>
                <w:i/>
                <w:iCs/>
              </w:rPr>
              <w:t>53 États membres, dont 11 en Afrique et 7 PEID, collaborant grâce au mécanisme de la Décennie</w:t>
            </w:r>
          </w:p>
          <w:p w14:paraId="2891DC23" w14:textId="77777777" w:rsidR="00EC5F05" w:rsidRPr="00BF083C" w:rsidRDefault="00EC5F05" w:rsidP="00EC5F05">
            <w:pPr>
              <w:pStyle w:val="TableParagraph"/>
              <w:numPr>
                <w:ilvl w:val="0"/>
                <w:numId w:val="45"/>
              </w:numPr>
              <w:tabs>
                <w:tab w:val="left" w:pos="270"/>
              </w:tabs>
              <w:spacing w:before="24" w:line="200" w:lineRule="exact"/>
              <w:ind w:right="49" w:firstLine="0"/>
              <w:jc w:val="both"/>
              <w:rPr>
                <w:i/>
              </w:rPr>
            </w:pPr>
            <w:r w:rsidRPr="00BF083C">
              <w:rPr>
                <w:i/>
                <w:iCs/>
              </w:rPr>
              <w:t>80 États membres, dont 13 en Afrique et 10 PEID, participant à la mise en œuvre de la feuille de route pour la PEM</w:t>
            </w:r>
          </w:p>
        </w:tc>
        <w:tc>
          <w:tcPr>
            <w:tcW w:w="2790" w:type="dxa"/>
            <w:tcBorders>
              <w:right w:val="nil"/>
            </w:tcBorders>
          </w:tcPr>
          <w:p w14:paraId="7EB6F3C4" w14:textId="77777777" w:rsidR="00EC5F05" w:rsidRPr="00BF083C" w:rsidRDefault="00EC5F05" w:rsidP="00EC5F05">
            <w:pPr>
              <w:pStyle w:val="TableParagraph"/>
              <w:numPr>
                <w:ilvl w:val="0"/>
                <w:numId w:val="44"/>
              </w:numPr>
              <w:tabs>
                <w:tab w:val="left" w:pos="229"/>
              </w:tabs>
              <w:spacing w:before="12" w:line="210" w:lineRule="exact"/>
              <w:rPr>
                <w:i/>
              </w:rPr>
            </w:pPr>
            <w:r w:rsidRPr="00BF083C">
              <w:rPr>
                <w:i/>
                <w:iCs/>
              </w:rPr>
              <w:t>80 États membres,</w:t>
            </w:r>
          </w:p>
          <w:p w14:paraId="4BB2AA3A" w14:textId="77777777" w:rsidR="00EC5F05" w:rsidRPr="00BF083C" w:rsidRDefault="00EC5F05" w:rsidP="0047242D">
            <w:pPr>
              <w:pStyle w:val="TableParagraph"/>
              <w:spacing w:line="210" w:lineRule="exact"/>
              <w:rPr>
                <w:i/>
              </w:rPr>
            </w:pPr>
            <w:r w:rsidRPr="00BF083C">
              <w:rPr>
                <w:i/>
                <w:iCs/>
              </w:rPr>
              <w:t>dont 15 en Afrique et 10 PEID</w:t>
            </w:r>
          </w:p>
          <w:p w14:paraId="20394F02" w14:textId="77777777" w:rsidR="00EC5F05" w:rsidRPr="00BF083C" w:rsidRDefault="00EC5F05" w:rsidP="00EC5F05">
            <w:pPr>
              <w:pStyle w:val="TableParagraph"/>
              <w:numPr>
                <w:ilvl w:val="0"/>
                <w:numId w:val="44"/>
              </w:numPr>
              <w:tabs>
                <w:tab w:val="left" w:pos="270"/>
              </w:tabs>
              <w:spacing w:before="9" w:line="210" w:lineRule="exact"/>
              <w:ind w:left="269" w:hanging="214"/>
              <w:rPr>
                <w:i/>
              </w:rPr>
            </w:pPr>
            <w:r w:rsidRPr="00BF083C">
              <w:rPr>
                <w:i/>
                <w:iCs/>
              </w:rPr>
              <w:t>100 États membres,</w:t>
            </w:r>
          </w:p>
          <w:p w14:paraId="5198D4B2" w14:textId="77777777" w:rsidR="00EC5F05" w:rsidRPr="00BF083C" w:rsidRDefault="00EC5F05" w:rsidP="0047242D">
            <w:pPr>
              <w:pStyle w:val="TableParagraph"/>
              <w:spacing w:line="210" w:lineRule="exact"/>
              <w:rPr>
                <w:i/>
              </w:rPr>
            </w:pPr>
            <w:r w:rsidRPr="00BF083C">
              <w:rPr>
                <w:i/>
                <w:iCs/>
              </w:rPr>
              <w:t>dont 16 en Afrique et 14 PEID</w:t>
            </w:r>
          </w:p>
        </w:tc>
      </w:tr>
      <w:tr w:rsidR="00EC5F05" w:rsidRPr="00BF083C" w14:paraId="0BEDBB14" w14:textId="77777777" w:rsidTr="0047242D">
        <w:trPr>
          <w:trHeight w:val="1861"/>
        </w:trPr>
        <w:tc>
          <w:tcPr>
            <w:tcW w:w="3742" w:type="dxa"/>
            <w:tcBorders>
              <w:left w:val="nil"/>
            </w:tcBorders>
          </w:tcPr>
          <w:p w14:paraId="67C589D4" w14:textId="77777777" w:rsidR="00EC5F05" w:rsidRPr="00BF083C" w:rsidRDefault="00EC5F05" w:rsidP="0047242D">
            <w:pPr>
              <w:pStyle w:val="TableParagraph"/>
              <w:spacing w:before="12"/>
              <w:ind w:left="290" w:right="478" w:hanging="227"/>
              <w:jc w:val="both"/>
            </w:pPr>
            <w:r w:rsidRPr="00BF083C">
              <w:t>6. Nombre d’États membres ayant bénéficié de soutien pour renforcer leurs capacités en matière de recherche scientifique,</w:t>
            </w:r>
          </w:p>
          <w:p w14:paraId="20456641" w14:textId="77777777" w:rsidR="00EC5F05" w:rsidRPr="00BF083C" w:rsidRDefault="00EC5F05" w:rsidP="0047242D">
            <w:pPr>
              <w:pStyle w:val="TableParagraph"/>
              <w:spacing w:before="1"/>
              <w:ind w:left="290" w:right="78"/>
            </w:pPr>
            <w:r w:rsidRPr="00BF083C">
              <w:t>d’observation et de services relatifs aux océans et à la biodiversité grâce au développement des capacités proposé par la COI</w:t>
            </w:r>
          </w:p>
        </w:tc>
        <w:tc>
          <w:tcPr>
            <w:tcW w:w="3107" w:type="dxa"/>
          </w:tcPr>
          <w:p w14:paraId="21709618" w14:textId="77777777" w:rsidR="00EC5F05" w:rsidRPr="00BF083C" w:rsidRDefault="00EC5F05" w:rsidP="00EC5F05">
            <w:pPr>
              <w:pStyle w:val="TableParagraph"/>
              <w:numPr>
                <w:ilvl w:val="0"/>
                <w:numId w:val="43"/>
              </w:numPr>
              <w:tabs>
                <w:tab w:val="left" w:pos="230"/>
              </w:tabs>
              <w:spacing w:before="28" w:line="218" w:lineRule="auto"/>
              <w:ind w:right="77" w:firstLine="0"/>
              <w:rPr>
                <w:i/>
              </w:rPr>
            </w:pPr>
            <w:r w:rsidRPr="00BF083C">
              <w:rPr>
                <w:i/>
                <w:iCs/>
              </w:rPr>
              <w:t>14.a.1 (Rapport mondial sur les sciences océaniques) : 53 États membres,</w:t>
            </w:r>
          </w:p>
          <w:p w14:paraId="773ADF52" w14:textId="77777777" w:rsidR="00EC5F05" w:rsidRPr="00BF083C" w:rsidRDefault="00EC5F05" w:rsidP="0047242D">
            <w:pPr>
              <w:pStyle w:val="TableParagraph"/>
              <w:spacing w:line="205" w:lineRule="exact"/>
              <w:rPr>
                <w:i/>
              </w:rPr>
            </w:pPr>
            <w:r w:rsidRPr="00BF083C">
              <w:rPr>
                <w:i/>
                <w:iCs/>
              </w:rPr>
              <w:t>dont 13 en Afrique et 4 PEID</w:t>
            </w:r>
          </w:p>
          <w:p w14:paraId="28964D5E" w14:textId="77777777" w:rsidR="00EC5F05" w:rsidRPr="00BF083C" w:rsidRDefault="00EC5F05" w:rsidP="00EC5F05">
            <w:pPr>
              <w:pStyle w:val="TableParagraph"/>
              <w:numPr>
                <w:ilvl w:val="0"/>
                <w:numId w:val="43"/>
              </w:numPr>
              <w:tabs>
                <w:tab w:val="left" w:pos="270"/>
              </w:tabs>
              <w:spacing w:before="24" w:line="218" w:lineRule="auto"/>
              <w:ind w:right="377" w:firstLine="0"/>
              <w:rPr>
                <w:i/>
              </w:rPr>
            </w:pPr>
            <w:r w:rsidRPr="00BF083C">
              <w:rPr>
                <w:i/>
                <w:iCs/>
              </w:rPr>
              <w:t>38 États membres en Afrique, 30 en Amérique latine et dans les Caraïbes,</w:t>
            </w:r>
          </w:p>
          <w:p w14:paraId="2922DD4D" w14:textId="77777777" w:rsidR="00EC5F05" w:rsidRPr="00BF083C" w:rsidRDefault="00EC5F05" w:rsidP="0047242D">
            <w:pPr>
              <w:pStyle w:val="TableParagraph"/>
              <w:spacing w:line="218" w:lineRule="auto"/>
              <w:ind w:right="129"/>
              <w:rPr>
                <w:i/>
              </w:rPr>
            </w:pPr>
            <w:r w:rsidRPr="00BF083C">
              <w:rPr>
                <w:i/>
                <w:iCs/>
              </w:rPr>
              <w:t>22 dans le Pacifique occidental et 16 dans la région de l’océan Indien/du Golfe ;</w:t>
            </w:r>
          </w:p>
          <w:p w14:paraId="399097C2" w14:textId="77777777" w:rsidR="00EC5F05" w:rsidRPr="00BF083C" w:rsidRDefault="00EC5F05" w:rsidP="0047242D">
            <w:pPr>
              <w:pStyle w:val="TableParagraph"/>
              <w:spacing w:line="194" w:lineRule="exact"/>
              <w:rPr>
                <w:i/>
              </w:rPr>
            </w:pPr>
            <w:r w:rsidRPr="00BF083C">
              <w:rPr>
                <w:i/>
                <w:iCs/>
              </w:rPr>
              <w:t>10 PEID, dont 5 en Afrique ; égalité des</w:t>
            </w:r>
          </w:p>
          <w:p w14:paraId="7B1ABD92" w14:textId="77777777" w:rsidR="00EC5F05" w:rsidRPr="00BF083C" w:rsidRDefault="00EC5F05" w:rsidP="0047242D">
            <w:pPr>
              <w:pStyle w:val="TableParagraph"/>
              <w:spacing w:line="191" w:lineRule="exact"/>
              <w:rPr>
                <w:i/>
              </w:rPr>
            </w:pPr>
            <w:r w:rsidRPr="00BF083C">
              <w:rPr>
                <w:i/>
                <w:iCs/>
              </w:rPr>
              <w:t>genres : données initiales indisponibles</w:t>
            </w:r>
          </w:p>
        </w:tc>
        <w:tc>
          <w:tcPr>
            <w:tcW w:w="2790" w:type="dxa"/>
            <w:tcBorders>
              <w:right w:val="nil"/>
            </w:tcBorders>
          </w:tcPr>
          <w:p w14:paraId="4BE790E9" w14:textId="77777777" w:rsidR="00EC5F05" w:rsidRPr="00BF083C" w:rsidRDefault="00EC5F05" w:rsidP="00EC5F05">
            <w:pPr>
              <w:pStyle w:val="TableParagraph"/>
              <w:numPr>
                <w:ilvl w:val="0"/>
                <w:numId w:val="42"/>
              </w:numPr>
              <w:tabs>
                <w:tab w:val="left" w:pos="229"/>
              </w:tabs>
              <w:spacing w:before="13" w:line="210" w:lineRule="exact"/>
              <w:rPr>
                <w:i/>
              </w:rPr>
            </w:pPr>
            <w:r w:rsidRPr="00BF083C">
              <w:rPr>
                <w:i/>
                <w:iCs/>
              </w:rPr>
              <w:t>58 États membres,</w:t>
            </w:r>
          </w:p>
          <w:p w14:paraId="0DAF12B0" w14:textId="77777777" w:rsidR="00EC5F05" w:rsidRPr="00BF083C" w:rsidRDefault="00EC5F05" w:rsidP="0047242D">
            <w:pPr>
              <w:pStyle w:val="TableParagraph"/>
              <w:spacing w:line="210" w:lineRule="exact"/>
              <w:rPr>
                <w:i/>
              </w:rPr>
            </w:pPr>
            <w:r w:rsidRPr="00BF083C">
              <w:rPr>
                <w:i/>
                <w:iCs/>
              </w:rPr>
              <w:t>dont 15 en Afrique et 5 PEID</w:t>
            </w:r>
          </w:p>
          <w:p w14:paraId="106CADD3" w14:textId="77777777" w:rsidR="00EC5F05" w:rsidRPr="00BF083C" w:rsidRDefault="00EC5F05" w:rsidP="00EC5F05">
            <w:pPr>
              <w:pStyle w:val="TableParagraph"/>
              <w:numPr>
                <w:ilvl w:val="0"/>
                <w:numId w:val="42"/>
              </w:numPr>
              <w:tabs>
                <w:tab w:val="left" w:pos="270"/>
              </w:tabs>
              <w:spacing w:before="24" w:line="218" w:lineRule="auto"/>
              <w:ind w:left="56" w:right="68" w:firstLine="0"/>
              <w:rPr>
                <w:i/>
              </w:rPr>
            </w:pPr>
            <w:r w:rsidRPr="00BF083C">
              <w:rPr>
                <w:i/>
                <w:iCs/>
              </w:rPr>
              <w:t>38 États membres en Afrique, 30 en Amérique latine et dans les Caraïbes, 22 dans le Pacifique occidental</w:t>
            </w:r>
          </w:p>
          <w:p w14:paraId="345540DC" w14:textId="77777777" w:rsidR="00EC5F05" w:rsidRPr="00BF083C" w:rsidRDefault="00EC5F05" w:rsidP="0047242D">
            <w:pPr>
              <w:pStyle w:val="TableParagraph"/>
              <w:spacing w:line="218" w:lineRule="auto"/>
              <w:ind w:right="85"/>
              <w:rPr>
                <w:i/>
              </w:rPr>
            </w:pPr>
            <w:r w:rsidRPr="00BF083C">
              <w:rPr>
                <w:i/>
                <w:iCs/>
              </w:rPr>
              <w:t>et 16 dans la région de l’océan Indien/ du Golfe ; 15 PEID, dont 5 en Afrique ; cible d’égalité des genres : 40 % de</w:t>
            </w:r>
          </w:p>
          <w:p w14:paraId="45A5FD28" w14:textId="77777777" w:rsidR="00EC5F05" w:rsidRPr="00BF083C" w:rsidRDefault="00EC5F05" w:rsidP="0047242D">
            <w:pPr>
              <w:pStyle w:val="TableParagraph"/>
              <w:spacing w:line="185" w:lineRule="exact"/>
              <w:rPr>
                <w:i/>
              </w:rPr>
            </w:pPr>
            <w:r w:rsidRPr="00BF083C">
              <w:rPr>
                <w:i/>
                <w:iCs/>
              </w:rPr>
              <w:t>femmes</w:t>
            </w:r>
          </w:p>
        </w:tc>
      </w:tr>
      <w:tr w:rsidR="00EC5F05" w:rsidRPr="00BF083C" w14:paraId="4E7DC9D0" w14:textId="77777777" w:rsidTr="0047242D">
        <w:trPr>
          <w:trHeight w:val="673"/>
        </w:trPr>
        <w:tc>
          <w:tcPr>
            <w:tcW w:w="3742" w:type="dxa"/>
            <w:tcBorders>
              <w:left w:val="nil"/>
            </w:tcBorders>
          </w:tcPr>
          <w:p w14:paraId="3A2EB60C" w14:textId="5D36738A" w:rsidR="00EC5F05" w:rsidRPr="00BF083C" w:rsidRDefault="00EC5F05" w:rsidP="0047242D">
            <w:pPr>
              <w:pStyle w:val="TableParagraph"/>
              <w:spacing w:before="12" w:line="220" w:lineRule="atLeast"/>
              <w:ind w:left="290" w:right="53" w:hanging="227"/>
            </w:pPr>
            <w:r w:rsidRPr="00BF083C">
              <w:t xml:space="preserve">7. </w:t>
            </w:r>
            <w:r w:rsidRPr="00BF083C">
              <w:rPr>
                <w:rStyle w:val="FootnoteReference"/>
              </w:rPr>
              <w:footnoteReference w:id="3"/>
            </w:r>
            <w:r w:rsidRPr="00BF083C">
              <w:t>Nombre d’États membres ayant accès à des ressources et à des programmes de formation en plusieurs langues sur l’initiation à l’océan*</w:t>
            </w:r>
          </w:p>
        </w:tc>
        <w:tc>
          <w:tcPr>
            <w:tcW w:w="3107" w:type="dxa"/>
          </w:tcPr>
          <w:p w14:paraId="2D0AC4A6" w14:textId="77777777" w:rsidR="00EC5F05" w:rsidRPr="00BF083C" w:rsidRDefault="00EC5F05" w:rsidP="0047242D">
            <w:pPr>
              <w:pStyle w:val="TableParagraph"/>
              <w:spacing w:before="13"/>
              <w:rPr>
                <w:i/>
              </w:rPr>
            </w:pPr>
            <w:r w:rsidRPr="00BF083C">
              <w:rPr>
                <w:i/>
                <w:iCs/>
              </w:rPr>
              <w:t>Pas de données initiales</w:t>
            </w:r>
          </w:p>
        </w:tc>
        <w:tc>
          <w:tcPr>
            <w:tcW w:w="2790" w:type="dxa"/>
            <w:tcBorders>
              <w:right w:val="nil"/>
            </w:tcBorders>
          </w:tcPr>
          <w:p w14:paraId="1126E96D" w14:textId="77777777" w:rsidR="00EC5F05" w:rsidRPr="00BF083C" w:rsidRDefault="00EC5F05" w:rsidP="0047242D">
            <w:pPr>
              <w:pStyle w:val="TableParagraph"/>
              <w:spacing w:before="13" w:line="210" w:lineRule="exact"/>
              <w:rPr>
                <w:i/>
              </w:rPr>
            </w:pPr>
            <w:r w:rsidRPr="00BF083C">
              <w:rPr>
                <w:i/>
                <w:iCs/>
              </w:rPr>
              <w:t>80 États membres,</w:t>
            </w:r>
          </w:p>
          <w:p w14:paraId="1CD5BB43" w14:textId="77777777" w:rsidR="00EC5F05" w:rsidRPr="00BF083C" w:rsidRDefault="00EC5F05" w:rsidP="0047242D">
            <w:pPr>
              <w:pStyle w:val="TableParagraph"/>
              <w:spacing w:line="210" w:lineRule="exact"/>
              <w:rPr>
                <w:i/>
              </w:rPr>
            </w:pPr>
            <w:r w:rsidRPr="00BF083C">
              <w:rPr>
                <w:i/>
                <w:iCs/>
              </w:rPr>
              <w:t>dont 8 en Afrique et 10 PEID</w:t>
            </w:r>
          </w:p>
        </w:tc>
      </w:tr>
    </w:tbl>
    <w:p w14:paraId="0367A8E7" w14:textId="01547B51" w:rsidR="007D5503" w:rsidRPr="00BF083C" w:rsidRDefault="007D5503" w:rsidP="007D5503">
      <w:pPr>
        <w:widowControl/>
        <w:tabs>
          <w:tab w:val="clear" w:pos="567"/>
        </w:tabs>
        <w:autoSpaceDE w:val="0"/>
        <w:autoSpaceDN w:val="0"/>
        <w:snapToGrid/>
        <w:spacing w:line="240" w:lineRule="auto"/>
        <w:jc w:val="left"/>
        <w:textAlignment w:val="auto"/>
        <w:rPr>
          <w:szCs w:val="22"/>
        </w:rPr>
      </w:pPr>
    </w:p>
    <w:p w14:paraId="210B7DD0" w14:textId="50DBDEBC" w:rsidR="00C516F7" w:rsidRPr="00BF083C" w:rsidRDefault="00C516F7">
      <w:pPr>
        <w:widowControl/>
        <w:tabs>
          <w:tab w:val="clear" w:pos="567"/>
        </w:tabs>
        <w:adjustRightInd/>
        <w:snapToGrid/>
        <w:spacing w:line="240" w:lineRule="auto"/>
        <w:jc w:val="left"/>
        <w:textAlignment w:val="auto"/>
        <w:rPr>
          <w:szCs w:val="22"/>
        </w:rPr>
      </w:pPr>
      <w:r w:rsidRPr="00BF083C">
        <w:rPr>
          <w:szCs w:val="22"/>
        </w:rPr>
        <w:br w:type="page"/>
      </w:r>
    </w:p>
    <w:p w14:paraId="1DFCC1F1" w14:textId="4E265AAC" w:rsidR="00700920" w:rsidRPr="00BF083C" w:rsidRDefault="00EC5F05" w:rsidP="00EC5F05">
      <w:pPr>
        <w:pStyle w:val="ListParagraph"/>
        <w:numPr>
          <w:ilvl w:val="0"/>
          <w:numId w:val="34"/>
        </w:numPr>
        <w:pBdr>
          <w:bottom w:val="single" w:sz="4" w:space="1" w:color="auto"/>
        </w:pBdr>
        <w:tabs>
          <w:tab w:val="clear" w:pos="567"/>
          <w:tab w:val="left" w:pos="709"/>
        </w:tabs>
        <w:ind w:left="709" w:hanging="709"/>
        <w:jc w:val="left"/>
        <w:rPr>
          <w:b/>
          <w:bCs/>
        </w:rPr>
      </w:pPr>
      <w:r w:rsidRPr="00BF083C">
        <w:rPr>
          <w:b/>
          <w:bCs/>
        </w:rPr>
        <w:lastRenderedPageBreak/>
        <w:t xml:space="preserve">Commission </w:t>
      </w:r>
      <w:proofErr w:type="spellStart"/>
      <w:r w:rsidRPr="00BF083C">
        <w:rPr>
          <w:b/>
          <w:bCs/>
        </w:rPr>
        <w:t>océanographique</w:t>
      </w:r>
      <w:proofErr w:type="spellEnd"/>
      <w:r w:rsidRPr="00BF083C">
        <w:rPr>
          <w:b/>
          <w:bCs/>
        </w:rPr>
        <w:t xml:space="preserve"> </w:t>
      </w:r>
      <w:proofErr w:type="spellStart"/>
      <w:r w:rsidRPr="00BF083C">
        <w:rPr>
          <w:b/>
          <w:bCs/>
        </w:rPr>
        <w:t>intergouvernementale</w:t>
      </w:r>
      <w:proofErr w:type="spellEnd"/>
      <w:r w:rsidRPr="00BF083C">
        <w:rPr>
          <w:b/>
          <w:bCs/>
        </w:rPr>
        <w:t xml:space="preserve"> : </w:t>
      </w:r>
      <w:proofErr w:type="spellStart"/>
      <w:r w:rsidRPr="00BF083C">
        <w:rPr>
          <w:b/>
          <w:bCs/>
        </w:rPr>
        <w:t>Ressources</w:t>
      </w:r>
      <w:proofErr w:type="spellEnd"/>
    </w:p>
    <w:p w14:paraId="2AE542A1" w14:textId="1DE34C48" w:rsidR="005015A4" w:rsidRPr="00BF083C" w:rsidRDefault="005015A4" w:rsidP="005015A4">
      <w:pPr>
        <w:pStyle w:val="Marge"/>
        <w:tabs>
          <w:tab w:val="clear" w:pos="567"/>
          <w:tab w:val="left" w:pos="1162"/>
        </w:tabs>
        <w:spacing w:line="240" w:lineRule="auto"/>
      </w:pPr>
    </w:p>
    <w:tbl>
      <w:tblPr>
        <w:tblW w:w="0" w:type="auto"/>
        <w:tblInd w:w="133" w:type="dxa"/>
        <w:tblBorders>
          <w:top w:val="single" w:sz="8" w:space="0" w:color="C9E9FB"/>
          <w:left w:val="single" w:sz="8" w:space="0" w:color="C9E9FB"/>
          <w:bottom w:val="single" w:sz="8" w:space="0" w:color="C9E9FB"/>
          <w:right w:val="single" w:sz="8" w:space="0" w:color="C9E9FB"/>
          <w:insideH w:val="single" w:sz="8" w:space="0" w:color="C9E9FB"/>
          <w:insideV w:val="single" w:sz="8" w:space="0" w:color="C9E9FB"/>
        </w:tblBorders>
        <w:tblLayout w:type="fixed"/>
        <w:tblCellMar>
          <w:left w:w="0" w:type="dxa"/>
          <w:right w:w="0" w:type="dxa"/>
        </w:tblCellMar>
        <w:tblLook w:val="01E0" w:firstRow="1" w:lastRow="1" w:firstColumn="1" w:lastColumn="1" w:noHBand="0" w:noVBand="0"/>
      </w:tblPr>
      <w:tblGrid>
        <w:gridCol w:w="907"/>
        <w:gridCol w:w="7553"/>
        <w:gridCol w:w="1158"/>
      </w:tblGrid>
      <w:tr w:rsidR="00EC5F05" w:rsidRPr="00BF083C" w14:paraId="68B96826" w14:textId="77777777" w:rsidTr="0047242D">
        <w:trPr>
          <w:trHeight w:val="681"/>
        </w:trPr>
        <w:tc>
          <w:tcPr>
            <w:tcW w:w="907" w:type="dxa"/>
            <w:tcBorders>
              <w:right w:val="nil"/>
            </w:tcBorders>
          </w:tcPr>
          <w:p w14:paraId="048B76A8" w14:textId="77777777" w:rsidR="00EC5F05" w:rsidRPr="00BF083C" w:rsidRDefault="00EC5F05" w:rsidP="0047242D">
            <w:pPr>
              <w:pStyle w:val="TableParagraph"/>
              <w:spacing w:before="212"/>
              <w:ind w:left="296"/>
              <w:rPr>
                <w:rFonts w:ascii="Century Gothic"/>
                <w:b/>
                <w:sz w:val="20"/>
              </w:rPr>
            </w:pPr>
            <w:r w:rsidRPr="00BF083C">
              <w:rPr>
                <w:rFonts w:ascii="Century Gothic" w:hAnsi="Century Gothic"/>
                <w:b/>
                <w:bCs/>
                <w:sz w:val="20"/>
              </w:rPr>
              <w:t>COI</w:t>
            </w:r>
          </w:p>
        </w:tc>
        <w:tc>
          <w:tcPr>
            <w:tcW w:w="7553" w:type="dxa"/>
            <w:tcBorders>
              <w:top w:val="single" w:sz="8" w:space="0" w:color="DFF2FD"/>
              <w:left w:val="nil"/>
              <w:bottom w:val="single" w:sz="8" w:space="0" w:color="DFF2FD"/>
              <w:right w:val="nil"/>
            </w:tcBorders>
            <w:shd w:val="clear" w:color="auto" w:fill="C9E9FB"/>
          </w:tcPr>
          <w:p w14:paraId="7553C626" w14:textId="77777777" w:rsidR="00EC5F05" w:rsidRPr="00BF083C" w:rsidRDefault="00EC5F05" w:rsidP="0047242D">
            <w:pPr>
              <w:pStyle w:val="TableParagraph"/>
              <w:spacing w:before="82" w:line="254" w:lineRule="auto"/>
              <w:ind w:left="123" w:right="435"/>
              <w:rPr>
                <w:rFonts w:ascii="Century Gothic" w:hAnsi="Century Gothic"/>
                <w:b/>
                <w:sz w:val="20"/>
              </w:rPr>
            </w:pPr>
            <w:r w:rsidRPr="00BF083C">
              <w:rPr>
                <w:rFonts w:ascii="Century Gothic" w:hAnsi="Century Gothic"/>
                <w:b/>
                <w:bCs/>
                <w:sz w:val="20"/>
              </w:rPr>
              <w:t>Budget intégré par produit et par source de financement sur la base des crédits budgétaires ouverts au titre du Programme ordinaire de 534,6 M$</w:t>
            </w:r>
          </w:p>
        </w:tc>
        <w:tc>
          <w:tcPr>
            <w:tcW w:w="1158" w:type="dxa"/>
            <w:tcBorders>
              <w:top w:val="single" w:sz="12" w:space="0" w:color="FFFFFF"/>
              <w:left w:val="nil"/>
              <w:bottom w:val="dashSmallGap" w:sz="8" w:space="0" w:color="C9E9FB"/>
              <w:right w:val="dashSmallGap" w:sz="8" w:space="0" w:color="C9E9FB"/>
            </w:tcBorders>
          </w:tcPr>
          <w:p w14:paraId="29E59CB4" w14:textId="77777777" w:rsidR="00EC5F05" w:rsidRPr="00BF083C" w:rsidRDefault="00EC5F05" w:rsidP="0047242D">
            <w:pPr>
              <w:pStyle w:val="TableParagraph"/>
              <w:spacing w:before="84" w:line="235" w:lineRule="auto"/>
              <w:ind w:left="158" w:right="126" w:hanging="1"/>
              <w:jc w:val="center"/>
              <w:rPr>
                <w:rFonts w:ascii="Century Gothic" w:hAnsi="Century Gothic"/>
                <w:b/>
                <w:sz w:val="14"/>
              </w:rPr>
            </w:pPr>
            <w:r w:rsidRPr="00BF083C">
              <w:rPr>
                <w:rFonts w:ascii="Century Gothic" w:hAnsi="Century Gothic"/>
                <w:b/>
                <w:bCs/>
                <w:sz w:val="14"/>
              </w:rPr>
              <w:t>(en milliers de dollars des États-Unis)</w:t>
            </w:r>
          </w:p>
        </w:tc>
      </w:tr>
    </w:tbl>
    <w:p w14:paraId="2BDD73F0" w14:textId="77777777" w:rsidR="00EC5F05" w:rsidRPr="00BF083C" w:rsidRDefault="00EC5F05" w:rsidP="00EC5F05">
      <w:pPr>
        <w:pStyle w:val="BodyText"/>
        <w:spacing w:before="4" w:after="1"/>
        <w:rPr>
          <w:rFonts w:ascii="Century Gothic"/>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6"/>
        <w:gridCol w:w="907"/>
        <w:gridCol w:w="794"/>
        <w:gridCol w:w="964"/>
        <w:gridCol w:w="907"/>
        <w:gridCol w:w="680"/>
        <w:gridCol w:w="963"/>
        <w:gridCol w:w="680"/>
      </w:tblGrid>
      <w:tr w:rsidR="00EC5F05" w:rsidRPr="00BF083C" w14:paraId="084FD251" w14:textId="77777777" w:rsidTr="0047242D">
        <w:trPr>
          <w:trHeight w:val="273"/>
        </w:trPr>
        <w:tc>
          <w:tcPr>
            <w:tcW w:w="3756" w:type="dxa"/>
            <w:vMerge w:val="restart"/>
            <w:tcBorders>
              <w:left w:val="nil"/>
            </w:tcBorders>
            <w:shd w:val="clear" w:color="auto" w:fill="C9E9FB"/>
          </w:tcPr>
          <w:p w14:paraId="69B59ADF" w14:textId="77777777" w:rsidR="00EC5F05" w:rsidRPr="00BF083C" w:rsidRDefault="00EC5F05" w:rsidP="0047242D">
            <w:pPr>
              <w:pStyle w:val="TableParagraph"/>
              <w:ind w:left="0"/>
              <w:rPr>
                <w:rFonts w:ascii="Century Gothic"/>
                <w:b/>
                <w:sz w:val="18"/>
              </w:rPr>
            </w:pPr>
          </w:p>
          <w:p w14:paraId="7703514C" w14:textId="77777777" w:rsidR="00EC5F05" w:rsidRPr="00BF083C" w:rsidRDefault="00EC5F05" w:rsidP="0047242D">
            <w:pPr>
              <w:pStyle w:val="TableParagraph"/>
              <w:ind w:left="0"/>
              <w:rPr>
                <w:rFonts w:ascii="Century Gothic"/>
                <w:b/>
                <w:sz w:val="18"/>
              </w:rPr>
            </w:pPr>
          </w:p>
          <w:p w14:paraId="5552CD37" w14:textId="77777777" w:rsidR="00EC5F05" w:rsidRPr="00BF083C" w:rsidRDefault="00EC5F05" w:rsidP="0047242D">
            <w:pPr>
              <w:pStyle w:val="TableParagraph"/>
              <w:spacing w:before="6"/>
              <w:ind w:left="0"/>
              <w:rPr>
                <w:rFonts w:ascii="Century Gothic"/>
                <w:b/>
                <w:sz w:val="17"/>
              </w:rPr>
            </w:pPr>
          </w:p>
          <w:p w14:paraId="64979384" w14:textId="77777777" w:rsidR="00EC5F05" w:rsidRPr="00BF083C" w:rsidRDefault="00EC5F05" w:rsidP="0047242D">
            <w:pPr>
              <w:pStyle w:val="TableParagraph"/>
              <w:ind w:left="1615" w:right="1613"/>
              <w:jc w:val="center"/>
              <w:rPr>
                <w:rFonts w:ascii="Palatino Linotype"/>
                <w:b/>
                <w:sz w:val="14"/>
              </w:rPr>
            </w:pPr>
            <w:r w:rsidRPr="00BF083C">
              <w:rPr>
                <w:rFonts w:ascii="Palatino Linotype" w:hAnsi="Palatino Linotype"/>
                <w:b/>
                <w:bCs/>
                <w:sz w:val="14"/>
              </w:rPr>
              <w:t>Produit</w:t>
            </w:r>
          </w:p>
        </w:tc>
        <w:tc>
          <w:tcPr>
            <w:tcW w:w="5215" w:type="dxa"/>
            <w:gridSpan w:val="6"/>
            <w:tcBorders>
              <w:right w:val="nil"/>
            </w:tcBorders>
            <w:shd w:val="clear" w:color="auto" w:fill="C9E9FB"/>
          </w:tcPr>
          <w:p w14:paraId="2603154F" w14:textId="77777777" w:rsidR="00EC5F05" w:rsidRPr="00BF083C" w:rsidRDefault="00EC5F05" w:rsidP="0047242D">
            <w:pPr>
              <w:pStyle w:val="TableParagraph"/>
              <w:spacing w:before="40"/>
              <w:ind w:left="1524"/>
              <w:rPr>
                <w:rFonts w:ascii="Palatino Linotype" w:hAnsi="Palatino Linotype"/>
                <w:b/>
                <w:sz w:val="14"/>
              </w:rPr>
            </w:pPr>
            <w:r w:rsidRPr="00BF083C">
              <w:rPr>
                <w:rFonts w:ascii="Palatino Linotype" w:hAnsi="Palatino Linotype"/>
                <w:b/>
                <w:bCs/>
                <w:sz w:val="14"/>
              </w:rPr>
              <w:t>Répartition par source de financement</w:t>
            </w:r>
          </w:p>
        </w:tc>
        <w:tc>
          <w:tcPr>
            <w:tcW w:w="680" w:type="dxa"/>
            <w:vMerge w:val="restart"/>
            <w:tcBorders>
              <w:left w:val="nil"/>
              <w:right w:val="nil"/>
            </w:tcBorders>
            <w:shd w:val="clear" w:color="auto" w:fill="C9E9FB"/>
          </w:tcPr>
          <w:p w14:paraId="5F552FD2" w14:textId="77777777" w:rsidR="00EC5F05" w:rsidRPr="00BF083C" w:rsidRDefault="00EC5F05" w:rsidP="0047242D">
            <w:pPr>
              <w:pStyle w:val="TableParagraph"/>
              <w:ind w:left="0"/>
              <w:rPr>
                <w:rFonts w:ascii="Century Gothic"/>
                <w:b/>
                <w:sz w:val="18"/>
              </w:rPr>
            </w:pPr>
          </w:p>
          <w:p w14:paraId="62186700" w14:textId="77777777" w:rsidR="00EC5F05" w:rsidRPr="00BF083C" w:rsidRDefault="00EC5F05" w:rsidP="0047242D">
            <w:pPr>
              <w:pStyle w:val="TableParagraph"/>
              <w:ind w:left="0"/>
              <w:rPr>
                <w:rFonts w:ascii="Century Gothic"/>
                <w:b/>
                <w:sz w:val="18"/>
              </w:rPr>
            </w:pPr>
          </w:p>
          <w:p w14:paraId="5D34516D" w14:textId="77777777" w:rsidR="00EC5F05" w:rsidRPr="00BF083C" w:rsidRDefault="00EC5F05" w:rsidP="0047242D">
            <w:pPr>
              <w:pStyle w:val="TableParagraph"/>
              <w:spacing w:before="6"/>
              <w:ind w:left="0"/>
              <w:rPr>
                <w:rFonts w:ascii="Century Gothic"/>
                <w:b/>
                <w:sz w:val="17"/>
              </w:rPr>
            </w:pPr>
          </w:p>
          <w:p w14:paraId="3B24A80D" w14:textId="77777777" w:rsidR="00EC5F05" w:rsidRPr="00BF083C" w:rsidRDefault="00EC5F05" w:rsidP="0047242D">
            <w:pPr>
              <w:pStyle w:val="TableParagraph"/>
              <w:ind w:left="176"/>
              <w:rPr>
                <w:rFonts w:ascii="Palatino Linotype"/>
                <w:b/>
                <w:sz w:val="8"/>
              </w:rPr>
            </w:pPr>
            <w:r w:rsidRPr="00BF083C">
              <w:rPr>
                <w:rFonts w:ascii="Palatino Linotype" w:hAnsi="Palatino Linotype"/>
                <w:b/>
                <w:bCs/>
                <w:sz w:val="14"/>
              </w:rPr>
              <w:t>Total</w:t>
            </w:r>
            <w:r w:rsidRPr="00BF083C">
              <w:rPr>
                <w:rFonts w:ascii="Palatino Linotype" w:hAnsi="Palatino Linotype"/>
                <w:b/>
                <w:bCs/>
                <w:sz w:val="8"/>
              </w:rPr>
              <w:t>3</w:t>
            </w:r>
          </w:p>
        </w:tc>
      </w:tr>
      <w:tr w:rsidR="00EC5F05" w:rsidRPr="00BF083C" w14:paraId="7B319AC0" w14:textId="77777777" w:rsidTr="0047242D">
        <w:trPr>
          <w:trHeight w:val="205"/>
        </w:trPr>
        <w:tc>
          <w:tcPr>
            <w:tcW w:w="3756" w:type="dxa"/>
            <w:vMerge/>
            <w:tcBorders>
              <w:top w:val="nil"/>
              <w:left w:val="nil"/>
            </w:tcBorders>
            <w:shd w:val="clear" w:color="auto" w:fill="C9E9FB"/>
          </w:tcPr>
          <w:p w14:paraId="79442DDC" w14:textId="77777777" w:rsidR="00EC5F05" w:rsidRPr="00BF083C" w:rsidRDefault="00EC5F05" w:rsidP="0047242D">
            <w:pPr>
              <w:rPr>
                <w:sz w:val="2"/>
                <w:szCs w:val="2"/>
              </w:rPr>
            </w:pPr>
          </w:p>
        </w:tc>
        <w:tc>
          <w:tcPr>
            <w:tcW w:w="907" w:type="dxa"/>
            <w:vMerge w:val="restart"/>
            <w:shd w:val="clear" w:color="auto" w:fill="C9E9FB"/>
          </w:tcPr>
          <w:p w14:paraId="47A05937" w14:textId="77777777" w:rsidR="00EC5F05" w:rsidRPr="00BF083C" w:rsidRDefault="00EC5F05" w:rsidP="0047242D">
            <w:pPr>
              <w:pStyle w:val="TableParagraph"/>
              <w:ind w:left="0"/>
              <w:rPr>
                <w:rFonts w:ascii="Century Gothic"/>
                <w:b/>
                <w:sz w:val="18"/>
              </w:rPr>
            </w:pPr>
          </w:p>
          <w:p w14:paraId="6D8B7C67" w14:textId="77777777" w:rsidR="00EC5F05" w:rsidRPr="00BF083C" w:rsidRDefault="00EC5F05" w:rsidP="0047242D">
            <w:pPr>
              <w:pStyle w:val="TableParagraph"/>
              <w:spacing w:before="2"/>
              <w:ind w:left="0"/>
              <w:rPr>
                <w:rFonts w:ascii="Century Gothic"/>
                <w:b/>
                <w:sz w:val="19"/>
              </w:rPr>
            </w:pPr>
          </w:p>
          <w:p w14:paraId="1B306B10" w14:textId="77777777" w:rsidR="00EC5F05" w:rsidRPr="00BF083C" w:rsidRDefault="00EC5F05" w:rsidP="0047242D">
            <w:pPr>
              <w:pStyle w:val="TableParagraph"/>
              <w:spacing w:line="204" w:lineRule="auto"/>
              <w:ind w:left="166" w:right="101" w:hanging="56"/>
              <w:rPr>
                <w:rFonts w:ascii="Palatino Linotype"/>
                <w:b/>
                <w:sz w:val="8"/>
              </w:rPr>
            </w:pPr>
            <w:r w:rsidRPr="00BF083C">
              <w:rPr>
                <w:rFonts w:ascii="Palatino Linotype" w:hAnsi="Palatino Linotype"/>
                <w:b/>
                <w:bCs/>
                <w:sz w:val="14"/>
              </w:rPr>
              <w:t>Programme ordinaire</w:t>
            </w:r>
            <w:r w:rsidRPr="00BF083C">
              <w:rPr>
                <w:rFonts w:ascii="Palatino Linotype" w:hAnsi="Palatino Linotype"/>
                <w:b/>
                <w:bCs/>
                <w:sz w:val="8"/>
              </w:rPr>
              <w:t>1</w:t>
            </w:r>
          </w:p>
        </w:tc>
        <w:tc>
          <w:tcPr>
            <w:tcW w:w="794" w:type="dxa"/>
            <w:vMerge w:val="restart"/>
            <w:shd w:val="clear" w:color="auto" w:fill="C9E9FB"/>
          </w:tcPr>
          <w:p w14:paraId="2B88112A" w14:textId="77777777" w:rsidR="00EC5F05" w:rsidRPr="00BF083C" w:rsidRDefault="00EC5F05" w:rsidP="0047242D">
            <w:pPr>
              <w:pStyle w:val="TableParagraph"/>
              <w:ind w:left="0"/>
              <w:rPr>
                <w:rFonts w:ascii="Century Gothic"/>
                <w:b/>
                <w:sz w:val="18"/>
              </w:rPr>
            </w:pPr>
          </w:p>
          <w:p w14:paraId="1E07559F" w14:textId="77777777" w:rsidR="00EC5F05" w:rsidRPr="00BF083C" w:rsidRDefault="00EC5F05" w:rsidP="0047242D">
            <w:pPr>
              <w:pStyle w:val="TableParagraph"/>
              <w:spacing w:before="155" w:line="204" w:lineRule="auto"/>
              <w:ind w:left="39" w:right="39"/>
              <w:jc w:val="center"/>
              <w:rPr>
                <w:rFonts w:ascii="Palatino Linotype" w:hAnsi="Palatino Linotype"/>
                <w:b/>
                <w:sz w:val="14"/>
              </w:rPr>
            </w:pPr>
            <w:r w:rsidRPr="00BF083C">
              <w:rPr>
                <w:rFonts w:ascii="Palatino Linotype" w:hAnsi="Palatino Linotype"/>
                <w:b/>
                <w:bCs/>
                <w:sz w:val="14"/>
              </w:rPr>
              <w:t>Fonds générateurs de recettes</w:t>
            </w:r>
          </w:p>
        </w:tc>
        <w:tc>
          <w:tcPr>
            <w:tcW w:w="2551" w:type="dxa"/>
            <w:gridSpan w:val="3"/>
            <w:shd w:val="clear" w:color="auto" w:fill="C9E9FB"/>
          </w:tcPr>
          <w:p w14:paraId="1A6C74AE" w14:textId="77777777" w:rsidR="00EC5F05" w:rsidRPr="00BF083C" w:rsidRDefault="00EC5F05" w:rsidP="0047242D">
            <w:pPr>
              <w:pStyle w:val="TableParagraph"/>
              <w:spacing w:before="6" w:line="179" w:lineRule="exact"/>
              <w:ind w:left="542"/>
              <w:rPr>
                <w:rFonts w:ascii="Palatino Linotype"/>
                <w:b/>
                <w:sz w:val="14"/>
              </w:rPr>
            </w:pPr>
            <w:r w:rsidRPr="00BF083C">
              <w:rPr>
                <w:rFonts w:ascii="Palatino Linotype" w:hAnsi="Palatino Linotype"/>
                <w:b/>
                <w:bCs/>
                <w:sz w:val="14"/>
              </w:rPr>
              <w:t>Contributions volontaires</w:t>
            </w:r>
          </w:p>
        </w:tc>
        <w:tc>
          <w:tcPr>
            <w:tcW w:w="963" w:type="dxa"/>
            <w:vMerge w:val="restart"/>
            <w:shd w:val="clear" w:color="auto" w:fill="C9E9FB"/>
          </w:tcPr>
          <w:p w14:paraId="4DC4E85D" w14:textId="77777777" w:rsidR="00EC5F05" w:rsidRPr="00BF083C" w:rsidRDefault="00EC5F05" w:rsidP="0047242D">
            <w:pPr>
              <w:pStyle w:val="TableParagraph"/>
              <w:ind w:left="0"/>
              <w:rPr>
                <w:rFonts w:ascii="Century Gothic"/>
                <w:b/>
                <w:sz w:val="18"/>
              </w:rPr>
            </w:pPr>
          </w:p>
          <w:p w14:paraId="1613179F" w14:textId="77777777" w:rsidR="00EC5F05" w:rsidRPr="00BF083C" w:rsidRDefault="00EC5F05" w:rsidP="0047242D">
            <w:pPr>
              <w:pStyle w:val="TableParagraph"/>
              <w:spacing w:before="155" w:line="204" w:lineRule="auto"/>
              <w:ind w:left="52" w:right="50"/>
              <w:jc w:val="center"/>
              <w:rPr>
                <w:rFonts w:ascii="Palatino Linotype"/>
                <w:b/>
                <w:sz w:val="14"/>
              </w:rPr>
            </w:pPr>
            <w:r w:rsidRPr="00BF083C">
              <w:rPr>
                <w:rFonts w:ascii="Palatino Linotype" w:hAnsi="Palatino Linotype"/>
                <w:b/>
                <w:bCs/>
                <w:sz w:val="14"/>
              </w:rPr>
              <w:t>Total Contributions volontaires</w:t>
            </w:r>
          </w:p>
        </w:tc>
        <w:tc>
          <w:tcPr>
            <w:tcW w:w="680" w:type="dxa"/>
            <w:vMerge/>
            <w:tcBorders>
              <w:top w:val="nil"/>
              <w:left w:val="nil"/>
              <w:right w:val="nil"/>
            </w:tcBorders>
            <w:shd w:val="clear" w:color="auto" w:fill="C9E9FB"/>
          </w:tcPr>
          <w:p w14:paraId="757DEE73" w14:textId="77777777" w:rsidR="00EC5F05" w:rsidRPr="00BF083C" w:rsidRDefault="00EC5F05" w:rsidP="0047242D">
            <w:pPr>
              <w:rPr>
                <w:sz w:val="2"/>
                <w:szCs w:val="2"/>
              </w:rPr>
            </w:pPr>
          </w:p>
        </w:tc>
      </w:tr>
      <w:tr w:rsidR="00EC5F05" w:rsidRPr="00BF083C" w14:paraId="61832984" w14:textId="77777777" w:rsidTr="0047242D">
        <w:trPr>
          <w:trHeight w:val="1005"/>
        </w:trPr>
        <w:tc>
          <w:tcPr>
            <w:tcW w:w="3756" w:type="dxa"/>
            <w:vMerge/>
            <w:tcBorders>
              <w:top w:val="nil"/>
              <w:left w:val="nil"/>
            </w:tcBorders>
            <w:shd w:val="clear" w:color="auto" w:fill="C9E9FB"/>
          </w:tcPr>
          <w:p w14:paraId="390AA406" w14:textId="77777777" w:rsidR="00EC5F05" w:rsidRPr="00BF083C" w:rsidRDefault="00EC5F05" w:rsidP="0047242D">
            <w:pPr>
              <w:rPr>
                <w:sz w:val="2"/>
                <w:szCs w:val="2"/>
              </w:rPr>
            </w:pPr>
          </w:p>
        </w:tc>
        <w:tc>
          <w:tcPr>
            <w:tcW w:w="907" w:type="dxa"/>
            <w:vMerge/>
            <w:tcBorders>
              <w:top w:val="nil"/>
            </w:tcBorders>
            <w:shd w:val="clear" w:color="auto" w:fill="C9E9FB"/>
          </w:tcPr>
          <w:p w14:paraId="68433FC9" w14:textId="77777777" w:rsidR="00EC5F05" w:rsidRPr="00BF083C" w:rsidRDefault="00EC5F05" w:rsidP="0047242D">
            <w:pPr>
              <w:rPr>
                <w:sz w:val="2"/>
                <w:szCs w:val="2"/>
              </w:rPr>
            </w:pPr>
          </w:p>
        </w:tc>
        <w:tc>
          <w:tcPr>
            <w:tcW w:w="794" w:type="dxa"/>
            <w:vMerge/>
            <w:tcBorders>
              <w:top w:val="nil"/>
            </w:tcBorders>
            <w:shd w:val="clear" w:color="auto" w:fill="C9E9FB"/>
          </w:tcPr>
          <w:p w14:paraId="76F2F867" w14:textId="77777777" w:rsidR="00EC5F05" w:rsidRPr="00BF083C" w:rsidRDefault="00EC5F05" w:rsidP="0047242D">
            <w:pPr>
              <w:rPr>
                <w:sz w:val="2"/>
                <w:szCs w:val="2"/>
              </w:rPr>
            </w:pPr>
          </w:p>
        </w:tc>
        <w:tc>
          <w:tcPr>
            <w:tcW w:w="964" w:type="dxa"/>
            <w:shd w:val="clear" w:color="auto" w:fill="C9E9FB"/>
          </w:tcPr>
          <w:p w14:paraId="62308752" w14:textId="77777777" w:rsidR="00EC5F05" w:rsidRPr="00BF083C" w:rsidRDefault="00EC5F05" w:rsidP="0047242D">
            <w:pPr>
              <w:pStyle w:val="TableParagraph"/>
              <w:spacing w:before="28" w:line="204" w:lineRule="auto"/>
              <w:ind w:left="67" w:right="66"/>
              <w:jc w:val="center"/>
              <w:rPr>
                <w:rFonts w:ascii="Palatino Linotype" w:hAnsi="Palatino Linotype"/>
                <w:sz w:val="8"/>
              </w:rPr>
            </w:pPr>
            <w:r w:rsidRPr="00BF083C">
              <w:rPr>
                <w:rFonts w:ascii="Palatino Linotype" w:hAnsi="Palatino Linotype"/>
                <w:sz w:val="14"/>
              </w:rPr>
              <w:t>Compte spécial pour les frais de gestion</w:t>
            </w:r>
            <w:r w:rsidRPr="00BF083C">
              <w:rPr>
                <w:rFonts w:ascii="Palatino Linotype" w:hAnsi="Palatino Linotype"/>
                <w:sz w:val="8"/>
              </w:rPr>
              <w:t>2</w:t>
            </w:r>
          </w:p>
          <w:p w14:paraId="7AC43106" w14:textId="77777777" w:rsidR="00EC5F05" w:rsidRPr="00BF083C" w:rsidRDefault="00EC5F05" w:rsidP="0047242D">
            <w:pPr>
              <w:pStyle w:val="TableParagraph"/>
              <w:spacing w:line="151" w:lineRule="exact"/>
              <w:ind w:left="66" w:right="66"/>
              <w:jc w:val="center"/>
              <w:rPr>
                <w:rFonts w:ascii="Palatino Linotype"/>
                <w:sz w:val="14"/>
              </w:rPr>
            </w:pPr>
            <w:r w:rsidRPr="00BF083C">
              <w:rPr>
                <w:rFonts w:ascii="Palatino Linotype" w:hAnsi="Palatino Linotype"/>
                <w:sz w:val="14"/>
              </w:rPr>
              <w:t>- part des</w:t>
            </w:r>
          </w:p>
          <w:p w14:paraId="5399A405" w14:textId="77777777" w:rsidR="00EC5F05" w:rsidRPr="00BF083C" w:rsidRDefault="00EC5F05" w:rsidP="0047242D">
            <w:pPr>
              <w:pStyle w:val="TableParagraph"/>
              <w:spacing w:before="5" w:line="160" w:lineRule="exact"/>
              <w:ind w:left="66" w:right="66"/>
              <w:jc w:val="center"/>
              <w:rPr>
                <w:rFonts w:ascii="Palatino Linotype"/>
                <w:sz w:val="14"/>
              </w:rPr>
            </w:pPr>
            <w:r w:rsidRPr="00BF083C">
              <w:rPr>
                <w:rFonts w:ascii="Palatino Linotype" w:hAnsi="Palatino Linotype"/>
                <w:sz w:val="14"/>
              </w:rPr>
              <w:t>contributions volontaires</w:t>
            </w:r>
          </w:p>
        </w:tc>
        <w:tc>
          <w:tcPr>
            <w:tcW w:w="907" w:type="dxa"/>
            <w:shd w:val="clear" w:color="auto" w:fill="C9E9FB"/>
          </w:tcPr>
          <w:p w14:paraId="483642EF" w14:textId="77777777" w:rsidR="00EC5F05" w:rsidRPr="00BF083C" w:rsidRDefault="00EC5F05" w:rsidP="0047242D">
            <w:pPr>
              <w:pStyle w:val="TableParagraph"/>
              <w:spacing w:before="11"/>
              <w:ind w:left="0"/>
              <w:rPr>
                <w:rFonts w:ascii="Century Gothic"/>
                <w:b/>
                <w:sz w:val="21"/>
              </w:rPr>
            </w:pPr>
          </w:p>
          <w:p w14:paraId="64B2B2F9" w14:textId="77777777" w:rsidR="00EC5F05" w:rsidRPr="00BF083C" w:rsidRDefault="00EC5F05" w:rsidP="0047242D">
            <w:pPr>
              <w:pStyle w:val="TableParagraph"/>
              <w:spacing w:line="204" w:lineRule="auto"/>
              <w:ind w:left="154" w:hanging="83"/>
              <w:rPr>
                <w:rFonts w:ascii="Palatino Linotype" w:hAnsi="Palatino Linotype"/>
                <w:sz w:val="14"/>
              </w:rPr>
            </w:pPr>
            <w:r w:rsidRPr="00BF083C">
              <w:rPr>
                <w:rFonts w:ascii="Palatino Linotype" w:hAnsi="Palatino Linotype"/>
                <w:sz w:val="14"/>
              </w:rPr>
              <w:t>Contributions volontaires déjà reçues</w:t>
            </w:r>
          </w:p>
        </w:tc>
        <w:tc>
          <w:tcPr>
            <w:tcW w:w="680" w:type="dxa"/>
            <w:shd w:val="clear" w:color="auto" w:fill="C9E9FB"/>
          </w:tcPr>
          <w:p w14:paraId="3688E6BB" w14:textId="77777777" w:rsidR="00EC5F05" w:rsidRPr="00BF083C" w:rsidRDefault="00EC5F05" w:rsidP="0047242D">
            <w:pPr>
              <w:pStyle w:val="TableParagraph"/>
              <w:spacing w:before="11"/>
              <w:ind w:left="0"/>
              <w:rPr>
                <w:rFonts w:ascii="Century Gothic"/>
                <w:b/>
                <w:sz w:val="21"/>
              </w:rPr>
            </w:pPr>
          </w:p>
          <w:p w14:paraId="3D085978" w14:textId="77777777" w:rsidR="00EC5F05" w:rsidRPr="00BF083C" w:rsidRDefault="00EC5F05" w:rsidP="0047242D">
            <w:pPr>
              <w:pStyle w:val="TableParagraph"/>
              <w:spacing w:line="204" w:lineRule="auto"/>
              <w:ind w:left="60" w:right="61" w:firstLine="1"/>
              <w:jc w:val="center"/>
              <w:rPr>
                <w:rFonts w:ascii="Palatino Linotype" w:hAnsi="Palatino Linotype"/>
                <w:sz w:val="14"/>
              </w:rPr>
            </w:pPr>
            <w:r w:rsidRPr="00BF083C">
              <w:rPr>
                <w:rFonts w:ascii="Palatino Linotype" w:hAnsi="Palatino Linotype"/>
                <w:sz w:val="14"/>
              </w:rPr>
              <w:t>Écart (fonds à mobiliser)</w:t>
            </w:r>
          </w:p>
        </w:tc>
        <w:tc>
          <w:tcPr>
            <w:tcW w:w="963" w:type="dxa"/>
            <w:vMerge/>
            <w:tcBorders>
              <w:top w:val="nil"/>
            </w:tcBorders>
            <w:shd w:val="clear" w:color="auto" w:fill="C9E9FB"/>
          </w:tcPr>
          <w:p w14:paraId="045D19A7" w14:textId="77777777" w:rsidR="00EC5F05" w:rsidRPr="00BF083C" w:rsidRDefault="00EC5F05" w:rsidP="0047242D">
            <w:pPr>
              <w:rPr>
                <w:sz w:val="2"/>
                <w:szCs w:val="2"/>
              </w:rPr>
            </w:pPr>
          </w:p>
        </w:tc>
        <w:tc>
          <w:tcPr>
            <w:tcW w:w="680" w:type="dxa"/>
            <w:vMerge/>
            <w:tcBorders>
              <w:top w:val="nil"/>
              <w:left w:val="nil"/>
              <w:right w:val="nil"/>
            </w:tcBorders>
            <w:shd w:val="clear" w:color="auto" w:fill="C9E9FB"/>
          </w:tcPr>
          <w:p w14:paraId="02ADD2F8" w14:textId="77777777" w:rsidR="00EC5F05" w:rsidRPr="00BF083C" w:rsidRDefault="00EC5F05" w:rsidP="0047242D">
            <w:pPr>
              <w:rPr>
                <w:sz w:val="2"/>
                <w:szCs w:val="2"/>
              </w:rPr>
            </w:pPr>
          </w:p>
        </w:tc>
      </w:tr>
      <w:tr w:rsidR="00EC5F05" w:rsidRPr="00BF083C" w14:paraId="22390736" w14:textId="77777777" w:rsidTr="0047242D">
        <w:trPr>
          <w:trHeight w:val="1410"/>
        </w:trPr>
        <w:tc>
          <w:tcPr>
            <w:tcW w:w="8008" w:type="dxa"/>
            <w:gridSpan w:val="6"/>
            <w:tcBorders>
              <w:left w:val="nil"/>
            </w:tcBorders>
          </w:tcPr>
          <w:p w14:paraId="7FDC9A59" w14:textId="77777777" w:rsidR="00EC5F05" w:rsidRPr="00BF083C" w:rsidRDefault="00EC5F05" w:rsidP="0047242D">
            <w:pPr>
              <w:pStyle w:val="TableParagraph"/>
              <w:tabs>
                <w:tab w:val="left" w:pos="4197"/>
                <w:tab w:val="left" w:pos="5345"/>
                <w:tab w:val="left" w:pos="6309"/>
                <w:tab w:val="left" w:pos="6937"/>
              </w:tabs>
              <w:spacing w:before="60" w:line="183" w:lineRule="exact"/>
              <w:ind w:left="277"/>
              <w:jc w:val="both"/>
              <w:rPr>
                <w:rFonts w:ascii="Palatino Linotype" w:hAnsi="Palatino Linotype"/>
                <w:sz w:val="15"/>
              </w:rPr>
            </w:pPr>
            <w:r w:rsidRPr="00BF083C">
              <w:rPr>
                <w:rFonts w:ascii="Palatino Linotype" w:hAnsi="Palatino Linotype"/>
                <w:sz w:val="14"/>
              </w:rPr>
              <w:t>3.IOC1 Les États membres reçoivent un soutien critique</w:t>
            </w:r>
            <w:r w:rsidRPr="00BF083C">
              <w:rPr>
                <w:rFonts w:ascii="Palatino Linotype" w:hAnsi="Palatino Linotype"/>
                <w:sz w:val="14"/>
              </w:rPr>
              <w:tab/>
            </w:r>
            <w:r w:rsidRPr="00BF083C">
              <w:rPr>
                <w:rFonts w:ascii="Palatino Linotype" w:hAnsi="Palatino Linotype"/>
                <w:sz w:val="15"/>
              </w:rPr>
              <w:t>11 236</w:t>
            </w:r>
            <w:r w:rsidRPr="00BF083C">
              <w:rPr>
                <w:rFonts w:ascii="Palatino Linotype" w:hAnsi="Palatino Linotype"/>
                <w:sz w:val="15"/>
              </w:rPr>
              <w:tab/>
              <w:t>-</w:t>
            </w:r>
            <w:r w:rsidRPr="00BF083C">
              <w:rPr>
                <w:rFonts w:ascii="Palatino Linotype" w:hAnsi="Palatino Linotype"/>
                <w:sz w:val="15"/>
              </w:rPr>
              <w:tab/>
              <w:t>-</w:t>
            </w:r>
            <w:r w:rsidRPr="00BF083C">
              <w:rPr>
                <w:rFonts w:ascii="Palatino Linotype" w:hAnsi="Palatino Linotype"/>
                <w:sz w:val="15"/>
              </w:rPr>
              <w:tab/>
              <w:t>4 386 16 193</w:t>
            </w:r>
          </w:p>
          <w:p w14:paraId="4D1A40AB" w14:textId="77777777" w:rsidR="00EC5F05" w:rsidRPr="00BF083C" w:rsidRDefault="00EC5F05" w:rsidP="0047242D">
            <w:pPr>
              <w:pStyle w:val="TableParagraph"/>
              <w:spacing w:before="2" w:line="204" w:lineRule="auto"/>
              <w:ind w:left="788" w:right="4356"/>
              <w:jc w:val="both"/>
              <w:rPr>
                <w:rFonts w:ascii="Palatino Linotype" w:hAnsi="Palatino Linotype"/>
                <w:sz w:val="14"/>
              </w:rPr>
            </w:pPr>
            <w:r w:rsidRPr="00BF083C">
              <w:rPr>
                <w:rFonts w:ascii="Palatino Linotype" w:hAnsi="Palatino Linotype"/>
                <w:sz w:val="14"/>
              </w:rPr>
              <w:t>pour renforcer leur capacité de mener des recherches scientifiques marines, de produire des connaissances et d’élaborer et de mettre en œuvre des outils, services et politiques fondés sur la science afin d’inverser</w:t>
            </w:r>
          </w:p>
          <w:p w14:paraId="032FAF2D" w14:textId="77777777" w:rsidR="00EC5F05" w:rsidRPr="00BF083C" w:rsidRDefault="00EC5F05" w:rsidP="0047242D">
            <w:pPr>
              <w:pStyle w:val="TableParagraph"/>
              <w:spacing w:line="204" w:lineRule="auto"/>
              <w:ind w:left="788" w:right="4329"/>
              <w:rPr>
                <w:rFonts w:ascii="Palatino Linotype" w:hAnsi="Palatino Linotype"/>
                <w:sz w:val="14"/>
              </w:rPr>
            </w:pPr>
            <w:r w:rsidRPr="00BF083C">
              <w:rPr>
                <w:rFonts w:ascii="Palatino Linotype" w:hAnsi="Palatino Linotype"/>
                <w:sz w:val="14"/>
              </w:rPr>
              <w:t>le déclin de la santé des océans et d’accélérer la transition vers une gestion durable des risques et des opportunités liés aux océans</w:t>
            </w:r>
          </w:p>
        </w:tc>
        <w:tc>
          <w:tcPr>
            <w:tcW w:w="963" w:type="dxa"/>
          </w:tcPr>
          <w:p w14:paraId="575FF6A9" w14:textId="77777777" w:rsidR="00EC5F05" w:rsidRPr="00BF083C" w:rsidRDefault="00EC5F05" w:rsidP="0047242D">
            <w:pPr>
              <w:pStyle w:val="TableParagraph"/>
              <w:spacing w:before="60"/>
              <w:ind w:left="0" w:right="47"/>
              <w:jc w:val="right"/>
              <w:rPr>
                <w:rFonts w:ascii="Palatino Linotype"/>
                <w:b/>
                <w:sz w:val="15"/>
              </w:rPr>
            </w:pPr>
            <w:r w:rsidRPr="00BF083C">
              <w:rPr>
                <w:rFonts w:ascii="Palatino Linotype" w:hAnsi="Palatino Linotype"/>
                <w:b/>
                <w:bCs/>
                <w:sz w:val="15"/>
              </w:rPr>
              <w:t>20 579</w:t>
            </w:r>
          </w:p>
        </w:tc>
        <w:tc>
          <w:tcPr>
            <w:tcW w:w="680" w:type="dxa"/>
            <w:tcBorders>
              <w:right w:val="nil"/>
            </w:tcBorders>
            <w:shd w:val="clear" w:color="auto" w:fill="C9E9FB"/>
          </w:tcPr>
          <w:p w14:paraId="17869CC6" w14:textId="77777777" w:rsidR="00EC5F05" w:rsidRPr="00BF083C" w:rsidRDefault="00EC5F05" w:rsidP="0047242D">
            <w:pPr>
              <w:pStyle w:val="TableParagraph"/>
              <w:spacing w:before="60"/>
              <w:ind w:left="0" w:right="52"/>
              <w:jc w:val="right"/>
              <w:rPr>
                <w:rFonts w:ascii="Palatino Linotype"/>
                <w:b/>
                <w:sz w:val="15"/>
              </w:rPr>
            </w:pPr>
            <w:r w:rsidRPr="00BF083C">
              <w:rPr>
                <w:rFonts w:ascii="Palatino Linotype" w:hAnsi="Palatino Linotype"/>
                <w:b/>
                <w:bCs/>
                <w:sz w:val="15"/>
              </w:rPr>
              <w:t>31 815</w:t>
            </w:r>
          </w:p>
        </w:tc>
      </w:tr>
      <w:tr w:rsidR="00EC5F05" w:rsidRPr="00BF083C" w14:paraId="724E6567" w14:textId="77777777" w:rsidTr="0047242D">
        <w:trPr>
          <w:trHeight w:val="212"/>
        </w:trPr>
        <w:tc>
          <w:tcPr>
            <w:tcW w:w="8008" w:type="dxa"/>
            <w:gridSpan w:val="6"/>
            <w:tcBorders>
              <w:left w:val="nil"/>
            </w:tcBorders>
            <w:shd w:val="clear" w:color="auto" w:fill="C9E9FB"/>
          </w:tcPr>
          <w:p w14:paraId="00D66DB3" w14:textId="77777777" w:rsidR="00EC5F05" w:rsidRPr="00BF083C" w:rsidRDefault="00EC5F05" w:rsidP="0047242D">
            <w:pPr>
              <w:pStyle w:val="TableParagraph"/>
              <w:tabs>
                <w:tab w:val="left" w:pos="4184"/>
                <w:tab w:val="left" w:pos="5347"/>
                <w:tab w:val="left" w:pos="6311"/>
                <w:tab w:val="left" w:pos="6926"/>
                <w:tab w:val="left" w:pos="7528"/>
              </w:tabs>
              <w:spacing w:before="3" w:line="189" w:lineRule="exact"/>
              <w:ind w:left="3103"/>
              <w:rPr>
                <w:rFonts w:ascii="Palatino Linotype"/>
                <w:b/>
                <w:sz w:val="15"/>
              </w:rPr>
            </w:pPr>
            <w:r w:rsidRPr="00BF083C">
              <w:rPr>
                <w:rFonts w:ascii="Palatino Linotype" w:hAnsi="Palatino Linotype"/>
                <w:b/>
                <w:bCs/>
                <w:sz w:val="14"/>
              </w:rPr>
              <w:t>Total, COI</w:t>
            </w:r>
            <w:r w:rsidRPr="00BF083C">
              <w:rPr>
                <w:rFonts w:ascii="Palatino Linotype" w:hAnsi="Palatino Linotype"/>
                <w:b/>
                <w:bCs/>
                <w:sz w:val="14"/>
              </w:rPr>
              <w:tab/>
            </w:r>
            <w:r w:rsidRPr="00BF083C">
              <w:rPr>
                <w:rFonts w:ascii="Palatino Linotype" w:hAnsi="Palatino Linotype"/>
                <w:b/>
                <w:bCs/>
                <w:sz w:val="15"/>
              </w:rPr>
              <w:t>11 236</w:t>
            </w:r>
            <w:r w:rsidRPr="00BF083C">
              <w:rPr>
                <w:rFonts w:ascii="Palatino Linotype" w:hAnsi="Palatino Linotype"/>
                <w:b/>
                <w:bCs/>
                <w:sz w:val="15"/>
              </w:rPr>
              <w:tab/>
              <w:t>-</w:t>
            </w:r>
            <w:r w:rsidRPr="00BF083C">
              <w:rPr>
                <w:rFonts w:ascii="Palatino Linotype" w:hAnsi="Palatino Linotype"/>
                <w:b/>
                <w:bCs/>
                <w:sz w:val="15"/>
              </w:rPr>
              <w:tab/>
              <w:t>-</w:t>
            </w:r>
            <w:r w:rsidRPr="00BF083C">
              <w:rPr>
                <w:rFonts w:ascii="Palatino Linotype" w:hAnsi="Palatino Linotype"/>
                <w:b/>
                <w:bCs/>
                <w:sz w:val="15"/>
              </w:rPr>
              <w:tab/>
              <w:t>4 386</w:t>
            </w:r>
            <w:r w:rsidRPr="00BF083C">
              <w:rPr>
                <w:rFonts w:ascii="Palatino Linotype" w:hAnsi="Palatino Linotype"/>
                <w:b/>
                <w:bCs/>
                <w:sz w:val="15"/>
              </w:rPr>
              <w:tab/>
              <w:t>16 193</w:t>
            </w:r>
          </w:p>
        </w:tc>
        <w:tc>
          <w:tcPr>
            <w:tcW w:w="963" w:type="dxa"/>
            <w:shd w:val="clear" w:color="auto" w:fill="C9E9FB"/>
          </w:tcPr>
          <w:p w14:paraId="3D3B1FA7" w14:textId="77777777" w:rsidR="00EC5F05" w:rsidRPr="00BF083C" w:rsidRDefault="00EC5F05" w:rsidP="0047242D">
            <w:pPr>
              <w:pStyle w:val="TableParagraph"/>
              <w:spacing w:before="3" w:line="189" w:lineRule="exact"/>
              <w:ind w:left="0" w:right="47"/>
              <w:jc w:val="right"/>
              <w:rPr>
                <w:rFonts w:ascii="Palatino Linotype"/>
                <w:b/>
                <w:sz w:val="15"/>
              </w:rPr>
            </w:pPr>
            <w:r w:rsidRPr="00BF083C">
              <w:rPr>
                <w:rFonts w:ascii="Palatino Linotype" w:hAnsi="Palatino Linotype"/>
                <w:b/>
                <w:bCs/>
                <w:sz w:val="15"/>
              </w:rPr>
              <w:t>20 579</w:t>
            </w:r>
          </w:p>
        </w:tc>
        <w:tc>
          <w:tcPr>
            <w:tcW w:w="680" w:type="dxa"/>
            <w:tcBorders>
              <w:right w:val="nil"/>
            </w:tcBorders>
            <w:shd w:val="clear" w:color="auto" w:fill="C9E9FB"/>
          </w:tcPr>
          <w:p w14:paraId="203A2948" w14:textId="77777777" w:rsidR="00EC5F05" w:rsidRPr="00BF083C" w:rsidRDefault="00EC5F05" w:rsidP="0047242D">
            <w:pPr>
              <w:pStyle w:val="TableParagraph"/>
              <w:spacing w:before="3" w:line="189" w:lineRule="exact"/>
              <w:ind w:left="0" w:right="52"/>
              <w:jc w:val="right"/>
              <w:rPr>
                <w:rFonts w:ascii="Palatino Linotype"/>
                <w:b/>
                <w:sz w:val="15"/>
              </w:rPr>
            </w:pPr>
            <w:r w:rsidRPr="00BF083C">
              <w:rPr>
                <w:rFonts w:ascii="Palatino Linotype" w:hAnsi="Palatino Linotype"/>
                <w:b/>
                <w:bCs/>
                <w:sz w:val="15"/>
              </w:rPr>
              <w:t>31 815</w:t>
            </w:r>
          </w:p>
        </w:tc>
      </w:tr>
    </w:tbl>
    <w:p w14:paraId="44950DBD" w14:textId="77777777" w:rsidR="00EC5F05" w:rsidRPr="00BF083C" w:rsidRDefault="00EC5F05" w:rsidP="00EC5F05">
      <w:pPr>
        <w:pStyle w:val="ListParagraph"/>
        <w:numPr>
          <w:ilvl w:val="0"/>
          <w:numId w:val="50"/>
        </w:numPr>
        <w:tabs>
          <w:tab w:val="clear" w:pos="567"/>
          <w:tab w:val="left" w:pos="284"/>
        </w:tabs>
        <w:autoSpaceDE w:val="0"/>
        <w:autoSpaceDN w:val="0"/>
        <w:adjustRightInd/>
        <w:snapToGrid/>
        <w:spacing w:before="182" w:line="204" w:lineRule="auto"/>
        <w:ind w:right="1795"/>
        <w:contextualSpacing w:val="0"/>
        <w:textAlignment w:val="auto"/>
        <w:rPr>
          <w:w w:val="90"/>
          <w:sz w:val="14"/>
        </w:rPr>
      </w:pPr>
      <w:r w:rsidRPr="00BF083C">
        <w:rPr>
          <w:sz w:val="14"/>
        </w:rPr>
        <w:t xml:space="preserve">Les </w:t>
      </w:r>
      <w:proofErr w:type="spellStart"/>
      <w:r w:rsidRPr="00BF083C">
        <w:rPr>
          <w:sz w:val="14"/>
        </w:rPr>
        <w:t>crédits</w:t>
      </w:r>
      <w:proofErr w:type="spellEnd"/>
      <w:r w:rsidRPr="00BF083C">
        <w:rPr>
          <w:sz w:val="14"/>
        </w:rPr>
        <w:t xml:space="preserve"> </w:t>
      </w:r>
      <w:proofErr w:type="spellStart"/>
      <w:r w:rsidRPr="00BF083C">
        <w:rPr>
          <w:sz w:val="14"/>
        </w:rPr>
        <w:t>budgétaires</w:t>
      </w:r>
      <w:proofErr w:type="spellEnd"/>
      <w:r w:rsidRPr="00BF083C">
        <w:rPr>
          <w:sz w:val="14"/>
        </w:rPr>
        <w:t xml:space="preserve"> </w:t>
      </w:r>
      <w:proofErr w:type="spellStart"/>
      <w:r w:rsidRPr="00BF083C">
        <w:rPr>
          <w:sz w:val="14"/>
        </w:rPr>
        <w:t>ouverts</w:t>
      </w:r>
      <w:proofErr w:type="spellEnd"/>
      <w:r w:rsidRPr="00BF083C">
        <w:rPr>
          <w:sz w:val="14"/>
        </w:rPr>
        <w:t xml:space="preserve"> au titre du Programme ordinaire </w:t>
      </w:r>
      <w:proofErr w:type="spellStart"/>
      <w:r w:rsidRPr="00BF083C">
        <w:rPr>
          <w:sz w:val="14"/>
        </w:rPr>
        <w:t>sont</w:t>
      </w:r>
      <w:proofErr w:type="spellEnd"/>
      <w:r w:rsidRPr="00BF083C">
        <w:rPr>
          <w:sz w:val="14"/>
        </w:rPr>
        <w:t xml:space="preserve"> </w:t>
      </w:r>
      <w:proofErr w:type="spellStart"/>
      <w:r w:rsidRPr="00BF083C">
        <w:rPr>
          <w:sz w:val="14"/>
        </w:rPr>
        <w:t>financés</w:t>
      </w:r>
      <w:proofErr w:type="spellEnd"/>
      <w:r w:rsidRPr="00BF083C">
        <w:rPr>
          <w:sz w:val="14"/>
        </w:rPr>
        <w:t xml:space="preserve"> par les contributions mises </w:t>
      </w:r>
      <w:proofErr w:type="spellStart"/>
      <w:r w:rsidRPr="00BF083C">
        <w:rPr>
          <w:sz w:val="14"/>
        </w:rPr>
        <w:t>en</w:t>
      </w:r>
      <w:proofErr w:type="spellEnd"/>
      <w:r w:rsidRPr="00BF083C">
        <w:rPr>
          <w:sz w:val="14"/>
        </w:rPr>
        <w:t xml:space="preserve"> </w:t>
      </w:r>
      <w:proofErr w:type="spellStart"/>
      <w:r w:rsidRPr="00BF083C">
        <w:rPr>
          <w:sz w:val="14"/>
        </w:rPr>
        <w:t>recouvrement</w:t>
      </w:r>
      <w:proofErr w:type="spellEnd"/>
      <w:r w:rsidRPr="00BF083C">
        <w:rPr>
          <w:sz w:val="14"/>
        </w:rPr>
        <w:t xml:space="preserve"> </w:t>
      </w:r>
      <w:proofErr w:type="spellStart"/>
      <w:r w:rsidRPr="00BF083C">
        <w:rPr>
          <w:sz w:val="14"/>
        </w:rPr>
        <w:t>auprès</w:t>
      </w:r>
      <w:proofErr w:type="spellEnd"/>
      <w:r w:rsidRPr="00BF083C">
        <w:rPr>
          <w:sz w:val="14"/>
        </w:rPr>
        <w:t xml:space="preserve"> des </w:t>
      </w:r>
      <w:proofErr w:type="spellStart"/>
      <w:r w:rsidRPr="00BF083C">
        <w:rPr>
          <w:sz w:val="14"/>
        </w:rPr>
        <w:t>États</w:t>
      </w:r>
      <w:proofErr w:type="spellEnd"/>
      <w:r w:rsidRPr="00BF083C">
        <w:rPr>
          <w:sz w:val="14"/>
        </w:rPr>
        <w:t xml:space="preserve"> </w:t>
      </w:r>
      <w:proofErr w:type="spellStart"/>
      <w:r w:rsidRPr="00BF083C">
        <w:rPr>
          <w:sz w:val="14"/>
        </w:rPr>
        <w:t>membres</w:t>
      </w:r>
      <w:proofErr w:type="spellEnd"/>
      <w:r w:rsidRPr="00BF083C">
        <w:rPr>
          <w:sz w:val="14"/>
        </w:rPr>
        <w:t xml:space="preserve">. Pour les </w:t>
      </w:r>
      <w:proofErr w:type="spellStart"/>
      <w:r w:rsidRPr="00BF083C">
        <w:rPr>
          <w:sz w:val="14"/>
        </w:rPr>
        <w:t>chiffres</w:t>
      </w:r>
      <w:proofErr w:type="spellEnd"/>
      <w:r w:rsidRPr="00BF083C">
        <w:rPr>
          <w:sz w:val="14"/>
        </w:rPr>
        <w:t xml:space="preserve"> du Programme ordinaire, le </w:t>
      </w:r>
      <w:proofErr w:type="spellStart"/>
      <w:r w:rsidRPr="00BF083C">
        <w:rPr>
          <w:sz w:val="14"/>
        </w:rPr>
        <w:t>taux</w:t>
      </w:r>
      <w:proofErr w:type="spellEnd"/>
      <w:r w:rsidRPr="00BF083C">
        <w:rPr>
          <w:sz w:val="14"/>
        </w:rPr>
        <w:t xml:space="preserve"> de change du budget </w:t>
      </w:r>
      <w:proofErr w:type="spellStart"/>
      <w:r w:rsidRPr="00BF083C">
        <w:rPr>
          <w:sz w:val="14"/>
        </w:rPr>
        <w:t>est</w:t>
      </w:r>
      <w:proofErr w:type="spellEnd"/>
      <w:r w:rsidRPr="00BF083C">
        <w:rPr>
          <w:sz w:val="14"/>
        </w:rPr>
        <w:t xml:space="preserve"> de 0,869 euro pour 1 dollar des </w:t>
      </w:r>
      <w:proofErr w:type="spellStart"/>
      <w:r w:rsidRPr="00BF083C">
        <w:rPr>
          <w:sz w:val="14"/>
        </w:rPr>
        <w:t>États</w:t>
      </w:r>
      <w:proofErr w:type="spellEnd"/>
      <w:r w:rsidRPr="00BF083C">
        <w:rPr>
          <w:sz w:val="14"/>
        </w:rPr>
        <w:t>-Unis.</w:t>
      </w:r>
    </w:p>
    <w:p w14:paraId="253CE61A" w14:textId="77777777" w:rsidR="00EC5F05" w:rsidRPr="00BF083C" w:rsidRDefault="00EC5F05" w:rsidP="00EC5F05">
      <w:pPr>
        <w:pStyle w:val="ListParagraph"/>
        <w:numPr>
          <w:ilvl w:val="0"/>
          <w:numId w:val="50"/>
        </w:numPr>
        <w:tabs>
          <w:tab w:val="clear" w:pos="567"/>
          <w:tab w:val="left" w:pos="284"/>
        </w:tabs>
        <w:autoSpaceDE w:val="0"/>
        <w:autoSpaceDN w:val="0"/>
        <w:adjustRightInd/>
        <w:snapToGrid/>
        <w:spacing w:line="204" w:lineRule="auto"/>
        <w:ind w:right="830"/>
        <w:contextualSpacing w:val="0"/>
        <w:textAlignment w:val="auto"/>
        <w:rPr>
          <w:sz w:val="14"/>
        </w:rPr>
      </w:pPr>
      <w:r w:rsidRPr="00BF083C">
        <w:rPr>
          <w:sz w:val="14"/>
        </w:rPr>
        <w:t xml:space="preserve">Le </w:t>
      </w:r>
      <w:proofErr w:type="spellStart"/>
      <w:r w:rsidRPr="00BF083C">
        <w:rPr>
          <w:sz w:val="14"/>
        </w:rPr>
        <w:t>Compte</w:t>
      </w:r>
      <w:proofErr w:type="spellEnd"/>
      <w:r w:rsidRPr="00BF083C">
        <w:rPr>
          <w:sz w:val="14"/>
        </w:rPr>
        <w:t xml:space="preserve"> </w:t>
      </w:r>
      <w:proofErr w:type="spellStart"/>
      <w:r w:rsidRPr="00BF083C">
        <w:rPr>
          <w:sz w:val="14"/>
        </w:rPr>
        <w:t>spécial</w:t>
      </w:r>
      <w:proofErr w:type="spellEnd"/>
      <w:r w:rsidRPr="00BF083C">
        <w:rPr>
          <w:sz w:val="14"/>
        </w:rPr>
        <w:t xml:space="preserve"> pour les frais de gestion </w:t>
      </w:r>
      <w:proofErr w:type="spellStart"/>
      <w:r w:rsidRPr="00BF083C">
        <w:rPr>
          <w:sz w:val="14"/>
        </w:rPr>
        <w:t>est</w:t>
      </w:r>
      <w:proofErr w:type="spellEnd"/>
      <w:r w:rsidRPr="00BF083C">
        <w:rPr>
          <w:sz w:val="14"/>
        </w:rPr>
        <w:t xml:space="preserve"> </w:t>
      </w:r>
      <w:proofErr w:type="spellStart"/>
      <w:r w:rsidRPr="00BF083C">
        <w:rPr>
          <w:sz w:val="14"/>
        </w:rPr>
        <w:t>financé</w:t>
      </w:r>
      <w:proofErr w:type="spellEnd"/>
      <w:r w:rsidRPr="00BF083C">
        <w:rPr>
          <w:sz w:val="14"/>
        </w:rPr>
        <w:t xml:space="preserve"> à 56 % par le budget du Programme ordinaire et à 44 % par les </w:t>
      </w:r>
      <w:proofErr w:type="spellStart"/>
      <w:r w:rsidRPr="00BF083C">
        <w:rPr>
          <w:sz w:val="14"/>
        </w:rPr>
        <w:t>montants</w:t>
      </w:r>
      <w:proofErr w:type="spellEnd"/>
      <w:r w:rsidRPr="00BF083C">
        <w:rPr>
          <w:sz w:val="14"/>
        </w:rPr>
        <w:t xml:space="preserve"> </w:t>
      </w:r>
      <w:proofErr w:type="spellStart"/>
      <w:r w:rsidRPr="00BF083C">
        <w:rPr>
          <w:sz w:val="14"/>
        </w:rPr>
        <w:t>prélevés</w:t>
      </w:r>
      <w:proofErr w:type="spellEnd"/>
      <w:r w:rsidRPr="00BF083C">
        <w:rPr>
          <w:sz w:val="14"/>
        </w:rPr>
        <w:t xml:space="preserve"> au titre des </w:t>
      </w:r>
      <w:proofErr w:type="spellStart"/>
      <w:r w:rsidRPr="00BF083C">
        <w:rPr>
          <w:sz w:val="14"/>
        </w:rPr>
        <w:t>dépenses</w:t>
      </w:r>
      <w:proofErr w:type="spellEnd"/>
      <w:r w:rsidRPr="00BF083C">
        <w:rPr>
          <w:sz w:val="14"/>
        </w:rPr>
        <w:t xml:space="preserve"> d’appui au programme sur les </w:t>
      </w:r>
      <w:proofErr w:type="spellStart"/>
      <w:r w:rsidRPr="00BF083C">
        <w:rPr>
          <w:sz w:val="14"/>
        </w:rPr>
        <w:t>projets</w:t>
      </w:r>
      <w:proofErr w:type="spellEnd"/>
      <w:r w:rsidRPr="00BF083C">
        <w:rPr>
          <w:sz w:val="14"/>
        </w:rPr>
        <w:t xml:space="preserve"> </w:t>
      </w:r>
      <w:proofErr w:type="spellStart"/>
      <w:r w:rsidRPr="00BF083C">
        <w:rPr>
          <w:sz w:val="14"/>
        </w:rPr>
        <w:t>financés</w:t>
      </w:r>
      <w:proofErr w:type="spellEnd"/>
      <w:r w:rsidRPr="00BF083C">
        <w:rPr>
          <w:sz w:val="14"/>
        </w:rPr>
        <w:t xml:space="preserve"> par des contributions </w:t>
      </w:r>
      <w:proofErr w:type="spellStart"/>
      <w:r w:rsidRPr="00BF083C">
        <w:rPr>
          <w:sz w:val="14"/>
        </w:rPr>
        <w:t>volontaires</w:t>
      </w:r>
      <w:proofErr w:type="spellEnd"/>
      <w:r w:rsidRPr="00BF083C">
        <w:rPr>
          <w:sz w:val="14"/>
        </w:rPr>
        <w:t>.</w:t>
      </w:r>
    </w:p>
    <w:p w14:paraId="2C543024" w14:textId="77777777" w:rsidR="00EC5F05" w:rsidRPr="00BF083C" w:rsidRDefault="00EC5F05" w:rsidP="00EC5F05">
      <w:pPr>
        <w:pStyle w:val="ListParagraph"/>
        <w:numPr>
          <w:ilvl w:val="0"/>
          <w:numId w:val="50"/>
        </w:numPr>
        <w:tabs>
          <w:tab w:val="clear" w:pos="567"/>
          <w:tab w:val="left" w:pos="284"/>
        </w:tabs>
        <w:autoSpaceDE w:val="0"/>
        <w:autoSpaceDN w:val="0"/>
        <w:adjustRightInd/>
        <w:snapToGrid/>
        <w:spacing w:line="204" w:lineRule="auto"/>
        <w:ind w:right="418"/>
        <w:contextualSpacing w:val="0"/>
        <w:textAlignment w:val="auto"/>
        <w:rPr>
          <w:sz w:val="14"/>
        </w:rPr>
      </w:pPr>
      <w:r w:rsidRPr="00BF083C">
        <w:rPr>
          <w:sz w:val="14"/>
        </w:rPr>
        <w:t xml:space="preserve">Les </w:t>
      </w:r>
      <w:proofErr w:type="spellStart"/>
      <w:r w:rsidRPr="00BF083C">
        <w:rPr>
          <w:sz w:val="14"/>
        </w:rPr>
        <w:t>chiffres</w:t>
      </w:r>
      <w:proofErr w:type="spellEnd"/>
      <w:r w:rsidRPr="00BF083C">
        <w:rPr>
          <w:sz w:val="14"/>
        </w:rPr>
        <w:t xml:space="preserve"> du budget </w:t>
      </w:r>
      <w:proofErr w:type="spellStart"/>
      <w:r w:rsidRPr="00BF083C">
        <w:rPr>
          <w:sz w:val="14"/>
        </w:rPr>
        <w:t>comprennent</w:t>
      </w:r>
      <w:proofErr w:type="spellEnd"/>
      <w:r w:rsidRPr="00BF083C">
        <w:rPr>
          <w:sz w:val="14"/>
        </w:rPr>
        <w:t xml:space="preserve"> la contribution de la Commission </w:t>
      </w:r>
      <w:proofErr w:type="spellStart"/>
      <w:r w:rsidRPr="00BF083C">
        <w:rPr>
          <w:sz w:val="14"/>
        </w:rPr>
        <w:t>océanographique</w:t>
      </w:r>
      <w:proofErr w:type="spellEnd"/>
      <w:r w:rsidRPr="00BF083C">
        <w:rPr>
          <w:sz w:val="14"/>
        </w:rPr>
        <w:t xml:space="preserve"> </w:t>
      </w:r>
      <w:proofErr w:type="spellStart"/>
      <w:r w:rsidRPr="00BF083C">
        <w:rPr>
          <w:sz w:val="14"/>
        </w:rPr>
        <w:t>intergouvernementale</w:t>
      </w:r>
      <w:proofErr w:type="spellEnd"/>
      <w:r w:rsidRPr="00BF083C">
        <w:rPr>
          <w:sz w:val="14"/>
        </w:rPr>
        <w:t xml:space="preserve"> aux programmes </w:t>
      </w:r>
      <w:proofErr w:type="spellStart"/>
      <w:r w:rsidRPr="00BF083C">
        <w:rPr>
          <w:sz w:val="14"/>
        </w:rPr>
        <w:t>intersectoriels</w:t>
      </w:r>
      <w:proofErr w:type="spellEnd"/>
      <w:r w:rsidRPr="00BF083C">
        <w:rPr>
          <w:sz w:val="14"/>
        </w:rPr>
        <w:t xml:space="preserve"> et aux </w:t>
      </w:r>
      <w:proofErr w:type="spellStart"/>
      <w:r w:rsidRPr="00BF083C">
        <w:rPr>
          <w:sz w:val="14"/>
        </w:rPr>
        <w:t>produits</w:t>
      </w:r>
      <w:proofErr w:type="spellEnd"/>
      <w:r w:rsidRPr="00BF083C">
        <w:rPr>
          <w:sz w:val="14"/>
        </w:rPr>
        <w:t xml:space="preserve"> </w:t>
      </w:r>
      <w:proofErr w:type="spellStart"/>
      <w:r w:rsidRPr="00BF083C">
        <w:rPr>
          <w:sz w:val="14"/>
        </w:rPr>
        <w:t>correspondants</w:t>
      </w:r>
      <w:proofErr w:type="spellEnd"/>
      <w:r w:rsidRPr="00BF083C">
        <w:rPr>
          <w:sz w:val="14"/>
        </w:rPr>
        <w:t xml:space="preserve">, </w:t>
      </w:r>
      <w:proofErr w:type="spellStart"/>
      <w:r w:rsidRPr="00BF083C">
        <w:rPr>
          <w:sz w:val="14"/>
        </w:rPr>
        <w:t>comme</w:t>
      </w:r>
      <w:proofErr w:type="spellEnd"/>
      <w:r w:rsidRPr="00BF083C">
        <w:rPr>
          <w:sz w:val="14"/>
        </w:rPr>
        <w:t xml:space="preserve"> </w:t>
      </w:r>
      <w:proofErr w:type="spellStart"/>
      <w:r w:rsidRPr="00BF083C">
        <w:rPr>
          <w:sz w:val="14"/>
        </w:rPr>
        <w:t>indiqué</w:t>
      </w:r>
      <w:proofErr w:type="spellEnd"/>
      <w:r w:rsidRPr="00BF083C">
        <w:rPr>
          <w:sz w:val="14"/>
        </w:rPr>
        <w:t xml:space="preserve"> dans la </w:t>
      </w:r>
      <w:proofErr w:type="spellStart"/>
      <w:r w:rsidRPr="00BF083C">
        <w:rPr>
          <w:sz w:val="14"/>
        </w:rPr>
        <w:t>stratégie</w:t>
      </w:r>
      <w:proofErr w:type="spellEnd"/>
      <w:r w:rsidRPr="00BF083C">
        <w:rPr>
          <w:sz w:val="14"/>
        </w:rPr>
        <w:t xml:space="preserve"> de mise </w:t>
      </w:r>
      <w:proofErr w:type="spellStart"/>
      <w:r w:rsidRPr="00BF083C">
        <w:rPr>
          <w:sz w:val="14"/>
        </w:rPr>
        <w:t>en</w:t>
      </w:r>
      <w:proofErr w:type="spellEnd"/>
      <w:r w:rsidRPr="00BF083C">
        <w:rPr>
          <w:sz w:val="14"/>
        </w:rPr>
        <w:t xml:space="preserve"> </w:t>
      </w:r>
      <w:proofErr w:type="spellStart"/>
      <w:r w:rsidRPr="00BF083C">
        <w:rPr>
          <w:sz w:val="14"/>
        </w:rPr>
        <w:t>œuvre</w:t>
      </w:r>
      <w:proofErr w:type="spellEnd"/>
      <w:r w:rsidRPr="00BF083C">
        <w:rPr>
          <w:sz w:val="14"/>
        </w:rPr>
        <w:t>.</w:t>
      </w:r>
    </w:p>
    <w:p w14:paraId="33F21AAF" w14:textId="6D5E8611" w:rsidR="005015A4" w:rsidRPr="00BF083C" w:rsidRDefault="005015A4" w:rsidP="005015A4">
      <w:pPr>
        <w:pStyle w:val="Marge"/>
        <w:tabs>
          <w:tab w:val="clear" w:pos="567"/>
          <w:tab w:val="left" w:pos="1162"/>
        </w:tabs>
        <w:spacing w:line="240" w:lineRule="auto"/>
      </w:pPr>
    </w:p>
    <w:p w14:paraId="606E57D0" w14:textId="5AB7DC3F" w:rsidR="00493800" w:rsidRPr="00BF083C" w:rsidRDefault="00421DF5" w:rsidP="005015A4">
      <w:pPr>
        <w:pStyle w:val="Marge"/>
        <w:tabs>
          <w:tab w:val="clear" w:pos="567"/>
          <w:tab w:val="left" w:pos="1162"/>
        </w:tabs>
        <w:spacing w:line="240" w:lineRule="auto"/>
      </w:pPr>
      <w:r w:rsidRPr="00BF083C">
        <w:rPr>
          <w:noProof/>
          <w:snapToGrid/>
          <w:lang w:val="fr-FR" w:eastAsia="fr-FR"/>
        </w:rPr>
        <mc:AlternateContent>
          <mc:Choice Requires="wps">
            <w:drawing>
              <wp:anchor distT="0" distB="0" distL="114300" distR="114300" simplePos="0" relativeHeight="251679744" behindDoc="0" locked="0" layoutInCell="1" allowOverlap="1" wp14:anchorId="4832337D" wp14:editId="71BC349D">
                <wp:simplePos x="0" y="0"/>
                <wp:positionH relativeFrom="column">
                  <wp:posOffset>4544079</wp:posOffset>
                </wp:positionH>
                <wp:positionV relativeFrom="paragraph">
                  <wp:posOffset>1560859</wp:posOffset>
                </wp:positionV>
                <wp:extent cx="1311215" cy="163902"/>
                <wp:effectExtent l="0" t="0" r="3810" b="7620"/>
                <wp:wrapNone/>
                <wp:docPr id="198" name="Text Box 198"/>
                <wp:cNvGraphicFramePr/>
                <a:graphic xmlns:a="http://schemas.openxmlformats.org/drawingml/2006/main">
                  <a:graphicData uri="http://schemas.microsoft.com/office/word/2010/wordprocessingShape">
                    <wps:wsp>
                      <wps:cNvSpPr txBox="1"/>
                      <wps:spPr>
                        <a:xfrm>
                          <a:off x="0" y="0"/>
                          <a:ext cx="1311215" cy="163902"/>
                        </a:xfrm>
                        <a:prstGeom prst="rect">
                          <a:avLst/>
                        </a:prstGeom>
                        <a:solidFill>
                          <a:schemeClr val="lt1"/>
                        </a:solidFill>
                        <a:ln w="6350">
                          <a:noFill/>
                        </a:ln>
                      </wps:spPr>
                      <wps:txbx>
                        <w:txbxContent>
                          <w:p w14:paraId="68BF9B46" w14:textId="55D06ECE" w:rsidR="00421DF5" w:rsidRPr="00421DF5" w:rsidRDefault="00421DF5" w:rsidP="00421DF5">
                            <w:pPr>
                              <w:spacing w:line="240" w:lineRule="auto"/>
                              <w:rPr>
                                <w:sz w:val="10"/>
                                <w:szCs w:val="10"/>
                              </w:rPr>
                            </w:pPr>
                            <w:proofErr w:type="spellStart"/>
                            <w:r>
                              <w:rPr>
                                <w:sz w:val="10"/>
                                <w:szCs w:val="10"/>
                              </w:rPr>
                              <w:t>Écart</w:t>
                            </w:r>
                            <w:proofErr w:type="spellEnd"/>
                            <w:r>
                              <w:rPr>
                                <w:sz w:val="10"/>
                                <w:szCs w:val="10"/>
                              </w:rPr>
                              <w:t xml:space="preserve"> (fonds à mobiliser)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2337D" id="_x0000_t202" coordsize="21600,21600" o:spt="202" path="m,l,21600r21600,l21600,xe">
                <v:stroke joinstyle="miter"/>
                <v:path gradientshapeok="t" o:connecttype="rect"/>
              </v:shapetype>
              <v:shape id="Text Box 198" o:spid="_x0000_s1026" type="#_x0000_t202" style="position:absolute;left:0;text-align:left;margin-left:357.8pt;margin-top:122.9pt;width:103.2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" fillcolor="white [3201]" stroked="f" strokeweight=".5pt">
                <v:textbox>
                  <w:txbxContent>
                    <w:p w14:paraId="68BF9B46" w14:textId="55D06ECE" w:rsidR="00421DF5" w:rsidRPr="00421DF5" w:rsidRDefault="00421DF5" w:rsidP="00421DF5">
                      <w:pPr>
                        <w:spacing w:line="240" w:lineRule="auto"/>
                        <w:rPr>
                          <w:sz w:val="10"/>
                          <w:szCs w:val="10"/>
                        </w:rPr>
                      </w:pPr>
                      <w:r>
                        <w:rPr>
                          <w:sz w:val="10"/>
                          <w:szCs w:val="10"/>
                          <w:b w:val="0"/>
                          <w:bCs w:val="0"/>
                          <w:i w:val="0"/>
                          <w:iCs w:val="0"/>
                          <w:u w:val="none"/>
                          <w:vertAlign w:val="baseline"/>
                          <w:rtl w:val="0"/>
                        </w:rPr>
                        <w:t xml:space="preserve">Écart (fonds à mobiliser)</w:t>
                      </w:r>
                    </w:p>
                  </w:txbxContent>
                </v:textbox>
              </v:shape>
            </w:pict>
          </mc:Fallback>
        </mc:AlternateContent>
      </w:r>
      <w:r w:rsidRPr="00BF083C">
        <w:rPr>
          <w:noProof/>
          <w:snapToGrid/>
          <w:lang w:val="fr-FR" w:eastAsia="fr-FR"/>
        </w:rPr>
        <w:drawing>
          <wp:anchor distT="0" distB="0" distL="114300" distR="114300" simplePos="0" relativeHeight="251674624" behindDoc="1" locked="0" layoutInCell="1" allowOverlap="1" wp14:anchorId="6AEEF60F" wp14:editId="5CE19341">
            <wp:simplePos x="0" y="0"/>
            <wp:positionH relativeFrom="column">
              <wp:posOffset>3345</wp:posOffset>
            </wp:positionH>
            <wp:positionV relativeFrom="paragraph">
              <wp:posOffset>504825</wp:posOffset>
            </wp:positionV>
            <wp:extent cx="6106795" cy="3594735"/>
            <wp:effectExtent l="0" t="0" r="8255" b="5715"/>
            <wp:wrapTight wrapText="bothSides">
              <wp:wrapPolygon edited="0">
                <wp:start x="0" y="0"/>
                <wp:lineTo x="0" y="21520"/>
                <wp:lineTo x="21562" y="21520"/>
                <wp:lineTo x="21562" y="0"/>
                <wp:lineTo x="0" y="0"/>
              </wp:wrapPolygon>
            </wp:wrapTight>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22"/>
                    <a:srcRect t="8356"/>
                    <a:stretch/>
                  </pic:blipFill>
                  <pic:spPr bwMode="auto">
                    <a:xfrm>
                      <a:off x="0" y="0"/>
                      <a:ext cx="6106795" cy="3594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83C">
        <w:rPr>
          <w:noProof/>
          <w:snapToGrid/>
          <w:lang w:val="fr-FR" w:eastAsia="fr-FR"/>
        </w:rPr>
        <mc:AlternateContent>
          <mc:Choice Requires="wps">
            <w:drawing>
              <wp:anchor distT="0" distB="0" distL="114300" distR="114300" simplePos="0" relativeHeight="251677696" behindDoc="0" locked="0" layoutInCell="1" allowOverlap="1" wp14:anchorId="2B0D07D1" wp14:editId="61B4665A">
                <wp:simplePos x="0" y="0"/>
                <wp:positionH relativeFrom="column">
                  <wp:posOffset>4544079</wp:posOffset>
                </wp:positionH>
                <wp:positionV relativeFrom="paragraph">
                  <wp:posOffset>1397768</wp:posOffset>
                </wp:positionV>
                <wp:extent cx="1311215" cy="163902"/>
                <wp:effectExtent l="0" t="0" r="3810" b="7620"/>
                <wp:wrapNone/>
                <wp:docPr id="197" name="Text Box 197"/>
                <wp:cNvGraphicFramePr/>
                <a:graphic xmlns:a="http://schemas.openxmlformats.org/drawingml/2006/main">
                  <a:graphicData uri="http://schemas.microsoft.com/office/word/2010/wordprocessingShape">
                    <wps:wsp>
                      <wps:cNvSpPr txBox="1"/>
                      <wps:spPr>
                        <a:xfrm>
                          <a:off x="0" y="0"/>
                          <a:ext cx="1311215" cy="163902"/>
                        </a:xfrm>
                        <a:prstGeom prst="rect">
                          <a:avLst/>
                        </a:prstGeom>
                        <a:solidFill>
                          <a:schemeClr val="lt1"/>
                        </a:solidFill>
                        <a:ln w="6350">
                          <a:noFill/>
                        </a:ln>
                      </wps:spPr>
                      <wps:txbx>
                        <w:txbxContent>
                          <w:p w14:paraId="5DC932EE" w14:textId="7A6CD994" w:rsidR="00421DF5" w:rsidRPr="00421DF5" w:rsidRDefault="00421DF5" w:rsidP="00421DF5">
                            <w:pPr>
                              <w:spacing w:line="240" w:lineRule="auto"/>
                              <w:rPr>
                                <w:sz w:val="10"/>
                                <w:szCs w:val="10"/>
                              </w:rPr>
                            </w:pPr>
                            <w:r>
                              <w:rPr>
                                <w:sz w:val="10"/>
                                <w:szCs w:val="10"/>
                              </w:rPr>
                              <w:t xml:space="preserve">Contributions </w:t>
                            </w:r>
                            <w:proofErr w:type="spellStart"/>
                            <w:r>
                              <w:rPr>
                                <w:sz w:val="10"/>
                                <w:szCs w:val="10"/>
                              </w:rPr>
                              <w:t>volontaires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D07D1" id="Text Box 197" o:spid="_x0000_s1027" type="#_x0000_t202" style="position:absolute;left:0;text-align:left;margin-left:357.8pt;margin-top:110.05pt;width:103.2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" fillcolor="white [3201]" stroked="f" strokeweight=".5pt">
                <v:textbox>
                  <w:txbxContent>
                    <w:p w14:paraId="5DC932EE" w14:textId="7A6CD994" w:rsidR="00421DF5" w:rsidRPr="00421DF5" w:rsidRDefault="00421DF5" w:rsidP="00421DF5">
                      <w:pPr>
                        <w:spacing w:line="240" w:lineRule="auto"/>
                        <w:rPr>
                          <w:sz w:val="10"/>
                          <w:szCs w:val="10"/>
                        </w:rPr>
                      </w:pPr>
                      <w:r>
                        <w:rPr>
                          <w:sz w:val="10"/>
                          <w:szCs w:val="10"/>
                          <w:b w:val="0"/>
                          <w:bCs w:val="0"/>
                          <w:i w:val="0"/>
                          <w:iCs w:val="0"/>
                          <w:u w:val="none"/>
                          <w:vertAlign w:val="baseline"/>
                          <w:rtl w:val="0"/>
                        </w:rPr>
                        <w:t xml:space="preserve">Contributions volontaires</w:t>
                      </w:r>
                    </w:p>
                  </w:txbxContent>
                </v:textbox>
              </v:shape>
            </w:pict>
          </mc:Fallback>
        </mc:AlternateContent>
      </w:r>
      <w:r w:rsidRPr="00BF083C">
        <w:rPr>
          <w:noProof/>
          <w:snapToGrid/>
          <w:lang w:val="fr-FR" w:eastAsia="fr-FR"/>
        </w:rPr>
        <mc:AlternateContent>
          <mc:Choice Requires="wps">
            <w:drawing>
              <wp:anchor distT="0" distB="0" distL="114300" distR="114300" simplePos="0" relativeHeight="251675648" behindDoc="0" locked="0" layoutInCell="1" allowOverlap="1" wp14:anchorId="76B5E0AA" wp14:editId="6E01E9DA">
                <wp:simplePos x="0" y="0"/>
                <wp:positionH relativeFrom="column">
                  <wp:posOffset>4541122</wp:posOffset>
                </wp:positionH>
                <wp:positionV relativeFrom="paragraph">
                  <wp:posOffset>1232706</wp:posOffset>
                </wp:positionV>
                <wp:extent cx="1310640" cy="163384"/>
                <wp:effectExtent l="0" t="0" r="3810" b="8255"/>
                <wp:wrapNone/>
                <wp:docPr id="196" name="Text Box 196"/>
                <wp:cNvGraphicFramePr/>
                <a:graphic xmlns:a="http://schemas.openxmlformats.org/drawingml/2006/main">
                  <a:graphicData uri="http://schemas.microsoft.com/office/word/2010/wordprocessingShape">
                    <wps:wsp>
                      <wps:cNvSpPr txBox="1"/>
                      <wps:spPr>
                        <a:xfrm>
                          <a:off x="0" y="0"/>
                          <a:ext cx="1310640" cy="163384"/>
                        </a:xfrm>
                        <a:prstGeom prst="rect">
                          <a:avLst/>
                        </a:prstGeom>
                        <a:solidFill>
                          <a:schemeClr val="lt1"/>
                        </a:solidFill>
                        <a:ln w="6350">
                          <a:noFill/>
                        </a:ln>
                      </wps:spPr>
                      <wps:txbx>
                        <w:txbxContent>
                          <w:p w14:paraId="47A23775" w14:textId="3ECED9CA" w:rsidR="00421DF5" w:rsidRPr="00421DF5" w:rsidRDefault="00421DF5" w:rsidP="00421DF5">
                            <w:pPr>
                              <w:spacing w:line="240" w:lineRule="auto"/>
                              <w:rPr>
                                <w:sz w:val="10"/>
                                <w:szCs w:val="10"/>
                              </w:rPr>
                            </w:pPr>
                            <w:r>
                              <w:rPr>
                                <w:sz w:val="10"/>
                                <w:szCs w:val="10"/>
                              </w:rPr>
                              <w:t>Programme ordinaire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E0AA" id="Text Box 196" o:spid="_x0000_s1028" type="#_x0000_t202" style="position:absolute;left:0;text-align:left;margin-left:357.55pt;margin-top:97.05pt;width:103.2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" fillcolor="white [3201]" stroked="f" strokeweight=".5pt">
                <v:textbox>
                  <w:txbxContent>
                    <w:p w14:paraId="47A23775" w14:textId="3ECED9CA" w:rsidR="00421DF5" w:rsidRPr="00421DF5" w:rsidRDefault="00421DF5" w:rsidP="00421DF5">
                      <w:pPr>
                        <w:spacing w:line="240" w:lineRule="auto"/>
                        <w:rPr>
                          <w:sz w:val="10"/>
                          <w:szCs w:val="10"/>
                        </w:rPr>
                      </w:pPr>
                      <w:r>
                        <w:rPr>
                          <w:sz w:val="10"/>
                          <w:szCs w:val="10"/>
                          <w:b w:val="0"/>
                          <w:bCs w:val="0"/>
                          <w:i w:val="0"/>
                          <w:iCs w:val="0"/>
                          <w:u w:val="none"/>
                          <w:vertAlign w:val="baseline"/>
                          <w:rtl w:val="0"/>
                        </w:rPr>
                        <w:t xml:space="preserve">Programme ordinaire</w:t>
                      </w:r>
                    </w:p>
                  </w:txbxContent>
                </v:textbox>
              </v:shape>
            </w:pict>
          </mc:Fallback>
        </mc:AlternateContent>
      </w:r>
      <w:r w:rsidRPr="00BF083C">
        <w:rPr>
          <w:noProof/>
          <w:lang w:val="fr-FR" w:eastAsia="fr-FR"/>
        </w:rPr>
        <mc:AlternateContent>
          <mc:Choice Requires="wpg">
            <w:drawing>
              <wp:inline distT="0" distB="0" distL="0" distR="0" wp14:anchorId="32A8A7EC" wp14:editId="460BFEB9">
                <wp:extent cx="6106795" cy="435476"/>
                <wp:effectExtent l="0" t="0" r="8255" b="22225"/>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435476"/>
                          <a:chOff x="0" y="0"/>
                          <a:chExt cx="9648" cy="688"/>
                        </a:xfrm>
                      </wpg:grpSpPr>
                      <wps:wsp>
                        <wps:cNvPr id="185" name="Line 71"/>
                        <wps:cNvCnPr>
                          <a:cxnSpLocks noChangeShapeType="1"/>
                        </wps:cNvCnPr>
                        <wps:spPr bwMode="auto">
                          <a:xfrm>
                            <a:off x="8458" y="10"/>
                            <a:ext cx="1141"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186" name="Line 72"/>
                        <wps:cNvCnPr>
                          <a:cxnSpLocks noChangeShapeType="1"/>
                        </wps:cNvCnPr>
                        <wps:spPr bwMode="auto">
                          <a:xfrm>
                            <a:off x="8391" y="10"/>
                            <a:ext cx="29" cy="0"/>
                          </a:xfrm>
                          <a:prstGeom prst="line">
                            <a:avLst/>
                          </a:prstGeom>
                          <a:noFill/>
                          <a:ln w="12700">
                            <a:solidFill>
                              <a:srgbClr val="A1DAF8"/>
                            </a:solidFill>
                            <a:prstDash val="solid"/>
                            <a:round/>
                            <a:headEnd/>
                            <a:tailEnd/>
                          </a:ln>
                          <a:extLst>
                            <a:ext uri="{909E8E84-426E-40DD-AFC4-6F175D3DCCD1}">
                              <a14:hiddenFill xmlns:a14="http://schemas.microsoft.com/office/drawing/2010/main">
                                <a:noFill/>
                              </a14:hiddenFill>
                            </a:ext>
                          </a:extLst>
                        </wps:spPr>
                        <wps:bodyPr/>
                      </wps:wsp>
                      <wps:wsp>
                        <wps:cNvPr id="187" name="Rectangle 73"/>
                        <wps:cNvSpPr>
                          <a:spLocks noChangeArrowheads="1"/>
                        </wps:cNvSpPr>
                        <wps:spPr bwMode="auto">
                          <a:xfrm>
                            <a:off x="9618" y="0"/>
                            <a:ext cx="30" cy="2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74"/>
                        <wps:cNvCnPr>
                          <a:cxnSpLocks noChangeShapeType="1"/>
                        </wps:cNvCnPr>
                        <wps:spPr bwMode="auto">
                          <a:xfrm>
                            <a:off x="9638" y="592"/>
                            <a:ext cx="0"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189" name="Rectangle 75"/>
                        <wps:cNvSpPr>
                          <a:spLocks noChangeArrowheads="1"/>
                        </wps:cNvSpPr>
                        <wps:spPr bwMode="auto">
                          <a:xfrm>
                            <a:off x="9627" y="635"/>
                            <a:ext cx="20" cy="32"/>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6"/>
                        <wps:cNvSpPr>
                          <a:spLocks noChangeArrowheads="1"/>
                        </wps:cNvSpPr>
                        <wps:spPr bwMode="auto">
                          <a:xfrm>
                            <a:off x="9627" y="20"/>
                            <a:ext cx="20" cy="32"/>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77"/>
                        <wps:cNvCnPr>
                          <a:cxnSpLocks noChangeShapeType="1"/>
                        </wps:cNvCnPr>
                        <wps:spPr bwMode="auto">
                          <a:xfrm>
                            <a:off x="8458" y="678"/>
                            <a:ext cx="1141"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192" name="Line 78"/>
                        <wps:cNvCnPr>
                          <a:cxnSpLocks noChangeShapeType="1"/>
                        </wps:cNvCnPr>
                        <wps:spPr bwMode="auto">
                          <a:xfrm>
                            <a:off x="8391" y="678"/>
                            <a:ext cx="29" cy="0"/>
                          </a:xfrm>
                          <a:prstGeom prst="line">
                            <a:avLst/>
                          </a:prstGeom>
                          <a:noFill/>
                          <a:ln w="12700">
                            <a:solidFill>
                              <a:srgbClr val="A1DAF8"/>
                            </a:solidFill>
                            <a:prstDash val="solid"/>
                            <a:round/>
                            <a:headEnd/>
                            <a:tailEnd/>
                          </a:ln>
                          <a:extLst>
                            <a:ext uri="{909E8E84-426E-40DD-AFC4-6F175D3DCCD1}">
                              <a14:hiddenFill xmlns:a14="http://schemas.microsoft.com/office/drawing/2010/main">
                                <a:noFill/>
                              </a14:hiddenFill>
                            </a:ext>
                          </a:extLst>
                        </wps:spPr>
                        <wps:bodyPr/>
                      </wps:wsp>
                      <wps:wsp>
                        <wps:cNvPr id="193" name="Rectangle 79"/>
                        <wps:cNvSpPr>
                          <a:spLocks noChangeArrowheads="1"/>
                        </wps:cNvSpPr>
                        <wps:spPr bwMode="auto">
                          <a:xfrm>
                            <a:off x="9618" y="667"/>
                            <a:ext cx="30" cy="2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Text Box 80"/>
                        <wps:cNvSpPr txBox="1">
                          <a:spLocks noChangeArrowheads="1"/>
                        </wps:cNvSpPr>
                        <wps:spPr bwMode="auto">
                          <a:xfrm>
                            <a:off x="8390" y="0"/>
                            <a:ext cx="1258"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96D4" w14:textId="77777777" w:rsidR="00F614DC" w:rsidRPr="00145994" w:rsidRDefault="00F614DC" w:rsidP="00F614DC">
                              <w:pPr>
                                <w:spacing w:before="90" w:line="235" w:lineRule="auto"/>
                                <w:ind w:left="193" w:right="200" w:hanging="1"/>
                                <w:jc w:val="center"/>
                                <w:rPr>
                                  <w:rFonts w:ascii="Century Gothic" w:hAnsi="Century Gothic"/>
                                  <w:b/>
                                  <w:vanish/>
                                  <w:sz w:val="14"/>
                                </w:rPr>
                              </w:pPr>
                              <w:r>
                                <w:rPr>
                                  <w:rFonts w:ascii="Century Gothic" w:hAnsi="Century Gothic"/>
                                  <w:b/>
                                  <w:bCs/>
                                  <w:vanish/>
                                  <w:sz w:val="14"/>
                                </w:rPr>
                                <w:t>(</w:t>
                              </w:r>
                              <w:proofErr w:type="spellStart"/>
                              <w:r>
                                <w:rPr>
                                  <w:rFonts w:ascii="Century Gothic" w:hAnsi="Century Gothic"/>
                                  <w:b/>
                                  <w:bCs/>
                                  <w:vanish/>
                                  <w:sz w:val="14"/>
                                </w:rPr>
                                <w:t>en</w:t>
                              </w:r>
                              <w:proofErr w:type="spellEnd"/>
                              <w:r>
                                <w:rPr>
                                  <w:rFonts w:ascii="Century Gothic" w:hAnsi="Century Gothic"/>
                                  <w:b/>
                                  <w:bCs/>
                                  <w:vanish/>
                                  <w:sz w:val="14"/>
                                </w:rPr>
                                <w:t xml:space="preserve"> </w:t>
                              </w:r>
                              <w:proofErr w:type="spellStart"/>
                              <w:r>
                                <w:rPr>
                                  <w:rFonts w:ascii="Century Gothic" w:hAnsi="Century Gothic"/>
                                  <w:b/>
                                  <w:bCs/>
                                  <w:vanish/>
                                  <w:sz w:val="14"/>
                                </w:rPr>
                                <w:t>milliers</w:t>
                              </w:r>
                              <w:proofErr w:type="spellEnd"/>
                              <w:r>
                                <w:rPr>
                                  <w:rFonts w:ascii="Century Gothic" w:hAnsi="Century Gothic"/>
                                  <w:b/>
                                  <w:bCs/>
                                  <w:vanish/>
                                  <w:sz w:val="14"/>
                                </w:rPr>
                                <w:t xml:space="preserve"> </w:t>
                              </w:r>
                              <w:r>
                                <w:rPr>
                                  <w:rFonts w:ascii="Century Gothic" w:hAnsi="Century Gothic"/>
                                  <w:b/>
                                  <w:bCs/>
                                  <w:vanish/>
                                  <w:w w:val="95"/>
                                  <w:sz w:val="14"/>
                                </w:rPr>
                                <w:t>de</w:t>
                              </w:r>
                              <w:r>
                                <w:rPr>
                                  <w:rFonts w:ascii="Century Gothic" w:hAnsi="Century Gothic"/>
                                  <w:b/>
                                  <w:bCs/>
                                  <w:vanish/>
                                  <w:spacing w:val="-20"/>
                                  <w:w w:val="95"/>
                                  <w:sz w:val="14"/>
                                </w:rPr>
                                <w:t xml:space="preserve"> </w:t>
                              </w:r>
                              <w:r>
                                <w:rPr>
                                  <w:rFonts w:ascii="Century Gothic" w:hAnsi="Century Gothic"/>
                                  <w:b/>
                                  <w:bCs/>
                                  <w:vanish/>
                                  <w:w w:val="95"/>
                                  <w:sz w:val="14"/>
                                </w:rPr>
                                <w:t>dollars</w:t>
                              </w:r>
                              <w:r>
                                <w:rPr>
                                  <w:rFonts w:ascii="Century Gothic" w:hAnsi="Century Gothic"/>
                                  <w:b/>
                                  <w:bCs/>
                                  <w:vanish/>
                                  <w:spacing w:val="-19"/>
                                  <w:w w:val="95"/>
                                  <w:sz w:val="14"/>
                                </w:rPr>
                                <w:t xml:space="preserve"> </w:t>
                              </w:r>
                              <w:r>
                                <w:rPr>
                                  <w:rFonts w:ascii="Century Gothic" w:hAnsi="Century Gothic"/>
                                  <w:b/>
                                  <w:bCs/>
                                  <w:vanish/>
                                  <w:spacing w:val="-6"/>
                                  <w:w w:val="95"/>
                                  <w:sz w:val="14"/>
                                </w:rPr>
                                <w:t xml:space="preserve">des </w:t>
                              </w:r>
                              <w:proofErr w:type="spellStart"/>
                              <w:r>
                                <w:rPr>
                                  <w:rFonts w:ascii="Century Gothic" w:hAnsi="Century Gothic"/>
                                  <w:b/>
                                  <w:bCs/>
                                  <w:vanish/>
                                  <w:sz w:val="14"/>
                                </w:rPr>
                                <w:t>États</w:t>
                              </w:r>
                              <w:proofErr w:type="spellEnd"/>
                              <w:r>
                                <w:rPr>
                                  <w:rFonts w:ascii="Century Gothic" w:hAnsi="Century Gothic"/>
                                  <w:b/>
                                  <w:bCs/>
                                  <w:vanish/>
                                  <w:sz w:val="14"/>
                                </w:rPr>
                                <w:t>-Unis)</w:t>
                              </w:r>
                            </w:p>
                          </w:txbxContent>
                        </wps:txbx>
                        <wps:bodyPr rot="0" vert="horz" wrap="square" lIns="0" tIns="0" rIns="0" bIns="0" anchor="t" anchorCtr="0" upright="1">
                          <a:noAutofit/>
                        </wps:bodyPr>
                      </wps:wsp>
                      <wps:wsp>
                        <wps:cNvPr id="195" name="Text Box 81"/>
                        <wps:cNvSpPr txBox="1">
                          <a:spLocks noChangeArrowheads="1"/>
                        </wps:cNvSpPr>
                        <wps:spPr bwMode="auto">
                          <a:xfrm>
                            <a:off x="0" y="10"/>
                            <a:ext cx="8391" cy="668"/>
                          </a:xfrm>
                          <a:prstGeom prst="rect">
                            <a:avLst/>
                          </a:prstGeom>
                          <a:solidFill>
                            <a:srgbClr val="C9E9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DFA77" w14:textId="77777777" w:rsidR="00F614DC" w:rsidRPr="00145994" w:rsidRDefault="00F614DC" w:rsidP="00F614DC">
                              <w:pPr>
                                <w:spacing w:before="52"/>
                                <w:ind w:left="113"/>
                                <w:rPr>
                                  <w:rFonts w:ascii="Century Gothic" w:hAnsi="Century Gothic"/>
                                  <w:b/>
                                  <w:vanish/>
                                  <w:sz w:val="24"/>
                                </w:rPr>
                              </w:pPr>
                              <w:r>
                                <w:rPr>
                                  <w:rFonts w:ascii="Century Gothic" w:hAnsi="Century Gothic"/>
                                  <w:b/>
                                  <w:bCs/>
                                  <w:vanish/>
                                  <w:sz w:val="24"/>
                                </w:rPr>
                                <w:t xml:space="preserve">Total du budget </w:t>
                              </w:r>
                              <w:proofErr w:type="spellStart"/>
                              <w:r>
                                <w:rPr>
                                  <w:rFonts w:ascii="Century Gothic" w:hAnsi="Century Gothic"/>
                                  <w:b/>
                                  <w:bCs/>
                                  <w:vanish/>
                                  <w:sz w:val="24"/>
                                </w:rPr>
                                <w:t>intégré</w:t>
                              </w:r>
                              <w:proofErr w:type="spellEnd"/>
                              <w:r>
                                <w:rPr>
                                  <w:rFonts w:ascii="Century Gothic" w:hAnsi="Century Gothic"/>
                                  <w:b/>
                                  <w:bCs/>
                                  <w:vanish/>
                                  <w:sz w:val="24"/>
                                </w:rPr>
                                <w:t xml:space="preserve"> par </w:t>
                              </w:r>
                              <w:proofErr w:type="spellStart"/>
                              <w:r>
                                <w:rPr>
                                  <w:rFonts w:ascii="Century Gothic" w:hAnsi="Century Gothic"/>
                                  <w:b/>
                                  <w:bCs/>
                                  <w:vanish/>
                                  <w:sz w:val="24"/>
                                </w:rPr>
                                <w:t>produit</w:t>
                              </w:r>
                              <w:proofErr w:type="spellEnd"/>
                              <w:r>
                                <w:rPr>
                                  <w:rFonts w:ascii="Century Gothic" w:hAnsi="Century Gothic"/>
                                  <w:b/>
                                  <w:bCs/>
                                  <w:vanish/>
                                  <w:sz w:val="24"/>
                                </w:rPr>
                                <w:t xml:space="preserve"> et par source de </w:t>
                              </w:r>
                              <w:proofErr w:type="spellStart"/>
                              <w:r>
                                <w:rPr>
                                  <w:rFonts w:ascii="Century Gothic" w:hAnsi="Century Gothic"/>
                                  <w:b/>
                                  <w:bCs/>
                                  <w:vanish/>
                                  <w:sz w:val="24"/>
                                </w:rPr>
                                <w:t>financement</w:t>
                              </w:r>
                              <w:proofErr w:type="spellEnd"/>
                            </w:p>
                          </w:txbxContent>
                        </wps:txbx>
                        <wps:bodyPr rot="0" vert="horz" wrap="square" lIns="0" tIns="0" rIns="0" bIns="0" anchor="t" anchorCtr="0" upright="1">
                          <a:noAutofit/>
                        </wps:bodyPr>
                      </wps:wsp>
                    </wpg:wgp>
                  </a:graphicData>
                </a:graphic>
              </wp:inline>
            </w:drawing>
          </mc:Choice>
          <mc:Fallback>
            <w:pict>
              <v:group w14:anchorId="32A8A7EC" id="Group 184" o:spid="_x0000_s1029" style="width:480.85pt;height:34.3pt;mso-position-horizontal-relative:char;mso-position-vertical-relative:line" coordsize="964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">
                <v:line id="Line 71" o:spid="_x0000_s1030" style="position:absolute;visibility:visible;mso-wrap-style:square" from="8458,10" to="95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" strokecolor="#a1daf8" strokeweight="1pt">
                  <v:stroke dashstyle="3 1"/>
                </v:line>
                <v:line id="Line 72" o:spid="_x0000_s1031" style="position:absolute;visibility:visible;mso-wrap-style:square" from="8391,10" to="84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" strokecolor="#a1daf8" strokeweight="1pt"/>
                <v:rect id="Rectangle 73" o:spid="_x0000_s1032" style="position:absolute;left:9618;width: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" fillcolor="#a1daf8" stroked="f"/>
                <v:line id="Line 74" o:spid="_x0000_s1033" style="position:absolute;visibility:visible;mso-wrap-style:square" from="9638,592" to="96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" strokecolor="#a1daf8" strokeweight="1pt">
                  <v:stroke dashstyle="3 1"/>
                </v:line>
                <v:rect id="Rectangle 75" o:spid="_x0000_s1034" style="position:absolute;left:9627;top:635;width:2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" fillcolor="#a1daf8" stroked="f"/>
                <v:rect id="Rectangle 76" o:spid="_x0000_s1035" style="position:absolute;left:9627;top:20;width:2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" fillcolor="#a1daf8" stroked="f"/>
                <v:line id="Line 77" o:spid="_x0000_s1036" style="position:absolute;visibility:visible;mso-wrap-style:square" from="8458,678" to="959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" strokecolor="#a1daf8" strokeweight="1pt">
                  <v:stroke dashstyle="3 1"/>
                </v:line>
                <v:line id="Line 78" o:spid="_x0000_s1037" style="position:absolute;visibility:visible;mso-wrap-style:square" from="8391,678" to="842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" strokecolor="#a1daf8" strokeweight="1pt"/>
                <v:rect id="Rectangle 79" o:spid="_x0000_s1038" style="position:absolute;left:9618;top:667;width: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" fillcolor="#a1daf8" stroked="f"/>
                <v:shapetype id="_x0000_t202" coordsize="21600,21600" o:spt="202" path="m,l,21600r21600,l21600,xe">
                  <v:stroke joinstyle="miter"/>
                  <v:path gradientshapeok="t" o:connecttype="rect"/>
                </v:shapetype>
                <v:shape id="Text Box 80" o:spid="_x0000_s1039" type="#_x0000_t202" style="position:absolute;left:8390;width:1258;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63396D4" w14:textId="77777777" w:rsidR="00F614DC" w:rsidRPr="00145994" w:rsidRDefault="00F614DC" w:rsidP="00F614DC">
                        <w:pPr>
                          <w:spacing w:before="90" w:line="235" w:lineRule="auto"/>
                          <w:ind w:left="193" w:right="200" w:hanging="1"/>
                          <w:jc w:val="center"/>
                          <w:rPr>
                            <w:rFonts w:ascii="Century Gothic" w:hAnsi="Century Gothic"/>
                            <w:b/>
                            <w:vanish/>
                            <w:sz w:val="14"/>
                          </w:rPr>
                        </w:pPr>
                        <w:r>
                          <w:rPr>
                            <w:rFonts w:ascii="Century Gothic" w:hAnsi="Century Gothic"/>
                            <w:vanish/>
                            <w:sz w:val="14"/>
                            <w:b w:val="1"/>
                            <w:bCs w:val="1"/>
                            <w:i w:val="0"/>
                            <w:iCs w:val="0"/>
                            <w:u w:val="none"/>
                            <w:vertAlign w:val="baseline"/>
                            <w:rtl w:val="0"/>
                          </w:rPr>
                          <w:t xml:space="preserve">(en milliers </w:t>
                        </w:r>
                        <w:r>
                          <w:rPr>
                            <w:rFonts w:ascii="Century Gothic" w:hAnsi="Century Gothic"/>
                            <w:vanish/>
                            <w:w w:val="95"/>
                            <w:sz w:val="14"/>
                            <w:b w:val="1"/>
                            <w:bCs w:val="1"/>
                            <w:i w:val="0"/>
                            <w:iCs w:val="0"/>
                            <w:u w:val="none"/>
                            <w:vertAlign w:val="baseline"/>
                            <w:rtl w:val="0"/>
                          </w:rPr>
                          <w:t xml:space="preserve">de</w:t>
                        </w:r>
                        <w:r>
                          <w:rPr>
                            <w:rFonts w:ascii="Century Gothic" w:hAnsi="Century Gothic"/>
                            <w:vanish/>
                            <w:spacing w:val="-20"/>
                            <w:w w:val="95"/>
                            <w:sz w:val="14"/>
                            <w:b w:val="1"/>
                            <w:bCs w:val="1"/>
                            <w:i w:val="0"/>
                            <w:iCs w:val="0"/>
                            <w:u w:val="none"/>
                            <w:vertAlign w:val="baseline"/>
                            <w:rtl w:val="0"/>
                          </w:rPr>
                          <w:t xml:space="preserve"> </w:t>
                        </w:r>
                        <w:r>
                          <w:rPr>
                            <w:rFonts w:ascii="Century Gothic" w:hAnsi="Century Gothic"/>
                            <w:vanish/>
                            <w:w w:val="95"/>
                            <w:sz w:val="14"/>
                            <w:b w:val="1"/>
                            <w:bCs w:val="1"/>
                            <w:i w:val="0"/>
                            <w:iCs w:val="0"/>
                            <w:u w:val="none"/>
                            <w:vertAlign w:val="baseline"/>
                            <w:rtl w:val="0"/>
                          </w:rPr>
                          <w:t xml:space="preserve">dollars</w:t>
                        </w:r>
                        <w:r>
                          <w:rPr>
                            <w:rFonts w:ascii="Century Gothic" w:hAnsi="Century Gothic"/>
                            <w:vanish/>
                            <w:spacing w:val="-19"/>
                            <w:w w:val="95"/>
                            <w:sz w:val="14"/>
                            <w:b w:val="1"/>
                            <w:bCs w:val="1"/>
                            <w:i w:val="0"/>
                            <w:iCs w:val="0"/>
                            <w:u w:val="none"/>
                            <w:vertAlign w:val="baseline"/>
                            <w:rtl w:val="0"/>
                          </w:rPr>
                          <w:t xml:space="preserve"> </w:t>
                        </w:r>
                        <w:r>
                          <w:rPr>
                            <w:rFonts w:ascii="Century Gothic" w:hAnsi="Century Gothic"/>
                            <w:vanish/>
                            <w:spacing w:val="-6"/>
                            <w:w w:val="95"/>
                            <w:sz w:val="14"/>
                            <w:b w:val="1"/>
                            <w:bCs w:val="1"/>
                            <w:i w:val="0"/>
                            <w:iCs w:val="0"/>
                            <w:u w:val="none"/>
                            <w:vertAlign w:val="baseline"/>
                            <w:rtl w:val="0"/>
                          </w:rPr>
                          <w:t xml:space="preserve">des </w:t>
                        </w:r>
                        <w:r>
                          <w:rPr>
                            <w:rFonts w:ascii="Century Gothic" w:hAnsi="Century Gothic"/>
                            <w:vanish/>
                            <w:sz w:val="14"/>
                            <w:b w:val="1"/>
                            <w:bCs w:val="1"/>
                            <w:i w:val="0"/>
                            <w:iCs w:val="0"/>
                            <w:u w:val="none"/>
                            <w:vertAlign w:val="baseline"/>
                            <w:rtl w:val="0"/>
                          </w:rPr>
                          <w:t xml:space="preserve">États-Unis)</w:t>
                        </w:r>
                      </w:p>
                    </w:txbxContent>
                  </v:textbox>
                </v:shape>
                <v:shape id="Text Box 81" o:spid="_x0000_s1040" type="#_x0000_t202" style="position:absolute;top:10;width:8391;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" fillcolor="#c9e9fb" stroked="f">
                  <v:textbox inset="0,0,0,0">
                    <w:txbxContent>
                      <w:p w14:paraId="042DFA77" w14:textId="77777777" w:rsidR="00F614DC" w:rsidRPr="00145994" w:rsidRDefault="00F614DC" w:rsidP="00F614DC">
                        <w:pPr>
                          <w:spacing w:before="52"/>
                          <w:ind w:left="113"/>
                          <w:rPr>
                            <w:rFonts w:ascii="Century Gothic" w:hAnsi="Century Gothic"/>
                            <w:b/>
                            <w:vanish/>
                            <w:sz w:val="24"/>
                          </w:rPr>
                        </w:pPr>
                        <w:r>
                          <w:rPr>
                            <w:rFonts w:ascii="Century Gothic" w:hAnsi="Century Gothic"/>
                            <w:vanish/>
                            <w:sz w:val="24"/>
                            <w:b w:val="1"/>
                            <w:bCs w:val="1"/>
                            <w:i w:val="0"/>
                            <w:iCs w:val="0"/>
                            <w:u w:val="none"/>
                            <w:vertAlign w:val="baseline"/>
                            <w:rtl w:val="0"/>
                          </w:rPr>
                          <w:t xml:space="preserve">Total du budget intégré par produit et par source de financement</w:t>
                        </w:r>
                      </w:p>
                    </w:txbxContent>
                  </v:textbox>
                </v:shape>
                <w10:anchorlock/>
              </v:group>
            </w:pict>
          </mc:Fallback>
        </mc:AlternateContent>
      </w:r>
    </w:p>
    <w:p w14:paraId="27C949A5" w14:textId="10D759EB" w:rsidR="00A1295C" w:rsidRPr="00BF083C" w:rsidRDefault="00A1295C">
      <w:pPr>
        <w:widowControl/>
        <w:tabs>
          <w:tab w:val="clear" w:pos="567"/>
        </w:tabs>
        <w:adjustRightInd/>
        <w:snapToGrid/>
        <w:spacing w:line="240" w:lineRule="auto"/>
        <w:jc w:val="left"/>
        <w:textAlignment w:val="auto"/>
      </w:pPr>
      <w:r w:rsidRPr="00BF083C">
        <w:br w:type="page"/>
      </w:r>
    </w:p>
    <w:p w14:paraId="309AD7D5" w14:textId="6764BF71" w:rsidR="00C45BB3" w:rsidRPr="00C45BB3" w:rsidRDefault="00C45BB3" w:rsidP="00C45BB3">
      <w:pPr>
        <w:pStyle w:val="ParaCOI"/>
        <w:numPr>
          <w:ilvl w:val="0"/>
          <w:numId w:val="23"/>
        </w:numPr>
        <w:shd w:val="clear" w:color="auto" w:fill="FFFFFF"/>
        <w:ind w:left="0" w:firstLine="0"/>
        <w:rPr>
          <w:lang w:val="fr"/>
        </w:rPr>
      </w:pPr>
      <w:r w:rsidRPr="00C45BB3">
        <w:rPr>
          <w:lang w:val="fr"/>
        </w:rPr>
        <w:lastRenderedPageBreak/>
        <w:t>Les tableaux et graphiques ci-dessous accompagnent la présentation du projet de programme et de budget de la COI 41 C/5. Ils constituent le cadre budgétaire intégré complet du projet 41 C/5 (2022-2023), et fournissent notamment les propositions d’allocations par fonctions et par activités, ainsi que des comparatifs avec le document 40 C/5 (2020-2021).</w:t>
      </w:r>
    </w:p>
    <w:p w14:paraId="2FCD8DAC" w14:textId="1F113841" w:rsidR="00236D88" w:rsidRDefault="00236D88">
      <w:pPr>
        <w:widowControl/>
        <w:tabs>
          <w:tab w:val="clear" w:pos="567"/>
        </w:tabs>
        <w:adjustRightInd/>
        <w:snapToGrid/>
        <w:spacing w:line="240" w:lineRule="auto"/>
        <w:jc w:val="left"/>
        <w:textAlignment w:val="auto"/>
      </w:pPr>
      <w:r w:rsidRPr="006A127F">
        <w:drawing>
          <wp:anchor distT="0" distB="0" distL="114300" distR="114300" simplePos="0" relativeHeight="251680768" behindDoc="1" locked="0" layoutInCell="1" allowOverlap="1" wp14:anchorId="47DE7D77" wp14:editId="7A21AD7A">
            <wp:simplePos x="0" y="0"/>
            <wp:positionH relativeFrom="column">
              <wp:posOffset>222885</wp:posOffset>
            </wp:positionH>
            <wp:positionV relativeFrom="paragraph">
              <wp:posOffset>94615</wp:posOffset>
            </wp:positionV>
            <wp:extent cx="5430520" cy="7858125"/>
            <wp:effectExtent l="0" t="0" r="8255" b="1905"/>
            <wp:wrapTight wrapText="bothSides">
              <wp:wrapPolygon edited="0">
                <wp:start x="7408" y="0"/>
                <wp:lineTo x="0" y="51"/>
                <wp:lineTo x="0" y="512"/>
                <wp:lineTo x="7334" y="819"/>
                <wp:lineTo x="7334" y="1638"/>
                <wp:lineTo x="2074" y="1997"/>
                <wp:lineTo x="2074" y="2253"/>
                <wp:lineTo x="7334" y="2457"/>
                <wp:lineTo x="7334" y="3277"/>
                <wp:lineTo x="0" y="3737"/>
                <wp:lineTo x="0" y="21554"/>
                <wp:lineTo x="21558" y="21554"/>
                <wp:lineTo x="21558" y="0"/>
                <wp:lineTo x="740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b="19643"/>
                    <a:stretch/>
                  </pic:blipFill>
                  <pic:spPr bwMode="auto">
                    <a:xfrm>
                      <a:off x="0" y="0"/>
                      <a:ext cx="5430520" cy="785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29279ECE" w14:textId="6AD957B3" w:rsidR="0043316F" w:rsidRPr="00BF083C" w:rsidRDefault="00236D88">
      <w:pPr>
        <w:widowControl/>
        <w:tabs>
          <w:tab w:val="clear" w:pos="567"/>
        </w:tabs>
        <w:adjustRightInd/>
        <w:snapToGrid/>
        <w:spacing w:line="240" w:lineRule="auto"/>
        <w:jc w:val="left"/>
        <w:textAlignment w:val="auto"/>
      </w:pPr>
      <w:r w:rsidRPr="00236D88">
        <w:rPr>
          <w:noProof/>
        </w:rPr>
        <w:lastRenderedPageBreak/>
        <w:drawing>
          <wp:anchor distT="0" distB="0" distL="114300" distR="114300" simplePos="0" relativeHeight="251681792" behindDoc="1" locked="0" layoutInCell="1" allowOverlap="1" wp14:anchorId="29D5ADA3" wp14:editId="09144CF7">
            <wp:simplePos x="0" y="0"/>
            <wp:positionH relativeFrom="column">
              <wp:posOffset>263525</wp:posOffset>
            </wp:positionH>
            <wp:positionV relativeFrom="paragraph">
              <wp:posOffset>0</wp:posOffset>
            </wp:positionV>
            <wp:extent cx="5598795" cy="5867400"/>
            <wp:effectExtent l="0" t="0" r="1905" b="0"/>
            <wp:wrapTight wrapText="bothSides">
              <wp:wrapPolygon edited="0">
                <wp:start x="0" y="0"/>
                <wp:lineTo x="0" y="9818"/>
                <wp:lineTo x="7349" y="10099"/>
                <wp:lineTo x="0" y="10099"/>
                <wp:lineTo x="0" y="19075"/>
                <wp:lineTo x="7349" y="19075"/>
                <wp:lineTo x="0" y="19356"/>
                <wp:lineTo x="0" y="21530"/>
                <wp:lineTo x="21534" y="21530"/>
                <wp:lineTo x="2153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8795" cy="5867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00" w:type="dxa"/>
        <w:tblCellMar>
          <w:left w:w="70" w:type="dxa"/>
          <w:right w:w="70" w:type="dxa"/>
        </w:tblCellMar>
        <w:tblLook w:val="04A0" w:firstRow="1" w:lastRow="0" w:firstColumn="1" w:lastColumn="0" w:noHBand="0" w:noVBand="1"/>
      </w:tblPr>
      <w:tblGrid>
        <w:gridCol w:w="1400"/>
        <w:gridCol w:w="1006"/>
        <w:gridCol w:w="982"/>
        <w:gridCol w:w="1006"/>
        <w:gridCol w:w="1006"/>
        <w:gridCol w:w="1006"/>
        <w:gridCol w:w="982"/>
        <w:gridCol w:w="1006"/>
        <w:gridCol w:w="1006"/>
      </w:tblGrid>
      <w:tr w:rsidR="00AE31B6" w:rsidRPr="00BF083C" w14:paraId="5771D3A0" w14:textId="77777777" w:rsidTr="00AE31B6">
        <w:trPr>
          <w:trHeight w:val="29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050"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IOC Function</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71EC7C"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40 C/5 (2020-2021) IBF</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8A086B"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Draft 41 C/5 (2022-2023) IBF</w:t>
            </w:r>
          </w:p>
        </w:tc>
      </w:tr>
      <w:tr w:rsidR="00AE31B6" w:rsidRPr="00BF083C" w14:paraId="34602A2B" w14:textId="77777777" w:rsidTr="00AE31B6">
        <w:trPr>
          <w:trHeight w:val="24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44D08A8D"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b/>
                <w:bCs/>
                <w:snapToGrid/>
                <w:sz w:val="18"/>
                <w:szCs w:val="18"/>
              </w:rPr>
            </w:pPr>
          </w:p>
        </w:tc>
        <w:tc>
          <w:tcPr>
            <w:tcW w:w="1006" w:type="dxa"/>
            <w:tcBorders>
              <w:top w:val="nil"/>
              <w:left w:val="nil"/>
              <w:bottom w:val="single" w:sz="4" w:space="0" w:color="auto"/>
              <w:right w:val="single" w:sz="4" w:space="0" w:color="auto"/>
            </w:tcBorders>
            <w:shd w:val="clear" w:color="auto" w:fill="auto"/>
            <w:noWrap/>
            <w:vAlign w:val="center"/>
            <w:hideMark/>
          </w:tcPr>
          <w:p w14:paraId="0F600C81"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RB</w:t>
            </w:r>
          </w:p>
        </w:tc>
        <w:tc>
          <w:tcPr>
            <w:tcW w:w="982" w:type="dxa"/>
            <w:tcBorders>
              <w:top w:val="nil"/>
              <w:left w:val="nil"/>
              <w:bottom w:val="single" w:sz="4" w:space="0" w:color="auto"/>
              <w:right w:val="single" w:sz="4" w:space="0" w:color="auto"/>
            </w:tcBorders>
            <w:shd w:val="clear" w:color="auto" w:fill="auto"/>
            <w:noWrap/>
            <w:vAlign w:val="center"/>
            <w:hideMark/>
          </w:tcPr>
          <w:p w14:paraId="72CC7D10"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VC in hand</w:t>
            </w:r>
          </w:p>
        </w:tc>
        <w:tc>
          <w:tcPr>
            <w:tcW w:w="1006" w:type="dxa"/>
            <w:tcBorders>
              <w:top w:val="nil"/>
              <w:left w:val="nil"/>
              <w:bottom w:val="single" w:sz="4" w:space="0" w:color="auto"/>
              <w:right w:val="single" w:sz="4" w:space="0" w:color="auto"/>
            </w:tcBorders>
            <w:shd w:val="clear" w:color="auto" w:fill="auto"/>
            <w:noWrap/>
            <w:vAlign w:val="center"/>
            <w:hideMark/>
          </w:tcPr>
          <w:p w14:paraId="29E6C49A"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VC gap</w:t>
            </w:r>
          </w:p>
        </w:tc>
        <w:tc>
          <w:tcPr>
            <w:tcW w:w="1006" w:type="dxa"/>
            <w:tcBorders>
              <w:top w:val="nil"/>
              <w:left w:val="nil"/>
              <w:bottom w:val="single" w:sz="4" w:space="0" w:color="auto"/>
              <w:right w:val="single" w:sz="4" w:space="0" w:color="auto"/>
            </w:tcBorders>
            <w:shd w:val="clear" w:color="auto" w:fill="auto"/>
            <w:noWrap/>
            <w:vAlign w:val="center"/>
            <w:hideMark/>
          </w:tcPr>
          <w:p w14:paraId="1511101B"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 xml:space="preserve">Total </w:t>
            </w:r>
          </w:p>
        </w:tc>
        <w:tc>
          <w:tcPr>
            <w:tcW w:w="1006" w:type="dxa"/>
            <w:tcBorders>
              <w:top w:val="nil"/>
              <w:left w:val="nil"/>
              <w:bottom w:val="single" w:sz="4" w:space="0" w:color="auto"/>
              <w:right w:val="single" w:sz="4" w:space="0" w:color="auto"/>
            </w:tcBorders>
            <w:shd w:val="clear" w:color="auto" w:fill="auto"/>
            <w:noWrap/>
            <w:vAlign w:val="center"/>
            <w:hideMark/>
          </w:tcPr>
          <w:p w14:paraId="4AA38C36"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RB</w:t>
            </w:r>
          </w:p>
        </w:tc>
        <w:tc>
          <w:tcPr>
            <w:tcW w:w="982" w:type="dxa"/>
            <w:tcBorders>
              <w:top w:val="nil"/>
              <w:left w:val="nil"/>
              <w:bottom w:val="single" w:sz="4" w:space="0" w:color="auto"/>
              <w:right w:val="single" w:sz="4" w:space="0" w:color="auto"/>
            </w:tcBorders>
            <w:shd w:val="clear" w:color="auto" w:fill="auto"/>
            <w:noWrap/>
            <w:vAlign w:val="center"/>
            <w:hideMark/>
          </w:tcPr>
          <w:p w14:paraId="7F46DA7D"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VC in hand</w:t>
            </w:r>
          </w:p>
        </w:tc>
        <w:tc>
          <w:tcPr>
            <w:tcW w:w="1006" w:type="dxa"/>
            <w:tcBorders>
              <w:top w:val="nil"/>
              <w:left w:val="nil"/>
              <w:bottom w:val="single" w:sz="4" w:space="0" w:color="auto"/>
              <w:right w:val="single" w:sz="4" w:space="0" w:color="auto"/>
            </w:tcBorders>
            <w:shd w:val="clear" w:color="auto" w:fill="auto"/>
            <w:noWrap/>
            <w:vAlign w:val="center"/>
            <w:hideMark/>
          </w:tcPr>
          <w:p w14:paraId="5C38FCAC"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VC gap</w:t>
            </w:r>
          </w:p>
        </w:tc>
        <w:tc>
          <w:tcPr>
            <w:tcW w:w="1006" w:type="dxa"/>
            <w:tcBorders>
              <w:top w:val="nil"/>
              <w:left w:val="nil"/>
              <w:bottom w:val="single" w:sz="4" w:space="0" w:color="auto"/>
              <w:right w:val="single" w:sz="4" w:space="0" w:color="auto"/>
            </w:tcBorders>
            <w:shd w:val="clear" w:color="auto" w:fill="auto"/>
            <w:noWrap/>
            <w:vAlign w:val="center"/>
            <w:hideMark/>
          </w:tcPr>
          <w:p w14:paraId="114237B7" w14:textId="77777777" w:rsidR="00AE31B6" w:rsidRPr="00BF083C" w:rsidRDefault="00AE31B6" w:rsidP="00AE31B6">
            <w:pPr>
              <w:widowControl/>
              <w:tabs>
                <w:tab w:val="clear" w:pos="567"/>
              </w:tabs>
              <w:adjustRightInd/>
              <w:snapToGrid/>
              <w:spacing w:line="240" w:lineRule="auto"/>
              <w:jc w:val="center"/>
              <w:textAlignment w:val="auto"/>
              <w:rPr>
                <w:rFonts w:ascii="Calibri" w:hAnsi="Calibri" w:cs="Calibri"/>
                <w:b/>
                <w:bCs/>
                <w:snapToGrid/>
                <w:sz w:val="18"/>
                <w:szCs w:val="18"/>
              </w:rPr>
            </w:pPr>
            <w:r w:rsidRPr="00BF083C">
              <w:rPr>
                <w:rFonts w:ascii="Calibri" w:hAnsi="Calibri" w:cs="Calibri"/>
                <w:b/>
                <w:bCs/>
                <w:snapToGrid/>
                <w:sz w:val="18"/>
                <w:szCs w:val="18"/>
              </w:rPr>
              <w:t>Total</w:t>
            </w:r>
          </w:p>
        </w:tc>
      </w:tr>
      <w:tr w:rsidR="00AE31B6" w:rsidRPr="00BF083C" w14:paraId="4BD47C92"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83E806C"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A</w:t>
            </w:r>
          </w:p>
        </w:tc>
        <w:tc>
          <w:tcPr>
            <w:tcW w:w="1006" w:type="dxa"/>
            <w:tcBorders>
              <w:top w:val="nil"/>
              <w:left w:val="nil"/>
              <w:bottom w:val="single" w:sz="4" w:space="0" w:color="auto"/>
              <w:right w:val="single" w:sz="4" w:space="0" w:color="auto"/>
            </w:tcBorders>
            <w:shd w:val="clear" w:color="auto" w:fill="auto"/>
            <w:noWrap/>
            <w:vAlign w:val="bottom"/>
            <w:hideMark/>
          </w:tcPr>
          <w:p w14:paraId="40D1900B"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205,000</w:t>
            </w:r>
          </w:p>
        </w:tc>
        <w:tc>
          <w:tcPr>
            <w:tcW w:w="982" w:type="dxa"/>
            <w:tcBorders>
              <w:top w:val="nil"/>
              <w:left w:val="nil"/>
              <w:bottom w:val="single" w:sz="4" w:space="0" w:color="auto"/>
              <w:right w:val="single" w:sz="4" w:space="0" w:color="auto"/>
            </w:tcBorders>
            <w:shd w:val="clear" w:color="auto" w:fill="auto"/>
            <w:noWrap/>
            <w:vAlign w:val="bottom"/>
            <w:hideMark/>
          </w:tcPr>
          <w:p w14:paraId="428FC38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50,000</w:t>
            </w:r>
          </w:p>
        </w:tc>
        <w:tc>
          <w:tcPr>
            <w:tcW w:w="1006" w:type="dxa"/>
            <w:tcBorders>
              <w:top w:val="nil"/>
              <w:left w:val="nil"/>
              <w:bottom w:val="single" w:sz="4" w:space="0" w:color="auto"/>
              <w:right w:val="single" w:sz="4" w:space="0" w:color="auto"/>
            </w:tcBorders>
            <w:shd w:val="clear" w:color="auto" w:fill="auto"/>
            <w:noWrap/>
            <w:vAlign w:val="bottom"/>
            <w:hideMark/>
          </w:tcPr>
          <w:p w14:paraId="204DABA0"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994,000</w:t>
            </w:r>
          </w:p>
        </w:tc>
        <w:tc>
          <w:tcPr>
            <w:tcW w:w="1006" w:type="dxa"/>
            <w:tcBorders>
              <w:top w:val="nil"/>
              <w:left w:val="nil"/>
              <w:bottom w:val="single" w:sz="4" w:space="0" w:color="auto"/>
              <w:right w:val="single" w:sz="4" w:space="0" w:color="auto"/>
            </w:tcBorders>
            <w:shd w:val="clear" w:color="auto" w:fill="auto"/>
            <w:noWrap/>
            <w:vAlign w:val="bottom"/>
            <w:hideMark/>
          </w:tcPr>
          <w:p w14:paraId="5EBDE3D4"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1,249,000</w:t>
            </w:r>
          </w:p>
        </w:tc>
        <w:tc>
          <w:tcPr>
            <w:tcW w:w="1006" w:type="dxa"/>
            <w:tcBorders>
              <w:top w:val="nil"/>
              <w:left w:val="nil"/>
              <w:bottom w:val="single" w:sz="4" w:space="0" w:color="auto"/>
              <w:right w:val="single" w:sz="4" w:space="0" w:color="auto"/>
            </w:tcBorders>
            <w:shd w:val="clear" w:color="auto" w:fill="auto"/>
            <w:noWrap/>
            <w:vAlign w:val="bottom"/>
            <w:hideMark/>
          </w:tcPr>
          <w:p w14:paraId="35DA1987"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135,745</w:t>
            </w:r>
          </w:p>
        </w:tc>
        <w:tc>
          <w:tcPr>
            <w:tcW w:w="982" w:type="dxa"/>
            <w:tcBorders>
              <w:top w:val="nil"/>
              <w:left w:val="nil"/>
              <w:bottom w:val="single" w:sz="4" w:space="0" w:color="auto"/>
              <w:right w:val="single" w:sz="4" w:space="0" w:color="auto"/>
            </w:tcBorders>
            <w:shd w:val="clear" w:color="auto" w:fill="auto"/>
            <w:noWrap/>
            <w:vAlign w:val="bottom"/>
            <w:hideMark/>
          </w:tcPr>
          <w:p w14:paraId="0B121DE6"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203,400</w:t>
            </w:r>
          </w:p>
        </w:tc>
        <w:tc>
          <w:tcPr>
            <w:tcW w:w="1006" w:type="dxa"/>
            <w:tcBorders>
              <w:top w:val="nil"/>
              <w:left w:val="nil"/>
              <w:bottom w:val="single" w:sz="4" w:space="0" w:color="auto"/>
              <w:right w:val="single" w:sz="4" w:space="0" w:color="auto"/>
            </w:tcBorders>
            <w:shd w:val="clear" w:color="auto" w:fill="auto"/>
            <w:noWrap/>
            <w:vAlign w:val="bottom"/>
            <w:hideMark/>
          </w:tcPr>
          <w:p w14:paraId="5111A977"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550,000</w:t>
            </w:r>
          </w:p>
        </w:tc>
        <w:tc>
          <w:tcPr>
            <w:tcW w:w="1006" w:type="dxa"/>
            <w:tcBorders>
              <w:top w:val="nil"/>
              <w:left w:val="nil"/>
              <w:bottom w:val="single" w:sz="4" w:space="0" w:color="auto"/>
              <w:right w:val="single" w:sz="4" w:space="0" w:color="auto"/>
            </w:tcBorders>
            <w:shd w:val="clear" w:color="auto" w:fill="auto"/>
            <w:noWrap/>
            <w:vAlign w:val="bottom"/>
            <w:hideMark/>
          </w:tcPr>
          <w:p w14:paraId="2D9F1AD1"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889,145</w:t>
            </w:r>
          </w:p>
        </w:tc>
      </w:tr>
      <w:tr w:rsidR="00AE31B6" w:rsidRPr="00BF083C" w14:paraId="2FFD10F4"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BBD32B"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B</w:t>
            </w:r>
          </w:p>
        </w:tc>
        <w:tc>
          <w:tcPr>
            <w:tcW w:w="1006" w:type="dxa"/>
            <w:tcBorders>
              <w:top w:val="nil"/>
              <w:left w:val="nil"/>
              <w:bottom w:val="single" w:sz="4" w:space="0" w:color="auto"/>
              <w:right w:val="single" w:sz="4" w:space="0" w:color="auto"/>
            </w:tcBorders>
            <w:shd w:val="clear" w:color="auto" w:fill="auto"/>
            <w:noWrap/>
            <w:vAlign w:val="bottom"/>
            <w:hideMark/>
          </w:tcPr>
          <w:p w14:paraId="0DA0E234"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567,000</w:t>
            </w:r>
          </w:p>
        </w:tc>
        <w:tc>
          <w:tcPr>
            <w:tcW w:w="982" w:type="dxa"/>
            <w:tcBorders>
              <w:top w:val="nil"/>
              <w:left w:val="nil"/>
              <w:bottom w:val="single" w:sz="4" w:space="0" w:color="auto"/>
              <w:right w:val="single" w:sz="4" w:space="0" w:color="auto"/>
            </w:tcBorders>
            <w:shd w:val="clear" w:color="auto" w:fill="auto"/>
            <w:noWrap/>
            <w:vAlign w:val="bottom"/>
            <w:hideMark/>
          </w:tcPr>
          <w:p w14:paraId="7012A69A"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220,000</w:t>
            </w:r>
          </w:p>
        </w:tc>
        <w:tc>
          <w:tcPr>
            <w:tcW w:w="1006" w:type="dxa"/>
            <w:tcBorders>
              <w:top w:val="nil"/>
              <w:left w:val="nil"/>
              <w:bottom w:val="single" w:sz="4" w:space="0" w:color="auto"/>
              <w:right w:val="single" w:sz="4" w:space="0" w:color="auto"/>
            </w:tcBorders>
            <w:shd w:val="clear" w:color="auto" w:fill="auto"/>
            <w:noWrap/>
            <w:vAlign w:val="bottom"/>
            <w:hideMark/>
          </w:tcPr>
          <w:p w14:paraId="168E4740"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1,722,200</w:t>
            </w:r>
          </w:p>
        </w:tc>
        <w:tc>
          <w:tcPr>
            <w:tcW w:w="1006" w:type="dxa"/>
            <w:tcBorders>
              <w:top w:val="nil"/>
              <w:left w:val="nil"/>
              <w:bottom w:val="single" w:sz="4" w:space="0" w:color="auto"/>
              <w:right w:val="single" w:sz="4" w:space="0" w:color="auto"/>
            </w:tcBorders>
            <w:shd w:val="clear" w:color="auto" w:fill="auto"/>
            <w:noWrap/>
            <w:vAlign w:val="bottom"/>
            <w:hideMark/>
          </w:tcPr>
          <w:p w14:paraId="6B502BE7"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2,509,200</w:t>
            </w:r>
          </w:p>
        </w:tc>
        <w:tc>
          <w:tcPr>
            <w:tcW w:w="1006" w:type="dxa"/>
            <w:tcBorders>
              <w:top w:val="nil"/>
              <w:left w:val="nil"/>
              <w:bottom w:val="single" w:sz="4" w:space="0" w:color="auto"/>
              <w:right w:val="single" w:sz="4" w:space="0" w:color="auto"/>
            </w:tcBorders>
            <w:shd w:val="clear" w:color="auto" w:fill="auto"/>
            <w:noWrap/>
            <w:vAlign w:val="bottom"/>
            <w:hideMark/>
          </w:tcPr>
          <w:p w14:paraId="7DB12BF5"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503,205</w:t>
            </w:r>
          </w:p>
        </w:tc>
        <w:tc>
          <w:tcPr>
            <w:tcW w:w="982" w:type="dxa"/>
            <w:tcBorders>
              <w:top w:val="nil"/>
              <w:left w:val="nil"/>
              <w:bottom w:val="single" w:sz="4" w:space="0" w:color="auto"/>
              <w:right w:val="single" w:sz="4" w:space="0" w:color="auto"/>
            </w:tcBorders>
            <w:shd w:val="clear" w:color="auto" w:fill="auto"/>
            <w:noWrap/>
            <w:vAlign w:val="bottom"/>
            <w:hideMark/>
          </w:tcPr>
          <w:p w14:paraId="10F05DB4"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1,714,500</w:t>
            </w:r>
          </w:p>
        </w:tc>
        <w:tc>
          <w:tcPr>
            <w:tcW w:w="1006" w:type="dxa"/>
            <w:tcBorders>
              <w:top w:val="nil"/>
              <w:left w:val="nil"/>
              <w:bottom w:val="single" w:sz="4" w:space="0" w:color="auto"/>
              <w:right w:val="single" w:sz="4" w:space="0" w:color="auto"/>
            </w:tcBorders>
            <w:shd w:val="clear" w:color="auto" w:fill="auto"/>
            <w:noWrap/>
            <w:vAlign w:val="bottom"/>
            <w:hideMark/>
          </w:tcPr>
          <w:p w14:paraId="70477411"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3,382,000</w:t>
            </w:r>
          </w:p>
        </w:tc>
        <w:tc>
          <w:tcPr>
            <w:tcW w:w="1006" w:type="dxa"/>
            <w:tcBorders>
              <w:top w:val="nil"/>
              <w:left w:val="nil"/>
              <w:bottom w:val="single" w:sz="4" w:space="0" w:color="auto"/>
              <w:right w:val="single" w:sz="4" w:space="0" w:color="auto"/>
            </w:tcBorders>
            <w:shd w:val="clear" w:color="auto" w:fill="auto"/>
            <w:noWrap/>
            <w:vAlign w:val="bottom"/>
            <w:hideMark/>
          </w:tcPr>
          <w:p w14:paraId="003C9A6E"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5,599,705</w:t>
            </w:r>
          </w:p>
        </w:tc>
      </w:tr>
      <w:tr w:rsidR="00AE31B6" w:rsidRPr="00BF083C" w14:paraId="523F2D9B"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8033D1"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C</w:t>
            </w:r>
          </w:p>
        </w:tc>
        <w:tc>
          <w:tcPr>
            <w:tcW w:w="1006" w:type="dxa"/>
            <w:tcBorders>
              <w:top w:val="nil"/>
              <w:left w:val="nil"/>
              <w:bottom w:val="single" w:sz="4" w:space="0" w:color="auto"/>
              <w:right w:val="single" w:sz="4" w:space="0" w:color="auto"/>
            </w:tcBorders>
            <w:shd w:val="clear" w:color="auto" w:fill="auto"/>
            <w:noWrap/>
            <w:vAlign w:val="bottom"/>
            <w:hideMark/>
          </w:tcPr>
          <w:p w14:paraId="43508C40"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450,000</w:t>
            </w:r>
          </w:p>
        </w:tc>
        <w:tc>
          <w:tcPr>
            <w:tcW w:w="982" w:type="dxa"/>
            <w:tcBorders>
              <w:top w:val="nil"/>
              <w:left w:val="nil"/>
              <w:bottom w:val="single" w:sz="4" w:space="0" w:color="auto"/>
              <w:right w:val="single" w:sz="4" w:space="0" w:color="auto"/>
            </w:tcBorders>
            <w:shd w:val="clear" w:color="auto" w:fill="auto"/>
            <w:noWrap/>
            <w:vAlign w:val="bottom"/>
            <w:hideMark/>
          </w:tcPr>
          <w:p w14:paraId="04215D5A"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550,000</w:t>
            </w:r>
          </w:p>
        </w:tc>
        <w:tc>
          <w:tcPr>
            <w:tcW w:w="1006" w:type="dxa"/>
            <w:tcBorders>
              <w:top w:val="nil"/>
              <w:left w:val="nil"/>
              <w:bottom w:val="single" w:sz="4" w:space="0" w:color="auto"/>
              <w:right w:val="single" w:sz="4" w:space="0" w:color="auto"/>
            </w:tcBorders>
            <w:shd w:val="clear" w:color="auto" w:fill="auto"/>
            <w:noWrap/>
            <w:vAlign w:val="bottom"/>
            <w:hideMark/>
          </w:tcPr>
          <w:p w14:paraId="0F0700F8"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2,130,000</w:t>
            </w:r>
          </w:p>
        </w:tc>
        <w:tc>
          <w:tcPr>
            <w:tcW w:w="1006" w:type="dxa"/>
            <w:tcBorders>
              <w:top w:val="nil"/>
              <w:left w:val="nil"/>
              <w:bottom w:val="single" w:sz="4" w:space="0" w:color="auto"/>
              <w:right w:val="single" w:sz="4" w:space="0" w:color="auto"/>
            </w:tcBorders>
            <w:shd w:val="clear" w:color="auto" w:fill="auto"/>
            <w:noWrap/>
            <w:vAlign w:val="bottom"/>
            <w:hideMark/>
          </w:tcPr>
          <w:p w14:paraId="1ABCD135"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3,130,000</w:t>
            </w:r>
          </w:p>
        </w:tc>
        <w:tc>
          <w:tcPr>
            <w:tcW w:w="1006" w:type="dxa"/>
            <w:tcBorders>
              <w:top w:val="nil"/>
              <w:left w:val="nil"/>
              <w:bottom w:val="single" w:sz="4" w:space="0" w:color="auto"/>
              <w:right w:val="single" w:sz="4" w:space="0" w:color="auto"/>
            </w:tcBorders>
            <w:shd w:val="clear" w:color="auto" w:fill="auto"/>
            <w:noWrap/>
            <w:vAlign w:val="bottom"/>
            <w:hideMark/>
          </w:tcPr>
          <w:p w14:paraId="58B2B10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261,045</w:t>
            </w:r>
          </w:p>
        </w:tc>
        <w:tc>
          <w:tcPr>
            <w:tcW w:w="982" w:type="dxa"/>
            <w:tcBorders>
              <w:top w:val="nil"/>
              <w:left w:val="nil"/>
              <w:bottom w:val="single" w:sz="4" w:space="0" w:color="auto"/>
              <w:right w:val="single" w:sz="4" w:space="0" w:color="auto"/>
            </w:tcBorders>
            <w:shd w:val="clear" w:color="auto" w:fill="auto"/>
            <w:noWrap/>
            <w:vAlign w:val="bottom"/>
            <w:hideMark/>
          </w:tcPr>
          <w:p w14:paraId="5A3F0E8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578,977</w:t>
            </w:r>
          </w:p>
        </w:tc>
        <w:tc>
          <w:tcPr>
            <w:tcW w:w="1006" w:type="dxa"/>
            <w:tcBorders>
              <w:top w:val="nil"/>
              <w:left w:val="nil"/>
              <w:bottom w:val="single" w:sz="4" w:space="0" w:color="auto"/>
              <w:right w:val="single" w:sz="4" w:space="0" w:color="auto"/>
            </w:tcBorders>
            <w:shd w:val="clear" w:color="auto" w:fill="auto"/>
            <w:noWrap/>
            <w:vAlign w:val="bottom"/>
            <w:hideMark/>
          </w:tcPr>
          <w:p w14:paraId="401DEDFF"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3,000,000</w:t>
            </w:r>
          </w:p>
        </w:tc>
        <w:tc>
          <w:tcPr>
            <w:tcW w:w="1006" w:type="dxa"/>
            <w:tcBorders>
              <w:top w:val="nil"/>
              <w:left w:val="nil"/>
              <w:bottom w:val="single" w:sz="4" w:space="0" w:color="auto"/>
              <w:right w:val="single" w:sz="4" w:space="0" w:color="auto"/>
            </w:tcBorders>
            <w:shd w:val="clear" w:color="auto" w:fill="auto"/>
            <w:noWrap/>
            <w:vAlign w:val="bottom"/>
            <w:hideMark/>
          </w:tcPr>
          <w:p w14:paraId="57402102"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3,840,022</w:t>
            </w:r>
          </w:p>
        </w:tc>
      </w:tr>
      <w:tr w:rsidR="00AE31B6" w:rsidRPr="00BF083C" w14:paraId="2DD0EEEA"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CC57204"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D</w:t>
            </w:r>
          </w:p>
        </w:tc>
        <w:tc>
          <w:tcPr>
            <w:tcW w:w="1006" w:type="dxa"/>
            <w:tcBorders>
              <w:top w:val="nil"/>
              <w:left w:val="nil"/>
              <w:bottom w:val="single" w:sz="4" w:space="0" w:color="auto"/>
              <w:right w:val="single" w:sz="4" w:space="0" w:color="auto"/>
            </w:tcBorders>
            <w:shd w:val="clear" w:color="auto" w:fill="auto"/>
            <w:noWrap/>
            <w:vAlign w:val="bottom"/>
            <w:hideMark/>
          </w:tcPr>
          <w:p w14:paraId="1DB3F413"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267,000</w:t>
            </w:r>
          </w:p>
        </w:tc>
        <w:tc>
          <w:tcPr>
            <w:tcW w:w="982" w:type="dxa"/>
            <w:tcBorders>
              <w:top w:val="nil"/>
              <w:left w:val="nil"/>
              <w:bottom w:val="single" w:sz="4" w:space="0" w:color="auto"/>
              <w:right w:val="single" w:sz="4" w:space="0" w:color="auto"/>
            </w:tcBorders>
            <w:shd w:val="clear" w:color="auto" w:fill="auto"/>
            <w:noWrap/>
            <w:vAlign w:val="bottom"/>
            <w:hideMark/>
          </w:tcPr>
          <w:p w14:paraId="1BA7309B"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0</w:t>
            </w:r>
          </w:p>
        </w:tc>
        <w:tc>
          <w:tcPr>
            <w:tcW w:w="1006" w:type="dxa"/>
            <w:tcBorders>
              <w:top w:val="nil"/>
              <w:left w:val="nil"/>
              <w:bottom w:val="single" w:sz="4" w:space="0" w:color="auto"/>
              <w:right w:val="single" w:sz="4" w:space="0" w:color="auto"/>
            </w:tcBorders>
            <w:shd w:val="clear" w:color="auto" w:fill="auto"/>
            <w:noWrap/>
            <w:vAlign w:val="bottom"/>
            <w:hideMark/>
          </w:tcPr>
          <w:p w14:paraId="78006A85"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2,016,000</w:t>
            </w:r>
          </w:p>
        </w:tc>
        <w:tc>
          <w:tcPr>
            <w:tcW w:w="1006" w:type="dxa"/>
            <w:tcBorders>
              <w:top w:val="nil"/>
              <w:left w:val="nil"/>
              <w:bottom w:val="single" w:sz="4" w:space="0" w:color="auto"/>
              <w:right w:val="single" w:sz="4" w:space="0" w:color="auto"/>
            </w:tcBorders>
            <w:shd w:val="clear" w:color="auto" w:fill="auto"/>
            <w:noWrap/>
            <w:vAlign w:val="bottom"/>
            <w:hideMark/>
          </w:tcPr>
          <w:p w14:paraId="430363B5"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2,283,000</w:t>
            </w:r>
          </w:p>
        </w:tc>
        <w:tc>
          <w:tcPr>
            <w:tcW w:w="1006" w:type="dxa"/>
            <w:tcBorders>
              <w:top w:val="nil"/>
              <w:left w:val="nil"/>
              <w:bottom w:val="single" w:sz="4" w:space="0" w:color="auto"/>
              <w:right w:val="single" w:sz="4" w:space="0" w:color="auto"/>
            </w:tcBorders>
            <w:shd w:val="clear" w:color="auto" w:fill="auto"/>
            <w:noWrap/>
            <w:vAlign w:val="bottom"/>
            <w:hideMark/>
          </w:tcPr>
          <w:p w14:paraId="7414E61A"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136,235</w:t>
            </w:r>
          </w:p>
        </w:tc>
        <w:tc>
          <w:tcPr>
            <w:tcW w:w="982" w:type="dxa"/>
            <w:tcBorders>
              <w:top w:val="nil"/>
              <w:left w:val="nil"/>
              <w:bottom w:val="single" w:sz="4" w:space="0" w:color="auto"/>
              <w:right w:val="single" w:sz="4" w:space="0" w:color="auto"/>
            </w:tcBorders>
            <w:shd w:val="clear" w:color="auto" w:fill="auto"/>
            <w:noWrap/>
            <w:vAlign w:val="bottom"/>
            <w:hideMark/>
          </w:tcPr>
          <w:p w14:paraId="60CC5AFF"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171,980</w:t>
            </w:r>
          </w:p>
        </w:tc>
        <w:tc>
          <w:tcPr>
            <w:tcW w:w="1006" w:type="dxa"/>
            <w:tcBorders>
              <w:top w:val="nil"/>
              <w:left w:val="nil"/>
              <w:bottom w:val="single" w:sz="4" w:space="0" w:color="auto"/>
              <w:right w:val="single" w:sz="4" w:space="0" w:color="auto"/>
            </w:tcBorders>
            <w:shd w:val="clear" w:color="auto" w:fill="auto"/>
            <w:noWrap/>
            <w:vAlign w:val="bottom"/>
            <w:hideMark/>
          </w:tcPr>
          <w:p w14:paraId="1ACBC3A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900,000</w:t>
            </w:r>
          </w:p>
        </w:tc>
        <w:tc>
          <w:tcPr>
            <w:tcW w:w="1006" w:type="dxa"/>
            <w:tcBorders>
              <w:top w:val="nil"/>
              <w:left w:val="nil"/>
              <w:bottom w:val="single" w:sz="4" w:space="0" w:color="auto"/>
              <w:right w:val="single" w:sz="4" w:space="0" w:color="auto"/>
            </w:tcBorders>
            <w:shd w:val="clear" w:color="auto" w:fill="auto"/>
            <w:noWrap/>
            <w:vAlign w:val="bottom"/>
            <w:hideMark/>
          </w:tcPr>
          <w:p w14:paraId="161E91E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1,208,215</w:t>
            </w:r>
          </w:p>
        </w:tc>
      </w:tr>
      <w:tr w:rsidR="00AE31B6" w:rsidRPr="00BF083C" w14:paraId="26A4D1E3" w14:textId="77777777" w:rsidTr="00AE31B6">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36A5B3A"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E</w:t>
            </w:r>
          </w:p>
        </w:tc>
        <w:tc>
          <w:tcPr>
            <w:tcW w:w="1006" w:type="dxa"/>
            <w:tcBorders>
              <w:top w:val="nil"/>
              <w:left w:val="nil"/>
              <w:bottom w:val="single" w:sz="4" w:space="0" w:color="auto"/>
              <w:right w:val="single" w:sz="4" w:space="0" w:color="auto"/>
            </w:tcBorders>
            <w:shd w:val="clear" w:color="auto" w:fill="auto"/>
            <w:noWrap/>
            <w:vAlign w:val="bottom"/>
            <w:hideMark/>
          </w:tcPr>
          <w:p w14:paraId="623AA034"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547,908</w:t>
            </w:r>
          </w:p>
        </w:tc>
        <w:tc>
          <w:tcPr>
            <w:tcW w:w="982" w:type="dxa"/>
            <w:tcBorders>
              <w:top w:val="nil"/>
              <w:left w:val="nil"/>
              <w:bottom w:val="single" w:sz="4" w:space="0" w:color="auto"/>
              <w:right w:val="single" w:sz="4" w:space="0" w:color="auto"/>
            </w:tcBorders>
            <w:shd w:val="clear" w:color="auto" w:fill="auto"/>
            <w:noWrap/>
            <w:vAlign w:val="bottom"/>
            <w:hideMark/>
          </w:tcPr>
          <w:p w14:paraId="7E20C673"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1,630,000</w:t>
            </w:r>
          </w:p>
        </w:tc>
        <w:tc>
          <w:tcPr>
            <w:tcW w:w="1006" w:type="dxa"/>
            <w:tcBorders>
              <w:top w:val="nil"/>
              <w:left w:val="nil"/>
              <w:bottom w:val="single" w:sz="4" w:space="0" w:color="auto"/>
              <w:right w:val="single" w:sz="4" w:space="0" w:color="auto"/>
            </w:tcBorders>
            <w:shd w:val="clear" w:color="auto" w:fill="auto"/>
            <w:noWrap/>
            <w:vAlign w:val="bottom"/>
            <w:hideMark/>
          </w:tcPr>
          <w:p w14:paraId="4A6A28A1"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4,123,000</w:t>
            </w:r>
          </w:p>
        </w:tc>
        <w:tc>
          <w:tcPr>
            <w:tcW w:w="1006" w:type="dxa"/>
            <w:tcBorders>
              <w:top w:val="nil"/>
              <w:left w:val="nil"/>
              <w:bottom w:val="single" w:sz="4" w:space="0" w:color="auto"/>
              <w:right w:val="single" w:sz="4" w:space="0" w:color="auto"/>
            </w:tcBorders>
            <w:shd w:val="clear" w:color="auto" w:fill="auto"/>
            <w:noWrap/>
            <w:vAlign w:val="bottom"/>
            <w:hideMark/>
          </w:tcPr>
          <w:p w14:paraId="65A59642"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6,300,908</w:t>
            </w:r>
          </w:p>
        </w:tc>
        <w:tc>
          <w:tcPr>
            <w:tcW w:w="1006" w:type="dxa"/>
            <w:tcBorders>
              <w:top w:val="nil"/>
              <w:left w:val="nil"/>
              <w:bottom w:val="single" w:sz="4" w:space="0" w:color="auto"/>
              <w:right w:val="single" w:sz="4" w:space="0" w:color="auto"/>
            </w:tcBorders>
            <w:shd w:val="clear" w:color="auto" w:fill="auto"/>
            <w:noWrap/>
            <w:vAlign w:val="bottom"/>
            <w:hideMark/>
          </w:tcPr>
          <w:p w14:paraId="1C823FCA"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448,760</w:t>
            </w:r>
          </w:p>
        </w:tc>
        <w:tc>
          <w:tcPr>
            <w:tcW w:w="982" w:type="dxa"/>
            <w:tcBorders>
              <w:top w:val="nil"/>
              <w:left w:val="nil"/>
              <w:bottom w:val="single" w:sz="4" w:space="0" w:color="auto"/>
              <w:right w:val="single" w:sz="4" w:space="0" w:color="auto"/>
            </w:tcBorders>
            <w:shd w:val="clear" w:color="auto" w:fill="auto"/>
            <w:noWrap/>
            <w:vAlign w:val="bottom"/>
            <w:hideMark/>
          </w:tcPr>
          <w:p w14:paraId="4BD5EBBE"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515,400</w:t>
            </w:r>
          </w:p>
        </w:tc>
        <w:tc>
          <w:tcPr>
            <w:tcW w:w="1006" w:type="dxa"/>
            <w:tcBorders>
              <w:top w:val="nil"/>
              <w:left w:val="nil"/>
              <w:bottom w:val="single" w:sz="4" w:space="0" w:color="auto"/>
              <w:right w:val="single" w:sz="4" w:space="0" w:color="auto"/>
            </w:tcBorders>
            <w:shd w:val="clear" w:color="auto" w:fill="auto"/>
            <w:noWrap/>
            <w:vAlign w:val="bottom"/>
            <w:hideMark/>
          </w:tcPr>
          <w:p w14:paraId="68C1BD2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5,436,000</w:t>
            </w:r>
          </w:p>
        </w:tc>
        <w:tc>
          <w:tcPr>
            <w:tcW w:w="1006" w:type="dxa"/>
            <w:tcBorders>
              <w:top w:val="nil"/>
              <w:left w:val="nil"/>
              <w:bottom w:val="single" w:sz="4" w:space="0" w:color="auto"/>
              <w:right w:val="single" w:sz="4" w:space="0" w:color="auto"/>
            </w:tcBorders>
            <w:shd w:val="clear" w:color="auto" w:fill="auto"/>
            <w:noWrap/>
            <w:vAlign w:val="bottom"/>
            <w:hideMark/>
          </w:tcPr>
          <w:p w14:paraId="6B83496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6,400,160</w:t>
            </w:r>
          </w:p>
        </w:tc>
      </w:tr>
      <w:tr w:rsidR="00AE31B6" w:rsidRPr="00BF083C" w14:paraId="6DCB402F" w14:textId="77777777" w:rsidTr="00AE31B6">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C14AB89"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F</w:t>
            </w:r>
          </w:p>
        </w:tc>
        <w:tc>
          <w:tcPr>
            <w:tcW w:w="1006" w:type="dxa"/>
            <w:tcBorders>
              <w:top w:val="nil"/>
              <w:left w:val="nil"/>
              <w:bottom w:val="single" w:sz="4" w:space="0" w:color="auto"/>
              <w:right w:val="single" w:sz="4" w:space="0" w:color="auto"/>
            </w:tcBorders>
            <w:shd w:val="clear" w:color="auto" w:fill="auto"/>
            <w:noWrap/>
            <w:vAlign w:val="bottom"/>
            <w:hideMark/>
          </w:tcPr>
          <w:p w14:paraId="600577D7"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394,100</w:t>
            </w:r>
          </w:p>
        </w:tc>
        <w:tc>
          <w:tcPr>
            <w:tcW w:w="982" w:type="dxa"/>
            <w:tcBorders>
              <w:top w:val="nil"/>
              <w:left w:val="nil"/>
              <w:bottom w:val="single" w:sz="4" w:space="0" w:color="auto"/>
              <w:right w:val="single" w:sz="4" w:space="0" w:color="auto"/>
            </w:tcBorders>
            <w:shd w:val="clear" w:color="auto" w:fill="auto"/>
            <w:noWrap/>
            <w:vAlign w:val="bottom"/>
            <w:hideMark/>
          </w:tcPr>
          <w:p w14:paraId="4CD36179"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150,000</w:t>
            </w:r>
          </w:p>
        </w:tc>
        <w:tc>
          <w:tcPr>
            <w:tcW w:w="1006" w:type="dxa"/>
            <w:tcBorders>
              <w:top w:val="nil"/>
              <w:left w:val="nil"/>
              <w:bottom w:val="single" w:sz="4" w:space="0" w:color="auto"/>
              <w:right w:val="single" w:sz="4" w:space="0" w:color="auto"/>
            </w:tcBorders>
            <w:shd w:val="clear" w:color="auto" w:fill="auto"/>
            <w:noWrap/>
            <w:vAlign w:val="bottom"/>
            <w:hideMark/>
          </w:tcPr>
          <w:p w14:paraId="644F4E26"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2,175,000</w:t>
            </w:r>
          </w:p>
        </w:tc>
        <w:tc>
          <w:tcPr>
            <w:tcW w:w="1006" w:type="dxa"/>
            <w:tcBorders>
              <w:top w:val="nil"/>
              <w:left w:val="nil"/>
              <w:bottom w:val="single" w:sz="4" w:space="0" w:color="auto"/>
              <w:right w:val="single" w:sz="4" w:space="0" w:color="auto"/>
            </w:tcBorders>
            <w:shd w:val="clear" w:color="auto" w:fill="auto"/>
            <w:noWrap/>
            <w:vAlign w:val="bottom"/>
            <w:hideMark/>
          </w:tcPr>
          <w:p w14:paraId="5175F6E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2,719,100</w:t>
            </w:r>
          </w:p>
        </w:tc>
        <w:tc>
          <w:tcPr>
            <w:tcW w:w="1006" w:type="dxa"/>
            <w:tcBorders>
              <w:top w:val="nil"/>
              <w:left w:val="nil"/>
              <w:bottom w:val="single" w:sz="4" w:space="0" w:color="auto"/>
              <w:right w:val="single" w:sz="4" w:space="0" w:color="auto"/>
            </w:tcBorders>
            <w:shd w:val="clear" w:color="auto" w:fill="auto"/>
            <w:noWrap/>
            <w:vAlign w:val="bottom"/>
            <w:hideMark/>
          </w:tcPr>
          <w:p w14:paraId="358EA3E3"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228,418</w:t>
            </w:r>
          </w:p>
        </w:tc>
        <w:tc>
          <w:tcPr>
            <w:tcW w:w="982" w:type="dxa"/>
            <w:tcBorders>
              <w:top w:val="nil"/>
              <w:left w:val="nil"/>
              <w:bottom w:val="single" w:sz="4" w:space="0" w:color="auto"/>
              <w:right w:val="single" w:sz="4" w:space="0" w:color="auto"/>
            </w:tcBorders>
            <w:shd w:val="clear" w:color="auto" w:fill="auto"/>
            <w:noWrap/>
            <w:vAlign w:val="bottom"/>
            <w:hideMark/>
          </w:tcPr>
          <w:p w14:paraId="3C320160"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1,201,983</w:t>
            </w:r>
          </w:p>
        </w:tc>
        <w:tc>
          <w:tcPr>
            <w:tcW w:w="1006" w:type="dxa"/>
            <w:tcBorders>
              <w:top w:val="nil"/>
              <w:left w:val="nil"/>
              <w:bottom w:val="single" w:sz="4" w:space="0" w:color="auto"/>
              <w:right w:val="single" w:sz="4" w:space="0" w:color="auto"/>
            </w:tcBorders>
            <w:shd w:val="clear" w:color="auto" w:fill="auto"/>
            <w:noWrap/>
            <w:vAlign w:val="bottom"/>
            <w:hideMark/>
          </w:tcPr>
          <w:p w14:paraId="656B8568"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2,925,000</w:t>
            </w:r>
          </w:p>
        </w:tc>
        <w:tc>
          <w:tcPr>
            <w:tcW w:w="1006" w:type="dxa"/>
            <w:tcBorders>
              <w:top w:val="nil"/>
              <w:left w:val="nil"/>
              <w:bottom w:val="single" w:sz="4" w:space="0" w:color="auto"/>
              <w:right w:val="single" w:sz="4" w:space="0" w:color="auto"/>
            </w:tcBorders>
            <w:shd w:val="clear" w:color="auto" w:fill="auto"/>
            <w:noWrap/>
            <w:vAlign w:val="bottom"/>
            <w:hideMark/>
          </w:tcPr>
          <w:p w14:paraId="68E9D633"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4,355,401</w:t>
            </w:r>
          </w:p>
        </w:tc>
      </w:tr>
      <w:tr w:rsidR="00AE31B6" w:rsidRPr="00BF083C" w14:paraId="40B3E881"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6A4D3A"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Common costs</w:t>
            </w:r>
          </w:p>
        </w:tc>
        <w:tc>
          <w:tcPr>
            <w:tcW w:w="1006" w:type="dxa"/>
            <w:tcBorders>
              <w:top w:val="nil"/>
              <w:left w:val="nil"/>
              <w:bottom w:val="single" w:sz="4" w:space="0" w:color="auto"/>
              <w:right w:val="single" w:sz="4" w:space="0" w:color="auto"/>
            </w:tcBorders>
            <w:shd w:val="clear" w:color="auto" w:fill="auto"/>
            <w:noWrap/>
            <w:vAlign w:val="bottom"/>
            <w:hideMark/>
          </w:tcPr>
          <w:p w14:paraId="6E21712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171,292</w:t>
            </w:r>
          </w:p>
        </w:tc>
        <w:tc>
          <w:tcPr>
            <w:tcW w:w="982" w:type="dxa"/>
            <w:tcBorders>
              <w:top w:val="nil"/>
              <w:left w:val="nil"/>
              <w:bottom w:val="single" w:sz="4" w:space="0" w:color="auto"/>
              <w:right w:val="single" w:sz="4" w:space="0" w:color="auto"/>
            </w:tcBorders>
            <w:shd w:val="clear" w:color="auto" w:fill="auto"/>
            <w:noWrap/>
            <w:vAlign w:val="bottom"/>
            <w:hideMark/>
          </w:tcPr>
          <w:p w14:paraId="13FFB3A7"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539BBB26"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18678476"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171,292</w:t>
            </w:r>
          </w:p>
        </w:tc>
        <w:tc>
          <w:tcPr>
            <w:tcW w:w="1006" w:type="dxa"/>
            <w:tcBorders>
              <w:top w:val="nil"/>
              <w:left w:val="nil"/>
              <w:bottom w:val="single" w:sz="4" w:space="0" w:color="auto"/>
              <w:right w:val="single" w:sz="4" w:space="0" w:color="auto"/>
            </w:tcBorders>
            <w:shd w:val="clear" w:color="auto" w:fill="auto"/>
            <w:noWrap/>
            <w:vAlign w:val="bottom"/>
            <w:hideMark/>
          </w:tcPr>
          <w:p w14:paraId="56516CA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121,392</w:t>
            </w:r>
          </w:p>
        </w:tc>
        <w:tc>
          <w:tcPr>
            <w:tcW w:w="982" w:type="dxa"/>
            <w:tcBorders>
              <w:top w:val="nil"/>
              <w:left w:val="nil"/>
              <w:bottom w:val="single" w:sz="4" w:space="0" w:color="auto"/>
              <w:right w:val="single" w:sz="4" w:space="0" w:color="auto"/>
            </w:tcBorders>
            <w:shd w:val="clear" w:color="auto" w:fill="auto"/>
            <w:noWrap/>
            <w:vAlign w:val="bottom"/>
            <w:hideMark/>
          </w:tcPr>
          <w:p w14:paraId="0CC2D91B"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2A0F9363"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329607BF"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121,392</w:t>
            </w:r>
          </w:p>
        </w:tc>
      </w:tr>
      <w:tr w:rsidR="00AE31B6" w:rsidRPr="00BF083C" w14:paraId="102B40DE"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0EB6698"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Staff (RB)</w:t>
            </w:r>
          </w:p>
        </w:tc>
        <w:tc>
          <w:tcPr>
            <w:tcW w:w="1006" w:type="dxa"/>
            <w:tcBorders>
              <w:top w:val="nil"/>
              <w:left w:val="nil"/>
              <w:bottom w:val="single" w:sz="4" w:space="0" w:color="auto"/>
              <w:right w:val="single" w:sz="4" w:space="0" w:color="auto"/>
            </w:tcBorders>
            <w:shd w:val="clear" w:color="auto" w:fill="auto"/>
            <w:noWrap/>
            <w:vAlign w:val="bottom"/>
            <w:hideMark/>
          </w:tcPr>
          <w:p w14:paraId="71CBA4D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8,271,700</w:t>
            </w:r>
          </w:p>
        </w:tc>
        <w:tc>
          <w:tcPr>
            <w:tcW w:w="982" w:type="dxa"/>
            <w:tcBorders>
              <w:top w:val="nil"/>
              <w:left w:val="nil"/>
              <w:bottom w:val="single" w:sz="4" w:space="0" w:color="auto"/>
              <w:right w:val="single" w:sz="4" w:space="0" w:color="auto"/>
            </w:tcBorders>
            <w:shd w:val="clear" w:color="auto" w:fill="auto"/>
            <w:noWrap/>
            <w:vAlign w:val="bottom"/>
            <w:hideMark/>
          </w:tcPr>
          <w:p w14:paraId="2C80B5B6"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60C7D1AB"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6CC3830E"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8,271,700</w:t>
            </w:r>
          </w:p>
        </w:tc>
        <w:tc>
          <w:tcPr>
            <w:tcW w:w="1006" w:type="dxa"/>
            <w:tcBorders>
              <w:top w:val="nil"/>
              <w:left w:val="nil"/>
              <w:bottom w:val="single" w:sz="4" w:space="0" w:color="auto"/>
              <w:right w:val="single" w:sz="4" w:space="0" w:color="auto"/>
            </w:tcBorders>
            <w:shd w:val="clear" w:color="auto" w:fill="auto"/>
            <w:noWrap/>
            <w:vAlign w:val="bottom"/>
            <w:hideMark/>
          </w:tcPr>
          <w:p w14:paraId="2387AC8B"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9,401,200</w:t>
            </w:r>
          </w:p>
        </w:tc>
        <w:tc>
          <w:tcPr>
            <w:tcW w:w="982" w:type="dxa"/>
            <w:tcBorders>
              <w:top w:val="nil"/>
              <w:left w:val="nil"/>
              <w:bottom w:val="single" w:sz="4" w:space="0" w:color="auto"/>
              <w:right w:val="single" w:sz="4" w:space="0" w:color="auto"/>
            </w:tcBorders>
            <w:shd w:val="clear" w:color="auto" w:fill="auto"/>
            <w:noWrap/>
            <w:vAlign w:val="bottom"/>
            <w:hideMark/>
          </w:tcPr>
          <w:p w14:paraId="26F31F19"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57FCCA50"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snapToGrid/>
                <w:sz w:val="18"/>
                <w:szCs w:val="18"/>
              </w:rPr>
            </w:pPr>
            <w:r w:rsidRPr="00BF083C">
              <w:rPr>
                <w:rFonts w:ascii="Calibri" w:hAnsi="Calibri" w:cs="Calibri"/>
                <w:snapToGrid/>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14:paraId="17EA3CCD"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snapToGrid/>
                <w:sz w:val="18"/>
                <w:szCs w:val="18"/>
              </w:rPr>
            </w:pPr>
            <w:r w:rsidRPr="00BF083C">
              <w:rPr>
                <w:rFonts w:ascii="Calibri" w:hAnsi="Calibri" w:cs="Calibri"/>
                <w:snapToGrid/>
                <w:sz w:val="18"/>
                <w:szCs w:val="18"/>
              </w:rPr>
              <w:t>9,401,200</w:t>
            </w:r>
          </w:p>
        </w:tc>
      </w:tr>
      <w:tr w:rsidR="00AE31B6" w:rsidRPr="00BF083C" w14:paraId="42046C74" w14:textId="77777777" w:rsidTr="00AE31B6">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664478F" w14:textId="77777777" w:rsidR="00AE31B6" w:rsidRPr="00BF083C" w:rsidRDefault="00AE31B6" w:rsidP="00AE31B6">
            <w:pPr>
              <w:widowControl/>
              <w:tabs>
                <w:tab w:val="clear" w:pos="567"/>
              </w:tabs>
              <w:adjustRightInd/>
              <w:snapToGrid/>
              <w:spacing w:line="240" w:lineRule="auto"/>
              <w:jc w:val="left"/>
              <w:textAlignment w:val="auto"/>
              <w:rPr>
                <w:rFonts w:ascii="Calibri" w:hAnsi="Calibri" w:cs="Calibri"/>
                <w:b/>
                <w:bCs/>
                <w:snapToGrid/>
                <w:sz w:val="18"/>
                <w:szCs w:val="18"/>
              </w:rPr>
            </w:pPr>
            <w:r w:rsidRPr="00BF083C">
              <w:rPr>
                <w:rFonts w:ascii="Calibri" w:hAnsi="Calibri" w:cs="Calibri"/>
                <w:b/>
                <w:bCs/>
                <w:snapToGrid/>
                <w:sz w:val="18"/>
                <w:szCs w:val="18"/>
              </w:rPr>
              <w:t>TOTAL</w:t>
            </w:r>
          </w:p>
        </w:tc>
        <w:tc>
          <w:tcPr>
            <w:tcW w:w="1006" w:type="dxa"/>
            <w:tcBorders>
              <w:top w:val="nil"/>
              <w:left w:val="nil"/>
              <w:bottom w:val="single" w:sz="4" w:space="0" w:color="auto"/>
              <w:right w:val="single" w:sz="4" w:space="0" w:color="auto"/>
            </w:tcBorders>
            <w:shd w:val="clear" w:color="auto" w:fill="auto"/>
            <w:noWrap/>
            <w:vAlign w:val="bottom"/>
            <w:hideMark/>
          </w:tcPr>
          <w:p w14:paraId="301A1AA8"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10,874,000</w:t>
            </w:r>
          </w:p>
        </w:tc>
        <w:tc>
          <w:tcPr>
            <w:tcW w:w="982" w:type="dxa"/>
            <w:tcBorders>
              <w:top w:val="nil"/>
              <w:left w:val="nil"/>
              <w:bottom w:val="single" w:sz="4" w:space="0" w:color="auto"/>
              <w:right w:val="single" w:sz="4" w:space="0" w:color="auto"/>
            </w:tcBorders>
            <w:shd w:val="clear" w:color="auto" w:fill="auto"/>
            <w:noWrap/>
            <w:vAlign w:val="bottom"/>
            <w:hideMark/>
          </w:tcPr>
          <w:p w14:paraId="747D7379"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2,600,000</w:t>
            </w:r>
          </w:p>
        </w:tc>
        <w:tc>
          <w:tcPr>
            <w:tcW w:w="1006" w:type="dxa"/>
            <w:tcBorders>
              <w:top w:val="nil"/>
              <w:left w:val="nil"/>
              <w:bottom w:val="single" w:sz="4" w:space="0" w:color="auto"/>
              <w:right w:val="single" w:sz="4" w:space="0" w:color="auto"/>
            </w:tcBorders>
            <w:shd w:val="clear" w:color="auto" w:fill="auto"/>
            <w:noWrap/>
            <w:vAlign w:val="bottom"/>
            <w:hideMark/>
          </w:tcPr>
          <w:p w14:paraId="0BC3DE00"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13,160,200</w:t>
            </w:r>
          </w:p>
        </w:tc>
        <w:tc>
          <w:tcPr>
            <w:tcW w:w="1006" w:type="dxa"/>
            <w:tcBorders>
              <w:top w:val="nil"/>
              <w:left w:val="nil"/>
              <w:bottom w:val="single" w:sz="4" w:space="0" w:color="auto"/>
              <w:right w:val="single" w:sz="4" w:space="0" w:color="auto"/>
            </w:tcBorders>
            <w:shd w:val="clear" w:color="auto" w:fill="auto"/>
            <w:noWrap/>
            <w:vAlign w:val="bottom"/>
            <w:hideMark/>
          </w:tcPr>
          <w:p w14:paraId="74284EF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26,634,200</w:t>
            </w:r>
          </w:p>
        </w:tc>
        <w:tc>
          <w:tcPr>
            <w:tcW w:w="1006" w:type="dxa"/>
            <w:tcBorders>
              <w:top w:val="nil"/>
              <w:left w:val="nil"/>
              <w:bottom w:val="single" w:sz="4" w:space="0" w:color="auto"/>
              <w:right w:val="single" w:sz="4" w:space="0" w:color="auto"/>
            </w:tcBorders>
            <w:shd w:val="clear" w:color="auto" w:fill="auto"/>
            <w:noWrap/>
            <w:vAlign w:val="bottom"/>
            <w:hideMark/>
          </w:tcPr>
          <w:p w14:paraId="496B0119"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11,236,000</w:t>
            </w:r>
          </w:p>
        </w:tc>
        <w:tc>
          <w:tcPr>
            <w:tcW w:w="982" w:type="dxa"/>
            <w:tcBorders>
              <w:top w:val="nil"/>
              <w:left w:val="nil"/>
              <w:bottom w:val="single" w:sz="4" w:space="0" w:color="auto"/>
              <w:right w:val="single" w:sz="4" w:space="0" w:color="auto"/>
            </w:tcBorders>
            <w:shd w:val="clear" w:color="auto" w:fill="auto"/>
            <w:noWrap/>
            <w:vAlign w:val="bottom"/>
            <w:hideMark/>
          </w:tcPr>
          <w:p w14:paraId="2915F71F"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4,386,240</w:t>
            </w:r>
          </w:p>
        </w:tc>
        <w:tc>
          <w:tcPr>
            <w:tcW w:w="1006" w:type="dxa"/>
            <w:tcBorders>
              <w:top w:val="nil"/>
              <w:left w:val="nil"/>
              <w:bottom w:val="single" w:sz="4" w:space="0" w:color="auto"/>
              <w:right w:val="single" w:sz="4" w:space="0" w:color="auto"/>
            </w:tcBorders>
            <w:shd w:val="clear" w:color="auto" w:fill="auto"/>
            <w:noWrap/>
            <w:vAlign w:val="bottom"/>
            <w:hideMark/>
          </w:tcPr>
          <w:p w14:paraId="4AB62E56"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16,193,000</w:t>
            </w:r>
          </w:p>
        </w:tc>
        <w:tc>
          <w:tcPr>
            <w:tcW w:w="1006" w:type="dxa"/>
            <w:tcBorders>
              <w:top w:val="nil"/>
              <w:left w:val="nil"/>
              <w:bottom w:val="single" w:sz="4" w:space="0" w:color="auto"/>
              <w:right w:val="single" w:sz="4" w:space="0" w:color="auto"/>
            </w:tcBorders>
            <w:shd w:val="clear" w:color="auto" w:fill="auto"/>
            <w:noWrap/>
            <w:vAlign w:val="bottom"/>
            <w:hideMark/>
          </w:tcPr>
          <w:p w14:paraId="4A1C7D6C" w14:textId="77777777" w:rsidR="00AE31B6" w:rsidRPr="00BF083C" w:rsidRDefault="00AE31B6" w:rsidP="00AE31B6">
            <w:pPr>
              <w:widowControl/>
              <w:tabs>
                <w:tab w:val="clear" w:pos="567"/>
              </w:tabs>
              <w:adjustRightInd/>
              <w:snapToGrid/>
              <w:spacing w:line="240" w:lineRule="auto"/>
              <w:jc w:val="right"/>
              <w:textAlignment w:val="auto"/>
              <w:rPr>
                <w:rFonts w:ascii="Calibri" w:hAnsi="Calibri" w:cs="Calibri"/>
                <w:b/>
                <w:bCs/>
                <w:snapToGrid/>
                <w:sz w:val="18"/>
                <w:szCs w:val="18"/>
              </w:rPr>
            </w:pPr>
            <w:r w:rsidRPr="00BF083C">
              <w:rPr>
                <w:rFonts w:ascii="Calibri" w:hAnsi="Calibri" w:cs="Calibri"/>
                <w:b/>
                <w:bCs/>
                <w:snapToGrid/>
                <w:sz w:val="18"/>
                <w:szCs w:val="18"/>
              </w:rPr>
              <w:t>31,815,240</w:t>
            </w:r>
          </w:p>
        </w:tc>
      </w:tr>
    </w:tbl>
    <w:p w14:paraId="36FB8963" w14:textId="0A6BB091" w:rsidR="00A1295C" w:rsidRPr="00BF083C" w:rsidRDefault="00A1295C" w:rsidP="005015A4">
      <w:pPr>
        <w:pStyle w:val="Marge"/>
        <w:tabs>
          <w:tab w:val="clear" w:pos="567"/>
          <w:tab w:val="left" w:pos="1162"/>
        </w:tabs>
        <w:spacing w:line="240" w:lineRule="auto"/>
      </w:pPr>
    </w:p>
    <w:p w14:paraId="606171C8" w14:textId="7CA35A4F" w:rsidR="00E80EDA" w:rsidRPr="00BF083C" w:rsidRDefault="00E80EDA" w:rsidP="005015A4">
      <w:pPr>
        <w:pStyle w:val="Marge"/>
        <w:tabs>
          <w:tab w:val="clear" w:pos="567"/>
          <w:tab w:val="left" w:pos="1162"/>
        </w:tabs>
        <w:spacing w:line="240" w:lineRule="auto"/>
      </w:pPr>
      <w:r w:rsidRPr="00BF083C">
        <w:rPr>
          <w:noProof/>
          <w:snapToGrid/>
          <w:lang w:val="fr-FR" w:eastAsia="fr-FR"/>
        </w:rPr>
        <w:lastRenderedPageBreak/>
        <w:drawing>
          <wp:inline distT="0" distB="0" distL="0" distR="0" wp14:anchorId="36BABF94" wp14:editId="00C7424A">
            <wp:extent cx="3086100" cy="21653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BF083C">
        <w:rPr>
          <w:noProof/>
          <w:snapToGrid/>
        </w:rPr>
        <w:t xml:space="preserve"> </w:t>
      </w:r>
      <w:r w:rsidRPr="00BF083C">
        <w:rPr>
          <w:noProof/>
          <w:snapToGrid/>
          <w:lang w:val="fr-FR" w:eastAsia="fr-FR"/>
        </w:rPr>
        <w:drawing>
          <wp:inline distT="0" distB="0" distL="0" distR="0" wp14:anchorId="0365B780" wp14:editId="21CC8229">
            <wp:extent cx="2933699" cy="2159000"/>
            <wp:effectExtent l="0" t="0" r="635"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3BA60E" w14:textId="3AA22E83" w:rsidR="002125C8" w:rsidRPr="00BF083C" w:rsidRDefault="00166860" w:rsidP="006E07C1">
      <w:pPr>
        <w:pStyle w:val="Marge"/>
        <w:tabs>
          <w:tab w:val="clear" w:pos="567"/>
          <w:tab w:val="left" w:pos="1162"/>
        </w:tabs>
        <w:spacing w:line="240" w:lineRule="auto"/>
        <w:jc w:val="center"/>
      </w:pPr>
      <w:r w:rsidRPr="00BF083C">
        <w:rPr>
          <w:noProof/>
          <w:snapToGrid/>
          <w:lang w:val="fr-FR" w:eastAsia="fr-FR"/>
        </w:rPr>
        <w:drawing>
          <wp:inline distT="0" distB="0" distL="0" distR="0" wp14:anchorId="7ADF25BD" wp14:editId="7F9C6D93">
            <wp:extent cx="5073650" cy="2476500"/>
            <wp:effectExtent l="0" t="0" r="1270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616C01" w14:textId="344FEC18" w:rsidR="002125C8" w:rsidRPr="00BF083C" w:rsidRDefault="002125C8" w:rsidP="005015A4">
      <w:pPr>
        <w:pStyle w:val="Marge"/>
        <w:tabs>
          <w:tab w:val="clear" w:pos="567"/>
          <w:tab w:val="left" w:pos="1162"/>
        </w:tabs>
        <w:spacing w:line="240" w:lineRule="auto"/>
      </w:pPr>
    </w:p>
    <w:p w14:paraId="792116E1" w14:textId="60598457" w:rsidR="002125C8" w:rsidRPr="00BF083C" w:rsidRDefault="002125C8" w:rsidP="005015A4">
      <w:pPr>
        <w:pStyle w:val="Marge"/>
        <w:tabs>
          <w:tab w:val="clear" w:pos="567"/>
          <w:tab w:val="left" w:pos="1162"/>
        </w:tabs>
        <w:spacing w:line="240" w:lineRule="auto"/>
      </w:pPr>
    </w:p>
    <w:p w14:paraId="6536F08B" w14:textId="777D2B4E" w:rsidR="002125C8" w:rsidRPr="00BF083C" w:rsidRDefault="002125C8" w:rsidP="005015A4">
      <w:pPr>
        <w:pStyle w:val="Marge"/>
        <w:tabs>
          <w:tab w:val="clear" w:pos="567"/>
          <w:tab w:val="left" w:pos="1162"/>
        </w:tabs>
        <w:spacing w:line="240" w:lineRule="auto"/>
      </w:pPr>
    </w:p>
    <w:p w14:paraId="17F3341E" w14:textId="0F38909F" w:rsidR="00A14AE8" w:rsidRPr="00BF083C" w:rsidRDefault="00A14AE8">
      <w:pPr>
        <w:widowControl/>
        <w:tabs>
          <w:tab w:val="clear" w:pos="567"/>
        </w:tabs>
        <w:adjustRightInd/>
        <w:snapToGrid/>
        <w:spacing w:line="240" w:lineRule="auto"/>
        <w:jc w:val="left"/>
        <w:textAlignment w:val="auto"/>
      </w:pPr>
      <w:r w:rsidRPr="00BF083C">
        <w:br w:type="page"/>
      </w:r>
    </w:p>
    <w:p w14:paraId="6BC1227C" w14:textId="77777777" w:rsidR="00C83E0C" w:rsidRPr="00BF083C" w:rsidRDefault="009E59AF" w:rsidP="00A14AE8">
      <w:pPr>
        <w:pStyle w:val="Marge"/>
        <w:tabs>
          <w:tab w:val="clear" w:pos="567"/>
          <w:tab w:val="left" w:pos="1162"/>
        </w:tabs>
        <w:spacing w:line="240" w:lineRule="auto"/>
        <w:jc w:val="center"/>
        <w:rPr>
          <w:b/>
        </w:rPr>
      </w:pPr>
      <w:r w:rsidRPr="009E59AF">
        <w:rPr>
          <w:b/>
          <w:bCs/>
        </w:rPr>
        <w:lastRenderedPageBreak/>
        <w:t xml:space="preserve">PROPOSITIONS D’ALLOCATIONS BUDGÉTAIRES POUR LE COMPTE SPÉCIAL </w:t>
      </w:r>
      <w:r>
        <w:rPr>
          <w:b/>
          <w:bCs/>
        </w:rPr>
        <w:br/>
      </w:r>
      <w:r w:rsidRPr="009E59AF">
        <w:rPr>
          <w:b/>
          <w:bCs/>
        </w:rPr>
        <w:t>DE LA COI 2022-2023</w:t>
      </w:r>
    </w:p>
    <w:p w14:paraId="1109AB5E" w14:textId="7282FBF7" w:rsidR="00A14AE8" w:rsidRPr="00BF083C" w:rsidRDefault="00C83E0C" w:rsidP="00C83E0C">
      <w:pPr>
        <w:pStyle w:val="Marge"/>
        <w:tabs>
          <w:tab w:val="clear" w:pos="567"/>
          <w:tab w:val="left" w:pos="1162"/>
        </w:tabs>
        <w:spacing w:line="240" w:lineRule="auto"/>
        <w:jc w:val="center"/>
        <w:rPr>
          <w:b/>
        </w:rPr>
      </w:pPr>
      <w:r w:rsidRPr="00C83E0C">
        <w:drawing>
          <wp:inline distT="0" distB="0" distL="0" distR="0" wp14:anchorId="5266A1EA" wp14:editId="71975AE8">
            <wp:extent cx="5181600" cy="845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81600" cy="8458200"/>
                    </a:xfrm>
                    <a:prstGeom prst="rect">
                      <a:avLst/>
                    </a:prstGeom>
                    <a:noFill/>
                    <a:ln>
                      <a:noFill/>
                    </a:ln>
                  </pic:spPr>
                </pic:pic>
              </a:graphicData>
            </a:graphic>
          </wp:inline>
        </w:drawing>
      </w:r>
    </w:p>
    <w:sectPr w:rsidR="00A14AE8" w:rsidRPr="00BF083C" w:rsidSect="005A69BB">
      <w:headerReference w:type="even" r:id="rId29"/>
      <w:headerReference w:type="default" r:id="rId30"/>
      <w:headerReference w:type="first" r:id="rId31"/>
      <w:type w:val="oddPage"/>
      <w:pgSz w:w="11906" w:h="16838" w:code="9"/>
      <w:pgMar w:top="-1398" w:right="1155"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89C5" w14:textId="77777777" w:rsidR="00C734D9" w:rsidRDefault="00C734D9">
      <w:r>
        <w:separator/>
      </w:r>
    </w:p>
  </w:endnote>
  <w:endnote w:type="continuationSeparator" w:id="0">
    <w:p w14:paraId="43BDBEB4" w14:textId="77777777" w:rsidR="00C734D9" w:rsidRDefault="00C734D9">
      <w:r>
        <w:continuationSeparator/>
      </w:r>
    </w:p>
  </w:endnote>
  <w:endnote w:type="continuationNotice" w:id="1">
    <w:p w14:paraId="683F4831" w14:textId="77777777" w:rsidR="00C734D9" w:rsidRDefault="00C7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MyriadPro-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598C" w14:textId="77777777" w:rsidR="00C734D9" w:rsidRDefault="00C734D9">
      <w:r>
        <w:separator/>
      </w:r>
    </w:p>
  </w:footnote>
  <w:footnote w:type="continuationSeparator" w:id="0">
    <w:p w14:paraId="638554D2" w14:textId="77777777" w:rsidR="00C734D9" w:rsidRDefault="00C734D9">
      <w:r>
        <w:continuationSeparator/>
      </w:r>
    </w:p>
  </w:footnote>
  <w:footnote w:type="continuationNotice" w:id="1">
    <w:p w14:paraId="4E57F2A8" w14:textId="77777777" w:rsidR="00C734D9" w:rsidRDefault="00C734D9"/>
  </w:footnote>
  <w:footnote w:id="2">
    <w:p w14:paraId="11DD83F1" w14:textId="6D690DBB" w:rsidR="00C516F7" w:rsidRPr="009D0EB6" w:rsidRDefault="00C516F7" w:rsidP="00EC5F05">
      <w:pPr>
        <w:pStyle w:val="FootnoteText"/>
        <w:tabs>
          <w:tab w:val="clear" w:pos="567"/>
          <w:tab w:val="left" w:pos="0"/>
        </w:tabs>
        <w:spacing w:line="240" w:lineRule="auto"/>
        <w:ind w:left="0" w:firstLine="0"/>
      </w:pPr>
      <w:r>
        <w:rPr>
          <w:rStyle w:val="FootnoteReference"/>
          <w:lang w:val="fr"/>
        </w:rPr>
        <w:footnoteRef/>
      </w:r>
      <w:r>
        <w:rPr>
          <w:lang w:val="fr"/>
        </w:rPr>
        <w:t xml:space="preserve"> D'après le cadre de fonctions approuvé figurant dans le Projet de stratégie à moyen terme de la COI pour 2022-2029..</w:t>
      </w:r>
    </w:p>
  </w:footnote>
  <w:footnote w:id="3">
    <w:p w14:paraId="0CFB683A" w14:textId="30887443" w:rsidR="00EC5F05" w:rsidRPr="00145994" w:rsidRDefault="00EC5F05" w:rsidP="00EC5F05">
      <w:pPr>
        <w:pStyle w:val="FootnoteText"/>
        <w:tabs>
          <w:tab w:val="clear" w:pos="567"/>
          <w:tab w:val="left" w:pos="0"/>
        </w:tabs>
        <w:spacing w:line="240" w:lineRule="auto"/>
        <w:ind w:left="0" w:firstLine="0"/>
        <w:rPr>
          <w:vanish/>
        </w:rPr>
      </w:pPr>
      <w:r>
        <w:rPr>
          <w:rStyle w:val="FootnoteReference"/>
          <w:vanish/>
        </w:rPr>
        <w:footnoteRef/>
      </w:r>
      <w:r>
        <w:rPr>
          <w:vanish/>
        </w:rPr>
        <w:t xml:space="preserve"> Cet indicateur s’avère également pertinent dans le cadre du produit intersectoriel 1.IP1 sur le renforcement des capacités pour améliorer la qualité de l’éducation, favoriser la créativité et promouvoir le respect de la diversité culturelle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B677" w14:textId="63EC1D4D" w:rsidR="00C516F7" w:rsidRDefault="00C516F7" w:rsidP="005A69BB">
    <w:pPr>
      <w:pStyle w:val="Header"/>
      <w:tabs>
        <w:tab w:val="clear" w:pos="8306"/>
      </w:tabs>
      <w:spacing w:line="240" w:lineRule="auto"/>
      <w:jc w:val="left"/>
      <w:rPr>
        <w:rFonts w:cs="Arial"/>
        <w:sz w:val="20"/>
        <w:szCs w:val="20"/>
      </w:rPr>
    </w:pPr>
    <w:r>
      <w:rPr>
        <w:rFonts w:cs="Arial"/>
        <w:sz w:val="20"/>
        <w:szCs w:val="20"/>
        <w:lang w:val="fr"/>
      </w:rPr>
      <w:t>IOC</w:t>
    </w:r>
    <w:r w:rsidR="008D73C8">
      <w:rPr>
        <w:rFonts w:cs="Arial"/>
        <w:sz w:val="20"/>
        <w:szCs w:val="20"/>
        <w:lang w:val="fr"/>
      </w:rPr>
      <w:t>/A</w:t>
    </w:r>
    <w:r>
      <w:rPr>
        <w:rFonts w:cs="Arial"/>
        <w:sz w:val="20"/>
        <w:szCs w:val="20"/>
        <w:lang w:val="fr"/>
      </w:rPr>
      <w:t>-31/4.2Doc</w:t>
    </w:r>
  </w:p>
  <w:p w14:paraId="68F3E14C" w14:textId="0AC11A08" w:rsidR="00C516F7" w:rsidRPr="00556C1E" w:rsidRDefault="00C516F7" w:rsidP="005A69BB">
    <w:pPr>
      <w:pStyle w:val="Header"/>
      <w:tabs>
        <w:tab w:val="clear" w:pos="8306"/>
      </w:tabs>
      <w:spacing w:line="240" w:lineRule="auto"/>
      <w:rPr>
        <w:rFonts w:cs="Arial"/>
        <w:sz w:val="20"/>
        <w:szCs w:val="20"/>
      </w:rPr>
    </w:pPr>
    <w:r>
      <w:rPr>
        <w:rFonts w:cs="Arial"/>
        <w:sz w:val="20"/>
        <w:szCs w:val="20"/>
        <w:lang w:val="fr"/>
      </w:rPr>
      <w:t>page </w:t>
    </w:r>
    <w:r>
      <w:rPr>
        <w:rFonts w:cs="Arial"/>
        <w:sz w:val="20"/>
        <w:szCs w:val="20"/>
        <w:lang w:val="fr"/>
      </w:rPr>
      <w:fldChar w:fldCharType="begin"/>
    </w:r>
    <w:r>
      <w:rPr>
        <w:rFonts w:cs="Arial"/>
        <w:sz w:val="20"/>
        <w:szCs w:val="20"/>
        <w:lang w:val="fr"/>
      </w:rPr>
      <w:instrText xml:space="preserve"> PAGE   \* MERGEFORMAT </w:instrText>
    </w:r>
    <w:r>
      <w:rPr>
        <w:rFonts w:cs="Arial"/>
        <w:sz w:val="20"/>
        <w:szCs w:val="20"/>
        <w:lang w:val="fr"/>
      </w:rPr>
      <w:fldChar w:fldCharType="separate"/>
    </w:r>
    <w:r w:rsidR="00BF083C">
      <w:rPr>
        <w:rFonts w:cs="Arial"/>
        <w:noProof/>
        <w:sz w:val="20"/>
        <w:szCs w:val="20"/>
        <w:lang w:val="fr"/>
      </w:rPr>
      <w:t>4</w:t>
    </w:r>
    <w:r>
      <w:rPr>
        <w:rFonts w:cs="Arial"/>
        <w:noProof/>
        <w:sz w:val="20"/>
        <w:szCs w:val="20"/>
        <w:lang w:val="fr"/>
      </w:rPr>
      <w:fldChar w:fldCharType="end"/>
    </w:r>
  </w:p>
  <w:p w14:paraId="7800B055" w14:textId="77777777" w:rsidR="00C516F7" w:rsidRDefault="00C5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ADF2" w14:textId="6686F387" w:rsidR="00C516F7" w:rsidRDefault="00C516F7" w:rsidP="00556C1E">
    <w:pPr>
      <w:pStyle w:val="Header"/>
      <w:tabs>
        <w:tab w:val="clear" w:pos="8306"/>
      </w:tabs>
      <w:spacing w:line="240" w:lineRule="auto"/>
      <w:jc w:val="right"/>
      <w:rPr>
        <w:rFonts w:cs="Arial"/>
        <w:sz w:val="20"/>
        <w:szCs w:val="20"/>
      </w:rPr>
    </w:pPr>
    <w:r>
      <w:rPr>
        <w:rFonts w:cs="Arial"/>
        <w:sz w:val="20"/>
        <w:szCs w:val="20"/>
        <w:lang w:val="fr"/>
      </w:rPr>
      <w:t>IOC/EC-53/5.1(2)</w:t>
    </w:r>
  </w:p>
  <w:p w14:paraId="033701EC" w14:textId="45CB7D8C" w:rsidR="00C516F7" w:rsidRPr="00556C1E" w:rsidRDefault="00C516F7" w:rsidP="00AC2957">
    <w:pPr>
      <w:pStyle w:val="Header"/>
      <w:tabs>
        <w:tab w:val="clear" w:pos="8306"/>
      </w:tabs>
      <w:spacing w:line="240" w:lineRule="auto"/>
      <w:ind w:left="12738"/>
      <w:jc w:val="left"/>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21</w:t>
    </w:r>
    <w:r>
      <w:rPr>
        <w:rStyle w:val="PageNumber"/>
        <w:rFonts w:cs="Arial"/>
        <w:sz w:val="20"/>
        <w:szCs w:val="20"/>
        <w:lang w:val="fr"/>
      </w:rPr>
      <w:fldChar w:fldCharType="end"/>
    </w:r>
  </w:p>
  <w:p w14:paraId="70516883" w14:textId="77777777" w:rsidR="00C516F7" w:rsidRPr="00003B31" w:rsidRDefault="00C516F7" w:rsidP="00217892">
    <w:pPr>
      <w:pStyle w:val="Header"/>
      <w:spacing w:line="240" w:lineRule="auto"/>
      <w:ind w:firstLine="8077"/>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1FD5" w14:textId="351C9F74" w:rsidR="00C516F7" w:rsidRDefault="00C516F7" w:rsidP="008D73C8">
    <w:pPr>
      <w:pStyle w:val="Marge"/>
      <w:tabs>
        <w:tab w:val="left" w:pos="6096"/>
      </w:tabs>
      <w:spacing w:after="0" w:line="240" w:lineRule="auto"/>
      <w:rPr>
        <w:rFonts w:cs="Arial"/>
        <w:b/>
        <w:szCs w:val="22"/>
      </w:rPr>
    </w:pPr>
    <w:r>
      <w:rPr>
        <w:rFonts w:cs="Arial"/>
        <w:szCs w:val="22"/>
        <w:lang w:val="fr"/>
      </w:rPr>
      <w:t>Distribution limitée</w:t>
    </w:r>
    <w:r>
      <w:rPr>
        <w:rFonts w:cs="Arial"/>
        <w:szCs w:val="22"/>
        <w:lang w:val="fr"/>
      </w:rPr>
      <w:tab/>
    </w:r>
    <w:r>
      <w:rPr>
        <w:rFonts w:cs="Arial"/>
        <w:b/>
        <w:bCs/>
        <w:sz w:val="36"/>
        <w:szCs w:val="36"/>
        <w:lang w:val="fr"/>
      </w:rPr>
      <w:t>IOC</w:t>
    </w:r>
    <w:r w:rsidR="008D73C8">
      <w:rPr>
        <w:rFonts w:cs="Arial"/>
        <w:b/>
        <w:bCs/>
        <w:sz w:val="36"/>
        <w:szCs w:val="36"/>
        <w:lang w:val="fr"/>
      </w:rPr>
      <w:t>/A</w:t>
    </w:r>
    <w:r>
      <w:rPr>
        <w:rFonts w:cs="Arial"/>
        <w:b/>
        <w:bCs/>
        <w:sz w:val="36"/>
        <w:szCs w:val="36"/>
        <w:lang w:val="fr"/>
      </w:rPr>
      <w:t>-31/4.2Doc</w:t>
    </w:r>
  </w:p>
  <w:p w14:paraId="34FA0094" w14:textId="73D9922E" w:rsidR="00C516F7" w:rsidRPr="005E544C" w:rsidRDefault="00C516F7" w:rsidP="008D73C8">
    <w:pPr>
      <w:tabs>
        <w:tab w:val="clear" w:pos="567"/>
        <w:tab w:val="left" w:pos="6096"/>
      </w:tabs>
      <w:spacing w:line="240" w:lineRule="auto"/>
      <w:jc w:val="left"/>
      <w:rPr>
        <w:rFonts w:cs="Arial"/>
        <w:szCs w:val="22"/>
      </w:rPr>
    </w:pPr>
    <w:r>
      <w:rPr>
        <w:rFonts w:cs="Arial"/>
        <w:szCs w:val="22"/>
        <w:lang w:val="fr"/>
      </w:rPr>
      <w:tab/>
      <w:t>Paris, 15 avril 2021</w:t>
    </w:r>
  </w:p>
  <w:p w14:paraId="75F4EB34" w14:textId="77777777" w:rsidR="00C516F7" w:rsidRPr="005E544C" w:rsidRDefault="00C516F7" w:rsidP="008D73C8">
    <w:pPr>
      <w:tabs>
        <w:tab w:val="clear" w:pos="567"/>
        <w:tab w:val="left" w:pos="6096"/>
      </w:tabs>
      <w:spacing w:line="240" w:lineRule="auto"/>
      <w:jc w:val="left"/>
      <w:rPr>
        <w:rFonts w:cs="Arial"/>
        <w:szCs w:val="22"/>
      </w:rPr>
    </w:pPr>
    <w:r>
      <w:rPr>
        <w:rFonts w:cs="Arial"/>
        <w:szCs w:val="22"/>
        <w:lang w:val="fr"/>
      </w:rPr>
      <w:tab/>
      <w:t xml:space="preserve">Original : Anglais </w:t>
    </w:r>
  </w:p>
  <w:p w14:paraId="4FF027FF"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4B3B3016"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38B09CA7" w14:textId="77777777" w:rsidR="00C516F7" w:rsidRPr="008D73C8" w:rsidRDefault="00C516F7" w:rsidP="008D73C8">
    <w:pPr>
      <w:tabs>
        <w:tab w:val="left" w:pos="-1440"/>
        <w:tab w:val="left" w:pos="-720"/>
        <w:tab w:val="left" w:pos="720"/>
        <w:tab w:val="left" w:pos="2160"/>
        <w:tab w:val="left" w:pos="3600"/>
        <w:tab w:val="left" w:pos="4320"/>
        <w:tab w:val="left" w:pos="5040"/>
        <w:tab w:val="left" w:pos="5523"/>
        <w:tab w:val="left" w:pos="6480"/>
      </w:tabs>
      <w:spacing w:line="240" w:lineRule="auto"/>
      <w:ind w:left="2772"/>
      <w:jc w:val="left"/>
      <w:rPr>
        <w:rFonts w:cs="Arial"/>
        <w:b/>
        <w:szCs w:val="22"/>
      </w:rPr>
    </w:pPr>
    <w:r w:rsidRPr="008D73C8">
      <w:rPr>
        <w:noProof/>
        <w:snapToGrid/>
        <w:szCs w:val="22"/>
        <w:lang w:val="fr-FR" w:eastAsia="fr-FR"/>
      </w:rPr>
      <w:drawing>
        <wp:anchor distT="0" distB="0" distL="114300" distR="114300" simplePos="0" relativeHeight="251669504" behindDoc="1" locked="0" layoutInCell="1" allowOverlap="1" wp14:anchorId="3F0B33BA" wp14:editId="2BCC41E9">
          <wp:simplePos x="0" y="0"/>
          <wp:positionH relativeFrom="column">
            <wp:posOffset>-142240</wp:posOffset>
          </wp:positionH>
          <wp:positionV relativeFrom="paragraph">
            <wp:posOffset>1270</wp:posOffset>
          </wp:positionV>
          <wp:extent cx="1714500" cy="881380"/>
          <wp:effectExtent l="0" t="0" r="0" b="0"/>
          <wp:wrapSquare wrapText="bothSides"/>
          <wp:docPr id="25" name="Image 16"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3C8">
      <w:rPr>
        <w:b/>
        <w:bCs/>
        <w:szCs w:val="22"/>
        <w:lang w:val="fr"/>
      </w:rPr>
      <w:t>COMMISSION OCÉANOGRAPHIQUE INTERGOUVERNEMENTALE</w:t>
    </w:r>
  </w:p>
  <w:p w14:paraId="6A767248" w14:textId="77777777" w:rsidR="00C516F7" w:rsidRPr="008D73C8" w:rsidRDefault="00C516F7" w:rsidP="005A69BB">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Cs w:val="22"/>
      </w:rPr>
    </w:pPr>
    <w:r w:rsidRPr="008D73C8">
      <w:rPr>
        <w:rFonts w:cs="Arial"/>
        <w:b/>
        <w:bCs/>
        <w:szCs w:val="22"/>
        <w:lang w:val="fr"/>
      </w:rPr>
      <w:t>(de l'UNESCO)</w:t>
    </w:r>
  </w:p>
  <w:p w14:paraId="5D0B1629"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0D5E1337" w14:textId="77777777" w:rsidR="00C516F7" w:rsidRPr="00BF254D" w:rsidRDefault="00C516F7" w:rsidP="005A69BB">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bCs/>
        <w:lang w:val="fr"/>
      </w:rPr>
      <w:t>Trente et unième session de l'Assemblée</w:t>
    </w:r>
  </w:p>
  <w:p w14:paraId="6D13E32B" w14:textId="77777777" w:rsidR="00C516F7" w:rsidRPr="00423BDE" w:rsidRDefault="00C516F7" w:rsidP="005A69BB">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lang w:val="fr"/>
      </w:rPr>
      <w:t>UNESCO, 14-25 juin 2021</w:t>
    </w:r>
  </w:p>
  <w:p w14:paraId="2EFEDFAF" w14:textId="77777777" w:rsidR="00C516F7" w:rsidRPr="005E544C" w:rsidRDefault="00C516F7" w:rsidP="005A69BB">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02D8082E" w14:textId="77777777" w:rsidR="00C516F7" w:rsidRDefault="00C516F7" w:rsidP="005A69BB">
    <w:pPr>
      <w:spacing w:line="240" w:lineRule="auto"/>
      <w:jc w:val="center"/>
      <w:rPr>
        <w:rFonts w:cs="Arial"/>
        <w:szCs w:val="22"/>
      </w:rPr>
    </w:pPr>
  </w:p>
  <w:p w14:paraId="34BE8AC1" w14:textId="77777777" w:rsidR="00C516F7" w:rsidRDefault="00C516F7" w:rsidP="005A69BB">
    <w:pPr>
      <w:jc w:val="center"/>
      <w:rPr>
        <w:rFonts w:cs="Arial"/>
        <w:szCs w:val="22"/>
      </w:rPr>
    </w:pPr>
  </w:p>
  <w:p w14:paraId="0CDDD0E1" w14:textId="77777777" w:rsidR="00C516F7" w:rsidRPr="005E544C" w:rsidRDefault="00C516F7" w:rsidP="005A69BB">
    <w:pPr>
      <w:jc w:val="center"/>
      <w:rPr>
        <w:rFonts w:cs="Arial"/>
        <w:szCs w:val="22"/>
      </w:rPr>
    </w:pPr>
  </w:p>
  <w:p w14:paraId="34A30C26" w14:textId="77777777" w:rsidR="00C516F7" w:rsidRPr="005E544C" w:rsidRDefault="00C516F7" w:rsidP="005A69BB">
    <w:pPr>
      <w:jc w:val="center"/>
      <w:rPr>
        <w:rFonts w:cs="Arial"/>
        <w:szCs w:val="22"/>
      </w:rPr>
    </w:pPr>
  </w:p>
  <w:p w14:paraId="6E15E16C" w14:textId="2A0342AA" w:rsidR="00C516F7" w:rsidRPr="008D2398" w:rsidRDefault="00C516F7" w:rsidP="005A69BB">
    <w:pPr>
      <w:pStyle w:val="Heading7"/>
      <w:tabs>
        <w:tab w:val="right" w:pos="9540"/>
      </w:tabs>
      <w:spacing w:line="240" w:lineRule="auto"/>
      <w:rPr>
        <w:rFonts w:cs="Arial"/>
        <w:sz w:val="24"/>
        <w:u w:val="none"/>
      </w:rPr>
    </w:pPr>
    <w:r>
      <w:rPr>
        <w:rFonts w:cs="Arial"/>
        <w:sz w:val="24"/>
        <w:lang w:val="fr"/>
      </w:rPr>
      <w:t>Points </w:t>
    </w:r>
    <w:r>
      <w:rPr>
        <w:rFonts w:cs="Arial"/>
        <w:b/>
        <w:bCs/>
        <w:sz w:val="24"/>
        <w:lang w:val="fr"/>
      </w:rPr>
      <w:t>4.2</w:t>
    </w:r>
    <w:r>
      <w:rPr>
        <w:rFonts w:cs="Arial"/>
        <w:sz w:val="24"/>
        <w:lang w:val="fr"/>
      </w:rPr>
      <w:t xml:space="preserve"> et </w:t>
    </w:r>
    <w:r>
      <w:rPr>
        <w:rFonts w:cs="Arial"/>
        <w:b/>
        <w:bCs/>
        <w:sz w:val="24"/>
        <w:lang w:val="fr"/>
      </w:rPr>
      <w:t>4.4</w:t>
    </w:r>
    <w:r>
      <w:rPr>
        <w:rFonts w:cs="Arial"/>
        <w:sz w:val="24"/>
        <w:lang w:val="fr"/>
      </w:rPr>
      <w:t xml:space="preserve"> de l'ordre du jour provisoire</w:t>
    </w:r>
  </w:p>
  <w:p w14:paraId="5875E159" w14:textId="77777777" w:rsidR="00C516F7" w:rsidRPr="005E544C" w:rsidRDefault="00C516F7" w:rsidP="005A69BB">
    <w:pPr>
      <w:spacing w:line="240" w:lineRule="auto"/>
      <w:rPr>
        <w:rFonts w:cs="Arial"/>
        <w:szCs w:val="22"/>
      </w:rPr>
    </w:pPr>
  </w:p>
  <w:p w14:paraId="3D52E993" w14:textId="77777777" w:rsidR="00C516F7" w:rsidRPr="005E544C" w:rsidRDefault="00C516F7" w:rsidP="005A69BB">
    <w:pPr>
      <w:spacing w:line="240" w:lineRule="auto"/>
      <w:rPr>
        <w:rFonts w:cs="Arial"/>
        <w:szCs w:val="22"/>
      </w:rPr>
    </w:pPr>
  </w:p>
  <w:p w14:paraId="30D788DD" w14:textId="77777777" w:rsidR="00C516F7" w:rsidRDefault="00C516F7" w:rsidP="005A69BB">
    <w:pPr>
      <w:pStyle w:val="Docheading"/>
      <w:spacing w:after="0" w:line="240" w:lineRule="auto"/>
    </w:pPr>
    <w:r>
      <w:rPr>
        <w:lang w:val="fr"/>
      </w:rPr>
      <w:t xml:space="preserve">projet de programme et de budget pour 2022-2025 (41 C/5) </w:t>
    </w:r>
  </w:p>
  <w:p w14:paraId="57AA65AB" w14:textId="77777777" w:rsidR="00C516F7" w:rsidRDefault="00C516F7" w:rsidP="005A69BB">
    <w:pPr>
      <w:pStyle w:val="Docheading"/>
      <w:spacing w:after="0" w:line="240" w:lineRule="auto"/>
    </w:pPr>
    <w:r>
      <w:rPr>
        <w:lang w:val="fr"/>
      </w:rPr>
      <w:t>premier exercice biennal 2022-2023</w:t>
    </w:r>
  </w:p>
  <w:p w14:paraId="02CC5735" w14:textId="4B72E71A" w:rsidR="00C516F7" w:rsidRPr="00556C1E" w:rsidRDefault="00C516F7" w:rsidP="00AC2957">
    <w:pPr>
      <w:pStyle w:val="Header"/>
      <w:spacing w:line="240" w:lineRule="auto"/>
      <w:ind w:left="12474"/>
      <w:rPr>
        <w:rStyle w:val="PageNumbe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sidR="00BF083C">
      <w:rPr>
        <w:rStyle w:val="PageNumber"/>
        <w:rFonts w:cs="Arial"/>
        <w:noProof/>
        <w:sz w:val="20"/>
        <w:szCs w:val="20"/>
        <w:lang w:val="fr"/>
      </w:rPr>
      <w:t>1</w:t>
    </w:r>
    <w:r>
      <w:rPr>
        <w:rStyle w:val="PageNumber"/>
        <w:rFonts w:cs="Arial"/>
        <w:sz w:val="20"/>
        <w:szCs w:val="20"/>
        <w:lang w:val="fr"/>
      </w:rPr>
      <w:fldChar w:fldCharType="end"/>
    </w:r>
  </w:p>
  <w:p w14:paraId="743A2E1E"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67456" behindDoc="0" locked="0" layoutInCell="1" allowOverlap="1" wp14:anchorId="770838FF" wp14:editId="117F8866">
              <wp:simplePos x="0" y="0"/>
              <wp:positionH relativeFrom="rightMargin">
                <wp:posOffset>2598420</wp:posOffset>
              </wp:positionH>
              <wp:positionV relativeFrom="page">
                <wp:posOffset>6175375</wp:posOffset>
              </wp:positionV>
              <wp:extent cx="1245235" cy="539750"/>
              <wp:effectExtent l="0" t="8572" r="3492" b="3493"/>
              <wp:wrapTopAndBottom/>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0AE6388D" w14:textId="77777777" w:rsidR="00C516F7" w:rsidRPr="00556C1E" w:rsidRDefault="00C516F7" w:rsidP="00511BDC">
                          <w:pPr>
                            <w:pStyle w:val="Header"/>
                            <w:tabs>
                              <w:tab w:val="clear" w:pos="8306"/>
                            </w:tabs>
                            <w:spacing w:line="240" w:lineRule="auto"/>
                            <w:jc w:val="left"/>
                            <w:rPr>
                              <w:rFonts w:cs="Arial"/>
                              <w:sz w:val="20"/>
                              <w:szCs w:val="20"/>
                            </w:rPr>
                          </w:pPr>
                          <w:r>
                            <w:rPr>
                              <w:rFonts w:cs="Arial"/>
                              <w:sz w:val="20"/>
                              <w:szCs w:val="20"/>
                              <w:lang w:val="fr"/>
                            </w:rPr>
                            <w:t>IOC/EC-53/5.1(2)</w:t>
                          </w:r>
                        </w:p>
                        <w:p w14:paraId="3D141EC3" w14:textId="56B417E4" w:rsidR="00C516F7" w:rsidRDefault="00C516F7" w:rsidP="00511BDC">
                          <w:pPr>
                            <w:pStyle w:val="Header"/>
                            <w:spacing w:line="240" w:lineRule="auto"/>
                            <w:rPr>
                              <w:rStyle w:val="PageNumbe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 Arabic </w:instrText>
                          </w:r>
                          <w:r>
                            <w:rPr>
                              <w:rStyle w:val="PageNumber"/>
                              <w:rFonts w:cs="Arial"/>
                              <w:sz w:val="20"/>
                              <w:szCs w:val="20"/>
                              <w:lang w:val="fr"/>
                            </w:rPr>
                            <w:fldChar w:fldCharType="separate"/>
                          </w:r>
                          <w:r w:rsidR="00BF083C">
                            <w:rPr>
                              <w:rStyle w:val="PageNumber"/>
                              <w:rFonts w:cs="Arial"/>
                              <w:noProof/>
                              <w:sz w:val="20"/>
                              <w:szCs w:val="20"/>
                              <w:lang w:val="fr"/>
                            </w:rPr>
                            <w:t>1</w:t>
                          </w:r>
                          <w:r>
                            <w:rPr>
                              <w:rStyle w:val="PageNumber"/>
                              <w:rFonts w:cs="Arial"/>
                              <w:sz w:val="20"/>
                              <w:szCs w:val="20"/>
                              <w:lang w:val="fr"/>
                            </w:rPr>
                            <w:fldChar w:fldCharType="end"/>
                          </w:r>
                        </w:p>
                        <w:p w14:paraId="47ECF8C1" w14:textId="77777777" w:rsidR="00C516F7" w:rsidRPr="00511BDC" w:rsidRDefault="00C516F7" w:rsidP="00511BDC">
                          <w:pPr>
                            <w:pStyle w:val="Header"/>
                            <w:spacing w:line="240" w:lineRule="auto"/>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838FF" id="_x0000_t202" coordsize="21600,21600" o:spt="202" path="m,l,21600r21600,l21600,xe">
              <v:stroke joinstyle="miter"/>
              <v:path gradientshapeok="t" o:connecttype="rect"/>
            </v:shapetype>
            <v:shape id="Zone de texte 2" o:spid="_x0000_s1041" type="#_x0000_t202" style="position:absolute;left:0;text-align:left;margin-left:204.6pt;margin-top:486.25pt;width:98.05pt;height:42.5pt;rotation:90;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" stroked="f">
              <v:textbox style="mso-fit-shape-to-text:t">
                <w:txbxContent>
                  <w:p w14:paraId="0AE6388D" w14:textId="77777777" w:rsidR="00C516F7" w:rsidRPr="00556C1E" w:rsidRDefault="00C516F7" w:rsidP="00511BDC">
                    <w:pPr>
                      <w:pStyle w:val="En-tte"/>
                      <w:tabs>
                        <w:tab w:val="clear" w:pos="8306"/>
                      </w:tabs>
                      <w:spacing w:line="240" w:lineRule="auto"/>
                      <w:jc w:val="left"/>
                      <w:rPr>
                        <w:rFonts w:cs="Arial"/>
                        <w:sz w:val="20"/>
                        <w:szCs w:val="20"/>
                      </w:rPr>
                    </w:pPr>
                    <w:r>
                      <w:rPr>
                        <w:rFonts w:cs="Arial"/>
                        <w:sz w:val="20"/>
                        <w:szCs w:val="20"/>
                        <w:lang w:val="fr"/>
                      </w:rPr>
                      <w:t>IOC/EC-53/5.1(2)</w:t>
                    </w:r>
                  </w:p>
                  <w:p w14:paraId="3D141EC3" w14:textId="56B417E4" w:rsidR="00C516F7" w:rsidRDefault="00C516F7" w:rsidP="00511BDC">
                    <w:pPr>
                      <w:pStyle w:val="En-tte"/>
                      <w:spacing w:line="240" w:lineRule="auto"/>
                      <w:rPr>
                        <w:rStyle w:val="Numrodepage"/>
                        <w:rFonts w:cs="Arial"/>
                        <w:sz w:val="20"/>
                        <w:szCs w:val="20"/>
                      </w:rPr>
                    </w:pPr>
                    <w:r>
                      <w:rPr>
                        <w:rFonts w:cs="Arial"/>
                        <w:sz w:val="20"/>
                        <w:szCs w:val="20"/>
                        <w:lang w:val="fr"/>
                      </w:rPr>
                      <w:t>page </w:t>
                    </w:r>
                    <w:r>
                      <w:rPr>
                        <w:rStyle w:val="Numrodepage"/>
                        <w:rFonts w:cs="Arial"/>
                        <w:sz w:val="20"/>
                        <w:szCs w:val="20"/>
                        <w:lang w:val="fr"/>
                      </w:rPr>
                      <w:fldChar w:fldCharType="begin"/>
                    </w:r>
                    <w:r>
                      <w:rPr>
                        <w:rStyle w:val="Numrodepage"/>
                        <w:rFonts w:cs="Arial"/>
                        <w:sz w:val="20"/>
                        <w:szCs w:val="20"/>
                        <w:lang w:val="fr"/>
                      </w:rPr>
                      <w:instrText xml:space="preserve"> PAGE  \* Arabic </w:instrText>
                    </w:r>
                    <w:r>
                      <w:rPr>
                        <w:rStyle w:val="Numrodepage"/>
                        <w:rFonts w:cs="Arial"/>
                        <w:sz w:val="20"/>
                        <w:szCs w:val="20"/>
                        <w:lang w:val="fr"/>
                      </w:rPr>
                      <w:fldChar w:fldCharType="separate"/>
                    </w:r>
                    <w:r w:rsidR="00BF083C">
                      <w:rPr>
                        <w:rStyle w:val="Numrodepage"/>
                        <w:rFonts w:cs="Arial"/>
                        <w:noProof/>
                        <w:sz w:val="20"/>
                        <w:szCs w:val="20"/>
                        <w:lang w:val="fr"/>
                      </w:rPr>
                      <w:t>1</w:t>
                    </w:r>
                    <w:r>
                      <w:rPr>
                        <w:rStyle w:val="Numrodepage"/>
                        <w:rFonts w:cs="Arial"/>
                        <w:sz w:val="20"/>
                        <w:szCs w:val="20"/>
                        <w:lang w:val="fr"/>
                      </w:rPr>
                      <w:fldChar w:fldCharType="end"/>
                    </w:r>
                  </w:p>
                  <w:p w14:paraId="47ECF8C1" w14:textId="77777777" w:rsidR="00C516F7" w:rsidRPr="00511BDC" w:rsidRDefault="00C516F7" w:rsidP="00511BDC">
                    <w:pPr>
                      <w:pStyle w:val="En-tte"/>
                      <w:spacing w:line="240" w:lineRule="auto"/>
                      <w:rPr>
                        <w:rFonts w:cs="Arial"/>
                        <w:sz w:val="20"/>
                        <w:szCs w:val="20"/>
                      </w:rPr>
                    </w:pPr>
                  </w:p>
                </w:txbxContent>
              </v:textbox>
              <w10:wrap type="topAndBottom"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FE18" w14:textId="77777777" w:rsidR="00CB291D" w:rsidRDefault="00CB291D" w:rsidP="005A69BB">
    <w:pPr>
      <w:pStyle w:val="Header"/>
      <w:tabs>
        <w:tab w:val="clear" w:pos="8306"/>
      </w:tabs>
      <w:spacing w:line="240" w:lineRule="auto"/>
      <w:jc w:val="left"/>
      <w:rPr>
        <w:rFonts w:cs="Arial"/>
        <w:sz w:val="20"/>
        <w:szCs w:val="20"/>
      </w:rPr>
    </w:pPr>
    <w:r>
      <w:rPr>
        <w:rFonts w:cs="Arial"/>
        <w:sz w:val="20"/>
        <w:szCs w:val="20"/>
        <w:lang w:val="fr"/>
      </w:rPr>
      <w:t>IOC/A-31/4.2Doc</w:t>
    </w:r>
  </w:p>
  <w:p w14:paraId="5FA0A467" w14:textId="77777777" w:rsidR="00CB291D" w:rsidRPr="00556C1E" w:rsidRDefault="00CB291D" w:rsidP="005A69BB">
    <w:pPr>
      <w:pStyle w:val="Header"/>
      <w:tabs>
        <w:tab w:val="clear" w:pos="8306"/>
      </w:tabs>
      <w:spacing w:line="240" w:lineRule="auto"/>
      <w:rPr>
        <w:rFonts w:cs="Arial"/>
        <w:sz w:val="20"/>
        <w:szCs w:val="20"/>
      </w:rPr>
    </w:pPr>
    <w:r>
      <w:rPr>
        <w:rFonts w:cs="Arial"/>
        <w:sz w:val="20"/>
        <w:szCs w:val="20"/>
        <w:lang w:val="fr"/>
      </w:rPr>
      <w:t>page </w:t>
    </w:r>
    <w:r>
      <w:rPr>
        <w:rFonts w:cs="Arial"/>
        <w:sz w:val="20"/>
        <w:szCs w:val="20"/>
        <w:lang w:val="fr"/>
      </w:rPr>
      <w:fldChar w:fldCharType="begin"/>
    </w:r>
    <w:r>
      <w:rPr>
        <w:rFonts w:cs="Arial"/>
        <w:sz w:val="20"/>
        <w:szCs w:val="20"/>
        <w:lang w:val="fr"/>
      </w:rPr>
      <w:instrText xml:space="preserve"> PAGE   \* MERGEFORMAT </w:instrText>
    </w:r>
    <w:r>
      <w:rPr>
        <w:rFonts w:cs="Arial"/>
        <w:sz w:val="20"/>
        <w:szCs w:val="20"/>
        <w:lang w:val="fr"/>
      </w:rPr>
      <w:fldChar w:fldCharType="separate"/>
    </w:r>
    <w:r>
      <w:rPr>
        <w:rFonts w:cs="Arial"/>
        <w:noProof/>
        <w:sz w:val="20"/>
        <w:szCs w:val="20"/>
        <w:lang w:val="fr"/>
      </w:rPr>
      <w:t>4</w:t>
    </w:r>
    <w:r>
      <w:rPr>
        <w:rFonts w:cs="Arial"/>
        <w:noProof/>
        <w:sz w:val="20"/>
        <w:szCs w:val="20"/>
        <w:lang w:val="fr"/>
      </w:rPr>
      <w:fldChar w:fldCharType="end"/>
    </w:r>
  </w:p>
  <w:p w14:paraId="30CFDA69" w14:textId="77777777" w:rsidR="00CB291D" w:rsidRDefault="00CB29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B991" w14:textId="272A3630" w:rsidR="00C516F7" w:rsidRDefault="00C516F7" w:rsidP="00556C1E">
    <w:pPr>
      <w:pStyle w:val="Header"/>
      <w:tabs>
        <w:tab w:val="clear" w:pos="8306"/>
      </w:tabs>
      <w:spacing w:line="240" w:lineRule="auto"/>
      <w:jc w:val="right"/>
      <w:rPr>
        <w:rFonts w:cs="Arial"/>
        <w:sz w:val="20"/>
        <w:szCs w:val="20"/>
      </w:rPr>
    </w:pPr>
    <w:r>
      <w:rPr>
        <w:rFonts w:cs="Arial"/>
        <w:sz w:val="20"/>
        <w:szCs w:val="20"/>
        <w:lang w:val="fr"/>
      </w:rPr>
      <w:t>IOC</w:t>
    </w:r>
    <w:r w:rsidR="008D73C8">
      <w:rPr>
        <w:rFonts w:cs="Arial"/>
        <w:sz w:val="20"/>
        <w:szCs w:val="20"/>
        <w:lang w:val="fr"/>
      </w:rPr>
      <w:t>/A</w:t>
    </w:r>
    <w:r>
      <w:rPr>
        <w:rFonts w:cs="Arial"/>
        <w:sz w:val="20"/>
        <w:szCs w:val="20"/>
        <w:lang w:val="fr"/>
      </w:rPr>
      <w:t>-31/4.2Doc</w:t>
    </w:r>
  </w:p>
  <w:p w14:paraId="48729010" w14:textId="0D6B2492" w:rsidR="00C516F7" w:rsidRDefault="0006656E" w:rsidP="00CB291D">
    <w:pPr>
      <w:pStyle w:val="Header"/>
      <w:tabs>
        <w:tab w:val="clear" w:pos="8306"/>
      </w:tabs>
      <w:spacing w:line="240" w:lineRule="auto"/>
      <w:ind w:left="8049" w:firstLine="31"/>
      <w:jc w:val="left"/>
      <w:rPr>
        <w:rFonts w:cs="Arial"/>
        <w:sz w:val="20"/>
        <w:szCs w:val="20"/>
      </w:rPr>
    </w:pPr>
    <w:r>
      <w:rPr>
        <w:rFonts w:cs="Arial"/>
        <w:sz w:val="20"/>
        <w:szCs w:val="20"/>
        <w:lang w:val="fr"/>
      </w:rPr>
      <w:t>page </w:t>
    </w:r>
    <w:r>
      <w:rPr>
        <w:rFonts w:cs="Arial"/>
        <w:sz w:val="20"/>
        <w:szCs w:val="20"/>
        <w:lang w:val="fr"/>
      </w:rPr>
      <w:fldChar w:fldCharType="begin"/>
    </w:r>
    <w:r>
      <w:rPr>
        <w:rFonts w:cs="Arial"/>
        <w:sz w:val="20"/>
        <w:szCs w:val="20"/>
        <w:lang w:val="fr"/>
      </w:rPr>
      <w:instrText xml:space="preserve"> PAGE   \* MERGEFORMAT </w:instrText>
    </w:r>
    <w:r>
      <w:rPr>
        <w:rFonts w:cs="Arial"/>
        <w:sz w:val="20"/>
        <w:szCs w:val="20"/>
        <w:lang w:val="fr"/>
      </w:rPr>
      <w:fldChar w:fldCharType="separate"/>
    </w:r>
    <w:r w:rsidR="00BF083C">
      <w:rPr>
        <w:rFonts w:cs="Arial"/>
        <w:noProof/>
        <w:sz w:val="20"/>
        <w:szCs w:val="20"/>
        <w:lang w:val="fr"/>
      </w:rPr>
      <w:t>5</w:t>
    </w:r>
    <w:r>
      <w:rPr>
        <w:rFonts w:cs="Arial"/>
        <w:noProof/>
        <w:sz w:val="20"/>
        <w:szCs w:val="20"/>
        <w:lang w:val="fr"/>
      </w:rPr>
      <w:fldChar w:fldCharType="end"/>
    </w:r>
  </w:p>
  <w:p w14:paraId="2EAAD13C" w14:textId="188F3F4B" w:rsidR="00C516F7" w:rsidRPr="00556C1E" w:rsidRDefault="00C516F7" w:rsidP="00AC2957">
    <w:pPr>
      <w:pStyle w:val="Header"/>
      <w:tabs>
        <w:tab w:val="clear" w:pos="8306"/>
      </w:tabs>
      <w:spacing w:line="240" w:lineRule="auto"/>
      <w:ind w:left="12738"/>
      <w:jc w:val="left"/>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sidR="00BF083C">
      <w:rPr>
        <w:rStyle w:val="PageNumber"/>
        <w:rFonts w:cs="Arial"/>
        <w:noProof/>
        <w:sz w:val="20"/>
        <w:szCs w:val="20"/>
        <w:lang w:val="fr"/>
      </w:rPr>
      <w:t>5</w:t>
    </w:r>
    <w:r>
      <w:rPr>
        <w:rStyle w:val="PageNumber"/>
        <w:rFonts w:cs="Arial"/>
        <w:sz w:val="20"/>
        <w:szCs w:val="20"/>
        <w:lang w:val="fr"/>
      </w:rPr>
      <w:fldChar w:fldCharType="end"/>
    </w:r>
  </w:p>
  <w:p w14:paraId="6A29B14D" w14:textId="77777777" w:rsidR="00C516F7" w:rsidRPr="00003B31" w:rsidRDefault="00C516F7" w:rsidP="00217892">
    <w:pPr>
      <w:pStyle w:val="Header"/>
      <w:spacing w:line="240" w:lineRule="auto"/>
      <w:ind w:firstLine="8077"/>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15DD" w14:textId="742D0636" w:rsidR="00C516F7" w:rsidRPr="00556C1E" w:rsidRDefault="00C516F7" w:rsidP="00CB291D">
    <w:pPr>
      <w:pStyle w:val="Header"/>
      <w:tabs>
        <w:tab w:val="clear" w:pos="8306"/>
      </w:tabs>
      <w:spacing w:line="240" w:lineRule="auto"/>
      <w:jc w:val="right"/>
      <w:rPr>
        <w:rStyle w:val="PageNumber"/>
        <w:rFonts w:cs="Arial"/>
        <w:sz w:val="20"/>
        <w:szCs w:val="20"/>
      </w:rPr>
    </w:pPr>
    <w:r>
      <w:rPr>
        <w:rFonts w:cs="Arial"/>
        <w:sz w:val="20"/>
        <w:szCs w:val="20"/>
        <w:lang w:val="fr"/>
      </w:rPr>
      <w:t>IOC</w:t>
    </w:r>
    <w:r w:rsidR="008D73C8">
      <w:rPr>
        <w:rFonts w:cs="Arial"/>
        <w:sz w:val="20"/>
        <w:szCs w:val="20"/>
        <w:lang w:val="fr"/>
      </w:rPr>
      <w:t>/A</w:t>
    </w:r>
    <w:r>
      <w:rPr>
        <w:rFonts w:cs="Arial"/>
        <w:sz w:val="20"/>
        <w:szCs w:val="20"/>
        <w:lang w:val="fr"/>
      </w:rPr>
      <w:t>-31/4.2Doc</w:t>
    </w:r>
    <w:r w:rsidR="00CB291D">
      <w:rPr>
        <w:rFonts w:cs="Arial"/>
        <w:sz w:val="20"/>
        <w:szCs w:val="20"/>
        <w:lang w:val="fr"/>
      </w:rPr>
      <w:br/>
    </w:r>
  </w:p>
  <w:p w14:paraId="479C839F"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71552" behindDoc="0" locked="0" layoutInCell="1" allowOverlap="1" wp14:anchorId="16AF4F09" wp14:editId="5E77BEFF">
              <wp:simplePos x="0" y="0"/>
              <wp:positionH relativeFrom="rightMargin">
                <wp:posOffset>2598420</wp:posOffset>
              </wp:positionH>
              <wp:positionV relativeFrom="page">
                <wp:posOffset>6175375</wp:posOffset>
              </wp:positionV>
              <wp:extent cx="1245235" cy="539750"/>
              <wp:effectExtent l="0" t="8572" r="3492" b="3493"/>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1DA1908E" w14:textId="77777777" w:rsidR="00C516F7" w:rsidRPr="00556C1E" w:rsidRDefault="00C516F7" w:rsidP="00511BDC">
                          <w:pPr>
                            <w:pStyle w:val="Header"/>
                            <w:tabs>
                              <w:tab w:val="clear" w:pos="8306"/>
                            </w:tabs>
                            <w:spacing w:line="240" w:lineRule="auto"/>
                            <w:jc w:val="left"/>
                            <w:rPr>
                              <w:rFonts w:cs="Arial"/>
                              <w:sz w:val="20"/>
                              <w:szCs w:val="20"/>
                            </w:rPr>
                          </w:pPr>
                          <w:r>
                            <w:rPr>
                              <w:rFonts w:cs="Arial"/>
                              <w:sz w:val="20"/>
                              <w:szCs w:val="20"/>
                              <w:lang w:val="fr"/>
                            </w:rPr>
                            <w:t>IOC/EC-53/5.1(2)</w:t>
                          </w:r>
                        </w:p>
                        <w:p w14:paraId="5A334C1C" w14:textId="67A30E71" w:rsidR="00C516F7" w:rsidRDefault="00C516F7" w:rsidP="00511BDC">
                          <w:pPr>
                            <w:pStyle w:val="Header"/>
                            <w:spacing w:line="240" w:lineRule="auto"/>
                            <w:rPr>
                              <w:rStyle w:val="PageNumbe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 Arabic </w:instrText>
                          </w:r>
                          <w:r>
                            <w:rPr>
                              <w:rStyle w:val="PageNumber"/>
                              <w:rFonts w:cs="Arial"/>
                              <w:sz w:val="20"/>
                              <w:szCs w:val="20"/>
                              <w:lang w:val="fr"/>
                            </w:rPr>
                            <w:fldChar w:fldCharType="separate"/>
                          </w:r>
                          <w:r w:rsidR="00BF083C">
                            <w:rPr>
                              <w:rStyle w:val="PageNumber"/>
                              <w:rFonts w:cs="Arial"/>
                              <w:noProof/>
                              <w:sz w:val="20"/>
                              <w:szCs w:val="20"/>
                              <w:lang w:val="fr"/>
                            </w:rPr>
                            <w:t>1</w:t>
                          </w:r>
                          <w:r>
                            <w:rPr>
                              <w:rStyle w:val="PageNumber"/>
                              <w:rFonts w:cs="Arial"/>
                              <w:sz w:val="20"/>
                              <w:szCs w:val="20"/>
                              <w:lang w:val="fr"/>
                            </w:rPr>
                            <w:fldChar w:fldCharType="end"/>
                          </w:r>
                        </w:p>
                        <w:p w14:paraId="7CFBB4AC" w14:textId="77777777" w:rsidR="00C516F7" w:rsidRPr="00511BDC" w:rsidRDefault="00C516F7" w:rsidP="00511BDC">
                          <w:pPr>
                            <w:pStyle w:val="Header"/>
                            <w:spacing w:line="240" w:lineRule="auto"/>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AF4F09" id="_x0000_t202" coordsize="21600,21600" o:spt="202" path="m,l,21600r21600,l21600,xe">
              <v:stroke joinstyle="miter"/>
              <v:path gradientshapeok="t" o:connecttype="rect"/>
            </v:shapetype>
            <v:shape id="_x0000_s1042" type="#_x0000_t202" style="position:absolute;left:0;text-align:left;margin-left:204.6pt;margin-top:486.25pt;width:98.05pt;height:42.5pt;rotation:90;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" stroked="f">
              <v:textbox style="mso-fit-shape-to-text:t">
                <w:txbxContent>
                  <w:p w14:paraId="1DA1908E" w14:textId="77777777" w:rsidR="00C516F7" w:rsidRPr="00556C1E" w:rsidRDefault="00C516F7" w:rsidP="00511BDC">
                    <w:pPr>
                      <w:pStyle w:val="En-tte"/>
                      <w:tabs>
                        <w:tab w:val="clear" w:pos="8306"/>
                      </w:tabs>
                      <w:spacing w:line="240" w:lineRule="auto"/>
                      <w:jc w:val="left"/>
                      <w:rPr>
                        <w:rFonts w:cs="Arial"/>
                        <w:sz w:val="20"/>
                        <w:szCs w:val="20"/>
                      </w:rPr>
                    </w:pPr>
                    <w:r>
                      <w:rPr>
                        <w:rFonts w:cs="Arial"/>
                        <w:sz w:val="20"/>
                        <w:szCs w:val="20"/>
                        <w:lang w:val="fr"/>
                      </w:rPr>
                      <w:t>IOC/EC-53/5.1(2)</w:t>
                    </w:r>
                  </w:p>
                  <w:p w14:paraId="5A334C1C" w14:textId="67A30E71" w:rsidR="00C516F7" w:rsidRDefault="00C516F7" w:rsidP="00511BDC">
                    <w:pPr>
                      <w:pStyle w:val="En-tte"/>
                      <w:spacing w:line="240" w:lineRule="auto"/>
                      <w:rPr>
                        <w:rStyle w:val="Numrodepage"/>
                        <w:rFonts w:cs="Arial"/>
                        <w:sz w:val="20"/>
                        <w:szCs w:val="20"/>
                      </w:rPr>
                    </w:pPr>
                    <w:r>
                      <w:rPr>
                        <w:rFonts w:cs="Arial"/>
                        <w:sz w:val="20"/>
                        <w:szCs w:val="20"/>
                        <w:lang w:val="fr"/>
                      </w:rPr>
                      <w:t>page </w:t>
                    </w:r>
                    <w:r>
                      <w:rPr>
                        <w:rStyle w:val="Numrodepage"/>
                        <w:rFonts w:cs="Arial"/>
                        <w:sz w:val="20"/>
                        <w:szCs w:val="20"/>
                        <w:lang w:val="fr"/>
                      </w:rPr>
                      <w:fldChar w:fldCharType="begin"/>
                    </w:r>
                    <w:r>
                      <w:rPr>
                        <w:rStyle w:val="Numrodepage"/>
                        <w:rFonts w:cs="Arial"/>
                        <w:sz w:val="20"/>
                        <w:szCs w:val="20"/>
                        <w:lang w:val="fr"/>
                      </w:rPr>
                      <w:instrText xml:space="preserve"> PAGE  \* Arabic </w:instrText>
                    </w:r>
                    <w:r>
                      <w:rPr>
                        <w:rStyle w:val="Numrodepage"/>
                        <w:rFonts w:cs="Arial"/>
                        <w:sz w:val="20"/>
                        <w:szCs w:val="20"/>
                        <w:lang w:val="fr"/>
                      </w:rPr>
                      <w:fldChar w:fldCharType="separate"/>
                    </w:r>
                    <w:r w:rsidR="00BF083C">
                      <w:rPr>
                        <w:rStyle w:val="Numrodepage"/>
                        <w:rFonts w:cs="Arial"/>
                        <w:noProof/>
                        <w:sz w:val="20"/>
                        <w:szCs w:val="20"/>
                        <w:lang w:val="fr"/>
                      </w:rPr>
                      <w:t>1</w:t>
                    </w:r>
                    <w:r>
                      <w:rPr>
                        <w:rStyle w:val="Numrodepage"/>
                        <w:rFonts w:cs="Arial"/>
                        <w:sz w:val="20"/>
                        <w:szCs w:val="20"/>
                        <w:lang w:val="fr"/>
                      </w:rPr>
                      <w:fldChar w:fldCharType="end"/>
                    </w:r>
                  </w:p>
                  <w:p w14:paraId="7CFBB4AC" w14:textId="77777777" w:rsidR="00C516F7" w:rsidRPr="00511BDC" w:rsidRDefault="00C516F7" w:rsidP="00511BDC">
                    <w:pPr>
                      <w:pStyle w:val="En-tte"/>
                      <w:spacing w:line="240" w:lineRule="auto"/>
                      <w:rPr>
                        <w:rFonts w:cs="Arial"/>
                        <w:sz w:val="20"/>
                        <w:szCs w:val="2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08F7"/>
    <w:multiLevelType w:val="hybridMultilevel"/>
    <w:tmpl w:val="E8128BEE"/>
    <w:lvl w:ilvl="0" w:tplc="8BFCEA7A">
      <w:start w:val="1"/>
      <w:numFmt w:val="bullet"/>
      <w:lvlText w:val=""/>
      <w:lvlJc w:val="left"/>
      <w:pPr>
        <w:ind w:left="1476" w:hanging="360"/>
      </w:pPr>
      <w:rPr>
        <w:rFonts w:ascii="Symbol" w:hAnsi="Symbol" w:hint="default"/>
        <w:lang w:val="en-US"/>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3" w15:restartNumberingAfterBreak="0">
    <w:nsid w:val="07B96742"/>
    <w:multiLevelType w:val="hybridMultilevel"/>
    <w:tmpl w:val="DF9883A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706DD"/>
    <w:multiLevelType w:val="hybridMultilevel"/>
    <w:tmpl w:val="E40E8FFC"/>
    <w:lvl w:ilvl="0" w:tplc="EF461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253EF"/>
    <w:multiLevelType w:val="hybridMultilevel"/>
    <w:tmpl w:val="851ADC44"/>
    <w:lvl w:ilvl="0" w:tplc="DEF06166">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E19CD38E">
      <w:numFmt w:val="bullet"/>
      <w:lvlText w:val="•"/>
      <w:lvlJc w:val="left"/>
      <w:pPr>
        <w:ind w:left="363" w:hanging="173"/>
      </w:pPr>
      <w:rPr>
        <w:rFonts w:hint="default"/>
        <w:lang w:val="fr-FR" w:eastAsia="fr-FR" w:bidi="fr-FR"/>
      </w:rPr>
    </w:lvl>
    <w:lvl w:ilvl="2" w:tplc="9CE0DF3C">
      <w:numFmt w:val="bullet"/>
      <w:lvlText w:val="•"/>
      <w:lvlJc w:val="left"/>
      <w:pPr>
        <w:ind w:left="666" w:hanging="173"/>
      </w:pPr>
      <w:rPr>
        <w:rFonts w:hint="default"/>
        <w:lang w:val="fr-FR" w:eastAsia="fr-FR" w:bidi="fr-FR"/>
      </w:rPr>
    </w:lvl>
    <w:lvl w:ilvl="3" w:tplc="A830BF02">
      <w:numFmt w:val="bullet"/>
      <w:lvlText w:val="•"/>
      <w:lvlJc w:val="left"/>
      <w:pPr>
        <w:ind w:left="969" w:hanging="173"/>
      </w:pPr>
      <w:rPr>
        <w:rFonts w:hint="default"/>
        <w:lang w:val="fr-FR" w:eastAsia="fr-FR" w:bidi="fr-FR"/>
      </w:rPr>
    </w:lvl>
    <w:lvl w:ilvl="4" w:tplc="2C341FEC">
      <w:numFmt w:val="bullet"/>
      <w:lvlText w:val="•"/>
      <w:lvlJc w:val="left"/>
      <w:pPr>
        <w:ind w:left="1272" w:hanging="173"/>
      </w:pPr>
      <w:rPr>
        <w:rFonts w:hint="default"/>
        <w:lang w:val="fr-FR" w:eastAsia="fr-FR" w:bidi="fr-FR"/>
      </w:rPr>
    </w:lvl>
    <w:lvl w:ilvl="5" w:tplc="1EA89B60">
      <w:numFmt w:val="bullet"/>
      <w:lvlText w:val="•"/>
      <w:lvlJc w:val="left"/>
      <w:pPr>
        <w:ind w:left="1576" w:hanging="173"/>
      </w:pPr>
      <w:rPr>
        <w:rFonts w:hint="default"/>
        <w:lang w:val="fr-FR" w:eastAsia="fr-FR" w:bidi="fr-FR"/>
      </w:rPr>
    </w:lvl>
    <w:lvl w:ilvl="6" w:tplc="4CB05BD0">
      <w:numFmt w:val="bullet"/>
      <w:lvlText w:val="•"/>
      <w:lvlJc w:val="left"/>
      <w:pPr>
        <w:ind w:left="1879" w:hanging="173"/>
      </w:pPr>
      <w:rPr>
        <w:rFonts w:hint="default"/>
        <w:lang w:val="fr-FR" w:eastAsia="fr-FR" w:bidi="fr-FR"/>
      </w:rPr>
    </w:lvl>
    <w:lvl w:ilvl="7" w:tplc="CFFA3224">
      <w:numFmt w:val="bullet"/>
      <w:lvlText w:val="•"/>
      <w:lvlJc w:val="left"/>
      <w:pPr>
        <w:ind w:left="2182" w:hanging="173"/>
      </w:pPr>
      <w:rPr>
        <w:rFonts w:hint="default"/>
        <w:lang w:val="fr-FR" w:eastAsia="fr-FR" w:bidi="fr-FR"/>
      </w:rPr>
    </w:lvl>
    <w:lvl w:ilvl="8" w:tplc="FE5CA1B8">
      <w:numFmt w:val="bullet"/>
      <w:lvlText w:val="•"/>
      <w:lvlJc w:val="left"/>
      <w:pPr>
        <w:ind w:left="2485" w:hanging="173"/>
      </w:pPr>
      <w:rPr>
        <w:rFonts w:hint="default"/>
        <w:lang w:val="fr-FR" w:eastAsia="fr-FR" w:bidi="fr-FR"/>
      </w:rPr>
    </w:lvl>
  </w:abstractNum>
  <w:abstractNum w:abstractNumId="9"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17A26577"/>
    <w:multiLevelType w:val="hybridMultilevel"/>
    <w:tmpl w:val="F60248D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9166BC"/>
    <w:multiLevelType w:val="hybridMultilevel"/>
    <w:tmpl w:val="BC102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2821D7"/>
    <w:multiLevelType w:val="hybridMultilevel"/>
    <w:tmpl w:val="7B526A7C"/>
    <w:lvl w:ilvl="0" w:tplc="7EB09420">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A1FDD"/>
    <w:multiLevelType w:val="hybridMultilevel"/>
    <w:tmpl w:val="342E4078"/>
    <w:lvl w:ilvl="0" w:tplc="967A677E">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E05495B2">
      <w:numFmt w:val="bullet"/>
      <w:lvlText w:val="•"/>
      <w:lvlJc w:val="left"/>
      <w:pPr>
        <w:ind w:left="332" w:hanging="173"/>
      </w:pPr>
      <w:rPr>
        <w:rFonts w:hint="default"/>
        <w:lang w:val="fr-FR" w:eastAsia="fr-FR" w:bidi="fr-FR"/>
      </w:rPr>
    </w:lvl>
    <w:lvl w:ilvl="2" w:tplc="351A6F08">
      <w:numFmt w:val="bullet"/>
      <w:lvlText w:val="•"/>
      <w:lvlJc w:val="left"/>
      <w:pPr>
        <w:ind w:left="604" w:hanging="173"/>
      </w:pPr>
      <w:rPr>
        <w:rFonts w:hint="default"/>
        <w:lang w:val="fr-FR" w:eastAsia="fr-FR" w:bidi="fr-FR"/>
      </w:rPr>
    </w:lvl>
    <w:lvl w:ilvl="3" w:tplc="0B88A938">
      <w:numFmt w:val="bullet"/>
      <w:lvlText w:val="•"/>
      <w:lvlJc w:val="left"/>
      <w:pPr>
        <w:ind w:left="876" w:hanging="173"/>
      </w:pPr>
      <w:rPr>
        <w:rFonts w:hint="default"/>
        <w:lang w:val="fr-FR" w:eastAsia="fr-FR" w:bidi="fr-FR"/>
      </w:rPr>
    </w:lvl>
    <w:lvl w:ilvl="4" w:tplc="753E5468">
      <w:numFmt w:val="bullet"/>
      <w:lvlText w:val="•"/>
      <w:lvlJc w:val="left"/>
      <w:pPr>
        <w:ind w:left="1149" w:hanging="173"/>
      </w:pPr>
      <w:rPr>
        <w:rFonts w:hint="default"/>
        <w:lang w:val="fr-FR" w:eastAsia="fr-FR" w:bidi="fr-FR"/>
      </w:rPr>
    </w:lvl>
    <w:lvl w:ilvl="5" w:tplc="AB6AAD2A">
      <w:numFmt w:val="bullet"/>
      <w:lvlText w:val="•"/>
      <w:lvlJc w:val="left"/>
      <w:pPr>
        <w:ind w:left="1421" w:hanging="173"/>
      </w:pPr>
      <w:rPr>
        <w:rFonts w:hint="default"/>
        <w:lang w:val="fr-FR" w:eastAsia="fr-FR" w:bidi="fr-FR"/>
      </w:rPr>
    </w:lvl>
    <w:lvl w:ilvl="6" w:tplc="A3CA1506">
      <w:numFmt w:val="bullet"/>
      <w:lvlText w:val="•"/>
      <w:lvlJc w:val="left"/>
      <w:pPr>
        <w:ind w:left="1693" w:hanging="173"/>
      </w:pPr>
      <w:rPr>
        <w:rFonts w:hint="default"/>
        <w:lang w:val="fr-FR" w:eastAsia="fr-FR" w:bidi="fr-FR"/>
      </w:rPr>
    </w:lvl>
    <w:lvl w:ilvl="7" w:tplc="D1B23378">
      <w:numFmt w:val="bullet"/>
      <w:lvlText w:val="•"/>
      <w:lvlJc w:val="left"/>
      <w:pPr>
        <w:ind w:left="1965" w:hanging="173"/>
      </w:pPr>
      <w:rPr>
        <w:rFonts w:hint="default"/>
        <w:lang w:val="fr-FR" w:eastAsia="fr-FR" w:bidi="fr-FR"/>
      </w:rPr>
    </w:lvl>
    <w:lvl w:ilvl="8" w:tplc="E646A60C">
      <w:numFmt w:val="bullet"/>
      <w:lvlText w:val="•"/>
      <w:lvlJc w:val="left"/>
      <w:pPr>
        <w:ind w:left="2238" w:hanging="173"/>
      </w:pPr>
      <w:rPr>
        <w:rFonts w:hint="default"/>
        <w:lang w:val="fr-FR" w:eastAsia="fr-FR" w:bidi="fr-FR"/>
      </w:rPr>
    </w:lvl>
  </w:abstractNum>
  <w:abstractNum w:abstractNumId="19" w15:restartNumberingAfterBreak="0">
    <w:nsid w:val="2B1B55F8"/>
    <w:multiLevelType w:val="multilevel"/>
    <w:tmpl w:val="80CEDC08"/>
    <w:lvl w:ilvl="0">
      <w:start w:val="1"/>
      <w:numFmt w:val="decimal"/>
      <w:lvlText w:val="%1."/>
      <w:lvlJc w:val="left"/>
      <w:pPr>
        <w:ind w:left="7470" w:hanging="360"/>
      </w:pPr>
    </w:lvl>
    <w:lvl w:ilvl="1">
      <w:start w:val="1"/>
      <w:numFmt w:val="lowerLetter"/>
      <w:lvlText w:val="%2."/>
      <w:lvlJc w:val="left"/>
      <w:pPr>
        <w:ind w:left="7830" w:hanging="360"/>
      </w:pPr>
    </w:lvl>
    <w:lvl w:ilvl="2">
      <w:start w:val="1"/>
      <w:numFmt w:val="lowerRoman"/>
      <w:lvlText w:val="%3."/>
      <w:lvlJc w:val="right"/>
      <w:pPr>
        <w:ind w:left="8550" w:hanging="180"/>
      </w:pPr>
    </w:lvl>
    <w:lvl w:ilvl="3">
      <w:start w:val="1"/>
      <w:numFmt w:val="decimal"/>
      <w:lvlText w:val="%4."/>
      <w:lvlJc w:val="left"/>
      <w:pPr>
        <w:ind w:left="9270" w:hanging="360"/>
      </w:pPr>
    </w:lvl>
    <w:lvl w:ilvl="4">
      <w:start w:val="1"/>
      <w:numFmt w:val="lowerLetter"/>
      <w:lvlText w:val="%5."/>
      <w:lvlJc w:val="left"/>
      <w:pPr>
        <w:ind w:left="9990" w:hanging="360"/>
      </w:pPr>
    </w:lvl>
    <w:lvl w:ilvl="5">
      <w:start w:val="1"/>
      <w:numFmt w:val="lowerRoman"/>
      <w:lvlText w:val="%6."/>
      <w:lvlJc w:val="right"/>
      <w:pPr>
        <w:ind w:left="10710" w:hanging="180"/>
      </w:pPr>
    </w:lvl>
    <w:lvl w:ilvl="6">
      <w:start w:val="1"/>
      <w:numFmt w:val="decimal"/>
      <w:lvlText w:val="%7."/>
      <w:lvlJc w:val="left"/>
      <w:pPr>
        <w:ind w:left="11430" w:hanging="360"/>
      </w:pPr>
    </w:lvl>
    <w:lvl w:ilvl="7">
      <w:start w:val="1"/>
      <w:numFmt w:val="lowerLetter"/>
      <w:lvlText w:val="%8."/>
      <w:lvlJc w:val="left"/>
      <w:pPr>
        <w:ind w:left="12150" w:hanging="360"/>
      </w:pPr>
    </w:lvl>
    <w:lvl w:ilvl="8">
      <w:start w:val="1"/>
      <w:numFmt w:val="lowerRoman"/>
      <w:lvlText w:val="%9."/>
      <w:lvlJc w:val="right"/>
      <w:pPr>
        <w:ind w:left="12870" w:hanging="180"/>
      </w:pPr>
    </w:lvl>
  </w:abstractNum>
  <w:abstractNum w:abstractNumId="20" w15:restartNumberingAfterBreak="0">
    <w:nsid w:val="2B8A0169"/>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9C1057"/>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2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4"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7" w15:restartNumberingAfterBreak="0">
    <w:nsid w:val="3CD27391"/>
    <w:multiLevelType w:val="hybridMultilevel"/>
    <w:tmpl w:val="A57C2402"/>
    <w:lvl w:ilvl="0" w:tplc="CD90901C">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1384F57C">
      <w:numFmt w:val="bullet"/>
      <w:lvlText w:val="•"/>
      <w:lvlJc w:val="left"/>
      <w:pPr>
        <w:ind w:left="363" w:hanging="173"/>
      </w:pPr>
      <w:rPr>
        <w:rFonts w:hint="default"/>
        <w:lang w:val="fr-FR" w:eastAsia="fr-FR" w:bidi="fr-FR"/>
      </w:rPr>
    </w:lvl>
    <w:lvl w:ilvl="2" w:tplc="5004FC92">
      <w:numFmt w:val="bullet"/>
      <w:lvlText w:val="•"/>
      <w:lvlJc w:val="left"/>
      <w:pPr>
        <w:ind w:left="666" w:hanging="173"/>
      </w:pPr>
      <w:rPr>
        <w:rFonts w:hint="default"/>
        <w:lang w:val="fr-FR" w:eastAsia="fr-FR" w:bidi="fr-FR"/>
      </w:rPr>
    </w:lvl>
    <w:lvl w:ilvl="3" w:tplc="F0ACA15A">
      <w:numFmt w:val="bullet"/>
      <w:lvlText w:val="•"/>
      <w:lvlJc w:val="left"/>
      <w:pPr>
        <w:ind w:left="969" w:hanging="173"/>
      </w:pPr>
      <w:rPr>
        <w:rFonts w:hint="default"/>
        <w:lang w:val="fr-FR" w:eastAsia="fr-FR" w:bidi="fr-FR"/>
      </w:rPr>
    </w:lvl>
    <w:lvl w:ilvl="4" w:tplc="6FCA172E">
      <w:numFmt w:val="bullet"/>
      <w:lvlText w:val="•"/>
      <w:lvlJc w:val="left"/>
      <w:pPr>
        <w:ind w:left="1272" w:hanging="173"/>
      </w:pPr>
      <w:rPr>
        <w:rFonts w:hint="default"/>
        <w:lang w:val="fr-FR" w:eastAsia="fr-FR" w:bidi="fr-FR"/>
      </w:rPr>
    </w:lvl>
    <w:lvl w:ilvl="5" w:tplc="90A6C61E">
      <w:numFmt w:val="bullet"/>
      <w:lvlText w:val="•"/>
      <w:lvlJc w:val="left"/>
      <w:pPr>
        <w:ind w:left="1576" w:hanging="173"/>
      </w:pPr>
      <w:rPr>
        <w:rFonts w:hint="default"/>
        <w:lang w:val="fr-FR" w:eastAsia="fr-FR" w:bidi="fr-FR"/>
      </w:rPr>
    </w:lvl>
    <w:lvl w:ilvl="6" w:tplc="0F9E7354">
      <w:numFmt w:val="bullet"/>
      <w:lvlText w:val="•"/>
      <w:lvlJc w:val="left"/>
      <w:pPr>
        <w:ind w:left="1879" w:hanging="173"/>
      </w:pPr>
      <w:rPr>
        <w:rFonts w:hint="default"/>
        <w:lang w:val="fr-FR" w:eastAsia="fr-FR" w:bidi="fr-FR"/>
      </w:rPr>
    </w:lvl>
    <w:lvl w:ilvl="7" w:tplc="DC9A900E">
      <w:numFmt w:val="bullet"/>
      <w:lvlText w:val="•"/>
      <w:lvlJc w:val="left"/>
      <w:pPr>
        <w:ind w:left="2182" w:hanging="173"/>
      </w:pPr>
      <w:rPr>
        <w:rFonts w:hint="default"/>
        <w:lang w:val="fr-FR" w:eastAsia="fr-FR" w:bidi="fr-FR"/>
      </w:rPr>
    </w:lvl>
    <w:lvl w:ilvl="8" w:tplc="CC6E301A">
      <w:numFmt w:val="bullet"/>
      <w:lvlText w:val="•"/>
      <w:lvlJc w:val="left"/>
      <w:pPr>
        <w:ind w:left="2485" w:hanging="173"/>
      </w:pPr>
      <w:rPr>
        <w:rFonts w:hint="default"/>
        <w:lang w:val="fr-FR" w:eastAsia="fr-FR" w:bidi="fr-FR"/>
      </w:rPr>
    </w:lvl>
  </w:abstractNum>
  <w:abstractNum w:abstractNumId="28"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BC37FC"/>
    <w:multiLevelType w:val="hybridMultilevel"/>
    <w:tmpl w:val="02BAE230"/>
    <w:lvl w:ilvl="0" w:tplc="0CB27830">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477CF092">
      <w:numFmt w:val="bullet"/>
      <w:lvlText w:val="•"/>
      <w:lvlJc w:val="left"/>
      <w:pPr>
        <w:ind w:left="332" w:hanging="173"/>
      </w:pPr>
      <w:rPr>
        <w:rFonts w:hint="default"/>
        <w:lang w:val="fr-FR" w:eastAsia="fr-FR" w:bidi="fr-FR"/>
      </w:rPr>
    </w:lvl>
    <w:lvl w:ilvl="2" w:tplc="CE60B416">
      <w:numFmt w:val="bullet"/>
      <w:lvlText w:val="•"/>
      <w:lvlJc w:val="left"/>
      <w:pPr>
        <w:ind w:left="604" w:hanging="173"/>
      </w:pPr>
      <w:rPr>
        <w:rFonts w:hint="default"/>
        <w:lang w:val="fr-FR" w:eastAsia="fr-FR" w:bidi="fr-FR"/>
      </w:rPr>
    </w:lvl>
    <w:lvl w:ilvl="3" w:tplc="1C2AE644">
      <w:numFmt w:val="bullet"/>
      <w:lvlText w:val="•"/>
      <w:lvlJc w:val="left"/>
      <w:pPr>
        <w:ind w:left="876" w:hanging="173"/>
      </w:pPr>
      <w:rPr>
        <w:rFonts w:hint="default"/>
        <w:lang w:val="fr-FR" w:eastAsia="fr-FR" w:bidi="fr-FR"/>
      </w:rPr>
    </w:lvl>
    <w:lvl w:ilvl="4" w:tplc="8246163C">
      <w:numFmt w:val="bullet"/>
      <w:lvlText w:val="•"/>
      <w:lvlJc w:val="left"/>
      <w:pPr>
        <w:ind w:left="1149" w:hanging="173"/>
      </w:pPr>
      <w:rPr>
        <w:rFonts w:hint="default"/>
        <w:lang w:val="fr-FR" w:eastAsia="fr-FR" w:bidi="fr-FR"/>
      </w:rPr>
    </w:lvl>
    <w:lvl w:ilvl="5" w:tplc="45008072">
      <w:numFmt w:val="bullet"/>
      <w:lvlText w:val="•"/>
      <w:lvlJc w:val="left"/>
      <w:pPr>
        <w:ind w:left="1421" w:hanging="173"/>
      </w:pPr>
      <w:rPr>
        <w:rFonts w:hint="default"/>
        <w:lang w:val="fr-FR" w:eastAsia="fr-FR" w:bidi="fr-FR"/>
      </w:rPr>
    </w:lvl>
    <w:lvl w:ilvl="6" w:tplc="0FBC23D8">
      <w:numFmt w:val="bullet"/>
      <w:lvlText w:val="•"/>
      <w:lvlJc w:val="left"/>
      <w:pPr>
        <w:ind w:left="1693" w:hanging="173"/>
      </w:pPr>
      <w:rPr>
        <w:rFonts w:hint="default"/>
        <w:lang w:val="fr-FR" w:eastAsia="fr-FR" w:bidi="fr-FR"/>
      </w:rPr>
    </w:lvl>
    <w:lvl w:ilvl="7" w:tplc="8B6647A6">
      <w:numFmt w:val="bullet"/>
      <w:lvlText w:val="•"/>
      <w:lvlJc w:val="left"/>
      <w:pPr>
        <w:ind w:left="1965" w:hanging="173"/>
      </w:pPr>
      <w:rPr>
        <w:rFonts w:hint="default"/>
        <w:lang w:val="fr-FR" w:eastAsia="fr-FR" w:bidi="fr-FR"/>
      </w:rPr>
    </w:lvl>
    <w:lvl w:ilvl="8" w:tplc="175437E0">
      <w:numFmt w:val="bullet"/>
      <w:lvlText w:val="•"/>
      <w:lvlJc w:val="left"/>
      <w:pPr>
        <w:ind w:left="2238" w:hanging="173"/>
      </w:pPr>
      <w:rPr>
        <w:rFonts w:hint="default"/>
        <w:lang w:val="fr-FR" w:eastAsia="fr-FR" w:bidi="fr-FR"/>
      </w:rPr>
    </w:lvl>
  </w:abstractNum>
  <w:abstractNum w:abstractNumId="30" w15:restartNumberingAfterBreak="0">
    <w:nsid w:val="45923036"/>
    <w:multiLevelType w:val="hybridMultilevel"/>
    <w:tmpl w:val="92F08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8F12D3"/>
    <w:multiLevelType w:val="hybridMultilevel"/>
    <w:tmpl w:val="9C723076"/>
    <w:lvl w:ilvl="0" w:tplc="79843702">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C130D26C">
      <w:numFmt w:val="bullet"/>
      <w:lvlText w:val="•"/>
      <w:lvlJc w:val="left"/>
      <w:pPr>
        <w:ind w:left="363" w:hanging="173"/>
      </w:pPr>
      <w:rPr>
        <w:rFonts w:hint="default"/>
        <w:lang w:val="fr-FR" w:eastAsia="fr-FR" w:bidi="fr-FR"/>
      </w:rPr>
    </w:lvl>
    <w:lvl w:ilvl="2" w:tplc="0220EFBE">
      <w:numFmt w:val="bullet"/>
      <w:lvlText w:val="•"/>
      <w:lvlJc w:val="left"/>
      <w:pPr>
        <w:ind w:left="666" w:hanging="173"/>
      </w:pPr>
      <w:rPr>
        <w:rFonts w:hint="default"/>
        <w:lang w:val="fr-FR" w:eastAsia="fr-FR" w:bidi="fr-FR"/>
      </w:rPr>
    </w:lvl>
    <w:lvl w:ilvl="3" w:tplc="FA96EA3E">
      <w:numFmt w:val="bullet"/>
      <w:lvlText w:val="•"/>
      <w:lvlJc w:val="left"/>
      <w:pPr>
        <w:ind w:left="969" w:hanging="173"/>
      </w:pPr>
      <w:rPr>
        <w:rFonts w:hint="default"/>
        <w:lang w:val="fr-FR" w:eastAsia="fr-FR" w:bidi="fr-FR"/>
      </w:rPr>
    </w:lvl>
    <w:lvl w:ilvl="4" w:tplc="F238104A">
      <w:numFmt w:val="bullet"/>
      <w:lvlText w:val="•"/>
      <w:lvlJc w:val="left"/>
      <w:pPr>
        <w:ind w:left="1272" w:hanging="173"/>
      </w:pPr>
      <w:rPr>
        <w:rFonts w:hint="default"/>
        <w:lang w:val="fr-FR" w:eastAsia="fr-FR" w:bidi="fr-FR"/>
      </w:rPr>
    </w:lvl>
    <w:lvl w:ilvl="5" w:tplc="37D8EB10">
      <w:numFmt w:val="bullet"/>
      <w:lvlText w:val="•"/>
      <w:lvlJc w:val="left"/>
      <w:pPr>
        <w:ind w:left="1576" w:hanging="173"/>
      </w:pPr>
      <w:rPr>
        <w:rFonts w:hint="default"/>
        <w:lang w:val="fr-FR" w:eastAsia="fr-FR" w:bidi="fr-FR"/>
      </w:rPr>
    </w:lvl>
    <w:lvl w:ilvl="6" w:tplc="74545A20">
      <w:numFmt w:val="bullet"/>
      <w:lvlText w:val="•"/>
      <w:lvlJc w:val="left"/>
      <w:pPr>
        <w:ind w:left="1879" w:hanging="173"/>
      </w:pPr>
      <w:rPr>
        <w:rFonts w:hint="default"/>
        <w:lang w:val="fr-FR" w:eastAsia="fr-FR" w:bidi="fr-FR"/>
      </w:rPr>
    </w:lvl>
    <w:lvl w:ilvl="7" w:tplc="172EC708">
      <w:numFmt w:val="bullet"/>
      <w:lvlText w:val="•"/>
      <w:lvlJc w:val="left"/>
      <w:pPr>
        <w:ind w:left="2182" w:hanging="173"/>
      </w:pPr>
      <w:rPr>
        <w:rFonts w:hint="default"/>
        <w:lang w:val="fr-FR" w:eastAsia="fr-FR" w:bidi="fr-FR"/>
      </w:rPr>
    </w:lvl>
    <w:lvl w:ilvl="8" w:tplc="39840C36">
      <w:numFmt w:val="bullet"/>
      <w:lvlText w:val="•"/>
      <w:lvlJc w:val="left"/>
      <w:pPr>
        <w:ind w:left="2485" w:hanging="173"/>
      </w:pPr>
      <w:rPr>
        <w:rFonts w:hint="default"/>
        <w:lang w:val="fr-FR" w:eastAsia="fr-FR" w:bidi="fr-FR"/>
      </w:rPr>
    </w:lvl>
  </w:abstractNum>
  <w:abstractNum w:abstractNumId="32"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C9F272B"/>
    <w:multiLevelType w:val="hybridMultilevel"/>
    <w:tmpl w:val="DF9883A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4F44DD3"/>
    <w:multiLevelType w:val="hybridMultilevel"/>
    <w:tmpl w:val="AE0E03D2"/>
    <w:lvl w:ilvl="0" w:tplc="E0E8ADAC">
      <w:start w:val="1"/>
      <w:numFmt w:val="lowerRoman"/>
      <w:lvlText w:val="(%1)"/>
      <w:lvlJc w:val="left"/>
      <w:pPr>
        <w:ind w:left="228" w:hanging="173"/>
        <w:jc w:val="left"/>
      </w:pPr>
      <w:rPr>
        <w:rFonts w:ascii="Calibri" w:eastAsia="Calibri" w:hAnsi="Calibri" w:cs="Calibri" w:hint="default"/>
        <w:i/>
        <w:w w:val="93"/>
        <w:sz w:val="18"/>
        <w:szCs w:val="18"/>
        <w:lang w:val="fr-FR" w:eastAsia="fr-FR" w:bidi="fr-FR"/>
      </w:rPr>
    </w:lvl>
    <w:lvl w:ilvl="1" w:tplc="2E7A5094">
      <w:numFmt w:val="bullet"/>
      <w:lvlText w:val="•"/>
      <w:lvlJc w:val="left"/>
      <w:pPr>
        <w:ind w:left="476" w:hanging="173"/>
      </w:pPr>
      <w:rPr>
        <w:rFonts w:hint="default"/>
        <w:lang w:val="fr-FR" w:eastAsia="fr-FR" w:bidi="fr-FR"/>
      </w:rPr>
    </w:lvl>
    <w:lvl w:ilvl="2" w:tplc="8F146C88">
      <w:numFmt w:val="bullet"/>
      <w:lvlText w:val="•"/>
      <w:lvlJc w:val="left"/>
      <w:pPr>
        <w:ind w:left="732" w:hanging="173"/>
      </w:pPr>
      <w:rPr>
        <w:rFonts w:hint="default"/>
        <w:lang w:val="fr-FR" w:eastAsia="fr-FR" w:bidi="fr-FR"/>
      </w:rPr>
    </w:lvl>
    <w:lvl w:ilvl="3" w:tplc="1B7258B0">
      <w:numFmt w:val="bullet"/>
      <w:lvlText w:val="•"/>
      <w:lvlJc w:val="left"/>
      <w:pPr>
        <w:ind w:left="988" w:hanging="173"/>
      </w:pPr>
      <w:rPr>
        <w:rFonts w:hint="default"/>
        <w:lang w:val="fr-FR" w:eastAsia="fr-FR" w:bidi="fr-FR"/>
      </w:rPr>
    </w:lvl>
    <w:lvl w:ilvl="4" w:tplc="B45822B4">
      <w:numFmt w:val="bullet"/>
      <w:lvlText w:val="•"/>
      <w:lvlJc w:val="left"/>
      <w:pPr>
        <w:ind w:left="1245" w:hanging="173"/>
      </w:pPr>
      <w:rPr>
        <w:rFonts w:hint="default"/>
        <w:lang w:val="fr-FR" w:eastAsia="fr-FR" w:bidi="fr-FR"/>
      </w:rPr>
    </w:lvl>
    <w:lvl w:ilvl="5" w:tplc="DB1C42D4">
      <w:numFmt w:val="bullet"/>
      <w:lvlText w:val="•"/>
      <w:lvlJc w:val="left"/>
      <w:pPr>
        <w:ind w:left="1501" w:hanging="173"/>
      </w:pPr>
      <w:rPr>
        <w:rFonts w:hint="default"/>
        <w:lang w:val="fr-FR" w:eastAsia="fr-FR" w:bidi="fr-FR"/>
      </w:rPr>
    </w:lvl>
    <w:lvl w:ilvl="6" w:tplc="506A688A">
      <w:numFmt w:val="bullet"/>
      <w:lvlText w:val="•"/>
      <w:lvlJc w:val="left"/>
      <w:pPr>
        <w:ind w:left="1757" w:hanging="173"/>
      </w:pPr>
      <w:rPr>
        <w:rFonts w:hint="default"/>
        <w:lang w:val="fr-FR" w:eastAsia="fr-FR" w:bidi="fr-FR"/>
      </w:rPr>
    </w:lvl>
    <w:lvl w:ilvl="7" w:tplc="E16CA668">
      <w:numFmt w:val="bullet"/>
      <w:lvlText w:val="•"/>
      <w:lvlJc w:val="left"/>
      <w:pPr>
        <w:ind w:left="2013" w:hanging="173"/>
      </w:pPr>
      <w:rPr>
        <w:rFonts w:hint="default"/>
        <w:lang w:val="fr-FR" w:eastAsia="fr-FR" w:bidi="fr-FR"/>
      </w:rPr>
    </w:lvl>
    <w:lvl w:ilvl="8" w:tplc="7ED088D2">
      <w:numFmt w:val="bullet"/>
      <w:lvlText w:val="•"/>
      <w:lvlJc w:val="left"/>
      <w:pPr>
        <w:ind w:left="2270" w:hanging="173"/>
      </w:pPr>
      <w:rPr>
        <w:rFonts w:hint="default"/>
        <w:lang w:val="fr-FR" w:eastAsia="fr-FR" w:bidi="fr-FR"/>
      </w:rPr>
    </w:lvl>
  </w:abstractNum>
  <w:abstractNum w:abstractNumId="36" w15:restartNumberingAfterBreak="0">
    <w:nsid w:val="556C694E"/>
    <w:multiLevelType w:val="hybridMultilevel"/>
    <w:tmpl w:val="1E3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F57134"/>
    <w:multiLevelType w:val="hybridMultilevel"/>
    <w:tmpl w:val="7AC41722"/>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69D5440"/>
    <w:multiLevelType w:val="hybridMultilevel"/>
    <w:tmpl w:val="A1280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D61A75"/>
    <w:multiLevelType w:val="hybridMultilevel"/>
    <w:tmpl w:val="53404D02"/>
    <w:lvl w:ilvl="0" w:tplc="B1DE486C">
      <w:start w:val="1"/>
      <w:numFmt w:val="lowerRoman"/>
      <w:lvlText w:val="(%1)"/>
      <w:lvlJc w:val="left"/>
      <w:pPr>
        <w:ind w:left="56" w:hanging="173"/>
        <w:jc w:val="left"/>
      </w:pPr>
      <w:rPr>
        <w:rFonts w:ascii="Calibri" w:eastAsia="Calibri" w:hAnsi="Calibri" w:cs="Calibri" w:hint="default"/>
        <w:i/>
        <w:w w:val="93"/>
        <w:sz w:val="18"/>
        <w:szCs w:val="18"/>
        <w:lang w:val="fr-FR" w:eastAsia="fr-FR" w:bidi="fr-FR"/>
      </w:rPr>
    </w:lvl>
    <w:lvl w:ilvl="1" w:tplc="DAB6161E">
      <w:numFmt w:val="bullet"/>
      <w:lvlText w:val="•"/>
      <w:lvlJc w:val="left"/>
      <w:pPr>
        <w:ind w:left="363" w:hanging="173"/>
      </w:pPr>
      <w:rPr>
        <w:rFonts w:hint="default"/>
        <w:lang w:val="fr-FR" w:eastAsia="fr-FR" w:bidi="fr-FR"/>
      </w:rPr>
    </w:lvl>
    <w:lvl w:ilvl="2" w:tplc="EDE89208">
      <w:numFmt w:val="bullet"/>
      <w:lvlText w:val="•"/>
      <w:lvlJc w:val="left"/>
      <w:pPr>
        <w:ind w:left="666" w:hanging="173"/>
      </w:pPr>
      <w:rPr>
        <w:rFonts w:hint="default"/>
        <w:lang w:val="fr-FR" w:eastAsia="fr-FR" w:bidi="fr-FR"/>
      </w:rPr>
    </w:lvl>
    <w:lvl w:ilvl="3" w:tplc="D39813FC">
      <w:numFmt w:val="bullet"/>
      <w:lvlText w:val="•"/>
      <w:lvlJc w:val="left"/>
      <w:pPr>
        <w:ind w:left="969" w:hanging="173"/>
      </w:pPr>
      <w:rPr>
        <w:rFonts w:hint="default"/>
        <w:lang w:val="fr-FR" w:eastAsia="fr-FR" w:bidi="fr-FR"/>
      </w:rPr>
    </w:lvl>
    <w:lvl w:ilvl="4" w:tplc="1046AB12">
      <w:numFmt w:val="bullet"/>
      <w:lvlText w:val="•"/>
      <w:lvlJc w:val="left"/>
      <w:pPr>
        <w:ind w:left="1272" w:hanging="173"/>
      </w:pPr>
      <w:rPr>
        <w:rFonts w:hint="default"/>
        <w:lang w:val="fr-FR" w:eastAsia="fr-FR" w:bidi="fr-FR"/>
      </w:rPr>
    </w:lvl>
    <w:lvl w:ilvl="5" w:tplc="45785C5E">
      <w:numFmt w:val="bullet"/>
      <w:lvlText w:val="•"/>
      <w:lvlJc w:val="left"/>
      <w:pPr>
        <w:ind w:left="1576" w:hanging="173"/>
      </w:pPr>
      <w:rPr>
        <w:rFonts w:hint="default"/>
        <w:lang w:val="fr-FR" w:eastAsia="fr-FR" w:bidi="fr-FR"/>
      </w:rPr>
    </w:lvl>
    <w:lvl w:ilvl="6" w:tplc="059C84B0">
      <w:numFmt w:val="bullet"/>
      <w:lvlText w:val="•"/>
      <w:lvlJc w:val="left"/>
      <w:pPr>
        <w:ind w:left="1879" w:hanging="173"/>
      </w:pPr>
      <w:rPr>
        <w:rFonts w:hint="default"/>
        <w:lang w:val="fr-FR" w:eastAsia="fr-FR" w:bidi="fr-FR"/>
      </w:rPr>
    </w:lvl>
    <w:lvl w:ilvl="7" w:tplc="F5F42016">
      <w:numFmt w:val="bullet"/>
      <w:lvlText w:val="•"/>
      <w:lvlJc w:val="left"/>
      <w:pPr>
        <w:ind w:left="2182" w:hanging="173"/>
      </w:pPr>
      <w:rPr>
        <w:rFonts w:hint="default"/>
        <w:lang w:val="fr-FR" w:eastAsia="fr-FR" w:bidi="fr-FR"/>
      </w:rPr>
    </w:lvl>
    <w:lvl w:ilvl="8" w:tplc="4BAEA4E4">
      <w:numFmt w:val="bullet"/>
      <w:lvlText w:val="•"/>
      <w:lvlJc w:val="left"/>
      <w:pPr>
        <w:ind w:left="2485" w:hanging="173"/>
      </w:pPr>
      <w:rPr>
        <w:rFonts w:hint="default"/>
        <w:lang w:val="fr-FR" w:eastAsia="fr-FR" w:bidi="fr-FR"/>
      </w:rPr>
    </w:lvl>
  </w:abstractNum>
  <w:abstractNum w:abstractNumId="42" w15:restartNumberingAfterBreak="0">
    <w:nsid w:val="6F7361C6"/>
    <w:multiLevelType w:val="hybridMultilevel"/>
    <w:tmpl w:val="653A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71C84"/>
    <w:multiLevelType w:val="hybridMultilevel"/>
    <w:tmpl w:val="5C56B930"/>
    <w:lvl w:ilvl="0" w:tplc="0C3A9174">
      <w:start w:val="1"/>
      <w:numFmt w:val="decimal"/>
      <w:lvlText w:val="%1"/>
      <w:lvlJc w:val="left"/>
      <w:pPr>
        <w:ind w:left="283" w:hanging="171"/>
        <w:jc w:val="left"/>
      </w:pPr>
      <w:rPr>
        <w:rFonts w:ascii="Palatino Linotype" w:eastAsia="Palatino Linotype" w:hAnsi="Palatino Linotype" w:cs="Palatino Linotype" w:hint="default"/>
        <w:w w:val="94"/>
        <w:sz w:val="14"/>
        <w:szCs w:val="14"/>
        <w:lang w:val="fr-FR" w:eastAsia="fr-FR" w:bidi="fr-FR"/>
      </w:rPr>
    </w:lvl>
    <w:lvl w:ilvl="1" w:tplc="80862566">
      <w:numFmt w:val="bullet"/>
      <w:lvlText w:val="•"/>
      <w:lvlJc w:val="left"/>
      <w:pPr>
        <w:ind w:left="1256" w:hanging="171"/>
      </w:pPr>
      <w:rPr>
        <w:rFonts w:hint="default"/>
        <w:lang w:val="fr-FR" w:eastAsia="fr-FR" w:bidi="fr-FR"/>
      </w:rPr>
    </w:lvl>
    <w:lvl w:ilvl="2" w:tplc="012EA0DE">
      <w:numFmt w:val="bullet"/>
      <w:lvlText w:val="•"/>
      <w:lvlJc w:val="left"/>
      <w:pPr>
        <w:ind w:left="2233" w:hanging="171"/>
      </w:pPr>
      <w:rPr>
        <w:rFonts w:hint="default"/>
        <w:lang w:val="fr-FR" w:eastAsia="fr-FR" w:bidi="fr-FR"/>
      </w:rPr>
    </w:lvl>
    <w:lvl w:ilvl="3" w:tplc="E71CD2FA">
      <w:numFmt w:val="bullet"/>
      <w:lvlText w:val="•"/>
      <w:lvlJc w:val="left"/>
      <w:pPr>
        <w:ind w:left="3209" w:hanging="171"/>
      </w:pPr>
      <w:rPr>
        <w:rFonts w:hint="default"/>
        <w:lang w:val="fr-FR" w:eastAsia="fr-FR" w:bidi="fr-FR"/>
      </w:rPr>
    </w:lvl>
    <w:lvl w:ilvl="4" w:tplc="3C7A6B54">
      <w:numFmt w:val="bullet"/>
      <w:lvlText w:val="•"/>
      <w:lvlJc w:val="left"/>
      <w:pPr>
        <w:ind w:left="4186" w:hanging="171"/>
      </w:pPr>
      <w:rPr>
        <w:rFonts w:hint="default"/>
        <w:lang w:val="fr-FR" w:eastAsia="fr-FR" w:bidi="fr-FR"/>
      </w:rPr>
    </w:lvl>
    <w:lvl w:ilvl="5" w:tplc="1220DB78">
      <w:numFmt w:val="bullet"/>
      <w:lvlText w:val="•"/>
      <w:lvlJc w:val="left"/>
      <w:pPr>
        <w:ind w:left="5162" w:hanging="171"/>
      </w:pPr>
      <w:rPr>
        <w:rFonts w:hint="default"/>
        <w:lang w:val="fr-FR" w:eastAsia="fr-FR" w:bidi="fr-FR"/>
      </w:rPr>
    </w:lvl>
    <w:lvl w:ilvl="6" w:tplc="49966950">
      <w:numFmt w:val="bullet"/>
      <w:lvlText w:val="•"/>
      <w:lvlJc w:val="left"/>
      <w:pPr>
        <w:ind w:left="6139" w:hanging="171"/>
      </w:pPr>
      <w:rPr>
        <w:rFonts w:hint="default"/>
        <w:lang w:val="fr-FR" w:eastAsia="fr-FR" w:bidi="fr-FR"/>
      </w:rPr>
    </w:lvl>
    <w:lvl w:ilvl="7" w:tplc="A9767F48">
      <w:numFmt w:val="bullet"/>
      <w:lvlText w:val="•"/>
      <w:lvlJc w:val="left"/>
      <w:pPr>
        <w:ind w:left="7115" w:hanging="171"/>
      </w:pPr>
      <w:rPr>
        <w:rFonts w:hint="default"/>
        <w:lang w:val="fr-FR" w:eastAsia="fr-FR" w:bidi="fr-FR"/>
      </w:rPr>
    </w:lvl>
    <w:lvl w:ilvl="8" w:tplc="8962EDB4">
      <w:numFmt w:val="bullet"/>
      <w:lvlText w:val="•"/>
      <w:lvlJc w:val="left"/>
      <w:pPr>
        <w:ind w:left="8092" w:hanging="171"/>
      </w:pPr>
      <w:rPr>
        <w:rFonts w:hint="default"/>
        <w:lang w:val="fr-FR" w:eastAsia="fr-FR" w:bidi="fr-FR"/>
      </w:rPr>
    </w:lvl>
  </w:abstractNum>
  <w:abstractNum w:abstractNumId="44" w15:restartNumberingAfterBreak="0">
    <w:nsid w:val="7297675A"/>
    <w:multiLevelType w:val="hybridMultilevel"/>
    <w:tmpl w:val="57E439F8"/>
    <w:lvl w:ilvl="0" w:tplc="46A6AA7E">
      <w:start w:val="1"/>
      <w:numFmt w:val="lowerRoman"/>
      <w:lvlText w:val="(%1)"/>
      <w:lvlJc w:val="left"/>
      <w:pPr>
        <w:ind w:left="228" w:hanging="173"/>
        <w:jc w:val="left"/>
      </w:pPr>
      <w:rPr>
        <w:rFonts w:ascii="Calibri" w:eastAsia="Calibri" w:hAnsi="Calibri" w:cs="Calibri" w:hint="default"/>
        <w:i/>
        <w:w w:val="93"/>
        <w:sz w:val="18"/>
        <w:szCs w:val="18"/>
        <w:lang w:val="fr-FR" w:eastAsia="fr-FR" w:bidi="fr-FR"/>
      </w:rPr>
    </w:lvl>
    <w:lvl w:ilvl="1" w:tplc="498CEF62">
      <w:numFmt w:val="bullet"/>
      <w:lvlText w:val="•"/>
      <w:lvlJc w:val="left"/>
      <w:pPr>
        <w:ind w:left="476" w:hanging="173"/>
      </w:pPr>
      <w:rPr>
        <w:rFonts w:hint="default"/>
        <w:lang w:val="fr-FR" w:eastAsia="fr-FR" w:bidi="fr-FR"/>
      </w:rPr>
    </w:lvl>
    <w:lvl w:ilvl="2" w:tplc="01208862">
      <w:numFmt w:val="bullet"/>
      <w:lvlText w:val="•"/>
      <w:lvlJc w:val="left"/>
      <w:pPr>
        <w:ind w:left="732" w:hanging="173"/>
      </w:pPr>
      <w:rPr>
        <w:rFonts w:hint="default"/>
        <w:lang w:val="fr-FR" w:eastAsia="fr-FR" w:bidi="fr-FR"/>
      </w:rPr>
    </w:lvl>
    <w:lvl w:ilvl="3" w:tplc="BCE414D8">
      <w:numFmt w:val="bullet"/>
      <w:lvlText w:val="•"/>
      <w:lvlJc w:val="left"/>
      <w:pPr>
        <w:ind w:left="988" w:hanging="173"/>
      </w:pPr>
      <w:rPr>
        <w:rFonts w:hint="default"/>
        <w:lang w:val="fr-FR" w:eastAsia="fr-FR" w:bidi="fr-FR"/>
      </w:rPr>
    </w:lvl>
    <w:lvl w:ilvl="4" w:tplc="18387FE2">
      <w:numFmt w:val="bullet"/>
      <w:lvlText w:val="•"/>
      <w:lvlJc w:val="left"/>
      <w:pPr>
        <w:ind w:left="1245" w:hanging="173"/>
      </w:pPr>
      <w:rPr>
        <w:rFonts w:hint="default"/>
        <w:lang w:val="fr-FR" w:eastAsia="fr-FR" w:bidi="fr-FR"/>
      </w:rPr>
    </w:lvl>
    <w:lvl w:ilvl="5" w:tplc="7CC403D2">
      <w:numFmt w:val="bullet"/>
      <w:lvlText w:val="•"/>
      <w:lvlJc w:val="left"/>
      <w:pPr>
        <w:ind w:left="1501" w:hanging="173"/>
      </w:pPr>
      <w:rPr>
        <w:rFonts w:hint="default"/>
        <w:lang w:val="fr-FR" w:eastAsia="fr-FR" w:bidi="fr-FR"/>
      </w:rPr>
    </w:lvl>
    <w:lvl w:ilvl="6" w:tplc="093CAB94">
      <w:numFmt w:val="bullet"/>
      <w:lvlText w:val="•"/>
      <w:lvlJc w:val="left"/>
      <w:pPr>
        <w:ind w:left="1757" w:hanging="173"/>
      </w:pPr>
      <w:rPr>
        <w:rFonts w:hint="default"/>
        <w:lang w:val="fr-FR" w:eastAsia="fr-FR" w:bidi="fr-FR"/>
      </w:rPr>
    </w:lvl>
    <w:lvl w:ilvl="7" w:tplc="F084BA64">
      <w:numFmt w:val="bullet"/>
      <w:lvlText w:val="•"/>
      <w:lvlJc w:val="left"/>
      <w:pPr>
        <w:ind w:left="2013" w:hanging="173"/>
      </w:pPr>
      <w:rPr>
        <w:rFonts w:hint="default"/>
        <w:lang w:val="fr-FR" w:eastAsia="fr-FR" w:bidi="fr-FR"/>
      </w:rPr>
    </w:lvl>
    <w:lvl w:ilvl="8" w:tplc="4140CA58">
      <w:numFmt w:val="bullet"/>
      <w:lvlText w:val="•"/>
      <w:lvlJc w:val="left"/>
      <w:pPr>
        <w:ind w:left="2270" w:hanging="173"/>
      </w:pPr>
      <w:rPr>
        <w:rFonts w:hint="default"/>
        <w:lang w:val="fr-FR" w:eastAsia="fr-FR" w:bidi="fr-FR"/>
      </w:rPr>
    </w:lvl>
  </w:abstractNum>
  <w:abstractNum w:abstractNumId="45" w15:restartNumberingAfterBreak="0">
    <w:nsid w:val="75842569"/>
    <w:multiLevelType w:val="hybridMultilevel"/>
    <w:tmpl w:val="2AC0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C78AE"/>
    <w:multiLevelType w:val="hybridMultilevel"/>
    <w:tmpl w:val="93464C30"/>
    <w:lvl w:ilvl="0" w:tplc="040C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D53DC"/>
    <w:multiLevelType w:val="hybridMultilevel"/>
    <w:tmpl w:val="C026F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23"/>
  </w:num>
  <w:num w:numId="2">
    <w:abstractNumId w:val="0"/>
  </w:num>
  <w:num w:numId="3">
    <w:abstractNumId w:val="4"/>
  </w:num>
  <w:num w:numId="4">
    <w:abstractNumId w:val="49"/>
  </w:num>
  <w:num w:numId="5">
    <w:abstractNumId w:val="40"/>
  </w:num>
  <w:num w:numId="6">
    <w:abstractNumId w:val="1"/>
  </w:num>
  <w:num w:numId="7">
    <w:abstractNumId w:val="24"/>
  </w:num>
  <w:num w:numId="8">
    <w:abstractNumId w:val="6"/>
  </w:num>
  <w:num w:numId="9">
    <w:abstractNumId w:val="22"/>
  </w:num>
  <w:num w:numId="10">
    <w:abstractNumId w:val="5"/>
  </w:num>
  <w:num w:numId="11">
    <w:abstractNumId w:val="15"/>
  </w:num>
  <w:num w:numId="12">
    <w:abstractNumId w:val="14"/>
  </w:num>
  <w:num w:numId="13">
    <w:abstractNumId w:val="28"/>
  </w:num>
  <w:num w:numId="14">
    <w:abstractNumId w:val="47"/>
  </w:num>
  <w:num w:numId="15">
    <w:abstractNumId w:val="11"/>
  </w:num>
  <w:num w:numId="16">
    <w:abstractNumId w:val="17"/>
  </w:num>
  <w:num w:numId="17">
    <w:abstractNumId w:val="16"/>
  </w:num>
  <w:num w:numId="18">
    <w:abstractNumId w:val="34"/>
  </w:num>
  <w:num w:numId="19">
    <w:abstractNumId w:val="26"/>
  </w:num>
  <w:num w:numId="20">
    <w:abstractNumId w:val="38"/>
  </w:num>
  <w:num w:numId="21">
    <w:abstractNumId w:val="25"/>
  </w:num>
  <w:num w:numId="22">
    <w:abstractNumId w:val="32"/>
  </w:num>
  <w:num w:numId="23">
    <w:abstractNumId w:val="9"/>
  </w:num>
  <w:num w:numId="24">
    <w:abstractNumId w:val="36"/>
  </w:num>
  <w:num w:numId="25">
    <w:abstractNumId w:val="10"/>
  </w:num>
  <w:num w:numId="26">
    <w:abstractNumId w:val="19"/>
  </w:num>
  <w:num w:numId="27">
    <w:abstractNumId w:val="12"/>
  </w:num>
  <w:num w:numId="28">
    <w:abstractNumId w:val="39"/>
  </w:num>
  <w:num w:numId="29">
    <w:abstractNumId w:val="48"/>
  </w:num>
  <w:num w:numId="30">
    <w:abstractNumId w:val="2"/>
  </w:num>
  <w:num w:numId="31">
    <w:abstractNumId w:val="45"/>
  </w:num>
  <w:num w:numId="32">
    <w:abstractNumId w:val="42"/>
  </w:num>
  <w:num w:numId="33">
    <w:abstractNumId w:val="30"/>
  </w:num>
  <w:num w:numId="34">
    <w:abstractNumId w:val="13"/>
  </w:num>
  <w:num w:numId="35">
    <w:abstractNumId w:val="37"/>
  </w:num>
  <w:num w:numId="36">
    <w:abstractNumId w:val="21"/>
  </w:num>
  <w:num w:numId="37">
    <w:abstractNumId w:val="33"/>
  </w:num>
  <w:num w:numId="38">
    <w:abstractNumId w:val="3"/>
  </w:num>
  <w:num w:numId="39">
    <w:abstractNumId w:val="46"/>
  </w:num>
  <w:num w:numId="40">
    <w:abstractNumId w:val="20"/>
  </w:num>
  <w:num w:numId="41">
    <w:abstractNumId w:val="7"/>
  </w:num>
  <w:num w:numId="42">
    <w:abstractNumId w:val="35"/>
  </w:num>
  <w:num w:numId="43">
    <w:abstractNumId w:val="27"/>
  </w:num>
  <w:num w:numId="44">
    <w:abstractNumId w:val="44"/>
  </w:num>
  <w:num w:numId="45">
    <w:abstractNumId w:val="8"/>
  </w:num>
  <w:num w:numId="46">
    <w:abstractNumId w:val="29"/>
  </w:num>
  <w:num w:numId="47">
    <w:abstractNumId w:val="41"/>
  </w:num>
  <w:num w:numId="48">
    <w:abstractNumId w:val="18"/>
  </w:num>
  <w:num w:numId="49">
    <w:abstractNumId w:val="31"/>
  </w:num>
  <w:num w:numId="50">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activeWritingStyle w:appName="MSWord" w:lang="zh-CN" w:vendorID="64" w:dllVersion="0"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0683E"/>
    <w:rsid w:val="00012376"/>
    <w:rsid w:val="000125CC"/>
    <w:rsid w:val="000125FE"/>
    <w:rsid w:val="000152FB"/>
    <w:rsid w:val="00015336"/>
    <w:rsid w:val="00015EC5"/>
    <w:rsid w:val="00023F8E"/>
    <w:rsid w:val="00025067"/>
    <w:rsid w:val="00027702"/>
    <w:rsid w:val="00031BFF"/>
    <w:rsid w:val="00032FF1"/>
    <w:rsid w:val="00034CA9"/>
    <w:rsid w:val="00040C43"/>
    <w:rsid w:val="00040C74"/>
    <w:rsid w:val="000410FF"/>
    <w:rsid w:val="00042931"/>
    <w:rsid w:val="00044AA1"/>
    <w:rsid w:val="00044F78"/>
    <w:rsid w:val="000466C1"/>
    <w:rsid w:val="00046A42"/>
    <w:rsid w:val="00053F99"/>
    <w:rsid w:val="0005730C"/>
    <w:rsid w:val="00057632"/>
    <w:rsid w:val="00057F1F"/>
    <w:rsid w:val="00062D5E"/>
    <w:rsid w:val="000637CD"/>
    <w:rsid w:val="00064C78"/>
    <w:rsid w:val="00066075"/>
    <w:rsid w:val="0006656E"/>
    <w:rsid w:val="00067F09"/>
    <w:rsid w:val="000701F7"/>
    <w:rsid w:val="00070C91"/>
    <w:rsid w:val="00071027"/>
    <w:rsid w:val="000726BA"/>
    <w:rsid w:val="00075C6D"/>
    <w:rsid w:val="00084E44"/>
    <w:rsid w:val="000862C1"/>
    <w:rsid w:val="00093D61"/>
    <w:rsid w:val="0009605F"/>
    <w:rsid w:val="00096851"/>
    <w:rsid w:val="00097EB9"/>
    <w:rsid w:val="000A0188"/>
    <w:rsid w:val="000A273F"/>
    <w:rsid w:val="000B0A85"/>
    <w:rsid w:val="000B39BC"/>
    <w:rsid w:val="000B54A6"/>
    <w:rsid w:val="000B5A5A"/>
    <w:rsid w:val="000B6635"/>
    <w:rsid w:val="000B7B80"/>
    <w:rsid w:val="000C3567"/>
    <w:rsid w:val="000C401B"/>
    <w:rsid w:val="000C4609"/>
    <w:rsid w:val="000C5D9A"/>
    <w:rsid w:val="000D091A"/>
    <w:rsid w:val="000D4EB8"/>
    <w:rsid w:val="000D5CC2"/>
    <w:rsid w:val="000D7E61"/>
    <w:rsid w:val="000E1C4C"/>
    <w:rsid w:val="000E28D1"/>
    <w:rsid w:val="000E3F50"/>
    <w:rsid w:val="000E481A"/>
    <w:rsid w:val="000E6523"/>
    <w:rsid w:val="000E6F32"/>
    <w:rsid w:val="000F23FF"/>
    <w:rsid w:val="000F5D40"/>
    <w:rsid w:val="000F63B6"/>
    <w:rsid w:val="00100CF1"/>
    <w:rsid w:val="00101338"/>
    <w:rsid w:val="0010401E"/>
    <w:rsid w:val="0011199B"/>
    <w:rsid w:val="00111CC2"/>
    <w:rsid w:val="0012154D"/>
    <w:rsid w:val="00122D7B"/>
    <w:rsid w:val="00124825"/>
    <w:rsid w:val="001255D9"/>
    <w:rsid w:val="00125E26"/>
    <w:rsid w:val="00126B93"/>
    <w:rsid w:val="001270DB"/>
    <w:rsid w:val="00130375"/>
    <w:rsid w:val="0013262B"/>
    <w:rsid w:val="001332B5"/>
    <w:rsid w:val="00134957"/>
    <w:rsid w:val="0013699D"/>
    <w:rsid w:val="00143657"/>
    <w:rsid w:val="00143ECD"/>
    <w:rsid w:val="00145994"/>
    <w:rsid w:val="00147C2F"/>
    <w:rsid w:val="00151B1B"/>
    <w:rsid w:val="00153816"/>
    <w:rsid w:val="00156345"/>
    <w:rsid w:val="00160A8F"/>
    <w:rsid w:val="00163BC1"/>
    <w:rsid w:val="00164453"/>
    <w:rsid w:val="00164DEB"/>
    <w:rsid w:val="00164F21"/>
    <w:rsid w:val="00165F24"/>
    <w:rsid w:val="00166860"/>
    <w:rsid w:val="00166967"/>
    <w:rsid w:val="00176F77"/>
    <w:rsid w:val="0017747E"/>
    <w:rsid w:val="00180A84"/>
    <w:rsid w:val="001848B3"/>
    <w:rsid w:val="001867C5"/>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754A"/>
    <w:rsid w:val="001C7957"/>
    <w:rsid w:val="001D1F2A"/>
    <w:rsid w:val="001D36F1"/>
    <w:rsid w:val="001D4E11"/>
    <w:rsid w:val="001D6238"/>
    <w:rsid w:val="001D6CA9"/>
    <w:rsid w:val="001E0E3F"/>
    <w:rsid w:val="001E64CF"/>
    <w:rsid w:val="001E7B54"/>
    <w:rsid w:val="001F0D76"/>
    <w:rsid w:val="001F230A"/>
    <w:rsid w:val="001F2819"/>
    <w:rsid w:val="001F7F9D"/>
    <w:rsid w:val="0020461E"/>
    <w:rsid w:val="00205B9B"/>
    <w:rsid w:val="00210160"/>
    <w:rsid w:val="002105D3"/>
    <w:rsid w:val="00212203"/>
    <w:rsid w:val="002125C8"/>
    <w:rsid w:val="00212782"/>
    <w:rsid w:val="002139DF"/>
    <w:rsid w:val="00213F64"/>
    <w:rsid w:val="0021475C"/>
    <w:rsid w:val="00217892"/>
    <w:rsid w:val="00217D3E"/>
    <w:rsid w:val="002202DA"/>
    <w:rsid w:val="00220894"/>
    <w:rsid w:val="00223738"/>
    <w:rsid w:val="00230A58"/>
    <w:rsid w:val="00231911"/>
    <w:rsid w:val="00235519"/>
    <w:rsid w:val="00236087"/>
    <w:rsid w:val="00236D88"/>
    <w:rsid w:val="0023782D"/>
    <w:rsid w:val="00244DD5"/>
    <w:rsid w:val="00244FE9"/>
    <w:rsid w:val="00245FA7"/>
    <w:rsid w:val="002469DF"/>
    <w:rsid w:val="002475D4"/>
    <w:rsid w:val="00252780"/>
    <w:rsid w:val="0025372B"/>
    <w:rsid w:val="0025545F"/>
    <w:rsid w:val="00257321"/>
    <w:rsid w:val="00257F64"/>
    <w:rsid w:val="00260969"/>
    <w:rsid w:val="002618B7"/>
    <w:rsid w:val="0026202B"/>
    <w:rsid w:val="0026409B"/>
    <w:rsid w:val="00270B43"/>
    <w:rsid w:val="00270B53"/>
    <w:rsid w:val="00271FBB"/>
    <w:rsid w:val="00272760"/>
    <w:rsid w:val="00272BC9"/>
    <w:rsid w:val="00273223"/>
    <w:rsid w:val="00273394"/>
    <w:rsid w:val="00277FAD"/>
    <w:rsid w:val="0028239A"/>
    <w:rsid w:val="00284D6A"/>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1F1D"/>
    <w:rsid w:val="002D3E0C"/>
    <w:rsid w:val="002D4214"/>
    <w:rsid w:val="002D65E1"/>
    <w:rsid w:val="002E228E"/>
    <w:rsid w:val="002E2A2C"/>
    <w:rsid w:val="002E3D9D"/>
    <w:rsid w:val="002E6F9F"/>
    <w:rsid w:val="002F05AC"/>
    <w:rsid w:val="002F17B8"/>
    <w:rsid w:val="002F26C7"/>
    <w:rsid w:val="002F59ED"/>
    <w:rsid w:val="00301A07"/>
    <w:rsid w:val="00303D06"/>
    <w:rsid w:val="0031076A"/>
    <w:rsid w:val="0031078D"/>
    <w:rsid w:val="0031139B"/>
    <w:rsid w:val="0031317B"/>
    <w:rsid w:val="00313E45"/>
    <w:rsid w:val="003157C5"/>
    <w:rsid w:val="00315CE4"/>
    <w:rsid w:val="00317662"/>
    <w:rsid w:val="00320994"/>
    <w:rsid w:val="003214DD"/>
    <w:rsid w:val="00321B19"/>
    <w:rsid w:val="00324672"/>
    <w:rsid w:val="0032563F"/>
    <w:rsid w:val="00327954"/>
    <w:rsid w:val="00331331"/>
    <w:rsid w:val="0033253A"/>
    <w:rsid w:val="00333E34"/>
    <w:rsid w:val="00334720"/>
    <w:rsid w:val="003355EA"/>
    <w:rsid w:val="003413B1"/>
    <w:rsid w:val="00343E5F"/>
    <w:rsid w:val="003465F0"/>
    <w:rsid w:val="0035201C"/>
    <w:rsid w:val="00353764"/>
    <w:rsid w:val="00355915"/>
    <w:rsid w:val="00363E47"/>
    <w:rsid w:val="0036554B"/>
    <w:rsid w:val="00366801"/>
    <w:rsid w:val="00366AB7"/>
    <w:rsid w:val="00371299"/>
    <w:rsid w:val="003731C5"/>
    <w:rsid w:val="003753BC"/>
    <w:rsid w:val="00381F92"/>
    <w:rsid w:val="00384639"/>
    <w:rsid w:val="00386DB2"/>
    <w:rsid w:val="00396755"/>
    <w:rsid w:val="003A0C3E"/>
    <w:rsid w:val="003A4536"/>
    <w:rsid w:val="003A5457"/>
    <w:rsid w:val="003A6C6F"/>
    <w:rsid w:val="003B1117"/>
    <w:rsid w:val="003B1253"/>
    <w:rsid w:val="003B7B57"/>
    <w:rsid w:val="003C5780"/>
    <w:rsid w:val="003D2575"/>
    <w:rsid w:val="003D31A8"/>
    <w:rsid w:val="003D3B99"/>
    <w:rsid w:val="003E3394"/>
    <w:rsid w:val="003E3A84"/>
    <w:rsid w:val="003E4155"/>
    <w:rsid w:val="003E64CD"/>
    <w:rsid w:val="003F5632"/>
    <w:rsid w:val="004005BF"/>
    <w:rsid w:val="004024C7"/>
    <w:rsid w:val="0040336C"/>
    <w:rsid w:val="0040391C"/>
    <w:rsid w:val="004041BF"/>
    <w:rsid w:val="004114F2"/>
    <w:rsid w:val="0041471F"/>
    <w:rsid w:val="00415394"/>
    <w:rsid w:val="00417BE5"/>
    <w:rsid w:val="00417CA7"/>
    <w:rsid w:val="00420219"/>
    <w:rsid w:val="004219E8"/>
    <w:rsid w:val="00421B58"/>
    <w:rsid w:val="00421DF5"/>
    <w:rsid w:val="00426CB0"/>
    <w:rsid w:val="00426CC1"/>
    <w:rsid w:val="004279B1"/>
    <w:rsid w:val="00427F27"/>
    <w:rsid w:val="004316B4"/>
    <w:rsid w:val="0043316F"/>
    <w:rsid w:val="00433176"/>
    <w:rsid w:val="0043516D"/>
    <w:rsid w:val="00435B90"/>
    <w:rsid w:val="0044056D"/>
    <w:rsid w:val="004430C5"/>
    <w:rsid w:val="00443A7C"/>
    <w:rsid w:val="004504DA"/>
    <w:rsid w:val="004505BA"/>
    <w:rsid w:val="004527D0"/>
    <w:rsid w:val="00454CE0"/>
    <w:rsid w:val="00457B09"/>
    <w:rsid w:val="004643A1"/>
    <w:rsid w:val="004646A1"/>
    <w:rsid w:val="00474B79"/>
    <w:rsid w:val="00484D0B"/>
    <w:rsid w:val="00485027"/>
    <w:rsid w:val="004902A1"/>
    <w:rsid w:val="00490987"/>
    <w:rsid w:val="00491439"/>
    <w:rsid w:val="00492912"/>
    <w:rsid w:val="00493800"/>
    <w:rsid w:val="00497305"/>
    <w:rsid w:val="00497869"/>
    <w:rsid w:val="00497993"/>
    <w:rsid w:val="004A0EEC"/>
    <w:rsid w:val="004A4580"/>
    <w:rsid w:val="004A4B80"/>
    <w:rsid w:val="004A4C48"/>
    <w:rsid w:val="004A4D10"/>
    <w:rsid w:val="004A4FDF"/>
    <w:rsid w:val="004A691A"/>
    <w:rsid w:val="004B3311"/>
    <w:rsid w:val="004B5C1D"/>
    <w:rsid w:val="004C009A"/>
    <w:rsid w:val="004C110A"/>
    <w:rsid w:val="004C3ADF"/>
    <w:rsid w:val="004C54B6"/>
    <w:rsid w:val="004C5FE5"/>
    <w:rsid w:val="004D0732"/>
    <w:rsid w:val="004D212E"/>
    <w:rsid w:val="004D28C4"/>
    <w:rsid w:val="004D41B9"/>
    <w:rsid w:val="004D54E9"/>
    <w:rsid w:val="004D7427"/>
    <w:rsid w:val="004E0B17"/>
    <w:rsid w:val="004E30C4"/>
    <w:rsid w:val="004E3492"/>
    <w:rsid w:val="004E4EFB"/>
    <w:rsid w:val="004E5DC0"/>
    <w:rsid w:val="004F450D"/>
    <w:rsid w:val="004F47B2"/>
    <w:rsid w:val="00500552"/>
    <w:rsid w:val="005015A4"/>
    <w:rsid w:val="005018A5"/>
    <w:rsid w:val="00502B57"/>
    <w:rsid w:val="00504E98"/>
    <w:rsid w:val="00505CCF"/>
    <w:rsid w:val="005061C2"/>
    <w:rsid w:val="0050728D"/>
    <w:rsid w:val="00507B60"/>
    <w:rsid w:val="005103E9"/>
    <w:rsid w:val="005103EA"/>
    <w:rsid w:val="00511BDC"/>
    <w:rsid w:val="00512C73"/>
    <w:rsid w:val="00517970"/>
    <w:rsid w:val="0052098B"/>
    <w:rsid w:val="00521CE6"/>
    <w:rsid w:val="00525EA8"/>
    <w:rsid w:val="00526DF7"/>
    <w:rsid w:val="00531156"/>
    <w:rsid w:val="00534699"/>
    <w:rsid w:val="005349E2"/>
    <w:rsid w:val="005350C2"/>
    <w:rsid w:val="00535534"/>
    <w:rsid w:val="005358B0"/>
    <w:rsid w:val="00535EA9"/>
    <w:rsid w:val="00536B04"/>
    <w:rsid w:val="00542489"/>
    <w:rsid w:val="005442DA"/>
    <w:rsid w:val="005519E0"/>
    <w:rsid w:val="00556C1E"/>
    <w:rsid w:val="00560FA4"/>
    <w:rsid w:val="005638E8"/>
    <w:rsid w:val="00563BAA"/>
    <w:rsid w:val="0056419E"/>
    <w:rsid w:val="005660A2"/>
    <w:rsid w:val="0056735F"/>
    <w:rsid w:val="00577DB8"/>
    <w:rsid w:val="0058095F"/>
    <w:rsid w:val="00585119"/>
    <w:rsid w:val="0059352D"/>
    <w:rsid w:val="00594BD0"/>
    <w:rsid w:val="005A5309"/>
    <w:rsid w:val="005A69BB"/>
    <w:rsid w:val="005B1A87"/>
    <w:rsid w:val="005B3E1C"/>
    <w:rsid w:val="005B6B0F"/>
    <w:rsid w:val="005C60EC"/>
    <w:rsid w:val="005D1540"/>
    <w:rsid w:val="005D2C50"/>
    <w:rsid w:val="005D4B28"/>
    <w:rsid w:val="005D64A3"/>
    <w:rsid w:val="005D6B36"/>
    <w:rsid w:val="005D6DB4"/>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220F3"/>
    <w:rsid w:val="006316F9"/>
    <w:rsid w:val="0063359A"/>
    <w:rsid w:val="0063498A"/>
    <w:rsid w:val="0063526A"/>
    <w:rsid w:val="00635927"/>
    <w:rsid w:val="00637D56"/>
    <w:rsid w:val="00640279"/>
    <w:rsid w:val="006503DB"/>
    <w:rsid w:val="00650CAE"/>
    <w:rsid w:val="00651EE8"/>
    <w:rsid w:val="006530B5"/>
    <w:rsid w:val="00657005"/>
    <w:rsid w:val="0065732A"/>
    <w:rsid w:val="00663442"/>
    <w:rsid w:val="006653A8"/>
    <w:rsid w:val="006667AF"/>
    <w:rsid w:val="00666938"/>
    <w:rsid w:val="00670983"/>
    <w:rsid w:val="00672100"/>
    <w:rsid w:val="00675434"/>
    <w:rsid w:val="00675CBB"/>
    <w:rsid w:val="00682143"/>
    <w:rsid w:val="00682F1F"/>
    <w:rsid w:val="00686350"/>
    <w:rsid w:val="0069055A"/>
    <w:rsid w:val="00691099"/>
    <w:rsid w:val="0069109A"/>
    <w:rsid w:val="0069320F"/>
    <w:rsid w:val="006943EC"/>
    <w:rsid w:val="0069732B"/>
    <w:rsid w:val="006A1E5D"/>
    <w:rsid w:val="006A48F4"/>
    <w:rsid w:val="006A4979"/>
    <w:rsid w:val="006A7D35"/>
    <w:rsid w:val="006B17FF"/>
    <w:rsid w:val="006B7852"/>
    <w:rsid w:val="006B7F15"/>
    <w:rsid w:val="006C3B83"/>
    <w:rsid w:val="006C71DF"/>
    <w:rsid w:val="006D0267"/>
    <w:rsid w:val="006D2330"/>
    <w:rsid w:val="006D2487"/>
    <w:rsid w:val="006D42C5"/>
    <w:rsid w:val="006D44A7"/>
    <w:rsid w:val="006D62BF"/>
    <w:rsid w:val="006D6480"/>
    <w:rsid w:val="006E07C1"/>
    <w:rsid w:val="006E259C"/>
    <w:rsid w:val="006E31C5"/>
    <w:rsid w:val="006E4B24"/>
    <w:rsid w:val="006E6691"/>
    <w:rsid w:val="006E7BE3"/>
    <w:rsid w:val="006F2D9C"/>
    <w:rsid w:val="006F4018"/>
    <w:rsid w:val="006F4D2F"/>
    <w:rsid w:val="006F690B"/>
    <w:rsid w:val="006F7175"/>
    <w:rsid w:val="006F749B"/>
    <w:rsid w:val="00700920"/>
    <w:rsid w:val="007055EE"/>
    <w:rsid w:val="00710E64"/>
    <w:rsid w:val="00711190"/>
    <w:rsid w:val="00711C37"/>
    <w:rsid w:val="0071235B"/>
    <w:rsid w:val="007141B4"/>
    <w:rsid w:val="00714925"/>
    <w:rsid w:val="00715753"/>
    <w:rsid w:val="00720184"/>
    <w:rsid w:val="007201ED"/>
    <w:rsid w:val="007204B5"/>
    <w:rsid w:val="007209E4"/>
    <w:rsid w:val="007213D4"/>
    <w:rsid w:val="007221B6"/>
    <w:rsid w:val="00722480"/>
    <w:rsid w:val="007245CD"/>
    <w:rsid w:val="00724808"/>
    <w:rsid w:val="007276E3"/>
    <w:rsid w:val="00730A1B"/>
    <w:rsid w:val="007315AC"/>
    <w:rsid w:val="007317CE"/>
    <w:rsid w:val="00734777"/>
    <w:rsid w:val="007372EB"/>
    <w:rsid w:val="00745198"/>
    <w:rsid w:val="0074737D"/>
    <w:rsid w:val="00752407"/>
    <w:rsid w:val="00757269"/>
    <w:rsid w:val="007638D3"/>
    <w:rsid w:val="00763E4A"/>
    <w:rsid w:val="00767D29"/>
    <w:rsid w:val="0077334E"/>
    <w:rsid w:val="00773A1C"/>
    <w:rsid w:val="00774A25"/>
    <w:rsid w:val="007769E4"/>
    <w:rsid w:val="00781F9F"/>
    <w:rsid w:val="00782815"/>
    <w:rsid w:val="007849CA"/>
    <w:rsid w:val="00790599"/>
    <w:rsid w:val="007924A3"/>
    <w:rsid w:val="0079321A"/>
    <w:rsid w:val="00793AA1"/>
    <w:rsid w:val="007969B7"/>
    <w:rsid w:val="0079709E"/>
    <w:rsid w:val="007A0AB4"/>
    <w:rsid w:val="007A2D89"/>
    <w:rsid w:val="007A3AFF"/>
    <w:rsid w:val="007A62EF"/>
    <w:rsid w:val="007A79E6"/>
    <w:rsid w:val="007B6F4B"/>
    <w:rsid w:val="007B71CA"/>
    <w:rsid w:val="007D0D7C"/>
    <w:rsid w:val="007D2FE3"/>
    <w:rsid w:val="007D3F70"/>
    <w:rsid w:val="007D5503"/>
    <w:rsid w:val="007D55EA"/>
    <w:rsid w:val="007D71FE"/>
    <w:rsid w:val="007E1184"/>
    <w:rsid w:val="007E1BA1"/>
    <w:rsid w:val="007E3B78"/>
    <w:rsid w:val="007F0A6A"/>
    <w:rsid w:val="007F43AC"/>
    <w:rsid w:val="007F5DE1"/>
    <w:rsid w:val="007F6743"/>
    <w:rsid w:val="007F6B37"/>
    <w:rsid w:val="008013F8"/>
    <w:rsid w:val="00805B0F"/>
    <w:rsid w:val="008064B5"/>
    <w:rsid w:val="00807E2B"/>
    <w:rsid w:val="008103D1"/>
    <w:rsid w:val="00811CBD"/>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C1A"/>
    <w:rsid w:val="00843A47"/>
    <w:rsid w:val="00846659"/>
    <w:rsid w:val="00853187"/>
    <w:rsid w:val="008550F1"/>
    <w:rsid w:val="00856954"/>
    <w:rsid w:val="00856B73"/>
    <w:rsid w:val="00860379"/>
    <w:rsid w:val="00861016"/>
    <w:rsid w:val="00861590"/>
    <w:rsid w:val="008624E2"/>
    <w:rsid w:val="008626EC"/>
    <w:rsid w:val="00862DAB"/>
    <w:rsid w:val="00863A35"/>
    <w:rsid w:val="008648F2"/>
    <w:rsid w:val="008667DD"/>
    <w:rsid w:val="00870045"/>
    <w:rsid w:val="00871104"/>
    <w:rsid w:val="008720A2"/>
    <w:rsid w:val="00877B4C"/>
    <w:rsid w:val="00880F28"/>
    <w:rsid w:val="00881D74"/>
    <w:rsid w:val="00881DFC"/>
    <w:rsid w:val="008839A7"/>
    <w:rsid w:val="008848F7"/>
    <w:rsid w:val="0088700B"/>
    <w:rsid w:val="008879E6"/>
    <w:rsid w:val="0089351C"/>
    <w:rsid w:val="008962A2"/>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2F7A"/>
    <w:rsid w:val="008D73C8"/>
    <w:rsid w:val="008D78C3"/>
    <w:rsid w:val="008E3912"/>
    <w:rsid w:val="008E4611"/>
    <w:rsid w:val="008E7A21"/>
    <w:rsid w:val="008E7D58"/>
    <w:rsid w:val="008F3970"/>
    <w:rsid w:val="008F4A73"/>
    <w:rsid w:val="00903DCE"/>
    <w:rsid w:val="00905285"/>
    <w:rsid w:val="00906C9E"/>
    <w:rsid w:val="00906E5D"/>
    <w:rsid w:val="009165F9"/>
    <w:rsid w:val="00921D65"/>
    <w:rsid w:val="00925E0C"/>
    <w:rsid w:val="00933FDE"/>
    <w:rsid w:val="00936F2C"/>
    <w:rsid w:val="009378D7"/>
    <w:rsid w:val="0094014B"/>
    <w:rsid w:val="009477E0"/>
    <w:rsid w:val="00953057"/>
    <w:rsid w:val="009545A0"/>
    <w:rsid w:val="009545F6"/>
    <w:rsid w:val="00954A51"/>
    <w:rsid w:val="00955D1C"/>
    <w:rsid w:val="00957A94"/>
    <w:rsid w:val="00957D29"/>
    <w:rsid w:val="00960BD7"/>
    <w:rsid w:val="00962F56"/>
    <w:rsid w:val="0096314F"/>
    <w:rsid w:val="00963D5B"/>
    <w:rsid w:val="00973E02"/>
    <w:rsid w:val="00973E59"/>
    <w:rsid w:val="00975600"/>
    <w:rsid w:val="009833E1"/>
    <w:rsid w:val="00984E74"/>
    <w:rsid w:val="0098631E"/>
    <w:rsid w:val="0098720D"/>
    <w:rsid w:val="009873EC"/>
    <w:rsid w:val="00987DD4"/>
    <w:rsid w:val="0099241C"/>
    <w:rsid w:val="00992C73"/>
    <w:rsid w:val="00996015"/>
    <w:rsid w:val="009A2C21"/>
    <w:rsid w:val="009A39D8"/>
    <w:rsid w:val="009A3AAC"/>
    <w:rsid w:val="009A53BA"/>
    <w:rsid w:val="009B0249"/>
    <w:rsid w:val="009B0E5E"/>
    <w:rsid w:val="009B19FF"/>
    <w:rsid w:val="009B3334"/>
    <w:rsid w:val="009B35D7"/>
    <w:rsid w:val="009B4498"/>
    <w:rsid w:val="009B573D"/>
    <w:rsid w:val="009B66AE"/>
    <w:rsid w:val="009B77DC"/>
    <w:rsid w:val="009C06EA"/>
    <w:rsid w:val="009D0EB6"/>
    <w:rsid w:val="009D1215"/>
    <w:rsid w:val="009D2F5B"/>
    <w:rsid w:val="009D3FCD"/>
    <w:rsid w:val="009D73C7"/>
    <w:rsid w:val="009E27DF"/>
    <w:rsid w:val="009E36C5"/>
    <w:rsid w:val="009E59AF"/>
    <w:rsid w:val="009E7415"/>
    <w:rsid w:val="009F0DDF"/>
    <w:rsid w:val="009F33C4"/>
    <w:rsid w:val="009F6CA1"/>
    <w:rsid w:val="009F7ED6"/>
    <w:rsid w:val="00A03125"/>
    <w:rsid w:val="00A0326A"/>
    <w:rsid w:val="00A03C9B"/>
    <w:rsid w:val="00A05A80"/>
    <w:rsid w:val="00A06E67"/>
    <w:rsid w:val="00A07D75"/>
    <w:rsid w:val="00A10341"/>
    <w:rsid w:val="00A11FAA"/>
    <w:rsid w:val="00A1295C"/>
    <w:rsid w:val="00A14AE8"/>
    <w:rsid w:val="00A15ACB"/>
    <w:rsid w:val="00A1617D"/>
    <w:rsid w:val="00A16424"/>
    <w:rsid w:val="00A17B4E"/>
    <w:rsid w:val="00A237B6"/>
    <w:rsid w:val="00A23DF3"/>
    <w:rsid w:val="00A2629D"/>
    <w:rsid w:val="00A273A8"/>
    <w:rsid w:val="00A307EB"/>
    <w:rsid w:val="00A310AD"/>
    <w:rsid w:val="00A36C73"/>
    <w:rsid w:val="00A37FF1"/>
    <w:rsid w:val="00A40438"/>
    <w:rsid w:val="00A432D8"/>
    <w:rsid w:val="00A4351F"/>
    <w:rsid w:val="00A457BC"/>
    <w:rsid w:val="00A56858"/>
    <w:rsid w:val="00A56C7F"/>
    <w:rsid w:val="00A62714"/>
    <w:rsid w:val="00A65DAA"/>
    <w:rsid w:val="00A71451"/>
    <w:rsid w:val="00A719EE"/>
    <w:rsid w:val="00A740DB"/>
    <w:rsid w:val="00A741CA"/>
    <w:rsid w:val="00A80158"/>
    <w:rsid w:val="00A80645"/>
    <w:rsid w:val="00A827C1"/>
    <w:rsid w:val="00A82AA0"/>
    <w:rsid w:val="00A8316A"/>
    <w:rsid w:val="00A832EA"/>
    <w:rsid w:val="00A852C7"/>
    <w:rsid w:val="00A86A47"/>
    <w:rsid w:val="00A86B35"/>
    <w:rsid w:val="00A90726"/>
    <w:rsid w:val="00A94212"/>
    <w:rsid w:val="00A94C29"/>
    <w:rsid w:val="00A951D6"/>
    <w:rsid w:val="00AA08A6"/>
    <w:rsid w:val="00AA5D1E"/>
    <w:rsid w:val="00AA5E9D"/>
    <w:rsid w:val="00AA7F5C"/>
    <w:rsid w:val="00AB22E5"/>
    <w:rsid w:val="00AB27E9"/>
    <w:rsid w:val="00AB60F8"/>
    <w:rsid w:val="00AB7C49"/>
    <w:rsid w:val="00AC11B1"/>
    <w:rsid w:val="00AC1485"/>
    <w:rsid w:val="00AC2957"/>
    <w:rsid w:val="00AC4DEF"/>
    <w:rsid w:val="00AC51F2"/>
    <w:rsid w:val="00AC5857"/>
    <w:rsid w:val="00AC6142"/>
    <w:rsid w:val="00AC6AA2"/>
    <w:rsid w:val="00AC6DC6"/>
    <w:rsid w:val="00AD1F11"/>
    <w:rsid w:val="00AD1FA1"/>
    <w:rsid w:val="00AD2E2C"/>
    <w:rsid w:val="00AE31B6"/>
    <w:rsid w:val="00AE47F1"/>
    <w:rsid w:val="00AE7BC7"/>
    <w:rsid w:val="00AF0EAC"/>
    <w:rsid w:val="00AF5C9D"/>
    <w:rsid w:val="00AF603D"/>
    <w:rsid w:val="00B01D54"/>
    <w:rsid w:val="00B0569F"/>
    <w:rsid w:val="00B11053"/>
    <w:rsid w:val="00B114D1"/>
    <w:rsid w:val="00B12EB4"/>
    <w:rsid w:val="00B130D9"/>
    <w:rsid w:val="00B13250"/>
    <w:rsid w:val="00B13EFE"/>
    <w:rsid w:val="00B20514"/>
    <w:rsid w:val="00B30463"/>
    <w:rsid w:val="00B3245C"/>
    <w:rsid w:val="00B37EED"/>
    <w:rsid w:val="00B47FA5"/>
    <w:rsid w:val="00B50592"/>
    <w:rsid w:val="00B525C8"/>
    <w:rsid w:val="00B53CCD"/>
    <w:rsid w:val="00B5681C"/>
    <w:rsid w:val="00B60A1E"/>
    <w:rsid w:val="00B62B01"/>
    <w:rsid w:val="00B634CE"/>
    <w:rsid w:val="00B654C1"/>
    <w:rsid w:val="00B6590F"/>
    <w:rsid w:val="00B6636C"/>
    <w:rsid w:val="00B673B0"/>
    <w:rsid w:val="00B71183"/>
    <w:rsid w:val="00B748BC"/>
    <w:rsid w:val="00B7566A"/>
    <w:rsid w:val="00B76045"/>
    <w:rsid w:val="00B7778D"/>
    <w:rsid w:val="00B80960"/>
    <w:rsid w:val="00B82287"/>
    <w:rsid w:val="00B84796"/>
    <w:rsid w:val="00B84A1E"/>
    <w:rsid w:val="00B87874"/>
    <w:rsid w:val="00B913F0"/>
    <w:rsid w:val="00B91464"/>
    <w:rsid w:val="00B95CC7"/>
    <w:rsid w:val="00BA18C3"/>
    <w:rsid w:val="00BA60B4"/>
    <w:rsid w:val="00BA7F9B"/>
    <w:rsid w:val="00BB18CA"/>
    <w:rsid w:val="00BB76E3"/>
    <w:rsid w:val="00BC03EB"/>
    <w:rsid w:val="00BC132E"/>
    <w:rsid w:val="00BC243D"/>
    <w:rsid w:val="00BC2A8D"/>
    <w:rsid w:val="00BD09C7"/>
    <w:rsid w:val="00BD0BAC"/>
    <w:rsid w:val="00BD147D"/>
    <w:rsid w:val="00BD454C"/>
    <w:rsid w:val="00BD511A"/>
    <w:rsid w:val="00BD71D6"/>
    <w:rsid w:val="00BD7A1E"/>
    <w:rsid w:val="00BE2839"/>
    <w:rsid w:val="00BE3E8A"/>
    <w:rsid w:val="00BE4ECD"/>
    <w:rsid w:val="00BE6311"/>
    <w:rsid w:val="00BF083C"/>
    <w:rsid w:val="00BF6F06"/>
    <w:rsid w:val="00BF7235"/>
    <w:rsid w:val="00C021F6"/>
    <w:rsid w:val="00C0575F"/>
    <w:rsid w:val="00C05C0C"/>
    <w:rsid w:val="00C05E41"/>
    <w:rsid w:val="00C0600E"/>
    <w:rsid w:val="00C1100C"/>
    <w:rsid w:val="00C13A0D"/>
    <w:rsid w:val="00C17FE1"/>
    <w:rsid w:val="00C248EE"/>
    <w:rsid w:val="00C27459"/>
    <w:rsid w:val="00C32F83"/>
    <w:rsid w:val="00C3430F"/>
    <w:rsid w:val="00C364B4"/>
    <w:rsid w:val="00C40886"/>
    <w:rsid w:val="00C4373B"/>
    <w:rsid w:val="00C45BB3"/>
    <w:rsid w:val="00C50366"/>
    <w:rsid w:val="00C50711"/>
    <w:rsid w:val="00C516F7"/>
    <w:rsid w:val="00C55B74"/>
    <w:rsid w:val="00C55D1F"/>
    <w:rsid w:val="00C56D36"/>
    <w:rsid w:val="00C658A2"/>
    <w:rsid w:val="00C71BD5"/>
    <w:rsid w:val="00C72229"/>
    <w:rsid w:val="00C73040"/>
    <w:rsid w:val="00C734D9"/>
    <w:rsid w:val="00C73D3C"/>
    <w:rsid w:val="00C74A3B"/>
    <w:rsid w:val="00C752FE"/>
    <w:rsid w:val="00C76716"/>
    <w:rsid w:val="00C76D2C"/>
    <w:rsid w:val="00C83E0C"/>
    <w:rsid w:val="00C915F6"/>
    <w:rsid w:val="00C9353F"/>
    <w:rsid w:val="00CA71FC"/>
    <w:rsid w:val="00CB063C"/>
    <w:rsid w:val="00CB291D"/>
    <w:rsid w:val="00CB3B85"/>
    <w:rsid w:val="00CB529B"/>
    <w:rsid w:val="00CC624D"/>
    <w:rsid w:val="00CD0520"/>
    <w:rsid w:val="00CD54C5"/>
    <w:rsid w:val="00CE0A92"/>
    <w:rsid w:val="00CE3272"/>
    <w:rsid w:val="00CE5D39"/>
    <w:rsid w:val="00CE61A0"/>
    <w:rsid w:val="00CE67C3"/>
    <w:rsid w:val="00CF0C99"/>
    <w:rsid w:val="00CF25D4"/>
    <w:rsid w:val="00CF4B07"/>
    <w:rsid w:val="00CF4DBC"/>
    <w:rsid w:val="00CF79D2"/>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463E9"/>
    <w:rsid w:val="00D47B80"/>
    <w:rsid w:val="00D51CF6"/>
    <w:rsid w:val="00D52D49"/>
    <w:rsid w:val="00D52DBB"/>
    <w:rsid w:val="00D52FA8"/>
    <w:rsid w:val="00D61AF0"/>
    <w:rsid w:val="00D6464B"/>
    <w:rsid w:val="00D70C66"/>
    <w:rsid w:val="00D7301C"/>
    <w:rsid w:val="00D73615"/>
    <w:rsid w:val="00D755C2"/>
    <w:rsid w:val="00D7580A"/>
    <w:rsid w:val="00D761A1"/>
    <w:rsid w:val="00D76BA2"/>
    <w:rsid w:val="00D815DE"/>
    <w:rsid w:val="00D81FE9"/>
    <w:rsid w:val="00D873DE"/>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407B"/>
    <w:rsid w:val="00DD5AD2"/>
    <w:rsid w:val="00DD75EF"/>
    <w:rsid w:val="00DE3E20"/>
    <w:rsid w:val="00DE5499"/>
    <w:rsid w:val="00DE7E7B"/>
    <w:rsid w:val="00DE7FC3"/>
    <w:rsid w:val="00DF02EA"/>
    <w:rsid w:val="00DF123A"/>
    <w:rsid w:val="00DF2691"/>
    <w:rsid w:val="00DF48EA"/>
    <w:rsid w:val="00DF4B34"/>
    <w:rsid w:val="00DF5337"/>
    <w:rsid w:val="00DF709A"/>
    <w:rsid w:val="00DF7398"/>
    <w:rsid w:val="00E01B67"/>
    <w:rsid w:val="00E10712"/>
    <w:rsid w:val="00E124F4"/>
    <w:rsid w:val="00E125F8"/>
    <w:rsid w:val="00E12961"/>
    <w:rsid w:val="00E16B76"/>
    <w:rsid w:val="00E16BA3"/>
    <w:rsid w:val="00E201BC"/>
    <w:rsid w:val="00E202CD"/>
    <w:rsid w:val="00E20D94"/>
    <w:rsid w:val="00E20DE8"/>
    <w:rsid w:val="00E31713"/>
    <w:rsid w:val="00E34C85"/>
    <w:rsid w:val="00E352C0"/>
    <w:rsid w:val="00E35DF0"/>
    <w:rsid w:val="00E362BA"/>
    <w:rsid w:val="00E3687C"/>
    <w:rsid w:val="00E4268C"/>
    <w:rsid w:val="00E46249"/>
    <w:rsid w:val="00E50D17"/>
    <w:rsid w:val="00E50F19"/>
    <w:rsid w:val="00E519F2"/>
    <w:rsid w:val="00E52F25"/>
    <w:rsid w:val="00E54B6B"/>
    <w:rsid w:val="00E55CE3"/>
    <w:rsid w:val="00E5647B"/>
    <w:rsid w:val="00E62991"/>
    <w:rsid w:val="00E75EC9"/>
    <w:rsid w:val="00E80EDA"/>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1E3A"/>
    <w:rsid w:val="00EC2019"/>
    <w:rsid w:val="00EC2E9B"/>
    <w:rsid w:val="00EC3F7F"/>
    <w:rsid w:val="00EC5F05"/>
    <w:rsid w:val="00EC6D03"/>
    <w:rsid w:val="00ED35CB"/>
    <w:rsid w:val="00ED7A21"/>
    <w:rsid w:val="00EE176B"/>
    <w:rsid w:val="00EE2E3C"/>
    <w:rsid w:val="00EE31BE"/>
    <w:rsid w:val="00EE5E0F"/>
    <w:rsid w:val="00EE7834"/>
    <w:rsid w:val="00EF0FE0"/>
    <w:rsid w:val="00EF2B05"/>
    <w:rsid w:val="00EF528E"/>
    <w:rsid w:val="00EF5A59"/>
    <w:rsid w:val="00EF6512"/>
    <w:rsid w:val="00F005CC"/>
    <w:rsid w:val="00F07628"/>
    <w:rsid w:val="00F11232"/>
    <w:rsid w:val="00F13272"/>
    <w:rsid w:val="00F13664"/>
    <w:rsid w:val="00F136DE"/>
    <w:rsid w:val="00F145CF"/>
    <w:rsid w:val="00F16243"/>
    <w:rsid w:val="00F17279"/>
    <w:rsid w:val="00F20449"/>
    <w:rsid w:val="00F23D99"/>
    <w:rsid w:val="00F33C28"/>
    <w:rsid w:val="00F33FB9"/>
    <w:rsid w:val="00F40B6B"/>
    <w:rsid w:val="00F4161F"/>
    <w:rsid w:val="00F4176B"/>
    <w:rsid w:val="00F452B4"/>
    <w:rsid w:val="00F45F3F"/>
    <w:rsid w:val="00F4630C"/>
    <w:rsid w:val="00F471FD"/>
    <w:rsid w:val="00F50248"/>
    <w:rsid w:val="00F50269"/>
    <w:rsid w:val="00F528F5"/>
    <w:rsid w:val="00F52E7C"/>
    <w:rsid w:val="00F53DE7"/>
    <w:rsid w:val="00F560A1"/>
    <w:rsid w:val="00F57257"/>
    <w:rsid w:val="00F610A3"/>
    <w:rsid w:val="00F614DC"/>
    <w:rsid w:val="00F61C39"/>
    <w:rsid w:val="00F64AD6"/>
    <w:rsid w:val="00F74106"/>
    <w:rsid w:val="00F744EA"/>
    <w:rsid w:val="00F76D5B"/>
    <w:rsid w:val="00F80961"/>
    <w:rsid w:val="00F82727"/>
    <w:rsid w:val="00F82802"/>
    <w:rsid w:val="00F86ED1"/>
    <w:rsid w:val="00F87EAE"/>
    <w:rsid w:val="00F87EAF"/>
    <w:rsid w:val="00F92A37"/>
    <w:rsid w:val="00F930ED"/>
    <w:rsid w:val="00F93CD0"/>
    <w:rsid w:val="00F967E4"/>
    <w:rsid w:val="00FA044A"/>
    <w:rsid w:val="00FA2C9C"/>
    <w:rsid w:val="00FA3145"/>
    <w:rsid w:val="00FA3243"/>
    <w:rsid w:val="00FA50DE"/>
    <w:rsid w:val="00FA5C92"/>
    <w:rsid w:val="00FA67A1"/>
    <w:rsid w:val="00FA782E"/>
    <w:rsid w:val="00FB02EE"/>
    <w:rsid w:val="00FB1725"/>
    <w:rsid w:val="00FB1C87"/>
    <w:rsid w:val="00FB379B"/>
    <w:rsid w:val="00FB4708"/>
    <w:rsid w:val="00FB4A94"/>
    <w:rsid w:val="00FC09F7"/>
    <w:rsid w:val="00FC1CC0"/>
    <w:rsid w:val="00FC3530"/>
    <w:rsid w:val="00FC39DF"/>
    <w:rsid w:val="00FC4348"/>
    <w:rsid w:val="00FC6937"/>
    <w:rsid w:val="00FC7AF3"/>
    <w:rsid w:val="00FD04EB"/>
    <w:rsid w:val="00FD4BF1"/>
    <w:rsid w:val="00FE2012"/>
    <w:rsid w:val="00FE7C2B"/>
    <w:rsid w:val="00FE7EEE"/>
    <w:rsid w:val="00FE7FE8"/>
    <w:rsid w:val="00FF3E11"/>
    <w:rsid w:val="00FF3F63"/>
    <w:rsid w:val="00FF4A36"/>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aliases w:val="ft,DSE note,single space,footnote text,fn,Footnote Text Char1,Footnote Text Char2 Char,Footnote Text Char1 Char Char,Footnote Text Char2 Char Char Char,Footnote Text Char1 Char Char Char Char,AD,A,FN,Footnote Text Char Char,f"/>
    <w:basedOn w:val="Normal"/>
    <w:link w:val="FootnoteTextChar"/>
    <w:uiPriority w:val="99"/>
    <w:qFormat/>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rsid w:val="00BF69FE"/>
    <w:rPr>
      <w:sz w:val="20"/>
      <w:szCs w:val="20"/>
      <w:lang w:val="x-none"/>
    </w:rPr>
  </w:style>
  <w:style w:type="character" w:customStyle="1" w:styleId="CommentTextChar">
    <w:name w:val="Comment Text Char"/>
    <w:link w:val="CommentText"/>
    <w:uiPriority w:val="99"/>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1"/>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aliases w:val="ft Char,DSE note Char,single space Char,footnote text Char,fn Char,Footnote Text Char1 Char,Footnote Text Char2 Char Char,Footnote Text Char1 Char Char Char,Footnote Text Char2 Char Char Char Char,AD Char,A Char,FN Char,f Char"/>
    <w:basedOn w:val="DefaultParagraphFont"/>
    <w:link w:val="FootnoteText"/>
    <w:uiPriority w:val="99"/>
    <w:rsid w:val="00B71183"/>
    <w:rPr>
      <w:rFonts w:ascii="Arial" w:hAnsi="Arial"/>
      <w:snapToGrid w:val="0"/>
      <w:lang w:eastAsia="en-US"/>
    </w:rPr>
  </w:style>
  <w:style w:type="table" w:styleId="TableGrid">
    <w:name w:val="Table Grid"/>
    <w:basedOn w:val="TableNormal"/>
    <w:uiPriority w:val="39"/>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COI"/>
    <w:link w:val="ParaCOICar"/>
    <w:qFormat/>
    <w:rsid w:val="00A03125"/>
    <w:pPr>
      <w:tabs>
        <w:tab w:val="left" w:pos="709"/>
      </w:tabs>
      <w:autoSpaceDE/>
      <w:autoSpaceDN/>
      <w:snapToGrid w:val="0"/>
      <w:spacing w:after="240"/>
    </w:pPr>
    <w:rPr>
      <w:rFonts w:eastAsia="Times New Roman" w:cs="Times New Roman"/>
      <w:b w:val="0"/>
      <w:noProof w:val="0"/>
      <w:snapToGrid w:val="0"/>
      <w:lang w:val="en-GB" w:eastAsia="zh-CN"/>
    </w:rPr>
  </w:style>
  <w:style w:type="character" w:customStyle="1" w:styleId="ParaCOICar">
    <w:name w:val="Para COI Car"/>
    <w:link w:val="ParaCOI"/>
    <w:rsid w:val="00A03125"/>
    <w:rPr>
      <w:rFonts w:ascii="Arial" w:hAnsi="Arial"/>
      <w:snapToGrid w:val="0"/>
      <w:sz w:val="22"/>
      <w:szCs w:val="22"/>
    </w:rPr>
  </w:style>
  <w:style w:type="character" w:customStyle="1" w:styleId="MargeCar">
    <w:name w:val="Marge Car"/>
    <w:locked/>
    <w:rsid w:val="004C110A"/>
    <w:rPr>
      <w:rFonts w:eastAsia="Times New Roman"/>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4C110A"/>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character" w:customStyle="1" w:styleId="UnresolvedMention2">
    <w:name w:val="Unresolved Mention2"/>
    <w:basedOn w:val="DefaultParagraphFont"/>
    <w:uiPriority w:val="99"/>
    <w:semiHidden/>
    <w:unhideWhenUsed/>
    <w:rsid w:val="0099241C"/>
    <w:rPr>
      <w:color w:val="605E5C"/>
      <w:shd w:val="clear" w:color="auto" w:fill="E1DFDD"/>
    </w:rPr>
  </w:style>
  <w:style w:type="character" w:customStyle="1" w:styleId="UnresolvedMention3">
    <w:name w:val="Unresolved Mention3"/>
    <w:basedOn w:val="DefaultParagraphFont"/>
    <w:uiPriority w:val="99"/>
    <w:semiHidden/>
    <w:unhideWhenUsed/>
    <w:rsid w:val="00987DD4"/>
    <w:rPr>
      <w:color w:val="605E5C"/>
      <w:shd w:val="clear" w:color="auto" w:fill="E1DFDD"/>
    </w:rPr>
  </w:style>
  <w:style w:type="paragraph" w:customStyle="1" w:styleId="TableParagraph">
    <w:name w:val="Table Paragraph"/>
    <w:basedOn w:val="Normal"/>
    <w:uiPriority w:val="1"/>
    <w:qFormat/>
    <w:rsid w:val="00EC5F05"/>
    <w:pPr>
      <w:tabs>
        <w:tab w:val="clear" w:pos="567"/>
      </w:tabs>
      <w:autoSpaceDE w:val="0"/>
      <w:autoSpaceDN w:val="0"/>
      <w:adjustRightInd/>
      <w:snapToGrid/>
      <w:spacing w:line="240" w:lineRule="auto"/>
      <w:ind w:left="56"/>
      <w:jc w:val="left"/>
      <w:textAlignment w:val="auto"/>
    </w:pPr>
    <w:rPr>
      <w:rFonts w:ascii="Calibri" w:eastAsia="Calibri" w:hAnsi="Calibri" w:cs="Calibri"/>
      <w:snapToGrid/>
      <w:szCs w:val="22"/>
      <w:lang w:val="fr-FR" w:eastAsia="fr-FR" w:bidi="fr-FR"/>
    </w:rPr>
  </w:style>
  <w:style w:type="paragraph" w:styleId="BodyText">
    <w:name w:val="Body Text"/>
    <w:basedOn w:val="Normal"/>
    <w:link w:val="BodyTextChar"/>
    <w:uiPriority w:val="99"/>
    <w:semiHidden/>
    <w:unhideWhenUsed/>
    <w:rsid w:val="00EC5F05"/>
    <w:pPr>
      <w:spacing w:after="120"/>
    </w:pPr>
  </w:style>
  <w:style w:type="character" w:customStyle="1" w:styleId="BodyTextChar">
    <w:name w:val="Body Text Char"/>
    <w:basedOn w:val="DefaultParagraphFont"/>
    <w:link w:val="BodyText"/>
    <w:uiPriority w:val="99"/>
    <w:semiHidden/>
    <w:rsid w:val="00EC5F05"/>
    <w:rPr>
      <w:rFonts w:ascii="Arial"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55624420">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537161598">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6882215">
      <w:bodyDiv w:val="1"/>
      <w:marLeft w:val="0"/>
      <w:marRight w:val="0"/>
      <w:marTop w:val="0"/>
      <w:marBottom w:val="0"/>
      <w:divBdr>
        <w:top w:val="none" w:sz="0" w:space="0" w:color="auto"/>
        <w:left w:val="none" w:sz="0" w:space="0" w:color="auto"/>
        <w:bottom w:val="none" w:sz="0" w:space="0" w:color="auto"/>
        <w:right w:val="none" w:sz="0" w:space="0" w:color="auto"/>
      </w:divBdr>
    </w:div>
    <w:div w:id="1031690147">
      <w:bodyDiv w:val="1"/>
      <w:marLeft w:val="0"/>
      <w:marRight w:val="0"/>
      <w:marTop w:val="0"/>
      <w:marBottom w:val="0"/>
      <w:divBdr>
        <w:top w:val="none" w:sz="0" w:space="0" w:color="auto"/>
        <w:left w:val="none" w:sz="0" w:space="0" w:color="auto"/>
        <w:bottom w:val="none" w:sz="0" w:space="0" w:color="auto"/>
        <w:right w:val="none" w:sz="0" w:space="0" w:color="auto"/>
      </w:divBdr>
    </w:div>
    <w:div w:id="1325357249">
      <w:bodyDiv w:val="1"/>
      <w:marLeft w:val="0"/>
      <w:marRight w:val="0"/>
      <w:marTop w:val="0"/>
      <w:marBottom w:val="0"/>
      <w:divBdr>
        <w:top w:val="none" w:sz="0" w:space="0" w:color="auto"/>
        <w:left w:val="none" w:sz="0" w:space="0" w:color="auto"/>
        <w:bottom w:val="none" w:sz="0" w:space="0" w:color="auto"/>
        <w:right w:val="none" w:sz="0" w:space="0" w:color="auto"/>
      </w:divBdr>
    </w:div>
    <w:div w:id="1463037062">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051758419">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esdoc.unesco.org/ark:/48223/pf0000375848_fre" TargetMode="External"/><Relationship Id="rId18" Type="http://schemas.openxmlformats.org/officeDocument/2006/relationships/hyperlink" Target="http://legacy.ioc-unesco.org/index.php?option=com_oe&amp;task=viewDocumentRecord&amp;docID=24888" TargetMode="External"/><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https://unesdoc.unesco.org/ark:/48223/pf0000375756.locale=f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hyperlink" Target="https://www.un.org/bbnj/"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oc-unesco.org/index.php?option=com_oe&amp;task=viewDocumentRecord&amp;docID=9281" TargetMode="External"/><Relationship Id="rId22" Type="http://schemas.openxmlformats.org/officeDocument/2006/relationships/image" Target="media/image3.jpg"/><Relationship Id="rId27" Type="http://schemas.openxmlformats.org/officeDocument/2006/relationships/chart" Target="charts/chart3.xml"/><Relationship Id="rId30"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fr" b="0" i="0" u="none" baseline="0"/>
              <a:t>40 C/5 IBF par fonction</a:t>
            </a:r>
            <a:endParaRPr lang="f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clean!$S$26:$S$27</c:f>
              <c:strCache>
                <c:ptCount val="2"/>
                <c:pt idx="0">
                  <c:v>40 C/5</c:v>
                </c:pt>
                <c:pt idx="1">
                  <c:v>RB</c:v>
                </c:pt>
              </c:strCache>
            </c:strRef>
          </c:tx>
          <c:spPr>
            <a:solidFill>
              <a:srgbClr val="002060"/>
            </a:solidFill>
            <a:ln>
              <a:noFill/>
            </a:ln>
            <a:effectLst/>
          </c:spPr>
          <c:invertIfNegative val="0"/>
          <c:cat>
            <c:strRef>
              <c:f>clean!$R$28:$R$34</c:f>
              <c:strCache>
                <c:ptCount val="6"/>
                <c:pt idx="0">
                  <c:v>A</c:v>
                </c:pt>
                <c:pt idx="1">
                  <c:v>B</c:v>
                </c:pt>
                <c:pt idx="2">
                  <c:v>C</c:v>
                </c:pt>
                <c:pt idx="3">
                  <c:v>D</c:v>
                </c:pt>
                <c:pt idx="4">
                  <c:v>E</c:v>
                </c:pt>
                <c:pt idx="5">
                  <c:v>F</c:v>
                </c:pt>
              </c:strCache>
            </c:strRef>
          </c:cat>
          <c:val>
            <c:numRef>
              <c:f>clean!$S$28:$S$34</c:f>
              <c:numCache>
                <c:formatCode>#,##0</c:formatCode>
                <c:ptCount val="6"/>
                <c:pt idx="0">
                  <c:v>205000</c:v>
                </c:pt>
                <c:pt idx="1">
                  <c:v>567000</c:v>
                </c:pt>
                <c:pt idx="2">
                  <c:v>450000</c:v>
                </c:pt>
                <c:pt idx="3">
                  <c:v>267000</c:v>
                </c:pt>
                <c:pt idx="4">
                  <c:v>547908</c:v>
                </c:pt>
                <c:pt idx="5">
                  <c:v>394100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7FB9-4004-AA2D-836D9B3896AD}"/>
            </c:ext>
          </c:extLst>
        </c:ser>
        <c:ser>
          <c:idx val="1"/>
          <c:order val="1"/>
          <c:tx>
            <c:strRef>
              <c:f>clean!$T$26:$T$27</c:f>
              <c:strCache>
                <c:ptCount val="2"/>
                <c:pt idx="0">
                  <c:v>40 C/5</c:v>
                </c:pt>
                <c:pt idx="1">
                  <c:v>VC in hand</c:v>
                </c:pt>
              </c:strCache>
            </c:strRef>
          </c:tx>
          <c:spPr>
            <a:solidFill>
              <a:schemeClr val="tx2">
                <a:lumMod val="60000"/>
                <a:lumOff val="4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clean!$T$28:$T$34</c:f>
              <c:numCache>
                <c:formatCode>#,##0</c:formatCode>
                <c:ptCount val="6"/>
                <c:pt idx="0">
                  <c:v>50000</c:v>
                </c:pt>
                <c:pt idx="1">
                  <c:v>220000</c:v>
                </c:pt>
                <c:pt idx="2">
                  <c:v>550000</c:v>
                </c:pt>
                <c:pt idx="4">
                  <c:v>1630000</c:v>
                </c:pt>
                <c:pt idx="5">
                  <c:v>150000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7FB9-4004-AA2D-836D9B3896AD}"/>
            </c:ext>
          </c:extLst>
        </c:ser>
        <c:ser>
          <c:idx val="2"/>
          <c:order val="2"/>
          <c:tx>
            <c:strRef>
              <c:f>clean!$U$26:$U$27</c:f>
              <c:strCache>
                <c:ptCount val="2"/>
                <c:pt idx="0">
                  <c:v>40 C/5</c:v>
                </c:pt>
                <c:pt idx="1">
                  <c:v>VC gap</c:v>
                </c:pt>
              </c:strCache>
            </c:strRef>
          </c:tx>
          <c:spPr>
            <a:solidFill>
              <a:schemeClr val="tx2">
                <a:lumMod val="20000"/>
                <a:lumOff val="8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clean!$U$28:$U$34</c:f>
              <c:numCache>
                <c:formatCode>#,##0</c:formatCode>
                <c:ptCount val="6"/>
                <c:pt idx="0">
                  <c:v>994000</c:v>
                </c:pt>
                <c:pt idx="1">
                  <c:v>1722200</c:v>
                </c:pt>
                <c:pt idx="2">
                  <c:v>2130000</c:v>
                </c:pt>
                <c:pt idx="3">
                  <c:v>2016000</c:v>
                </c:pt>
                <c:pt idx="4">
                  <c:v>4123000</c:v>
                </c:pt>
                <c:pt idx="5">
                  <c:v>2175000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7FB9-4004-AA2D-836D9B3896AD}"/>
            </c:ext>
          </c:extLst>
        </c:ser>
        <c:dLbls>
          <c:showLegendKey val="0"/>
          <c:showVal val="0"/>
          <c:showCatName val="0"/>
          <c:showSerName val="0"/>
          <c:showPercent val="0"/>
          <c:showBubbleSize val="0"/>
        </c:dLbls>
        <c:gapWidth val="150"/>
        <c:overlap val="100"/>
        <c:axId val="557397968"/>
        <c:axId val="557396328"/>
      </c:barChart>
      <c:catAx>
        <c:axId val="5573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7396328"/>
        <c:crosses val="autoZero"/>
        <c:auto val="1"/>
        <c:lblAlgn val="ctr"/>
        <c:lblOffset val="100"/>
        <c:noMultiLvlLbl val="0"/>
      </c:catAx>
      <c:valAx>
        <c:axId val="557396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739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fr" b="0" i="0" u="none" baseline="0"/>
              <a:t>Projet 41 C/5 IBF par fonction</a:t>
            </a:r>
            <a:endParaRPr lang="f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clean!$W$26:$W$27</c:f>
              <c:strCache>
                <c:ptCount val="2"/>
                <c:pt idx="0">
                  <c:v>41 C/5</c:v>
                </c:pt>
                <c:pt idx="1">
                  <c:v>RB</c:v>
                </c:pt>
              </c:strCache>
            </c:strRef>
          </c:tx>
          <c:spPr>
            <a:solidFill>
              <a:srgbClr val="002060"/>
            </a:solidFill>
            <a:ln>
              <a:noFill/>
            </a:ln>
            <a:effectLst/>
          </c:spPr>
          <c:invertIfNegative val="0"/>
          <c:cat>
            <c:strRef>
              <c:f>clean!$V$28:$V$34</c:f>
              <c:strCache>
                <c:ptCount val="6"/>
                <c:pt idx="0">
                  <c:v>A</c:v>
                </c:pt>
                <c:pt idx="1">
                  <c:v>B</c:v>
                </c:pt>
                <c:pt idx="2">
                  <c:v>C</c:v>
                </c:pt>
                <c:pt idx="3">
                  <c:v>D</c:v>
                </c:pt>
                <c:pt idx="4">
                  <c:v>E</c:v>
                </c:pt>
                <c:pt idx="5">
                  <c:v>F</c:v>
                </c:pt>
              </c:strCache>
            </c:strRef>
          </c:cat>
          <c:val>
            <c:numRef>
              <c:f>clean!$W$28:$W$34</c:f>
              <c:numCache>
                <c:formatCode>#,##0</c:formatCode>
                <c:ptCount val="6"/>
                <c:pt idx="0">
                  <c:v>135745</c:v>
                </c:pt>
                <c:pt idx="1">
                  <c:v>503204.76375538419</c:v>
                </c:pt>
                <c:pt idx="2">
                  <c:v>261045.49418721293</c:v>
                </c:pt>
                <c:pt idx="3">
                  <c:v>136235</c:v>
                </c:pt>
                <c:pt idx="4">
                  <c:v>448760</c:v>
                </c:pt>
                <c:pt idx="5">
                  <c:v>228418.0983841531</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E420-470D-82D5-8A1D4DC34A91}"/>
            </c:ext>
          </c:extLst>
        </c:ser>
        <c:ser>
          <c:idx val="1"/>
          <c:order val="1"/>
          <c:tx>
            <c:strRef>
              <c:f>clean!$X$26:$X$27</c:f>
              <c:strCache>
                <c:ptCount val="2"/>
                <c:pt idx="0">
                  <c:v>41 C/5</c:v>
                </c:pt>
                <c:pt idx="1">
                  <c:v>VC in hand</c:v>
                </c:pt>
              </c:strCache>
            </c:strRef>
          </c:tx>
          <c:spPr>
            <a:solidFill>
              <a:schemeClr val="tx2">
                <a:lumMod val="60000"/>
                <a:lumOff val="4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clean!$X$28:$X$34</c:f>
              <c:numCache>
                <c:formatCode>#,##0</c:formatCode>
                <c:ptCount val="6"/>
                <c:pt idx="0">
                  <c:v>203400</c:v>
                </c:pt>
                <c:pt idx="1">
                  <c:v>1714500</c:v>
                </c:pt>
                <c:pt idx="2">
                  <c:v>578977</c:v>
                </c:pt>
                <c:pt idx="3">
                  <c:v>171980</c:v>
                </c:pt>
                <c:pt idx="4">
                  <c:v>515400</c:v>
                </c:pt>
                <c:pt idx="5">
                  <c:v>1201983</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E420-470D-82D5-8A1D4DC34A91}"/>
            </c:ext>
          </c:extLst>
        </c:ser>
        <c:ser>
          <c:idx val="2"/>
          <c:order val="2"/>
          <c:tx>
            <c:strRef>
              <c:f>clean!$Y$26:$Y$27</c:f>
              <c:strCache>
                <c:ptCount val="2"/>
                <c:pt idx="0">
                  <c:v>41 C/5</c:v>
                </c:pt>
                <c:pt idx="1">
                  <c:v>VC gap</c:v>
                </c:pt>
              </c:strCache>
            </c:strRef>
          </c:tx>
          <c:spPr>
            <a:solidFill>
              <a:schemeClr val="tx2">
                <a:lumMod val="20000"/>
                <a:lumOff val="8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clean!$Y$28:$Y$34</c:f>
              <c:numCache>
                <c:formatCode>#,##0</c:formatCode>
                <c:ptCount val="6"/>
                <c:pt idx="0">
                  <c:v>550000</c:v>
                </c:pt>
                <c:pt idx="1">
                  <c:v>3382000</c:v>
                </c:pt>
                <c:pt idx="2">
                  <c:v>3000000</c:v>
                </c:pt>
                <c:pt idx="3">
                  <c:v>900000</c:v>
                </c:pt>
                <c:pt idx="4">
                  <c:v>5436000</c:v>
                </c:pt>
                <c:pt idx="5">
                  <c:v>2925000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E420-470D-82D5-8A1D4DC34A91}"/>
            </c:ext>
          </c:extLst>
        </c:ser>
        <c:dLbls>
          <c:showLegendKey val="0"/>
          <c:showVal val="0"/>
          <c:showCatName val="0"/>
          <c:showSerName val="0"/>
          <c:showPercent val="0"/>
          <c:showBubbleSize val="0"/>
        </c:dLbls>
        <c:gapWidth val="150"/>
        <c:overlap val="100"/>
        <c:axId val="553738928"/>
        <c:axId val="553737288"/>
      </c:barChart>
      <c:catAx>
        <c:axId val="5537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3737288"/>
        <c:crosses val="autoZero"/>
        <c:auto val="1"/>
        <c:lblAlgn val="ctr"/>
        <c:lblOffset val="100"/>
        <c:noMultiLvlLbl val="0"/>
      </c:catAx>
      <c:valAx>
        <c:axId val="553737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373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fr" b="0" i="0" u="none" baseline="0"/>
              <a:t>Contributions à l'égalité entre les sexes, Afrique et PEID</a:t>
            </a:r>
            <a:endParaRPr lang="f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35208098987627"/>
          <c:y val="4.1666666666666664E-2"/>
          <c:w val="0.84531872646353989"/>
          <c:h val="0.73577136191309422"/>
        </c:manualLayout>
      </c:layout>
      <c:barChart>
        <c:barDir val="col"/>
        <c:grouping val="stacked"/>
        <c:varyColors val="0"/>
        <c:ser>
          <c:idx val="0"/>
          <c:order val="0"/>
          <c:tx>
            <c:strRef>
              <c:f>clean!$M$81</c:f>
              <c:strCache>
                <c:ptCount val="1"/>
                <c:pt idx="0">
                  <c:v>RB</c:v>
                </c:pt>
              </c:strCache>
            </c:strRef>
          </c:tx>
          <c:spPr>
            <a:solidFill>
              <a:srgbClr val="002060"/>
            </a:solidFill>
            <a:ln>
              <a:noFill/>
            </a:ln>
            <a:effectLst/>
          </c:spPr>
          <c:invertIfNegative val="0"/>
          <c:cat>
            <c:strRef>
              <c:f>clean!$L$82:$L$84</c:f>
              <c:strCache>
                <c:ptCount val="3"/>
                <c:pt idx="0">
                  <c:v>Gender Equality</c:v>
                </c:pt>
                <c:pt idx="1">
                  <c:v>Africa</c:v>
                </c:pt>
                <c:pt idx="2">
                  <c:v>SIDS</c:v>
                </c:pt>
              </c:strCache>
            </c:strRef>
          </c:cat>
          <c:val>
            <c:numRef>
              <c:f>clean!$M$82:$M$84</c:f>
              <c:numCache>
                <c:formatCode>#,##0</c:formatCode>
                <c:ptCount val="3"/>
                <c:pt idx="0">
                  <c:v>1333754.96</c:v>
                </c:pt>
                <c:pt idx="1">
                  <c:v>2523920.3383918852</c:v>
                </c:pt>
                <c:pt idx="2">
                  <c:v>2297589.6712653502</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AA94-496A-A788-25A2A6EB376D}"/>
            </c:ext>
          </c:extLst>
        </c:ser>
        <c:ser>
          <c:idx val="1"/>
          <c:order val="1"/>
          <c:tx>
            <c:strRef>
              <c:f>clean!$N$81</c:f>
              <c:strCache>
                <c:ptCount val="1"/>
                <c:pt idx="0">
                  <c:v>VC in hand</c:v>
                </c:pt>
              </c:strCache>
            </c:strRef>
          </c:tx>
          <c:spPr>
            <a:solidFill>
              <a:schemeClr val="tx2">
                <a:lumMod val="60000"/>
                <a:lumOff val="40000"/>
              </a:schemeClr>
            </a:solidFill>
            <a:ln>
              <a:noFill/>
            </a:ln>
            <a:effectLst/>
          </c:spPr>
          <c:invertIfNegative val="0"/>
          <c:cat>
            <c:strRef>
              <c:f>clean!$L$82:$L$84</c:f>
              <c:strCache>
                <c:ptCount val="3"/>
                <c:pt idx="0">
                  <c:v>Gender Equality</c:v>
                </c:pt>
                <c:pt idx="1">
                  <c:v>Africa</c:v>
                </c:pt>
                <c:pt idx="2">
                  <c:v>SIDS</c:v>
                </c:pt>
              </c:strCache>
            </c:strRef>
          </c:cat>
          <c:val>
            <c:numRef>
              <c:f>clean!$N$82:$N$84</c:f>
              <c:numCache>
                <c:formatCode>#,##0</c:formatCode>
                <c:ptCount val="3"/>
                <c:pt idx="0">
                  <c:v>526350</c:v>
                </c:pt>
                <c:pt idx="1">
                  <c:v>964970</c:v>
                </c:pt>
                <c:pt idx="2">
                  <c:v>877250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AA94-496A-A788-25A2A6EB376D}"/>
            </c:ext>
          </c:extLst>
        </c:ser>
        <c:ser>
          <c:idx val="2"/>
          <c:order val="2"/>
          <c:tx>
            <c:strRef>
              <c:f>clean!$O$81</c:f>
              <c:strCache>
                <c:ptCount val="1"/>
                <c:pt idx="0">
                  <c:v>VC gap</c:v>
                </c:pt>
              </c:strCache>
            </c:strRef>
          </c:tx>
          <c:spPr>
            <a:solidFill>
              <a:schemeClr val="tx2">
                <a:lumMod val="20000"/>
                <a:lumOff val="80000"/>
              </a:schemeClr>
            </a:solidFill>
            <a:ln>
              <a:noFill/>
            </a:ln>
            <a:effectLst/>
          </c:spPr>
          <c:invertIfNegative val="0"/>
          <c:cat>
            <c:strRef>
              <c:f>clean!$L$82:$L$84</c:f>
              <c:strCache>
                <c:ptCount val="3"/>
                <c:pt idx="0">
                  <c:v>Gender Equality</c:v>
                </c:pt>
                <c:pt idx="1">
                  <c:v>Africa</c:v>
                </c:pt>
                <c:pt idx="2">
                  <c:v>SIDS</c:v>
                </c:pt>
              </c:strCache>
            </c:strRef>
          </c:cat>
          <c:val>
            <c:numRef>
              <c:f>clean!$O$82:$O$84</c:f>
              <c:numCache>
                <c:formatCode>#,##0</c:formatCode>
                <c:ptCount val="3"/>
                <c:pt idx="0">
                  <c:v>1943160</c:v>
                </c:pt>
                <c:pt idx="1">
                  <c:v>3562460</c:v>
                </c:pt>
                <c:pt idx="2">
                  <c:v>3238600</c:v>
                </c:pt>
              </c:numCache>
            </c:numRef>
          </c:val>
          <c:extLs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AA94-496A-A788-25A2A6EB376D}"/>
            </c:ext>
          </c:extLst>
        </c:ser>
        <c:dLbls>
          <c:showLegendKey val="0"/>
          <c:showVal val="0"/>
          <c:showCatName val="0"/>
          <c:showSerName val="0"/>
          <c:showPercent val="0"/>
          <c:showBubbleSize val="0"/>
        </c:dLbls>
        <c:gapWidth val="150"/>
        <c:overlap val="100"/>
        <c:axId val="547149152"/>
        <c:axId val="547156040"/>
      </c:barChart>
      <c:catAx>
        <c:axId val="54714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47156040"/>
        <c:crosses val="autoZero"/>
        <c:auto val="1"/>
        <c:lblAlgn val="ctr"/>
        <c:lblOffset val="100"/>
        <c:noMultiLvlLbl val="0"/>
      </c:catAx>
      <c:valAx>
        <c:axId val="54715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471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2819-4B90-45FF-9B29-512D056331C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58e932d1-8919-4331-b239-5cc8cbf973ca"/>
    <ds:schemaRef ds:uri="http://www.w3.org/XML/1998/namespace"/>
  </ds:schemaRefs>
</ds:datastoreItem>
</file>

<file path=customXml/itemProps2.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3.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4.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5.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2D8F62-2210-44A2-A398-CA0582BA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WD-EC47.dotx</Template>
  <TotalTime>31</TotalTime>
  <Pages>18</Pages>
  <Words>7169</Words>
  <Characters>40868</Characters>
  <Application>Microsoft Office Word</Application>
  <DocSecurity>0</DocSecurity>
  <Lines>340</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47942</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6</cp:revision>
  <cp:lastPrinted>2020-04-14T07:20:00Z</cp:lastPrinted>
  <dcterms:created xsi:type="dcterms:W3CDTF">2021-06-01T16:12:00Z</dcterms:created>
  <dcterms:modified xsi:type="dcterms:W3CDTF">2021-06-03T07:47:00Z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