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7525A8" w14:paraId="67B6F247" w14:textId="77777777">
        <w:trPr>
          <w:jc w:val="center"/>
        </w:trPr>
        <w:tc>
          <w:tcPr>
            <w:tcW w:w="7654" w:type="dxa"/>
            <w:tcMar>
              <w:top w:w="170" w:type="dxa"/>
              <w:left w:w="170" w:type="dxa"/>
              <w:bottom w:w="170" w:type="dxa"/>
              <w:right w:w="170" w:type="dxa"/>
            </w:tcMar>
          </w:tcPr>
          <w:p w14:paraId="5F58A450" w14:textId="77777777" w:rsidR="00467E3F" w:rsidRPr="007525A8" w:rsidRDefault="00B83068" w:rsidP="00853565">
            <w:pPr>
              <w:pStyle w:val="Marge"/>
              <w:jc w:val="center"/>
              <w:rPr>
                <w:rFonts w:cs="Arial"/>
                <w:szCs w:val="22"/>
              </w:rPr>
            </w:pPr>
            <w:r w:rsidRPr="007525A8">
              <w:rPr>
                <w:rFonts w:cs="Arial"/>
                <w:szCs w:val="22"/>
                <w:u w:val="single"/>
              </w:rPr>
              <w:t>Summary</w:t>
            </w:r>
          </w:p>
          <w:p w14:paraId="66A47983" w14:textId="2AD903ED" w:rsidR="00467E3F" w:rsidRPr="007525A8" w:rsidRDefault="00B3423A" w:rsidP="00294AD5">
            <w:pPr>
              <w:pStyle w:val="Marge"/>
              <w:spacing w:after="120"/>
              <w:rPr>
                <w:rFonts w:cs="Arial"/>
                <w:iCs/>
                <w:szCs w:val="22"/>
              </w:rPr>
            </w:pPr>
            <w:hyperlink r:id="rId8" w:history="1">
              <w:r w:rsidR="00A42F1D" w:rsidRPr="00823C91">
                <w:rPr>
                  <w:rStyle w:val="Hyperlink"/>
                  <w:rFonts w:cs="Arial"/>
                  <w:iCs/>
                  <w:szCs w:val="22"/>
                </w:rPr>
                <w:t>IOC Resolution XXVI-8</w:t>
              </w:r>
            </w:hyperlink>
            <w:r w:rsidR="00A42F1D" w:rsidRPr="007525A8">
              <w:rPr>
                <w:rFonts w:cs="Arial"/>
                <w:iCs/>
                <w:szCs w:val="22"/>
              </w:rPr>
              <w:t xml:space="preserve"> (2011) created the GOOS Steering Committee </w:t>
            </w:r>
            <w:r w:rsidR="002F456C" w:rsidRPr="007525A8">
              <w:rPr>
                <w:rFonts w:cs="Arial"/>
                <w:iCs/>
                <w:szCs w:val="22"/>
              </w:rPr>
              <w:t>and</w:t>
            </w:r>
            <w:r w:rsidR="00A42F1D" w:rsidRPr="007525A8">
              <w:rPr>
                <w:rFonts w:cs="Arial"/>
                <w:iCs/>
                <w:szCs w:val="22"/>
              </w:rPr>
              <w:t xml:space="preserve"> requested it to “produce a biennial Workplan for consideration by the IOC Governing Bodies and adoption by the Assembly.” </w:t>
            </w:r>
          </w:p>
          <w:p w14:paraId="602FEB7C" w14:textId="5BB9D40F" w:rsidR="00A42F1D" w:rsidRPr="007525A8" w:rsidRDefault="00467E3F" w:rsidP="00C8507A">
            <w:pPr>
              <w:pStyle w:val="Marge"/>
              <w:spacing w:after="120"/>
              <w:rPr>
                <w:rFonts w:cs="Arial"/>
                <w:szCs w:val="22"/>
              </w:rPr>
            </w:pPr>
            <w:r w:rsidRPr="007525A8">
              <w:rPr>
                <w:rFonts w:cs="Arial"/>
                <w:szCs w:val="22"/>
                <w:u w:val="single"/>
              </w:rPr>
              <w:t>Purpose of the document</w:t>
            </w:r>
            <w:r w:rsidRPr="007525A8">
              <w:rPr>
                <w:rFonts w:cs="Arial"/>
                <w:szCs w:val="22"/>
              </w:rPr>
              <w:t xml:space="preserve">: </w:t>
            </w:r>
            <w:r w:rsidR="00A42F1D" w:rsidRPr="007525A8">
              <w:rPr>
                <w:rFonts w:cs="Arial"/>
                <w:szCs w:val="22"/>
              </w:rPr>
              <w:t xml:space="preserve">This executive summary of </w:t>
            </w:r>
            <w:r w:rsidR="008E57B4" w:rsidRPr="007525A8">
              <w:rPr>
                <w:rFonts w:cs="Arial"/>
                <w:szCs w:val="22"/>
              </w:rPr>
              <w:t>the</w:t>
            </w:r>
            <w:r w:rsidR="00A42F1D" w:rsidRPr="007525A8">
              <w:rPr>
                <w:rFonts w:cs="Arial"/>
                <w:szCs w:val="22"/>
              </w:rPr>
              <w:t xml:space="preserve"> GOOS Core Team Implementation Plan describes planned one to </w:t>
            </w:r>
            <w:r w:rsidR="00F57CAD" w:rsidRPr="007525A8">
              <w:rPr>
                <w:rFonts w:cs="Arial"/>
                <w:szCs w:val="22"/>
              </w:rPr>
              <w:t>five-year</w:t>
            </w:r>
            <w:r w:rsidR="00A42F1D" w:rsidRPr="007525A8">
              <w:rPr>
                <w:rFonts w:cs="Arial"/>
                <w:szCs w:val="22"/>
              </w:rPr>
              <w:t xml:space="preserve"> actions for the </w:t>
            </w:r>
            <w:r w:rsidR="009C035C" w:rsidRPr="007525A8">
              <w:rPr>
                <w:rFonts w:cs="Arial"/>
                <w:szCs w:val="22"/>
              </w:rPr>
              <w:t xml:space="preserve">Core Team components of GOOS (Steering Committee, panels, teams, and the GOOS Office). This integrates actions across GOOS, allows analysis towards implementation of the </w:t>
            </w:r>
            <w:r w:rsidR="009C035C" w:rsidRPr="007525A8">
              <w:rPr>
                <w:rFonts w:cs="Arial"/>
                <w:i/>
                <w:iCs/>
                <w:szCs w:val="22"/>
              </w:rPr>
              <w:t>Global Ocean Observing System 2030 Strategy</w:t>
            </w:r>
            <w:r w:rsidR="009C035C" w:rsidRPr="007525A8">
              <w:rPr>
                <w:rFonts w:cs="Arial"/>
                <w:szCs w:val="22"/>
              </w:rPr>
              <w:t xml:space="preserve"> (</w:t>
            </w:r>
            <w:hyperlink r:id="rId9" w:history="1">
              <w:r w:rsidR="006E6586" w:rsidRPr="000C58F2">
                <w:rPr>
                  <w:rStyle w:val="Hyperlink"/>
                  <w:rFonts w:cs="Arial"/>
                  <w:szCs w:val="22"/>
                </w:rPr>
                <w:t>IOC/BRO/2019/5 rev</w:t>
              </w:r>
            </w:hyperlink>
            <w:r w:rsidR="006E6586" w:rsidRPr="007525A8">
              <w:rPr>
                <w:rFonts w:cs="Arial"/>
                <w:szCs w:val="22"/>
              </w:rPr>
              <w:t>.</w:t>
            </w:r>
            <w:r w:rsidR="009C035C" w:rsidRPr="007525A8">
              <w:rPr>
                <w:rFonts w:cs="Arial"/>
                <w:szCs w:val="22"/>
              </w:rPr>
              <w:t>), an understanding of the resources needed to undertake this implementation and how GOOS can better structure itself internally to do so, and reflects a new integrated planning and tracking process for the work of GOOS.</w:t>
            </w:r>
            <w:r w:rsidR="00A42F1D" w:rsidRPr="007525A8">
              <w:rPr>
                <w:rFonts w:cs="Arial"/>
                <w:szCs w:val="22"/>
              </w:rPr>
              <w:t xml:space="preserve"> </w:t>
            </w:r>
          </w:p>
          <w:p w14:paraId="14D4AFED" w14:textId="0928059F" w:rsidR="00467E3F" w:rsidRPr="007525A8" w:rsidRDefault="009C035C" w:rsidP="009C035C">
            <w:pPr>
              <w:pStyle w:val="Marge"/>
              <w:spacing w:after="120"/>
              <w:ind w:hanging="8"/>
              <w:rPr>
                <w:rFonts w:cs="Arial"/>
                <w:szCs w:val="22"/>
              </w:rPr>
            </w:pPr>
            <w:r w:rsidRPr="007525A8">
              <w:rPr>
                <w:rFonts w:cs="Arial"/>
                <w:szCs w:val="22"/>
              </w:rPr>
              <w:t xml:space="preserve">The Assembly is invited to note the broad ambition of this implementation plan, its identified resource implications, as well as the need to reinforce partnerships and support structures. Member States are </w:t>
            </w:r>
            <w:r w:rsidR="007525A8" w:rsidRPr="007525A8">
              <w:rPr>
                <w:rFonts w:cs="Arial"/>
                <w:szCs w:val="22"/>
              </w:rPr>
              <w:t>encouraged</w:t>
            </w:r>
            <w:r w:rsidRPr="007525A8">
              <w:rPr>
                <w:rFonts w:cs="Arial"/>
                <w:szCs w:val="22"/>
              </w:rPr>
              <w:t xml:space="preserve"> to work with GOOS to identify how they can help with implementation and what their contributions will enable us to achieve together.</w:t>
            </w:r>
            <w:r w:rsidR="00413F17" w:rsidRPr="007525A8">
              <w:rPr>
                <w:rFonts w:cs="Arial"/>
                <w:szCs w:val="22"/>
              </w:rPr>
              <w:t xml:space="preserve"> </w:t>
            </w:r>
          </w:p>
          <w:p w14:paraId="17FB879E" w14:textId="13E88131" w:rsidR="00467E3F" w:rsidRPr="007525A8" w:rsidRDefault="00467E3F" w:rsidP="000C58F2">
            <w:pPr>
              <w:pStyle w:val="Marge"/>
              <w:spacing w:after="120"/>
              <w:rPr>
                <w:rFonts w:cs="Arial"/>
                <w:szCs w:val="22"/>
              </w:rPr>
            </w:pPr>
            <w:r w:rsidRPr="007525A8">
              <w:rPr>
                <w:rFonts w:cs="Arial"/>
                <w:szCs w:val="22"/>
                <w:u w:val="single"/>
              </w:rPr>
              <w:t>Financial and administrative implications</w:t>
            </w:r>
            <w:r w:rsidR="000C58F2" w:rsidRPr="00C8507A">
              <w:rPr>
                <w:rFonts w:cs="Arial"/>
                <w:szCs w:val="22"/>
              </w:rPr>
              <w:t xml:space="preserve">: </w:t>
            </w:r>
            <w:r w:rsidRPr="007525A8">
              <w:rPr>
                <w:rFonts w:cs="Arial"/>
                <w:szCs w:val="22"/>
              </w:rPr>
              <w:t>The financial and administrative implications of the activities fall within the parameters of the regular budget of IOC</w:t>
            </w:r>
            <w:r w:rsidR="002F456C" w:rsidRPr="007525A8">
              <w:rPr>
                <w:rFonts w:cs="Arial"/>
                <w:szCs w:val="22"/>
              </w:rPr>
              <w:t xml:space="preserve">, and any extrabudgetary and </w:t>
            </w:r>
            <w:r w:rsidR="000C58F2" w:rsidRPr="007525A8">
              <w:rPr>
                <w:rFonts w:cs="Arial"/>
                <w:szCs w:val="22"/>
              </w:rPr>
              <w:t>in-kind</w:t>
            </w:r>
            <w:r w:rsidR="002F456C" w:rsidRPr="007525A8">
              <w:rPr>
                <w:rFonts w:cs="Arial"/>
                <w:szCs w:val="22"/>
              </w:rPr>
              <w:t xml:space="preserve"> resources that can be </w:t>
            </w:r>
            <w:r w:rsidR="007525A8" w:rsidRPr="007525A8">
              <w:rPr>
                <w:rFonts w:cs="Arial"/>
                <w:szCs w:val="22"/>
              </w:rPr>
              <w:t>identified</w:t>
            </w:r>
            <w:r w:rsidR="002F456C" w:rsidRPr="007525A8">
              <w:rPr>
                <w:rFonts w:cs="Arial"/>
                <w:szCs w:val="22"/>
              </w:rPr>
              <w:t>.</w:t>
            </w:r>
          </w:p>
          <w:p w14:paraId="21DAF35D" w14:textId="12711584" w:rsidR="00737A18" w:rsidRPr="007525A8" w:rsidRDefault="00413F17" w:rsidP="00003B31">
            <w:pPr>
              <w:pStyle w:val="Marge"/>
              <w:spacing w:after="120"/>
              <w:rPr>
                <w:rFonts w:cs="Arial"/>
                <w:szCs w:val="22"/>
              </w:rPr>
            </w:pPr>
            <w:r w:rsidRPr="007525A8">
              <w:rPr>
                <w:rFonts w:cs="Arial"/>
                <w:szCs w:val="22"/>
                <w:u w:val="single"/>
              </w:rPr>
              <w:t>The proposed decision</w:t>
            </w:r>
            <w:r w:rsidR="00467E3F" w:rsidRPr="007525A8">
              <w:rPr>
                <w:rFonts w:cs="Arial"/>
                <w:szCs w:val="22"/>
              </w:rPr>
              <w:t xml:space="preserve"> </w:t>
            </w:r>
            <w:r w:rsidR="00853565" w:rsidRPr="007525A8">
              <w:rPr>
                <w:rFonts w:cs="Arial"/>
                <w:szCs w:val="22"/>
              </w:rPr>
              <w:t xml:space="preserve">is referenced </w:t>
            </w:r>
            <w:r w:rsidR="00003B31" w:rsidRPr="007525A8">
              <w:t>D</w:t>
            </w:r>
            <w:r w:rsidR="00853565" w:rsidRPr="007525A8">
              <w:t>ec.</w:t>
            </w:r>
            <w:r w:rsidR="002F456C" w:rsidRPr="007525A8">
              <w:t xml:space="preserve"> A-31/</w:t>
            </w:r>
            <w:r w:rsidR="009C035C" w:rsidRPr="007525A8">
              <w:t>3.5.2</w:t>
            </w:r>
            <w:r w:rsidR="00853565" w:rsidRPr="007525A8">
              <w:rPr>
                <w:rFonts w:cs="Arial"/>
                <w:szCs w:val="22"/>
              </w:rPr>
              <w:t xml:space="preserve"> </w:t>
            </w:r>
            <w:r w:rsidR="00467E3F" w:rsidRPr="007525A8">
              <w:rPr>
                <w:rFonts w:cs="Arial"/>
                <w:szCs w:val="22"/>
              </w:rPr>
              <w:t xml:space="preserve">in </w:t>
            </w:r>
            <w:r w:rsidR="00853565" w:rsidRPr="007525A8">
              <w:rPr>
                <w:rFonts w:cs="Arial"/>
                <w:szCs w:val="22"/>
              </w:rPr>
              <w:t xml:space="preserve">the </w:t>
            </w:r>
            <w:r w:rsidR="000C58F2">
              <w:rPr>
                <w:rFonts w:cs="Arial"/>
                <w:szCs w:val="22"/>
              </w:rPr>
              <w:t xml:space="preserve">Second revised </w:t>
            </w:r>
            <w:r w:rsidR="00C4032B" w:rsidRPr="007525A8">
              <w:rPr>
                <w:rFonts w:cs="Arial"/>
                <w:szCs w:val="22"/>
              </w:rPr>
              <w:t>Action Paper</w:t>
            </w:r>
            <w:r w:rsidR="00853565" w:rsidRPr="007525A8">
              <w:rPr>
                <w:rFonts w:cs="Arial"/>
                <w:szCs w:val="22"/>
              </w:rPr>
              <w:t xml:space="preserve"> (document </w:t>
            </w:r>
            <w:hyperlink r:id="rId10" w:history="1">
              <w:r w:rsidR="009C035C" w:rsidRPr="000C58F2">
                <w:rPr>
                  <w:rStyle w:val="Hyperlink"/>
                  <w:rFonts w:cs="Arial"/>
                  <w:szCs w:val="22"/>
                </w:rPr>
                <w:t>IOC/A-31/AP Rev.</w:t>
              </w:r>
              <w:r w:rsidR="000C58F2" w:rsidRPr="000C58F2">
                <w:rPr>
                  <w:rStyle w:val="Hyperlink"/>
                  <w:rFonts w:cs="Arial"/>
                  <w:szCs w:val="22"/>
                </w:rPr>
                <w:t>2</w:t>
              </w:r>
            </w:hyperlink>
            <w:r w:rsidR="00853565" w:rsidRPr="007525A8">
              <w:rPr>
                <w:rFonts w:cs="Arial"/>
                <w:szCs w:val="22"/>
              </w:rPr>
              <w:t>)</w:t>
            </w:r>
            <w:r w:rsidR="009C035C" w:rsidRPr="007525A8">
              <w:rPr>
                <w:rFonts w:cs="Arial"/>
                <w:szCs w:val="22"/>
              </w:rPr>
              <w:t>.</w:t>
            </w:r>
          </w:p>
        </w:tc>
      </w:tr>
    </w:tbl>
    <w:p w14:paraId="7079702C" w14:textId="77777777" w:rsidR="00746B89" w:rsidRPr="007525A8" w:rsidRDefault="00746B89" w:rsidP="005C7A36">
      <w:pPr>
        <w:pStyle w:val="Heading3"/>
        <w:sectPr w:rsidR="00746B89" w:rsidRPr="007525A8" w:rsidSect="003F7186">
          <w:headerReference w:type="even" r:id="rId11"/>
          <w:headerReference w:type="default" r:id="rId12"/>
          <w:headerReference w:type="first" r:id="rId13"/>
          <w:type w:val="continuous"/>
          <w:pgSz w:w="11906" w:h="16838" w:code="9"/>
          <w:pgMar w:top="1418" w:right="1134" w:bottom="1134" w:left="1134" w:header="709" w:footer="680" w:gutter="0"/>
          <w:pgNumType w:start="1"/>
          <w:cols w:space="708"/>
          <w:titlePg/>
          <w:docGrid w:linePitch="360"/>
        </w:sectPr>
      </w:pPr>
    </w:p>
    <w:p w14:paraId="3EC84229" w14:textId="77777777" w:rsidR="003C64EB" w:rsidRPr="007525A8" w:rsidRDefault="003C64EB" w:rsidP="003C64EB">
      <w:pPr>
        <w:pStyle w:val="Heading3"/>
      </w:pPr>
      <w:r w:rsidRPr="007525A8">
        <w:lastRenderedPageBreak/>
        <w:t>Introduction</w:t>
      </w:r>
    </w:p>
    <w:p w14:paraId="57A5C226" w14:textId="5FB0E151" w:rsidR="009162AC" w:rsidRPr="007525A8" w:rsidRDefault="009162AC" w:rsidP="00B3423A">
      <w:pPr>
        <w:pStyle w:val="COI"/>
      </w:pPr>
      <w:r w:rsidRPr="007525A8">
        <w:t xml:space="preserve">The purpose of the Global Ocean Observing System (GOOS) Core Team Implementation Plan is to reflect a process of planning that brings the </w:t>
      </w:r>
      <w:hyperlink r:id="rId14" w:history="1">
        <w:r w:rsidRPr="00F57CAD">
          <w:rPr>
            <w:rStyle w:val="Hyperlink"/>
            <w:i/>
            <w:iCs/>
          </w:rPr>
          <w:t>Global Ocean Observing System 2030 Strategy</w:t>
        </w:r>
      </w:hyperlink>
      <w:r w:rsidRPr="007525A8">
        <w:t xml:space="preserve"> to life and shapes the </w:t>
      </w:r>
      <w:r w:rsidR="00C72275" w:rsidRPr="007525A8">
        <w:t>programme</w:t>
      </w:r>
      <w:r w:rsidRPr="007525A8">
        <w:t xml:space="preserve"> to deliver</w:t>
      </w:r>
      <w:r w:rsidR="003C64EB" w:rsidRPr="007525A8">
        <w:t xml:space="preserve">. </w:t>
      </w:r>
      <w:r w:rsidRPr="007525A8">
        <w:t>It focuses on the actions of the GOOS Core Team</w:t>
      </w:r>
      <w:r w:rsidR="00BB4185" w:rsidRPr="007525A8">
        <w:t xml:space="preserve"> which is made up of </w:t>
      </w:r>
      <w:r w:rsidRPr="007525A8">
        <w:t>the:</w:t>
      </w:r>
    </w:p>
    <w:p w14:paraId="18ACE719" w14:textId="4797B16E" w:rsidR="009162AC" w:rsidRPr="007525A8" w:rsidRDefault="0002051C" w:rsidP="00C8507A">
      <w:pPr>
        <w:pStyle w:val="ListBullet2"/>
        <w:tabs>
          <w:tab w:val="clear" w:pos="567"/>
          <w:tab w:val="clear" w:pos="851"/>
          <w:tab w:val="left" w:pos="709"/>
          <w:tab w:val="num" w:pos="1276"/>
        </w:tabs>
        <w:ind w:left="1276" w:hanging="567"/>
        <w:jc w:val="both"/>
      </w:pPr>
      <w:r w:rsidRPr="00C8507A">
        <w:rPr>
          <w:u w:val="single"/>
        </w:rPr>
        <w:t xml:space="preserve">GOOS </w:t>
      </w:r>
      <w:r w:rsidR="009162AC" w:rsidRPr="00C8507A">
        <w:rPr>
          <w:u w:val="single"/>
        </w:rPr>
        <w:t>Steering Committee</w:t>
      </w:r>
      <w:r w:rsidR="009162AC" w:rsidRPr="007525A8">
        <w:t xml:space="preserve">: providing direction to the GOOS core team in implementing its strategic objectives and building outside partnerships. </w:t>
      </w:r>
    </w:p>
    <w:p w14:paraId="3C2A5B63" w14:textId="7A34198E" w:rsidR="009162AC" w:rsidRPr="007525A8" w:rsidRDefault="009162AC" w:rsidP="00C8507A">
      <w:pPr>
        <w:pStyle w:val="ListBullet2"/>
        <w:tabs>
          <w:tab w:val="clear" w:pos="851"/>
          <w:tab w:val="num" w:pos="1276"/>
        </w:tabs>
        <w:ind w:left="1276" w:hanging="567"/>
        <w:jc w:val="both"/>
      </w:pPr>
      <w:r w:rsidRPr="00C8507A">
        <w:rPr>
          <w:u w:val="single"/>
        </w:rPr>
        <w:t>Expert Panels</w:t>
      </w:r>
      <w:r w:rsidRPr="007525A8">
        <w:t>: The Physics and Climate (OOPC), Bio</w:t>
      </w:r>
      <w:r w:rsidR="00775F1E">
        <w:t>geo</w:t>
      </w:r>
      <w:r w:rsidRPr="007525A8">
        <w:t>chemistry (BGC Panel) and Biology and Ecosystems (BioEco Panel) Panels are vital for identifying user needs and evaluating the system.</w:t>
      </w:r>
    </w:p>
    <w:p w14:paraId="4000AC5F" w14:textId="652D2C7C" w:rsidR="009162AC" w:rsidRPr="007525A8" w:rsidRDefault="0002051C" w:rsidP="00C8507A">
      <w:pPr>
        <w:pStyle w:val="ListBullet2"/>
        <w:tabs>
          <w:tab w:val="clear" w:pos="851"/>
          <w:tab w:val="num" w:pos="1276"/>
        </w:tabs>
        <w:ind w:left="1276" w:hanging="567"/>
        <w:jc w:val="both"/>
      </w:pPr>
      <w:r w:rsidRPr="00C8507A">
        <w:rPr>
          <w:u w:val="single"/>
        </w:rPr>
        <w:t xml:space="preserve">GOOS </w:t>
      </w:r>
      <w:r w:rsidR="009162AC" w:rsidRPr="00C8507A">
        <w:rPr>
          <w:u w:val="single"/>
        </w:rPr>
        <w:t>Observations Coordination Group (OCG</w:t>
      </w:r>
      <w:r w:rsidR="009162AC" w:rsidRPr="007525A8">
        <w:t>): strengthens GOOS implementation by coordinating the system through 12 global observing networks and OceanOPS.</w:t>
      </w:r>
    </w:p>
    <w:p w14:paraId="74E19652" w14:textId="015BDFEF" w:rsidR="009162AC" w:rsidRPr="007525A8" w:rsidRDefault="0002051C" w:rsidP="00C8507A">
      <w:pPr>
        <w:pStyle w:val="ListBullet2"/>
        <w:tabs>
          <w:tab w:val="clear" w:pos="851"/>
          <w:tab w:val="num" w:pos="1276"/>
        </w:tabs>
        <w:ind w:left="1276" w:hanging="567"/>
        <w:jc w:val="both"/>
      </w:pPr>
      <w:r w:rsidRPr="00C8507A">
        <w:rPr>
          <w:u w:val="single"/>
        </w:rPr>
        <w:t xml:space="preserve">GOOS </w:t>
      </w:r>
      <w:r w:rsidR="009162AC" w:rsidRPr="00C8507A">
        <w:rPr>
          <w:u w:val="single"/>
        </w:rPr>
        <w:t>Expert Team on Operational Ocean Forecast Systems (ETOOFS):</w:t>
      </w:r>
      <w:r w:rsidR="009162AC" w:rsidRPr="007525A8">
        <w:t xml:space="preserve"> guides initiatives to improve capacity, quality and interoperability of ocean model forecast products.</w:t>
      </w:r>
    </w:p>
    <w:p w14:paraId="0D50B184" w14:textId="77777777" w:rsidR="009162AC" w:rsidRPr="007525A8" w:rsidRDefault="009162AC" w:rsidP="00C8507A">
      <w:pPr>
        <w:pStyle w:val="ListBullet2"/>
        <w:tabs>
          <w:tab w:val="clear" w:pos="851"/>
          <w:tab w:val="num" w:pos="1276"/>
        </w:tabs>
        <w:ind w:left="1276" w:hanging="567"/>
        <w:jc w:val="both"/>
      </w:pPr>
      <w:r w:rsidRPr="00C8507A">
        <w:rPr>
          <w:u w:val="single"/>
        </w:rPr>
        <w:t>GOOS Regional Alliances (GRAs)</w:t>
      </w:r>
      <w:r w:rsidRPr="007525A8">
        <w:t>: identify, enable and develop GOOS ocean monitoring and services to meet regional and national priorities.</w:t>
      </w:r>
    </w:p>
    <w:p w14:paraId="6BB6D3D1" w14:textId="77777777" w:rsidR="009162AC" w:rsidRPr="007525A8" w:rsidRDefault="009162AC" w:rsidP="00C8507A">
      <w:pPr>
        <w:pStyle w:val="ListBullet2"/>
        <w:tabs>
          <w:tab w:val="clear" w:pos="851"/>
          <w:tab w:val="num" w:pos="1276"/>
        </w:tabs>
        <w:ind w:left="1276" w:hanging="567"/>
        <w:jc w:val="both"/>
      </w:pPr>
      <w:r w:rsidRPr="00C8507A">
        <w:rPr>
          <w:u w:val="single"/>
        </w:rPr>
        <w:t>GOOS Projects</w:t>
      </w:r>
      <w:r w:rsidRPr="007525A8">
        <w:t>: advance innovation and expand the observing system, services and product delivery by expanding into new areas and capabilities.</w:t>
      </w:r>
    </w:p>
    <w:p w14:paraId="6BA6C3DB" w14:textId="551B18F9" w:rsidR="009162AC" w:rsidRPr="007525A8" w:rsidRDefault="009162AC" w:rsidP="00C8507A">
      <w:pPr>
        <w:pStyle w:val="ListBullet2"/>
        <w:tabs>
          <w:tab w:val="clear" w:pos="851"/>
          <w:tab w:val="num" w:pos="1276"/>
        </w:tabs>
        <w:ind w:left="1276" w:hanging="567"/>
        <w:jc w:val="both"/>
      </w:pPr>
      <w:r w:rsidRPr="00C8507A">
        <w:rPr>
          <w:u w:val="single"/>
        </w:rPr>
        <w:t>GOOS Office</w:t>
      </w:r>
      <w:r w:rsidRPr="007525A8">
        <w:t>: The cross-GOOS coordination team works full time to enable the GOOS core team to function, and to enable connection across GOOS, partners, sponsors, and the observing enterprise.</w:t>
      </w:r>
      <w:r w:rsidR="000B2D6B" w:rsidRPr="007525A8">
        <w:t xml:space="preserve"> A core cross-GOOS coordination function is housed at IOC.</w:t>
      </w:r>
    </w:p>
    <w:p w14:paraId="11AB0B3C" w14:textId="71B7E0E1" w:rsidR="009162AC" w:rsidRPr="007525A8" w:rsidRDefault="009162AC" w:rsidP="00B3423A">
      <w:pPr>
        <w:pStyle w:val="COI"/>
      </w:pPr>
      <w:r w:rsidRPr="007525A8">
        <w:t>The full GOOS Implementation Plan was a working document for the 10</w:t>
      </w:r>
      <w:r w:rsidRPr="007525A8">
        <w:rPr>
          <w:vertAlign w:val="superscript"/>
        </w:rPr>
        <w:t>th</w:t>
      </w:r>
      <w:r w:rsidRPr="007525A8">
        <w:t xml:space="preserve"> </w:t>
      </w:r>
      <w:r w:rsidR="000B2D6B" w:rsidRPr="007525A8">
        <w:t>M</w:t>
      </w:r>
      <w:r w:rsidRPr="007525A8">
        <w:t>eeting of the GOOS Steering Committee (26</w:t>
      </w:r>
      <w:r w:rsidR="000C58F2">
        <w:t>–</w:t>
      </w:r>
      <w:r w:rsidRPr="007525A8">
        <w:t xml:space="preserve">29 April 2021, </w:t>
      </w:r>
      <w:hyperlink r:id="rId15" w:history="1">
        <w:r w:rsidRPr="000C58F2">
          <w:rPr>
            <w:rStyle w:val="Hyperlink"/>
          </w:rPr>
          <w:t>goosocean.org/goos-sc-10-1</w:t>
        </w:r>
      </w:hyperlink>
      <w:r w:rsidRPr="007525A8">
        <w:t xml:space="preserve">), and included details </w:t>
      </w:r>
      <w:r w:rsidRPr="007B3A75">
        <w:t xml:space="preserve">of </w:t>
      </w:r>
      <w:r w:rsidR="00BB4185" w:rsidRPr="007B3A75">
        <w:t>58</w:t>
      </w:r>
      <w:r w:rsidRPr="007B3A75">
        <w:t xml:space="preserve"> actions</w:t>
      </w:r>
      <w:r w:rsidRPr="007525A8">
        <w:t xml:space="preserve"> including </w:t>
      </w:r>
      <w:r w:rsidR="00BB4185" w:rsidRPr="007525A8">
        <w:t>the leads from the GOOS Core Team, proposed work, outputs and impacts, partners, resource</w:t>
      </w:r>
      <w:r w:rsidR="007525A8" w:rsidRPr="007525A8">
        <w:t>s</w:t>
      </w:r>
      <w:r w:rsidR="00BB4185" w:rsidRPr="007525A8">
        <w:t xml:space="preserve"> required, and dependencies. This integrated view of actions across the GOOS Core Team provided the Steering Committee with visibility of action towards implementing the </w:t>
      </w:r>
      <w:r w:rsidR="00BB4185" w:rsidRPr="00C8507A">
        <w:t>2030 Strategy</w:t>
      </w:r>
      <w:r w:rsidR="00BB4185" w:rsidRPr="007525A8">
        <w:t>, enabling the setting of priorities, identification of gaps, the establishment and management of partnerships, and an understanding of the resource and structural implications.</w:t>
      </w:r>
      <w:r w:rsidR="0002051C" w:rsidRPr="007525A8">
        <w:t xml:space="preserve"> Work remains to fully integrate the work of GOOS Projects into the planning process.</w:t>
      </w:r>
    </w:p>
    <w:p w14:paraId="1A81C667" w14:textId="04825201" w:rsidR="0002051C" w:rsidRPr="007525A8" w:rsidRDefault="0002051C" w:rsidP="00B3423A">
      <w:pPr>
        <w:pStyle w:val="COI"/>
      </w:pPr>
      <w:r w:rsidRPr="007525A8">
        <w:t xml:space="preserve">Launching the Ocean Decade has made GOOS’s work more important than it has ever been. GOOS has identified </w:t>
      </w:r>
      <w:r w:rsidR="00690753">
        <w:t>three</w:t>
      </w:r>
      <w:r w:rsidRPr="007525A8">
        <w:t xml:space="preserve"> key areas for action that encapsulate the transformation needed. These GOOS Programmes </w:t>
      </w:r>
      <w:r w:rsidR="000C58F2">
        <w:t>–</w:t>
      </w:r>
      <w:r w:rsidRPr="007525A8">
        <w:t xml:space="preserve"> Ocean Observing Co-Design, CoastPredict and Observing Together </w:t>
      </w:r>
      <w:r w:rsidR="000C58F2">
        <w:t>–</w:t>
      </w:r>
      <w:r w:rsidRPr="007525A8">
        <w:t xml:space="preserve"> are the first programmes of many that will actively drive the Ocean Decade and its ocean observing challenge. These programmes are integrated into the </w:t>
      </w:r>
      <w:r w:rsidR="00690753" w:rsidRPr="007525A8">
        <w:t>actions and</w:t>
      </w:r>
      <w:r w:rsidRPr="007525A8">
        <w:t xml:space="preserve"> represent major decadal cross-GOOS activities</w:t>
      </w:r>
      <w:r w:rsidR="005B5174" w:rsidRPr="007525A8">
        <w:t xml:space="preserve"> as well as vehicles for partnership development</w:t>
      </w:r>
      <w:r w:rsidRPr="007525A8">
        <w:t>. As the programmes develop</w:t>
      </w:r>
      <w:r w:rsidR="005B5174" w:rsidRPr="007525A8">
        <w:t>,</w:t>
      </w:r>
      <w:r w:rsidRPr="007525A8">
        <w:t xml:space="preserve"> their contribution to the Strategic Objectives and interaction with other GOOS actions</w:t>
      </w:r>
      <w:r w:rsidR="005B5174" w:rsidRPr="007525A8">
        <w:t xml:space="preserve"> will </w:t>
      </w:r>
      <w:r w:rsidR="00C72275" w:rsidRPr="007525A8">
        <w:t xml:space="preserve">also </w:t>
      </w:r>
      <w:r w:rsidR="005B5174" w:rsidRPr="007525A8">
        <w:t>develop. If funded, these programmes have the power to support major transformational initiatives for GOOS and the ocean observing community.</w:t>
      </w:r>
    </w:p>
    <w:p w14:paraId="4DE21BA1" w14:textId="169094A2" w:rsidR="00BB4185" w:rsidRPr="007525A8" w:rsidRDefault="00BB4185" w:rsidP="00B3423A">
      <w:pPr>
        <w:pStyle w:val="COI"/>
      </w:pPr>
      <w:r w:rsidRPr="007525A8">
        <w:t>This Executive Summary provides the Member States of the IOC Assembly with a high-level analysis of priorities for implementation and resource implications</w:t>
      </w:r>
      <w:r w:rsidR="000B2D6B" w:rsidRPr="007525A8">
        <w:t xml:space="preserve">. Implementation </w:t>
      </w:r>
      <w:r w:rsidRPr="007525A8">
        <w:t xml:space="preserve">will depend on resources provided through IOC, WMO, and through extrabudgetary and </w:t>
      </w:r>
      <w:r w:rsidR="000C58F2" w:rsidRPr="007525A8">
        <w:t>in-kind</w:t>
      </w:r>
      <w:r w:rsidRPr="007525A8">
        <w:t xml:space="preserve"> support that can be</w:t>
      </w:r>
      <w:r w:rsidR="0002051C" w:rsidRPr="007525A8">
        <w:t xml:space="preserve"> </w:t>
      </w:r>
      <w:r w:rsidR="005B5174" w:rsidRPr="007525A8">
        <w:t>identified</w:t>
      </w:r>
      <w:r w:rsidR="0002051C" w:rsidRPr="007525A8">
        <w:t xml:space="preserve"> </w:t>
      </w:r>
      <w:r w:rsidR="005B5174" w:rsidRPr="007525A8">
        <w:t xml:space="preserve">with </w:t>
      </w:r>
      <w:r w:rsidR="0002051C" w:rsidRPr="007525A8">
        <w:t>Member States</w:t>
      </w:r>
      <w:r w:rsidR="000B2D6B" w:rsidRPr="007525A8">
        <w:t xml:space="preserve"> and partner organizations</w:t>
      </w:r>
      <w:r w:rsidRPr="007525A8">
        <w:t>.</w:t>
      </w:r>
    </w:p>
    <w:p w14:paraId="6B21461B" w14:textId="34C289DF" w:rsidR="003C64EB" w:rsidRPr="007525A8" w:rsidRDefault="0002051C" w:rsidP="005C7A36">
      <w:pPr>
        <w:pStyle w:val="Heading3"/>
      </w:pPr>
      <w:r w:rsidRPr="007525A8">
        <w:lastRenderedPageBreak/>
        <w:t>Actions viewed through GOOS Strategic Objectives</w:t>
      </w:r>
    </w:p>
    <w:p w14:paraId="06B8E052" w14:textId="33730FC5" w:rsidR="005B5174" w:rsidRPr="007525A8" w:rsidRDefault="005B5174" w:rsidP="00B3423A">
      <w:pPr>
        <w:pStyle w:val="COI"/>
      </w:pPr>
      <w:r w:rsidRPr="007525A8">
        <w:t xml:space="preserve">The following table lists the </w:t>
      </w:r>
      <w:r w:rsidRPr="002B7A3F">
        <w:t xml:space="preserve">58 Actions </w:t>
      </w:r>
      <w:r w:rsidRPr="007525A8">
        <w:t>in the Implementation Plan and their level (cross-GOOS major, multi-element, single element</w:t>
      </w:r>
      <w:r w:rsidR="00343EFA" w:rsidRPr="007525A8">
        <w:t>, and Ocean Decade programme</w:t>
      </w:r>
      <w:r w:rsidRPr="007525A8">
        <w:t>), organized by the eleven Strategic Objectives</w:t>
      </w:r>
      <w:r w:rsidR="00770E7F" w:rsidRPr="007525A8">
        <w:t xml:space="preserve"> (SOs)</w:t>
      </w:r>
      <w:r w:rsidRPr="007525A8">
        <w:t xml:space="preserve"> of GOOS.</w:t>
      </w:r>
    </w:p>
    <w:tbl>
      <w:tblPr>
        <w:tblStyle w:val="TableGrid"/>
        <w:tblW w:w="0" w:type="auto"/>
        <w:tblLayout w:type="fixed"/>
        <w:tblLook w:val="04A0" w:firstRow="1" w:lastRow="0" w:firstColumn="1" w:lastColumn="0" w:noHBand="0" w:noVBand="1"/>
      </w:tblPr>
      <w:tblGrid>
        <w:gridCol w:w="1129"/>
        <w:gridCol w:w="6663"/>
        <w:gridCol w:w="1836"/>
      </w:tblGrid>
      <w:tr w:rsidR="00343EFA" w:rsidRPr="006F399F" w14:paraId="2BA8253C" w14:textId="77777777" w:rsidTr="00C8507A">
        <w:trPr>
          <w:tblHeader/>
        </w:trPr>
        <w:tc>
          <w:tcPr>
            <w:tcW w:w="1129" w:type="dxa"/>
          </w:tcPr>
          <w:p w14:paraId="2EDFABD5" w14:textId="399AAE72" w:rsidR="00343EFA" w:rsidRPr="006F399F" w:rsidRDefault="00343EFA" w:rsidP="00B3423A">
            <w:pPr>
              <w:pStyle w:val="COI"/>
              <w:numPr>
                <w:ilvl w:val="0"/>
                <w:numId w:val="0"/>
              </w:numPr>
            </w:pPr>
            <w:r w:rsidRPr="006F399F">
              <w:t>Number</w:t>
            </w:r>
          </w:p>
        </w:tc>
        <w:tc>
          <w:tcPr>
            <w:tcW w:w="6663" w:type="dxa"/>
          </w:tcPr>
          <w:p w14:paraId="55CFC5CC" w14:textId="3A9AB833" w:rsidR="00343EFA" w:rsidRPr="006F399F" w:rsidRDefault="00343EFA" w:rsidP="00B3423A">
            <w:pPr>
              <w:pStyle w:val="COI"/>
              <w:numPr>
                <w:ilvl w:val="0"/>
                <w:numId w:val="0"/>
              </w:numPr>
            </w:pPr>
            <w:r w:rsidRPr="006F399F">
              <w:t>Action</w:t>
            </w:r>
          </w:p>
        </w:tc>
        <w:tc>
          <w:tcPr>
            <w:tcW w:w="1836" w:type="dxa"/>
          </w:tcPr>
          <w:p w14:paraId="1EE3FE86" w14:textId="5E39920F" w:rsidR="00343EFA" w:rsidRPr="006F399F" w:rsidRDefault="00343EFA" w:rsidP="00B3423A">
            <w:pPr>
              <w:pStyle w:val="COI"/>
              <w:numPr>
                <w:ilvl w:val="0"/>
                <w:numId w:val="0"/>
              </w:numPr>
            </w:pPr>
            <w:r w:rsidRPr="006F399F">
              <w:t>Level</w:t>
            </w:r>
          </w:p>
        </w:tc>
      </w:tr>
      <w:tr w:rsidR="00B6431D" w:rsidRPr="006F399F" w14:paraId="09B9D65C" w14:textId="77777777" w:rsidTr="00C8507A">
        <w:trPr>
          <w:tblHeader/>
        </w:trPr>
        <w:tc>
          <w:tcPr>
            <w:tcW w:w="9628" w:type="dxa"/>
            <w:gridSpan w:val="3"/>
            <w:shd w:val="clear" w:color="auto" w:fill="D9D9D9" w:themeFill="background1" w:themeFillShade="D9"/>
          </w:tcPr>
          <w:p w14:paraId="2D6152FF" w14:textId="69EA14D1" w:rsidR="00B6431D" w:rsidRPr="006F399F" w:rsidRDefault="00B6431D" w:rsidP="00B3423A">
            <w:pPr>
              <w:pStyle w:val="COI"/>
              <w:numPr>
                <w:ilvl w:val="0"/>
                <w:numId w:val="0"/>
              </w:numPr>
              <w:ind w:left="28"/>
            </w:pPr>
            <w:r w:rsidRPr="006F399F">
              <w:t>Goal: Deepening engagement and impact</w:t>
            </w:r>
          </w:p>
        </w:tc>
      </w:tr>
      <w:tr w:rsidR="00343EFA" w:rsidRPr="006F399F" w14:paraId="74BFF2DF" w14:textId="77777777" w:rsidTr="00770E7F">
        <w:tc>
          <w:tcPr>
            <w:tcW w:w="9628" w:type="dxa"/>
            <w:gridSpan w:val="3"/>
            <w:shd w:val="clear" w:color="auto" w:fill="F2F2F2" w:themeFill="background1" w:themeFillShade="F2"/>
          </w:tcPr>
          <w:p w14:paraId="7E4D40E8" w14:textId="2B627CF3" w:rsidR="00343EFA" w:rsidRPr="006F399F" w:rsidRDefault="00770E7F" w:rsidP="00B3423A">
            <w:pPr>
              <w:pStyle w:val="COI"/>
              <w:numPr>
                <w:ilvl w:val="0"/>
                <w:numId w:val="0"/>
              </w:numPr>
              <w:ind w:left="28"/>
            </w:pPr>
            <w:bookmarkStart w:id="0" w:name="SO_1"/>
            <w:r w:rsidRPr="006F399F">
              <w:rPr>
                <w:b/>
              </w:rPr>
              <w:t>SO</w:t>
            </w:r>
            <w:r w:rsidR="0031621C" w:rsidRPr="006F399F">
              <w:rPr>
                <w:b/>
              </w:rPr>
              <w:t>1</w:t>
            </w:r>
            <w:bookmarkEnd w:id="0"/>
            <w:r w:rsidR="0031621C" w:rsidRPr="006F399F">
              <w:t>. Strengthen partnerships to improve delivery of forecasts, services, and scientific assessments</w:t>
            </w:r>
          </w:p>
        </w:tc>
      </w:tr>
      <w:tr w:rsidR="0031621C" w:rsidRPr="006F399F" w14:paraId="345E42ED" w14:textId="77777777" w:rsidTr="0031621C">
        <w:trPr>
          <w:trHeight w:val="283"/>
        </w:trPr>
        <w:tc>
          <w:tcPr>
            <w:tcW w:w="1129" w:type="dxa"/>
            <w:noWrap/>
            <w:hideMark/>
          </w:tcPr>
          <w:p w14:paraId="2013B9C8"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1.1</w:t>
            </w:r>
          </w:p>
        </w:tc>
        <w:tc>
          <w:tcPr>
            <w:tcW w:w="6663" w:type="dxa"/>
            <w:noWrap/>
            <w:hideMark/>
          </w:tcPr>
          <w:p w14:paraId="2FCAF98F"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GRA assessment for forecasts and services</w:t>
            </w:r>
          </w:p>
        </w:tc>
        <w:tc>
          <w:tcPr>
            <w:tcW w:w="1836" w:type="dxa"/>
            <w:hideMark/>
          </w:tcPr>
          <w:p w14:paraId="18D4BCDE" w14:textId="2B6ED7A7"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43EFA" w:rsidRPr="00C8507A">
              <w:rPr>
                <w:rFonts w:asciiTheme="minorBidi" w:hAnsiTheme="minorBidi" w:cstheme="minorBidi"/>
                <w:bCs/>
                <w:snapToGrid/>
                <w:szCs w:val="22"/>
              </w:rPr>
              <w:t xml:space="preserve"> element</w:t>
            </w:r>
          </w:p>
        </w:tc>
      </w:tr>
      <w:tr w:rsidR="0031621C" w:rsidRPr="006F399F" w14:paraId="78A556EA" w14:textId="77777777" w:rsidTr="0031621C">
        <w:trPr>
          <w:trHeight w:val="283"/>
        </w:trPr>
        <w:tc>
          <w:tcPr>
            <w:tcW w:w="1129" w:type="dxa"/>
            <w:noWrap/>
            <w:hideMark/>
          </w:tcPr>
          <w:p w14:paraId="1F3A535E"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1.2</w:t>
            </w:r>
          </w:p>
        </w:tc>
        <w:tc>
          <w:tcPr>
            <w:tcW w:w="6663" w:type="dxa"/>
            <w:noWrap/>
            <w:hideMark/>
          </w:tcPr>
          <w:p w14:paraId="1B9D0BC0"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Partnerships for delivery</w:t>
            </w:r>
          </w:p>
        </w:tc>
        <w:tc>
          <w:tcPr>
            <w:tcW w:w="1836" w:type="dxa"/>
            <w:hideMark/>
          </w:tcPr>
          <w:p w14:paraId="72D88CFA" w14:textId="11DF418A"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r w:rsidR="00343EFA" w:rsidRPr="006F399F" w14:paraId="38C1813D" w14:textId="77777777" w:rsidTr="00770E7F">
        <w:trPr>
          <w:trHeight w:val="283"/>
        </w:trPr>
        <w:tc>
          <w:tcPr>
            <w:tcW w:w="9628" w:type="dxa"/>
            <w:gridSpan w:val="3"/>
            <w:shd w:val="clear" w:color="auto" w:fill="F2F2F2" w:themeFill="background1" w:themeFillShade="F2"/>
            <w:noWrap/>
          </w:tcPr>
          <w:p w14:paraId="465151F2" w14:textId="0AB0196E" w:rsidR="00343EFA" w:rsidRPr="00C8507A" w:rsidRDefault="00770E7F" w:rsidP="00343EFA">
            <w:pPr>
              <w:tabs>
                <w:tab w:val="clear" w:pos="567"/>
              </w:tabs>
              <w:snapToGrid/>
              <w:rPr>
                <w:rFonts w:asciiTheme="minorBidi" w:hAnsiTheme="minorBidi" w:cstheme="minorBidi"/>
                <w:bCs/>
                <w:snapToGrid/>
                <w:szCs w:val="22"/>
              </w:rPr>
            </w:pPr>
            <w:bookmarkStart w:id="1" w:name="SO_2"/>
            <w:r w:rsidRPr="00C8507A">
              <w:rPr>
                <w:rFonts w:asciiTheme="minorBidi" w:hAnsiTheme="minorBidi" w:cstheme="minorBidi"/>
                <w:b/>
                <w:snapToGrid/>
                <w:szCs w:val="22"/>
              </w:rPr>
              <w:t>SO2</w:t>
            </w:r>
            <w:r w:rsidRPr="00C8507A">
              <w:rPr>
                <w:rFonts w:asciiTheme="minorBidi" w:hAnsiTheme="minorBidi" w:cstheme="minorBidi"/>
                <w:bCs/>
                <w:snapToGrid/>
                <w:szCs w:val="22"/>
              </w:rPr>
              <w:t xml:space="preserve">: </w:t>
            </w:r>
            <w:bookmarkEnd w:id="1"/>
            <w:r w:rsidRPr="00C8507A">
              <w:rPr>
                <w:rFonts w:asciiTheme="minorBidi" w:hAnsiTheme="minorBidi" w:cstheme="minorBidi"/>
                <w:bCs/>
                <w:snapToGrid/>
                <w:szCs w:val="22"/>
              </w:rPr>
              <w:t>Build advocacy and visibility with stakeholders through communicating with key users and national funders</w:t>
            </w:r>
          </w:p>
        </w:tc>
      </w:tr>
      <w:tr w:rsidR="0031621C" w:rsidRPr="006F399F" w14:paraId="61B5D9BF" w14:textId="77777777" w:rsidTr="0031621C">
        <w:trPr>
          <w:trHeight w:val="283"/>
        </w:trPr>
        <w:tc>
          <w:tcPr>
            <w:tcW w:w="1129" w:type="dxa"/>
            <w:noWrap/>
            <w:hideMark/>
          </w:tcPr>
          <w:p w14:paraId="7A045833"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2.1</w:t>
            </w:r>
          </w:p>
        </w:tc>
        <w:tc>
          <w:tcPr>
            <w:tcW w:w="6663" w:type="dxa"/>
            <w:noWrap/>
            <w:hideMark/>
          </w:tcPr>
          <w:p w14:paraId="13B88CD9"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Value of Ocean Observations Project</w:t>
            </w:r>
          </w:p>
        </w:tc>
        <w:tc>
          <w:tcPr>
            <w:tcW w:w="1836" w:type="dxa"/>
            <w:hideMark/>
          </w:tcPr>
          <w:p w14:paraId="2A001F19" w14:textId="7A4DAC6C"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649068AB" w14:textId="77777777" w:rsidTr="0031621C">
        <w:trPr>
          <w:trHeight w:val="283"/>
        </w:trPr>
        <w:tc>
          <w:tcPr>
            <w:tcW w:w="1129" w:type="dxa"/>
            <w:noWrap/>
            <w:hideMark/>
          </w:tcPr>
          <w:p w14:paraId="186F6229"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2.2</w:t>
            </w:r>
          </w:p>
        </w:tc>
        <w:tc>
          <w:tcPr>
            <w:tcW w:w="6663" w:type="dxa"/>
            <w:noWrap/>
            <w:hideMark/>
          </w:tcPr>
          <w:p w14:paraId="04157658"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GOOS Communications Plan</w:t>
            </w:r>
          </w:p>
        </w:tc>
        <w:tc>
          <w:tcPr>
            <w:tcW w:w="1836" w:type="dxa"/>
            <w:hideMark/>
          </w:tcPr>
          <w:p w14:paraId="4669D154" w14:textId="445BFF12"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r w:rsidR="0031621C" w:rsidRPr="006F399F" w14:paraId="197F2BB6" w14:textId="77777777" w:rsidTr="0031621C">
        <w:trPr>
          <w:trHeight w:val="283"/>
        </w:trPr>
        <w:tc>
          <w:tcPr>
            <w:tcW w:w="1129" w:type="dxa"/>
            <w:noWrap/>
            <w:hideMark/>
          </w:tcPr>
          <w:p w14:paraId="130C4A35"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2.3</w:t>
            </w:r>
          </w:p>
        </w:tc>
        <w:tc>
          <w:tcPr>
            <w:tcW w:w="6663" w:type="dxa"/>
            <w:noWrap/>
            <w:hideMark/>
          </w:tcPr>
          <w:p w14:paraId="59877DD0"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GOOS National Focal Point role developed</w:t>
            </w:r>
          </w:p>
        </w:tc>
        <w:tc>
          <w:tcPr>
            <w:tcW w:w="1836" w:type="dxa"/>
            <w:hideMark/>
          </w:tcPr>
          <w:p w14:paraId="3DF274FF" w14:textId="1494CA1B"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r w:rsidR="0031621C" w:rsidRPr="006F399F" w14:paraId="5408CE20" w14:textId="77777777" w:rsidTr="0031621C">
        <w:trPr>
          <w:trHeight w:val="283"/>
        </w:trPr>
        <w:tc>
          <w:tcPr>
            <w:tcW w:w="1129" w:type="dxa"/>
            <w:noWrap/>
            <w:hideMark/>
          </w:tcPr>
          <w:p w14:paraId="3EBCAD20"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2.4</w:t>
            </w:r>
          </w:p>
        </w:tc>
        <w:tc>
          <w:tcPr>
            <w:tcW w:w="6663" w:type="dxa"/>
            <w:noWrap/>
            <w:hideMark/>
          </w:tcPr>
          <w:p w14:paraId="674A6D74"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Evolve </w:t>
            </w:r>
            <w:r w:rsidRPr="00C8507A">
              <w:rPr>
                <w:rFonts w:asciiTheme="minorBidi" w:hAnsiTheme="minorBidi" w:cstheme="minorBidi"/>
                <w:bCs/>
                <w:i/>
                <w:iCs/>
                <w:snapToGrid/>
                <w:szCs w:val="22"/>
              </w:rPr>
              <w:t>Ocean Observing System Report Card</w:t>
            </w:r>
          </w:p>
        </w:tc>
        <w:tc>
          <w:tcPr>
            <w:tcW w:w="1836" w:type="dxa"/>
            <w:hideMark/>
          </w:tcPr>
          <w:p w14:paraId="2D55EA43" w14:textId="26D1A44B"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r w:rsidR="00343EFA" w:rsidRPr="006F399F" w14:paraId="6D3E58DB" w14:textId="77777777" w:rsidTr="00770E7F">
        <w:trPr>
          <w:trHeight w:val="283"/>
        </w:trPr>
        <w:tc>
          <w:tcPr>
            <w:tcW w:w="9628" w:type="dxa"/>
            <w:gridSpan w:val="3"/>
            <w:shd w:val="clear" w:color="auto" w:fill="F2F2F2" w:themeFill="background1" w:themeFillShade="F2"/>
            <w:noWrap/>
          </w:tcPr>
          <w:p w14:paraId="68C51EE0" w14:textId="23BACAF2" w:rsidR="00343EFA" w:rsidRPr="00C8507A" w:rsidRDefault="00770E7F" w:rsidP="00343EFA">
            <w:pPr>
              <w:tabs>
                <w:tab w:val="clear" w:pos="567"/>
              </w:tabs>
              <w:snapToGrid/>
              <w:rPr>
                <w:rFonts w:asciiTheme="minorBidi" w:hAnsiTheme="minorBidi" w:cstheme="minorBidi"/>
                <w:bCs/>
                <w:snapToGrid/>
                <w:szCs w:val="22"/>
              </w:rPr>
            </w:pPr>
            <w:bookmarkStart w:id="2" w:name="SO_3"/>
            <w:r w:rsidRPr="00C8507A">
              <w:rPr>
                <w:rFonts w:asciiTheme="minorBidi" w:hAnsiTheme="minorBidi" w:cstheme="minorBidi"/>
                <w:bCs/>
                <w:snapToGrid/>
                <w:szCs w:val="22"/>
              </w:rPr>
              <w:t>SO3</w:t>
            </w:r>
            <w:bookmarkEnd w:id="2"/>
            <w:r w:rsidRPr="00C8507A">
              <w:rPr>
                <w:rFonts w:asciiTheme="minorBidi" w:hAnsiTheme="minorBidi" w:cstheme="minorBidi"/>
                <w:b/>
                <w:snapToGrid/>
                <w:szCs w:val="22"/>
              </w:rPr>
              <w:t>:</w:t>
            </w:r>
            <w:r w:rsidRPr="00C8507A">
              <w:rPr>
                <w:rFonts w:asciiTheme="minorBidi" w:hAnsiTheme="minorBidi" w:cstheme="minorBidi"/>
                <w:bCs/>
                <w:snapToGrid/>
                <w:szCs w:val="22"/>
              </w:rPr>
              <w:t xml:space="preserve"> Regularly evaluate system impact to assess fit for purpose</w:t>
            </w:r>
          </w:p>
        </w:tc>
      </w:tr>
      <w:tr w:rsidR="0031621C" w:rsidRPr="006F399F" w14:paraId="2D46AECE" w14:textId="77777777" w:rsidTr="0031621C">
        <w:trPr>
          <w:trHeight w:val="283"/>
        </w:trPr>
        <w:tc>
          <w:tcPr>
            <w:tcW w:w="1129" w:type="dxa"/>
            <w:noWrap/>
            <w:hideMark/>
          </w:tcPr>
          <w:p w14:paraId="70D88DE5"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3.1</w:t>
            </w:r>
          </w:p>
        </w:tc>
        <w:tc>
          <w:tcPr>
            <w:tcW w:w="6663" w:type="dxa"/>
            <w:noWrap/>
            <w:hideMark/>
          </w:tcPr>
          <w:p w14:paraId="3EC87617"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Network status reporting</w:t>
            </w:r>
          </w:p>
        </w:tc>
        <w:tc>
          <w:tcPr>
            <w:tcW w:w="1836" w:type="dxa"/>
            <w:hideMark/>
          </w:tcPr>
          <w:p w14:paraId="2B67196A"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555C3240" w14:textId="77777777" w:rsidTr="0031621C">
        <w:trPr>
          <w:trHeight w:val="283"/>
        </w:trPr>
        <w:tc>
          <w:tcPr>
            <w:tcW w:w="1129" w:type="dxa"/>
            <w:noWrap/>
            <w:hideMark/>
          </w:tcPr>
          <w:p w14:paraId="0BACF0A0"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3.2</w:t>
            </w:r>
          </w:p>
        </w:tc>
        <w:tc>
          <w:tcPr>
            <w:tcW w:w="6663" w:type="dxa"/>
            <w:noWrap/>
            <w:hideMark/>
          </w:tcPr>
          <w:p w14:paraId="0497F129"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Observing System evaluation and metrics</w:t>
            </w:r>
          </w:p>
        </w:tc>
        <w:tc>
          <w:tcPr>
            <w:tcW w:w="1836" w:type="dxa"/>
            <w:hideMark/>
          </w:tcPr>
          <w:p w14:paraId="540B6CDD" w14:textId="20DD1434"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r w:rsidR="0031621C" w:rsidRPr="006F399F" w14:paraId="57DEB499" w14:textId="77777777" w:rsidTr="0031621C">
        <w:trPr>
          <w:trHeight w:val="283"/>
        </w:trPr>
        <w:tc>
          <w:tcPr>
            <w:tcW w:w="1129" w:type="dxa"/>
            <w:noWrap/>
            <w:hideMark/>
          </w:tcPr>
          <w:p w14:paraId="4D00A488"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3.3</w:t>
            </w:r>
          </w:p>
        </w:tc>
        <w:tc>
          <w:tcPr>
            <w:tcW w:w="6663" w:type="dxa"/>
            <w:noWrap/>
            <w:hideMark/>
          </w:tcPr>
          <w:p w14:paraId="2CB4C2BC"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Ocean Forecast evaluation and metrics</w:t>
            </w:r>
          </w:p>
        </w:tc>
        <w:tc>
          <w:tcPr>
            <w:tcW w:w="1836" w:type="dxa"/>
            <w:hideMark/>
          </w:tcPr>
          <w:p w14:paraId="2D9F6B28"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 Element</w:t>
            </w:r>
          </w:p>
        </w:tc>
      </w:tr>
      <w:tr w:rsidR="0031621C" w:rsidRPr="006F399F" w14:paraId="07101BAF" w14:textId="77777777" w:rsidTr="0031621C">
        <w:trPr>
          <w:trHeight w:val="283"/>
        </w:trPr>
        <w:tc>
          <w:tcPr>
            <w:tcW w:w="1129" w:type="dxa"/>
            <w:noWrap/>
            <w:hideMark/>
          </w:tcPr>
          <w:p w14:paraId="15C32DF9"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3.4</w:t>
            </w:r>
          </w:p>
        </w:tc>
        <w:tc>
          <w:tcPr>
            <w:tcW w:w="6663" w:type="dxa"/>
            <w:noWrap/>
            <w:hideMark/>
          </w:tcPr>
          <w:p w14:paraId="7BC75B81"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Global map of ocean forecasting systems</w:t>
            </w:r>
          </w:p>
        </w:tc>
        <w:tc>
          <w:tcPr>
            <w:tcW w:w="1836" w:type="dxa"/>
            <w:hideMark/>
          </w:tcPr>
          <w:p w14:paraId="2A0E70F4"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 Element</w:t>
            </w:r>
          </w:p>
        </w:tc>
      </w:tr>
      <w:tr w:rsidR="0031621C" w:rsidRPr="006F399F" w14:paraId="5E0EE005" w14:textId="77777777" w:rsidTr="0031621C">
        <w:trPr>
          <w:trHeight w:val="283"/>
        </w:trPr>
        <w:tc>
          <w:tcPr>
            <w:tcW w:w="1129" w:type="dxa"/>
            <w:noWrap/>
            <w:hideMark/>
          </w:tcPr>
          <w:p w14:paraId="1002B04A"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3.5</w:t>
            </w:r>
          </w:p>
        </w:tc>
        <w:tc>
          <w:tcPr>
            <w:tcW w:w="6663" w:type="dxa"/>
            <w:noWrap/>
            <w:hideMark/>
          </w:tcPr>
          <w:p w14:paraId="5231C4B3"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Develop an interactive map of networks and metadata for biological monitoring</w:t>
            </w:r>
          </w:p>
        </w:tc>
        <w:tc>
          <w:tcPr>
            <w:tcW w:w="1836" w:type="dxa"/>
            <w:hideMark/>
          </w:tcPr>
          <w:p w14:paraId="5A53DB3F"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1517706B" w14:textId="77777777" w:rsidTr="0031621C">
        <w:trPr>
          <w:trHeight w:val="283"/>
        </w:trPr>
        <w:tc>
          <w:tcPr>
            <w:tcW w:w="1129" w:type="dxa"/>
            <w:noWrap/>
            <w:hideMark/>
          </w:tcPr>
          <w:p w14:paraId="7BB4FB60"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3.6</w:t>
            </w:r>
          </w:p>
        </w:tc>
        <w:tc>
          <w:tcPr>
            <w:tcW w:w="6663" w:type="dxa"/>
            <w:noWrap/>
            <w:hideMark/>
          </w:tcPr>
          <w:p w14:paraId="691C90BA"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Global Ocean Indicators Framework</w:t>
            </w:r>
          </w:p>
        </w:tc>
        <w:tc>
          <w:tcPr>
            <w:tcW w:w="1836" w:type="dxa"/>
            <w:hideMark/>
          </w:tcPr>
          <w:p w14:paraId="07E91D58" w14:textId="70B2BE20"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r w:rsidR="0031621C" w:rsidRPr="006F399F" w14:paraId="1BA24C54" w14:textId="77777777" w:rsidTr="0031621C">
        <w:trPr>
          <w:trHeight w:val="283"/>
        </w:trPr>
        <w:tc>
          <w:tcPr>
            <w:tcW w:w="1129" w:type="dxa"/>
            <w:noWrap/>
            <w:hideMark/>
          </w:tcPr>
          <w:p w14:paraId="3F407C3B"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3.7</w:t>
            </w:r>
          </w:p>
        </w:tc>
        <w:tc>
          <w:tcPr>
            <w:tcW w:w="6663" w:type="dxa"/>
            <w:noWrap/>
            <w:hideMark/>
          </w:tcPr>
          <w:p w14:paraId="27EAC897" w14:textId="74EA61D7" w:rsidR="00343EFA" w:rsidRPr="00C8507A" w:rsidRDefault="00770E7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Ocean Observing</w:t>
            </w:r>
            <w:r w:rsidR="00343EFA" w:rsidRPr="00C8507A">
              <w:rPr>
                <w:rFonts w:asciiTheme="minorBidi" w:hAnsiTheme="minorBidi" w:cstheme="minorBidi"/>
                <w:bCs/>
                <w:snapToGrid/>
                <w:szCs w:val="22"/>
              </w:rPr>
              <w:t xml:space="preserve"> Co-Design </w:t>
            </w:r>
          </w:p>
        </w:tc>
        <w:tc>
          <w:tcPr>
            <w:tcW w:w="1836" w:type="dxa"/>
            <w:hideMark/>
          </w:tcPr>
          <w:p w14:paraId="751E0492" w14:textId="78490606"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Decade</w:t>
            </w:r>
            <w:r w:rsidR="00A93CB3" w:rsidRPr="00C8507A">
              <w:rPr>
                <w:rFonts w:asciiTheme="minorBidi" w:hAnsiTheme="minorBidi" w:cstheme="minorBidi"/>
                <w:bCs/>
                <w:snapToGrid/>
                <w:szCs w:val="22"/>
              </w:rPr>
              <w:t xml:space="preserve"> Prog.</w:t>
            </w:r>
          </w:p>
        </w:tc>
      </w:tr>
      <w:tr w:rsidR="00770E7F" w:rsidRPr="006F399F" w14:paraId="3455E188" w14:textId="77777777" w:rsidTr="00770E7F">
        <w:trPr>
          <w:trHeight w:val="283"/>
        </w:trPr>
        <w:tc>
          <w:tcPr>
            <w:tcW w:w="9628" w:type="dxa"/>
            <w:gridSpan w:val="3"/>
            <w:shd w:val="clear" w:color="auto" w:fill="F2F2F2" w:themeFill="background1" w:themeFillShade="F2"/>
            <w:noWrap/>
          </w:tcPr>
          <w:p w14:paraId="4AE0FCFA" w14:textId="1C05685E" w:rsidR="00770E7F" w:rsidRPr="00C8507A" w:rsidRDefault="00770E7F" w:rsidP="00343EFA">
            <w:pPr>
              <w:tabs>
                <w:tab w:val="clear" w:pos="567"/>
              </w:tabs>
              <w:snapToGrid/>
              <w:rPr>
                <w:rFonts w:asciiTheme="minorBidi" w:hAnsiTheme="minorBidi" w:cstheme="minorBidi"/>
                <w:bCs/>
                <w:snapToGrid/>
                <w:szCs w:val="22"/>
              </w:rPr>
            </w:pPr>
            <w:bookmarkStart w:id="3" w:name="SO_4"/>
            <w:r w:rsidRPr="00C8507A">
              <w:rPr>
                <w:rFonts w:asciiTheme="minorBidi" w:hAnsiTheme="minorBidi" w:cstheme="minorBidi"/>
                <w:bCs/>
                <w:snapToGrid/>
                <w:szCs w:val="22"/>
              </w:rPr>
              <w:t>SO4</w:t>
            </w:r>
            <w:bookmarkEnd w:id="3"/>
            <w:r w:rsidRPr="00C8507A">
              <w:rPr>
                <w:rFonts w:asciiTheme="minorBidi" w:hAnsiTheme="minorBidi" w:cstheme="minorBidi"/>
                <w:bCs/>
                <w:snapToGrid/>
                <w:szCs w:val="22"/>
              </w:rPr>
              <w:t>: Strengthen knowledge and exchange around services and products, to boost local uptake</w:t>
            </w:r>
          </w:p>
        </w:tc>
      </w:tr>
      <w:tr w:rsidR="0031621C" w:rsidRPr="006F399F" w14:paraId="0223BB7C" w14:textId="77777777" w:rsidTr="0031621C">
        <w:trPr>
          <w:trHeight w:val="283"/>
        </w:trPr>
        <w:tc>
          <w:tcPr>
            <w:tcW w:w="1129" w:type="dxa"/>
            <w:noWrap/>
            <w:hideMark/>
          </w:tcPr>
          <w:p w14:paraId="3C56EC96"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4.1</w:t>
            </w:r>
          </w:p>
        </w:tc>
        <w:tc>
          <w:tcPr>
            <w:tcW w:w="6663" w:type="dxa"/>
            <w:noWrap/>
            <w:hideMark/>
          </w:tcPr>
          <w:p w14:paraId="6DBF0790"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Toolkit/Guide on Operational Ocean and Monitoring and Forecasting Systems</w:t>
            </w:r>
          </w:p>
        </w:tc>
        <w:tc>
          <w:tcPr>
            <w:tcW w:w="1836" w:type="dxa"/>
            <w:hideMark/>
          </w:tcPr>
          <w:p w14:paraId="54920DAE" w14:textId="3454C8B8"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22812E25" w14:textId="77777777" w:rsidTr="0031621C">
        <w:trPr>
          <w:trHeight w:val="283"/>
        </w:trPr>
        <w:tc>
          <w:tcPr>
            <w:tcW w:w="1129" w:type="dxa"/>
            <w:noWrap/>
            <w:hideMark/>
          </w:tcPr>
          <w:p w14:paraId="2FDC2D69"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4.2</w:t>
            </w:r>
          </w:p>
        </w:tc>
        <w:tc>
          <w:tcPr>
            <w:tcW w:w="6663" w:type="dxa"/>
            <w:noWrap/>
            <w:hideMark/>
          </w:tcPr>
          <w:p w14:paraId="2CC6D2D0"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Data Integration Products Across GRAs</w:t>
            </w:r>
          </w:p>
        </w:tc>
        <w:tc>
          <w:tcPr>
            <w:tcW w:w="1836" w:type="dxa"/>
            <w:hideMark/>
          </w:tcPr>
          <w:p w14:paraId="629252D9" w14:textId="33A50878"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32812122" w14:textId="77777777" w:rsidTr="0031621C">
        <w:trPr>
          <w:trHeight w:val="283"/>
        </w:trPr>
        <w:tc>
          <w:tcPr>
            <w:tcW w:w="1129" w:type="dxa"/>
            <w:noWrap/>
            <w:hideMark/>
          </w:tcPr>
          <w:p w14:paraId="50D3F6B7"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4.3</w:t>
            </w:r>
          </w:p>
        </w:tc>
        <w:tc>
          <w:tcPr>
            <w:tcW w:w="6663" w:type="dxa"/>
            <w:noWrap/>
            <w:hideMark/>
          </w:tcPr>
          <w:p w14:paraId="6EACA9F0"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 Establish and promote a GOOS product and services portfolio for Ocean Forecasting centres</w:t>
            </w:r>
          </w:p>
        </w:tc>
        <w:tc>
          <w:tcPr>
            <w:tcW w:w="1836" w:type="dxa"/>
            <w:hideMark/>
          </w:tcPr>
          <w:p w14:paraId="710045C2"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B6431D" w:rsidRPr="006F399F" w14:paraId="1DAD9FE9" w14:textId="77777777" w:rsidTr="00B6431D">
        <w:trPr>
          <w:trHeight w:val="283"/>
        </w:trPr>
        <w:tc>
          <w:tcPr>
            <w:tcW w:w="9628" w:type="dxa"/>
            <w:gridSpan w:val="3"/>
            <w:shd w:val="clear" w:color="auto" w:fill="D9D9D9" w:themeFill="background1" w:themeFillShade="D9"/>
            <w:noWrap/>
          </w:tcPr>
          <w:p w14:paraId="734448E6" w14:textId="15197FA3" w:rsidR="00B6431D" w:rsidRPr="00C8507A" w:rsidRDefault="00B6431D" w:rsidP="00343EFA">
            <w:pPr>
              <w:tabs>
                <w:tab w:val="clear" w:pos="567"/>
              </w:tabs>
              <w:snapToGrid/>
              <w:rPr>
                <w:rFonts w:asciiTheme="minorBidi" w:hAnsiTheme="minorBidi" w:cstheme="minorBidi"/>
                <w:b/>
                <w:snapToGrid/>
                <w:szCs w:val="22"/>
              </w:rPr>
            </w:pPr>
            <w:r w:rsidRPr="00C8507A">
              <w:rPr>
                <w:rFonts w:asciiTheme="minorBidi" w:hAnsiTheme="minorBidi" w:cstheme="minorBidi"/>
                <w:b/>
                <w:snapToGrid/>
                <w:szCs w:val="22"/>
              </w:rPr>
              <w:t>Goal: Supporting integration and delivery</w:t>
            </w:r>
          </w:p>
        </w:tc>
      </w:tr>
      <w:tr w:rsidR="00770E7F" w:rsidRPr="006F399F" w14:paraId="188E5646" w14:textId="77777777" w:rsidTr="00770E7F">
        <w:trPr>
          <w:trHeight w:val="283"/>
        </w:trPr>
        <w:tc>
          <w:tcPr>
            <w:tcW w:w="9628" w:type="dxa"/>
            <w:gridSpan w:val="3"/>
            <w:shd w:val="clear" w:color="auto" w:fill="F2F2F2" w:themeFill="background1" w:themeFillShade="F2"/>
            <w:noWrap/>
          </w:tcPr>
          <w:p w14:paraId="1B90AECB" w14:textId="07B37585" w:rsidR="00770E7F" w:rsidRPr="00C8507A" w:rsidRDefault="00770E7F" w:rsidP="00343EFA">
            <w:pPr>
              <w:tabs>
                <w:tab w:val="clear" w:pos="567"/>
              </w:tabs>
              <w:snapToGrid/>
              <w:rPr>
                <w:rFonts w:asciiTheme="minorBidi" w:hAnsiTheme="minorBidi" w:cstheme="minorBidi"/>
                <w:bCs/>
                <w:snapToGrid/>
                <w:szCs w:val="22"/>
              </w:rPr>
            </w:pPr>
            <w:bookmarkStart w:id="4" w:name="SO_5"/>
            <w:r w:rsidRPr="00C8507A">
              <w:rPr>
                <w:rFonts w:asciiTheme="minorBidi" w:hAnsiTheme="minorBidi" w:cstheme="minorBidi"/>
                <w:bCs/>
                <w:snapToGrid/>
                <w:szCs w:val="22"/>
              </w:rPr>
              <w:t>SO5</w:t>
            </w:r>
            <w:bookmarkEnd w:id="4"/>
            <w:r w:rsidRPr="00C8507A">
              <w:rPr>
                <w:rFonts w:asciiTheme="minorBidi" w:hAnsiTheme="minorBidi" w:cstheme="minorBidi"/>
                <w:bCs/>
                <w:snapToGrid/>
                <w:szCs w:val="22"/>
              </w:rPr>
              <w:t>: Provide authoritative guidance on integrated observing system design, synthesizing across evolving requirements and identifying gaps</w:t>
            </w:r>
          </w:p>
        </w:tc>
      </w:tr>
      <w:tr w:rsidR="0031621C" w:rsidRPr="006F399F" w14:paraId="0FCD276A" w14:textId="77777777" w:rsidTr="0031621C">
        <w:trPr>
          <w:trHeight w:val="283"/>
        </w:trPr>
        <w:tc>
          <w:tcPr>
            <w:tcW w:w="1129" w:type="dxa"/>
            <w:noWrap/>
            <w:hideMark/>
          </w:tcPr>
          <w:p w14:paraId="1EE0E05B"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5.1</w:t>
            </w:r>
          </w:p>
        </w:tc>
        <w:tc>
          <w:tcPr>
            <w:tcW w:w="6663" w:type="dxa"/>
            <w:noWrap/>
            <w:hideMark/>
          </w:tcPr>
          <w:p w14:paraId="340BD615" w14:textId="74BCA514"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Essential Ocean</w:t>
            </w:r>
            <w:r w:rsidR="007525A8" w:rsidRPr="00C8507A">
              <w:rPr>
                <w:rFonts w:asciiTheme="minorBidi" w:hAnsiTheme="minorBidi" w:cstheme="minorBidi"/>
                <w:bCs/>
                <w:snapToGrid/>
                <w:szCs w:val="22"/>
              </w:rPr>
              <w:t xml:space="preserve"> Variable (EOV)</w:t>
            </w:r>
            <w:r w:rsidRPr="00C8507A">
              <w:rPr>
                <w:rFonts w:asciiTheme="minorBidi" w:hAnsiTheme="minorBidi" w:cstheme="minorBidi"/>
                <w:bCs/>
                <w:snapToGrid/>
                <w:szCs w:val="22"/>
              </w:rPr>
              <w:t xml:space="preserve"> / </w:t>
            </w:r>
            <w:r w:rsidR="007525A8" w:rsidRPr="00C8507A">
              <w:rPr>
                <w:rFonts w:asciiTheme="minorBidi" w:hAnsiTheme="minorBidi" w:cstheme="minorBidi"/>
                <w:bCs/>
                <w:snapToGrid/>
                <w:szCs w:val="22"/>
              </w:rPr>
              <w:t xml:space="preserve">Essential </w:t>
            </w:r>
            <w:r w:rsidRPr="00C8507A">
              <w:rPr>
                <w:rFonts w:asciiTheme="minorBidi" w:hAnsiTheme="minorBidi" w:cstheme="minorBidi"/>
                <w:bCs/>
                <w:snapToGrid/>
                <w:szCs w:val="22"/>
              </w:rPr>
              <w:t>Climate Variable</w:t>
            </w:r>
            <w:r w:rsidR="007525A8" w:rsidRPr="00C8507A">
              <w:rPr>
                <w:rFonts w:asciiTheme="minorBidi" w:hAnsiTheme="minorBidi" w:cstheme="minorBidi"/>
                <w:bCs/>
                <w:snapToGrid/>
                <w:szCs w:val="22"/>
              </w:rPr>
              <w:t xml:space="preserve"> (ECV) </w:t>
            </w:r>
            <w:r w:rsidRPr="00C8507A">
              <w:rPr>
                <w:rFonts w:asciiTheme="minorBidi" w:hAnsiTheme="minorBidi" w:cstheme="minorBidi"/>
                <w:bCs/>
                <w:snapToGrid/>
                <w:szCs w:val="22"/>
              </w:rPr>
              <w:t>Stewardship &amp; GCOS</w:t>
            </w:r>
          </w:p>
        </w:tc>
        <w:tc>
          <w:tcPr>
            <w:tcW w:w="1836" w:type="dxa"/>
            <w:hideMark/>
          </w:tcPr>
          <w:p w14:paraId="4520A0FF"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2F942CA7" w14:textId="77777777" w:rsidTr="0031621C">
        <w:trPr>
          <w:trHeight w:val="283"/>
        </w:trPr>
        <w:tc>
          <w:tcPr>
            <w:tcW w:w="1129" w:type="dxa"/>
            <w:noWrap/>
            <w:hideMark/>
          </w:tcPr>
          <w:p w14:paraId="4C6DB9A4"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5.2</w:t>
            </w:r>
          </w:p>
        </w:tc>
        <w:tc>
          <w:tcPr>
            <w:tcW w:w="6663" w:type="dxa"/>
            <w:noWrap/>
            <w:hideMark/>
          </w:tcPr>
          <w:p w14:paraId="2877A1E5"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GOOS EOV Review</w:t>
            </w:r>
          </w:p>
        </w:tc>
        <w:tc>
          <w:tcPr>
            <w:tcW w:w="1836" w:type="dxa"/>
            <w:hideMark/>
          </w:tcPr>
          <w:p w14:paraId="108A9574"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1B7E939E" w14:textId="77777777" w:rsidTr="0031621C">
        <w:trPr>
          <w:trHeight w:val="283"/>
        </w:trPr>
        <w:tc>
          <w:tcPr>
            <w:tcW w:w="1129" w:type="dxa"/>
            <w:noWrap/>
            <w:hideMark/>
          </w:tcPr>
          <w:p w14:paraId="6281CE45"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5.3</w:t>
            </w:r>
          </w:p>
        </w:tc>
        <w:tc>
          <w:tcPr>
            <w:tcW w:w="6663" w:type="dxa"/>
            <w:noWrap/>
            <w:hideMark/>
          </w:tcPr>
          <w:p w14:paraId="28D31179"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Observing System Evaluation and Reviews</w:t>
            </w:r>
          </w:p>
        </w:tc>
        <w:tc>
          <w:tcPr>
            <w:tcW w:w="1836" w:type="dxa"/>
            <w:hideMark/>
          </w:tcPr>
          <w:p w14:paraId="445211B8"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w:t>
            </w:r>
          </w:p>
        </w:tc>
      </w:tr>
      <w:tr w:rsidR="0031621C" w:rsidRPr="006F399F" w14:paraId="5F010AAE" w14:textId="77777777" w:rsidTr="0031621C">
        <w:trPr>
          <w:trHeight w:val="283"/>
        </w:trPr>
        <w:tc>
          <w:tcPr>
            <w:tcW w:w="1129" w:type="dxa"/>
            <w:vMerge w:val="restart"/>
            <w:noWrap/>
            <w:hideMark/>
          </w:tcPr>
          <w:p w14:paraId="61F1CAB8"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w:t>
            </w:r>
          </w:p>
        </w:tc>
        <w:tc>
          <w:tcPr>
            <w:tcW w:w="6663" w:type="dxa"/>
            <w:noWrap/>
            <w:hideMark/>
          </w:tcPr>
          <w:p w14:paraId="13FAE923"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5.3.1 Strategy for Ocean Heat and Freshwater Cycles</w:t>
            </w:r>
          </w:p>
        </w:tc>
        <w:tc>
          <w:tcPr>
            <w:tcW w:w="1836" w:type="dxa"/>
            <w:hideMark/>
          </w:tcPr>
          <w:p w14:paraId="1BCE9399" w14:textId="5D42C453"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73C75DDB" w14:textId="77777777" w:rsidTr="0031621C">
        <w:trPr>
          <w:trHeight w:val="283"/>
        </w:trPr>
        <w:tc>
          <w:tcPr>
            <w:tcW w:w="1129" w:type="dxa"/>
            <w:vMerge/>
            <w:hideMark/>
          </w:tcPr>
          <w:p w14:paraId="46039498" w14:textId="77777777" w:rsidR="00343EFA" w:rsidRPr="00C8507A" w:rsidRDefault="00343EFA" w:rsidP="00343EFA">
            <w:pPr>
              <w:tabs>
                <w:tab w:val="clear" w:pos="567"/>
              </w:tabs>
              <w:snapToGrid/>
              <w:rPr>
                <w:rFonts w:asciiTheme="minorBidi" w:hAnsiTheme="minorBidi" w:cstheme="minorBidi"/>
                <w:bCs/>
                <w:snapToGrid/>
                <w:szCs w:val="22"/>
              </w:rPr>
            </w:pPr>
          </w:p>
        </w:tc>
        <w:tc>
          <w:tcPr>
            <w:tcW w:w="6663" w:type="dxa"/>
            <w:noWrap/>
            <w:hideMark/>
          </w:tcPr>
          <w:p w14:paraId="12686DD4"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5.3.2 Observing System Evaluation and Strategy for the Ocean-Atmosphere Interface and Boundary Layers</w:t>
            </w:r>
          </w:p>
        </w:tc>
        <w:tc>
          <w:tcPr>
            <w:tcW w:w="1836" w:type="dxa"/>
            <w:hideMark/>
          </w:tcPr>
          <w:p w14:paraId="4B4A12FD" w14:textId="65729119"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6DAE52AC" w14:textId="77777777" w:rsidTr="0031621C">
        <w:trPr>
          <w:trHeight w:val="283"/>
        </w:trPr>
        <w:tc>
          <w:tcPr>
            <w:tcW w:w="1129" w:type="dxa"/>
            <w:vMerge/>
            <w:hideMark/>
          </w:tcPr>
          <w:p w14:paraId="4268949E" w14:textId="77777777" w:rsidR="00343EFA" w:rsidRPr="00C8507A" w:rsidRDefault="00343EFA" w:rsidP="00343EFA">
            <w:pPr>
              <w:tabs>
                <w:tab w:val="clear" w:pos="567"/>
              </w:tabs>
              <w:snapToGrid/>
              <w:rPr>
                <w:rFonts w:asciiTheme="minorBidi" w:hAnsiTheme="minorBidi" w:cstheme="minorBidi"/>
                <w:bCs/>
                <w:snapToGrid/>
                <w:szCs w:val="22"/>
              </w:rPr>
            </w:pPr>
          </w:p>
        </w:tc>
        <w:tc>
          <w:tcPr>
            <w:tcW w:w="6663" w:type="dxa"/>
            <w:noWrap/>
            <w:hideMark/>
          </w:tcPr>
          <w:p w14:paraId="411A4731"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5.3.3 Observing System Evaluation and Strategy for Boundary Systems</w:t>
            </w:r>
          </w:p>
        </w:tc>
        <w:tc>
          <w:tcPr>
            <w:tcW w:w="1836" w:type="dxa"/>
            <w:hideMark/>
          </w:tcPr>
          <w:p w14:paraId="2829FBD1"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7D633CA4" w14:textId="77777777" w:rsidTr="0031621C">
        <w:trPr>
          <w:trHeight w:val="283"/>
        </w:trPr>
        <w:tc>
          <w:tcPr>
            <w:tcW w:w="1129" w:type="dxa"/>
            <w:vMerge/>
            <w:hideMark/>
          </w:tcPr>
          <w:p w14:paraId="53A670D7" w14:textId="77777777" w:rsidR="00343EFA" w:rsidRPr="00C8507A" w:rsidRDefault="00343EFA" w:rsidP="00343EFA">
            <w:pPr>
              <w:tabs>
                <w:tab w:val="clear" w:pos="567"/>
              </w:tabs>
              <w:snapToGrid/>
              <w:rPr>
                <w:rFonts w:asciiTheme="minorBidi" w:hAnsiTheme="minorBidi" w:cstheme="minorBidi"/>
                <w:bCs/>
                <w:snapToGrid/>
                <w:szCs w:val="22"/>
              </w:rPr>
            </w:pPr>
          </w:p>
        </w:tc>
        <w:tc>
          <w:tcPr>
            <w:tcW w:w="6663" w:type="dxa"/>
            <w:noWrap/>
            <w:hideMark/>
          </w:tcPr>
          <w:p w14:paraId="3343D8B9"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5.3.4 Optimal carbon flux observing system blueprint</w:t>
            </w:r>
          </w:p>
        </w:tc>
        <w:tc>
          <w:tcPr>
            <w:tcW w:w="1836" w:type="dxa"/>
            <w:hideMark/>
          </w:tcPr>
          <w:p w14:paraId="4CDE0B45"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7E63C7D4" w14:textId="77777777" w:rsidTr="0031621C">
        <w:trPr>
          <w:trHeight w:val="283"/>
        </w:trPr>
        <w:tc>
          <w:tcPr>
            <w:tcW w:w="1129" w:type="dxa"/>
            <w:noWrap/>
            <w:hideMark/>
          </w:tcPr>
          <w:p w14:paraId="631A52F7"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5.4</w:t>
            </w:r>
          </w:p>
        </w:tc>
        <w:tc>
          <w:tcPr>
            <w:tcW w:w="6663" w:type="dxa"/>
            <w:noWrap/>
            <w:hideMark/>
          </w:tcPr>
          <w:p w14:paraId="03EDC372"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GOOS Evaluation and Review Framework</w:t>
            </w:r>
          </w:p>
        </w:tc>
        <w:tc>
          <w:tcPr>
            <w:tcW w:w="1836" w:type="dxa"/>
            <w:hideMark/>
          </w:tcPr>
          <w:p w14:paraId="536FAD9A"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67303EF6" w14:textId="77777777" w:rsidTr="0031621C">
        <w:trPr>
          <w:trHeight w:val="283"/>
        </w:trPr>
        <w:tc>
          <w:tcPr>
            <w:tcW w:w="1129" w:type="dxa"/>
            <w:noWrap/>
            <w:hideMark/>
          </w:tcPr>
          <w:p w14:paraId="54F61CE1"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5.5</w:t>
            </w:r>
          </w:p>
        </w:tc>
        <w:tc>
          <w:tcPr>
            <w:tcW w:w="6663" w:type="dxa"/>
            <w:noWrap/>
            <w:hideMark/>
          </w:tcPr>
          <w:p w14:paraId="00BED02A" w14:textId="2C74E429"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Regional network coordination/</w:t>
            </w:r>
            <w:r w:rsidR="00775F1E">
              <w:rPr>
                <w:rFonts w:asciiTheme="minorBidi" w:hAnsiTheme="minorBidi" w:cstheme="minorBidi"/>
                <w:bCs/>
                <w:snapToGrid/>
                <w:szCs w:val="22"/>
              </w:rPr>
              <w:t>OceanObs’19</w:t>
            </w:r>
            <w:r w:rsidR="00775F1E" w:rsidRPr="00C8507A">
              <w:rPr>
                <w:rFonts w:asciiTheme="minorBidi" w:hAnsiTheme="minorBidi" w:cstheme="minorBidi"/>
                <w:bCs/>
                <w:snapToGrid/>
                <w:szCs w:val="22"/>
              </w:rPr>
              <w:t xml:space="preserve"> </w:t>
            </w:r>
            <w:r w:rsidRPr="00C8507A">
              <w:rPr>
                <w:rFonts w:asciiTheme="minorBidi" w:hAnsiTheme="minorBidi" w:cstheme="minorBidi"/>
                <w:bCs/>
                <w:snapToGrid/>
                <w:szCs w:val="22"/>
              </w:rPr>
              <w:t xml:space="preserve">synthesis </w:t>
            </w:r>
          </w:p>
        </w:tc>
        <w:tc>
          <w:tcPr>
            <w:tcW w:w="1836" w:type="dxa"/>
            <w:hideMark/>
          </w:tcPr>
          <w:p w14:paraId="3344885E"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6598D42E" w14:textId="77777777" w:rsidTr="0031621C">
        <w:trPr>
          <w:trHeight w:val="283"/>
        </w:trPr>
        <w:tc>
          <w:tcPr>
            <w:tcW w:w="1129" w:type="dxa"/>
            <w:noWrap/>
            <w:hideMark/>
          </w:tcPr>
          <w:p w14:paraId="40EC4D47"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5.6</w:t>
            </w:r>
          </w:p>
        </w:tc>
        <w:tc>
          <w:tcPr>
            <w:tcW w:w="6663" w:type="dxa"/>
            <w:noWrap/>
            <w:hideMark/>
          </w:tcPr>
          <w:p w14:paraId="445D8026"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Observing System Design around EOVs</w:t>
            </w:r>
          </w:p>
        </w:tc>
        <w:tc>
          <w:tcPr>
            <w:tcW w:w="1836" w:type="dxa"/>
            <w:hideMark/>
          </w:tcPr>
          <w:p w14:paraId="520A0619" w14:textId="4596EF79"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r w:rsidR="00770E7F" w:rsidRPr="006F399F" w14:paraId="28DDD77D" w14:textId="77777777" w:rsidTr="00770E7F">
        <w:trPr>
          <w:trHeight w:val="283"/>
        </w:trPr>
        <w:tc>
          <w:tcPr>
            <w:tcW w:w="9628" w:type="dxa"/>
            <w:gridSpan w:val="3"/>
            <w:shd w:val="clear" w:color="auto" w:fill="F2F2F2" w:themeFill="background1" w:themeFillShade="F2"/>
            <w:noWrap/>
          </w:tcPr>
          <w:p w14:paraId="014400C3" w14:textId="3A4EF6D8" w:rsidR="00770E7F" w:rsidRPr="00C8507A" w:rsidRDefault="00770E7F" w:rsidP="007525A8">
            <w:pPr>
              <w:keepNext/>
              <w:tabs>
                <w:tab w:val="clear" w:pos="567"/>
              </w:tabs>
              <w:snapToGrid/>
              <w:rPr>
                <w:rFonts w:asciiTheme="minorBidi" w:hAnsiTheme="minorBidi" w:cstheme="minorBidi"/>
                <w:bCs/>
                <w:snapToGrid/>
                <w:szCs w:val="22"/>
              </w:rPr>
            </w:pPr>
            <w:bookmarkStart w:id="5" w:name="SO_6"/>
            <w:r w:rsidRPr="00C8507A">
              <w:rPr>
                <w:rFonts w:asciiTheme="minorBidi" w:hAnsiTheme="minorBidi" w:cstheme="minorBidi"/>
                <w:b/>
                <w:snapToGrid/>
                <w:szCs w:val="22"/>
              </w:rPr>
              <w:t>SO6</w:t>
            </w:r>
            <w:r w:rsidRPr="00C8507A">
              <w:rPr>
                <w:rFonts w:asciiTheme="minorBidi" w:hAnsiTheme="minorBidi" w:cstheme="minorBidi"/>
                <w:bCs/>
                <w:snapToGrid/>
                <w:szCs w:val="22"/>
              </w:rPr>
              <w:t xml:space="preserve">: </w:t>
            </w:r>
            <w:bookmarkEnd w:id="5"/>
            <w:r w:rsidRPr="00C8507A">
              <w:rPr>
                <w:rFonts w:asciiTheme="minorBidi" w:hAnsiTheme="minorBidi" w:cstheme="minorBidi"/>
                <w:bCs/>
                <w:snapToGrid/>
                <w:szCs w:val="22"/>
              </w:rPr>
              <w:t>Sustain, strengthen and expand observing system implementation through GOOS and partner communities, promoting standards and best practice, and developing metrics to measure success</w:t>
            </w:r>
          </w:p>
        </w:tc>
      </w:tr>
      <w:tr w:rsidR="0031621C" w:rsidRPr="006F399F" w14:paraId="12CC91AF" w14:textId="77777777" w:rsidTr="0031621C">
        <w:trPr>
          <w:trHeight w:val="283"/>
        </w:trPr>
        <w:tc>
          <w:tcPr>
            <w:tcW w:w="1129" w:type="dxa"/>
            <w:noWrap/>
            <w:hideMark/>
          </w:tcPr>
          <w:p w14:paraId="3310E684"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6.1</w:t>
            </w:r>
          </w:p>
        </w:tc>
        <w:tc>
          <w:tcPr>
            <w:tcW w:w="6663" w:type="dxa"/>
            <w:noWrap/>
            <w:hideMark/>
          </w:tcPr>
          <w:p w14:paraId="2A682ED2"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Implementation of multidisciplinary initiative VOICE</w:t>
            </w:r>
          </w:p>
        </w:tc>
        <w:tc>
          <w:tcPr>
            <w:tcW w:w="1836" w:type="dxa"/>
            <w:hideMark/>
          </w:tcPr>
          <w:p w14:paraId="79D8F219"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4F3DE110" w14:textId="77777777" w:rsidTr="0031621C">
        <w:trPr>
          <w:trHeight w:val="283"/>
        </w:trPr>
        <w:tc>
          <w:tcPr>
            <w:tcW w:w="1129" w:type="dxa"/>
            <w:noWrap/>
            <w:hideMark/>
          </w:tcPr>
          <w:p w14:paraId="4CFDAFEE"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6.2</w:t>
            </w:r>
          </w:p>
        </w:tc>
        <w:tc>
          <w:tcPr>
            <w:tcW w:w="6663" w:type="dxa"/>
            <w:noWrap/>
            <w:hideMark/>
          </w:tcPr>
          <w:p w14:paraId="3B5310A2"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GOOS Endorsed Best Practices available across EOVs and platforms</w:t>
            </w:r>
          </w:p>
        </w:tc>
        <w:tc>
          <w:tcPr>
            <w:tcW w:w="1836" w:type="dxa"/>
            <w:hideMark/>
          </w:tcPr>
          <w:p w14:paraId="7CB1E227"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26A91118" w14:textId="77777777" w:rsidTr="0031621C">
        <w:trPr>
          <w:trHeight w:val="283"/>
        </w:trPr>
        <w:tc>
          <w:tcPr>
            <w:tcW w:w="1129" w:type="dxa"/>
            <w:noWrap/>
            <w:hideMark/>
          </w:tcPr>
          <w:p w14:paraId="13EFF610"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6.3</w:t>
            </w:r>
          </w:p>
        </w:tc>
        <w:tc>
          <w:tcPr>
            <w:tcW w:w="6663" w:type="dxa"/>
            <w:noWrap/>
            <w:hideMark/>
          </w:tcPr>
          <w:p w14:paraId="77BF6FB8" w14:textId="67AFC828" w:rsidR="00343EFA" w:rsidRPr="00C8507A" w:rsidRDefault="007525A8"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Solution spaces for o</w:t>
            </w:r>
            <w:r w:rsidR="00343EFA" w:rsidRPr="00C8507A">
              <w:rPr>
                <w:rFonts w:asciiTheme="minorBidi" w:hAnsiTheme="minorBidi" w:cstheme="minorBidi"/>
                <w:bCs/>
                <w:snapToGrid/>
                <w:szCs w:val="22"/>
              </w:rPr>
              <w:t xml:space="preserve">cean </w:t>
            </w:r>
            <w:r w:rsidRPr="00C8507A">
              <w:rPr>
                <w:rFonts w:asciiTheme="minorBidi" w:hAnsiTheme="minorBidi" w:cstheme="minorBidi"/>
                <w:bCs/>
                <w:snapToGrid/>
                <w:szCs w:val="22"/>
              </w:rPr>
              <w:t>o</w:t>
            </w:r>
            <w:r w:rsidR="00343EFA" w:rsidRPr="00C8507A">
              <w:rPr>
                <w:rFonts w:asciiTheme="minorBidi" w:hAnsiTheme="minorBidi" w:cstheme="minorBidi"/>
                <w:bCs/>
                <w:snapToGrid/>
                <w:szCs w:val="22"/>
              </w:rPr>
              <w:t>bservations in EEZs</w:t>
            </w:r>
          </w:p>
        </w:tc>
        <w:tc>
          <w:tcPr>
            <w:tcW w:w="1836" w:type="dxa"/>
            <w:hideMark/>
          </w:tcPr>
          <w:p w14:paraId="062DD09F" w14:textId="74637A18"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r w:rsidR="0031621C" w:rsidRPr="006F399F" w14:paraId="5754D63D" w14:textId="77777777" w:rsidTr="0031621C">
        <w:trPr>
          <w:trHeight w:val="283"/>
        </w:trPr>
        <w:tc>
          <w:tcPr>
            <w:tcW w:w="1129" w:type="dxa"/>
            <w:noWrap/>
            <w:hideMark/>
          </w:tcPr>
          <w:p w14:paraId="3F019B70"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6.4</w:t>
            </w:r>
          </w:p>
        </w:tc>
        <w:tc>
          <w:tcPr>
            <w:tcW w:w="6663" w:type="dxa"/>
            <w:noWrap/>
            <w:hideMark/>
          </w:tcPr>
          <w:p w14:paraId="3BB4E9BC"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Emerging and existing network integration</w:t>
            </w:r>
          </w:p>
        </w:tc>
        <w:tc>
          <w:tcPr>
            <w:tcW w:w="1836" w:type="dxa"/>
            <w:hideMark/>
          </w:tcPr>
          <w:p w14:paraId="2677A72B"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13741E3D" w14:textId="77777777" w:rsidTr="0031621C">
        <w:trPr>
          <w:trHeight w:val="283"/>
        </w:trPr>
        <w:tc>
          <w:tcPr>
            <w:tcW w:w="1129" w:type="dxa"/>
            <w:noWrap/>
            <w:hideMark/>
          </w:tcPr>
          <w:p w14:paraId="6CABD626"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6.5</w:t>
            </w:r>
          </w:p>
        </w:tc>
        <w:tc>
          <w:tcPr>
            <w:tcW w:w="6663" w:type="dxa"/>
            <w:noWrap/>
            <w:hideMark/>
          </w:tcPr>
          <w:p w14:paraId="1743508A"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Develop and/or maintain an up to date referenced hardware directory</w:t>
            </w:r>
          </w:p>
        </w:tc>
        <w:tc>
          <w:tcPr>
            <w:tcW w:w="1836" w:type="dxa"/>
            <w:hideMark/>
          </w:tcPr>
          <w:p w14:paraId="0C7584CB" w14:textId="2C5D96BF"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Single </w:t>
            </w:r>
            <w:r w:rsidR="0031621C" w:rsidRPr="00C8507A">
              <w:rPr>
                <w:rFonts w:asciiTheme="minorBidi" w:hAnsiTheme="minorBidi" w:cstheme="minorBidi"/>
                <w:bCs/>
                <w:snapToGrid/>
                <w:szCs w:val="22"/>
              </w:rPr>
              <w:t>element</w:t>
            </w:r>
          </w:p>
        </w:tc>
      </w:tr>
      <w:tr w:rsidR="0031621C" w:rsidRPr="006F399F" w14:paraId="5FCF9A79" w14:textId="77777777" w:rsidTr="0031621C">
        <w:trPr>
          <w:trHeight w:val="283"/>
        </w:trPr>
        <w:tc>
          <w:tcPr>
            <w:tcW w:w="1129" w:type="dxa"/>
            <w:noWrap/>
            <w:hideMark/>
          </w:tcPr>
          <w:p w14:paraId="68B8D05E"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6.6</w:t>
            </w:r>
          </w:p>
        </w:tc>
        <w:tc>
          <w:tcPr>
            <w:tcW w:w="6663" w:type="dxa"/>
            <w:noWrap/>
            <w:hideMark/>
          </w:tcPr>
          <w:p w14:paraId="151E878F"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Advancing BGC/BioEco observations across global networks</w:t>
            </w:r>
          </w:p>
        </w:tc>
        <w:tc>
          <w:tcPr>
            <w:tcW w:w="1836" w:type="dxa"/>
            <w:hideMark/>
          </w:tcPr>
          <w:p w14:paraId="4F433185"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2D6BE7A1" w14:textId="77777777" w:rsidTr="0031621C">
        <w:trPr>
          <w:trHeight w:val="283"/>
        </w:trPr>
        <w:tc>
          <w:tcPr>
            <w:tcW w:w="1129" w:type="dxa"/>
            <w:noWrap/>
            <w:hideMark/>
          </w:tcPr>
          <w:p w14:paraId="3A660806"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6.7</w:t>
            </w:r>
          </w:p>
        </w:tc>
        <w:tc>
          <w:tcPr>
            <w:tcW w:w="6663" w:type="dxa"/>
            <w:noWrap/>
            <w:hideMark/>
          </w:tcPr>
          <w:p w14:paraId="774E8F84"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Environmental Stewardship</w:t>
            </w:r>
          </w:p>
        </w:tc>
        <w:tc>
          <w:tcPr>
            <w:tcW w:w="1836" w:type="dxa"/>
            <w:hideMark/>
          </w:tcPr>
          <w:p w14:paraId="1BE4A3C8" w14:textId="1D6CFA00"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Single </w:t>
            </w:r>
            <w:r w:rsidR="0031621C" w:rsidRPr="00C8507A">
              <w:rPr>
                <w:rFonts w:asciiTheme="minorBidi" w:hAnsiTheme="minorBidi" w:cstheme="minorBidi"/>
                <w:bCs/>
                <w:snapToGrid/>
                <w:szCs w:val="22"/>
              </w:rPr>
              <w:t>element</w:t>
            </w:r>
          </w:p>
        </w:tc>
      </w:tr>
      <w:tr w:rsidR="0031621C" w:rsidRPr="006F399F" w14:paraId="50BDE598" w14:textId="77777777" w:rsidTr="0031621C">
        <w:trPr>
          <w:trHeight w:val="283"/>
        </w:trPr>
        <w:tc>
          <w:tcPr>
            <w:tcW w:w="1129" w:type="dxa"/>
            <w:noWrap/>
            <w:hideMark/>
          </w:tcPr>
          <w:p w14:paraId="1FA1D944"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6.8</w:t>
            </w:r>
          </w:p>
        </w:tc>
        <w:tc>
          <w:tcPr>
            <w:tcW w:w="6663" w:type="dxa"/>
            <w:noWrap/>
            <w:hideMark/>
          </w:tcPr>
          <w:p w14:paraId="1F18CE03"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Inter-comparison and standards</w:t>
            </w:r>
          </w:p>
        </w:tc>
        <w:tc>
          <w:tcPr>
            <w:tcW w:w="1836" w:type="dxa"/>
            <w:hideMark/>
          </w:tcPr>
          <w:p w14:paraId="15A4076F" w14:textId="78BF98F4"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Single </w:t>
            </w:r>
            <w:r w:rsidR="0031621C" w:rsidRPr="00C8507A">
              <w:rPr>
                <w:rFonts w:asciiTheme="minorBidi" w:hAnsiTheme="minorBidi" w:cstheme="minorBidi"/>
                <w:bCs/>
                <w:snapToGrid/>
                <w:szCs w:val="22"/>
              </w:rPr>
              <w:t>element</w:t>
            </w:r>
          </w:p>
        </w:tc>
      </w:tr>
      <w:tr w:rsidR="0031621C" w:rsidRPr="006F399F" w14:paraId="512128AD" w14:textId="77777777" w:rsidTr="0031621C">
        <w:trPr>
          <w:trHeight w:val="283"/>
        </w:trPr>
        <w:tc>
          <w:tcPr>
            <w:tcW w:w="1129" w:type="dxa"/>
            <w:noWrap/>
            <w:hideMark/>
          </w:tcPr>
          <w:p w14:paraId="201DE1DF"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6.9</w:t>
            </w:r>
          </w:p>
        </w:tc>
        <w:tc>
          <w:tcPr>
            <w:tcW w:w="6663" w:type="dxa"/>
            <w:noWrap/>
            <w:hideMark/>
          </w:tcPr>
          <w:p w14:paraId="356EDFD6"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Coordinate and expand surface ocean biogeochemistry observations</w:t>
            </w:r>
          </w:p>
        </w:tc>
        <w:tc>
          <w:tcPr>
            <w:tcW w:w="1836" w:type="dxa"/>
            <w:hideMark/>
          </w:tcPr>
          <w:p w14:paraId="798DD494"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7FECEEFF" w14:textId="77777777" w:rsidTr="0031621C">
        <w:trPr>
          <w:trHeight w:val="283"/>
        </w:trPr>
        <w:tc>
          <w:tcPr>
            <w:tcW w:w="1129" w:type="dxa"/>
            <w:noWrap/>
            <w:hideMark/>
          </w:tcPr>
          <w:p w14:paraId="002258E2"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6.10</w:t>
            </w:r>
          </w:p>
        </w:tc>
        <w:tc>
          <w:tcPr>
            <w:tcW w:w="6663" w:type="dxa"/>
            <w:noWrap/>
            <w:hideMark/>
          </w:tcPr>
          <w:p w14:paraId="40B87605"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CoastPredict</w:t>
            </w:r>
          </w:p>
        </w:tc>
        <w:tc>
          <w:tcPr>
            <w:tcW w:w="1836" w:type="dxa"/>
            <w:hideMark/>
          </w:tcPr>
          <w:p w14:paraId="7F948630" w14:textId="02C6174F"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Decade</w:t>
            </w:r>
            <w:r w:rsidR="00A93CB3" w:rsidRPr="00C8507A">
              <w:rPr>
                <w:rFonts w:asciiTheme="minorBidi" w:hAnsiTheme="minorBidi" w:cstheme="minorBidi"/>
                <w:bCs/>
                <w:snapToGrid/>
                <w:szCs w:val="22"/>
              </w:rPr>
              <w:t xml:space="preserve"> Prog.</w:t>
            </w:r>
          </w:p>
        </w:tc>
      </w:tr>
      <w:tr w:rsidR="0031621C" w:rsidRPr="006F399F" w14:paraId="4244C020" w14:textId="77777777" w:rsidTr="0031621C">
        <w:trPr>
          <w:trHeight w:val="283"/>
        </w:trPr>
        <w:tc>
          <w:tcPr>
            <w:tcW w:w="1129" w:type="dxa"/>
            <w:noWrap/>
            <w:hideMark/>
          </w:tcPr>
          <w:p w14:paraId="3F99ADBD"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6.11</w:t>
            </w:r>
          </w:p>
        </w:tc>
        <w:tc>
          <w:tcPr>
            <w:tcW w:w="6663" w:type="dxa"/>
            <w:noWrap/>
            <w:hideMark/>
          </w:tcPr>
          <w:p w14:paraId="05AB044E"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Building the BioEco community</w:t>
            </w:r>
          </w:p>
        </w:tc>
        <w:tc>
          <w:tcPr>
            <w:tcW w:w="1836" w:type="dxa"/>
            <w:hideMark/>
          </w:tcPr>
          <w:p w14:paraId="0CD0D33F" w14:textId="695BC95E"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Single </w:t>
            </w:r>
            <w:r w:rsidR="0031621C" w:rsidRPr="00C8507A">
              <w:rPr>
                <w:rFonts w:asciiTheme="minorBidi" w:hAnsiTheme="minorBidi" w:cstheme="minorBidi"/>
                <w:bCs/>
                <w:snapToGrid/>
                <w:szCs w:val="22"/>
              </w:rPr>
              <w:t>element</w:t>
            </w:r>
          </w:p>
        </w:tc>
      </w:tr>
      <w:tr w:rsidR="00770E7F" w:rsidRPr="006F399F" w14:paraId="3EA2A86B" w14:textId="77777777" w:rsidTr="00770E7F">
        <w:trPr>
          <w:trHeight w:val="283"/>
        </w:trPr>
        <w:tc>
          <w:tcPr>
            <w:tcW w:w="9628" w:type="dxa"/>
            <w:gridSpan w:val="3"/>
            <w:shd w:val="clear" w:color="auto" w:fill="F2F2F2" w:themeFill="background1" w:themeFillShade="F2"/>
            <w:noWrap/>
          </w:tcPr>
          <w:p w14:paraId="5E24A389" w14:textId="584C496E" w:rsidR="00770E7F" w:rsidRPr="00C8507A" w:rsidRDefault="00770E7F" w:rsidP="00343EFA">
            <w:pPr>
              <w:tabs>
                <w:tab w:val="clear" w:pos="567"/>
              </w:tabs>
              <w:snapToGrid/>
              <w:rPr>
                <w:rFonts w:asciiTheme="minorBidi" w:hAnsiTheme="minorBidi" w:cstheme="minorBidi"/>
                <w:bCs/>
                <w:snapToGrid/>
                <w:szCs w:val="22"/>
              </w:rPr>
            </w:pPr>
            <w:bookmarkStart w:id="6" w:name="SO_7"/>
            <w:r w:rsidRPr="00C8507A">
              <w:rPr>
                <w:rFonts w:asciiTheme="minorBidi" w:hAnsiTheme="minorBidi" w:cstheme="minorBidi"/>
                <w:b/>
                <w:snapToGrid/>
                <w:szCs w:val="22"/>
              </w:rPr>
              <w:t>SO7</w:t>
            </w:r>
            <w:bookmarkEnd w:id="6"/>
            <w:r w:rsidRPr="00C8507A">
              <w:rPr>
                <w:rFonts w:asciiTheme="minorBidi" w:hAnsiTheme="minorBidi" w:cstheme="minorBidi"/>
                <w:bCs/>
                <w:snapToGrid/>
                <w:szCs w:val="22"/>
              </w:rPr>
              <w:t>: Ensure GOOS ocean observing data and information are findable, accessible, interoperable, and reusable, with appropriate quality and latency</w:t>
            </w:r>
          </w:p>
        </w:tc>
      </w:tr>
      <w:tr w:rsidR="0031621C" w:rsidRPr="006F399F" w14:paraId="58328F46" w14:textId="77777777" w:rsidTr="0031621C">
        <w:trPr>
          <w:trHeight w:val="283"/>
        </w:trPr>
        <w:tc>
          <w:tcPr>
            <w:tcW w:w="1129" w:type="dxa"/>
            <w:noWrap/>
            <w:hideMark/>
          </w:tcPr>
          <w:p w14:paraId="628B53DB"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7.1</w:t>
            </w:r>
          </w:p>
        </w:tc>
        <w:tc>
          <w:tcPr>
            <w:tcW w:w="6663" w:type="dxa"/>
            <w:noWrap/>
            <w:hideMark/>
          </w:tcPr>
          <w:p w14:paraId="161CD64C"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Data Flow mapping OCG networks</w:t>
            </w:r>
          </w:p>
        </w:tc>
        <w:tc>
          <w:tcPr>
            <w:tcW w:w="1836" w:type="dxa"/>
            <w:hideMark/>
          </w:tcPr>
          <w:p w14:paraId="6B55DE00" w14:textId="51A578EB"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w:t>
            </w:r>
            <w:r w:rsidR="0031621C" w:rsidRPr="00C8507A">
              <w:rPr>
                <w:rFonts w:asciiTheme="minorBidi" w:hAnsiTheme="minorBidi" w:cstheme="minorBidi"/>
                <w:bCs/>
                <w:snapToGrid/>
                <w:szCs w:val="22"/>
              </w:rPr>
              <w:t>ingle element</w:t>
            </w:r>
          </w:p>
        </w:tc>
      </w:tr>
      <w:tr w:rsidR="0031621C" w:rsidRPr="006F399F" w14:paraId="5A17CC71" w14:textId="77777777" w:rsidTr="0031621C">
        <w:trPr>
          <w:trHeight w:val="283"/>
        </w:trPr>
        <w:tc>
          <w:tcPr>
            <w:tcW w:w="1129" w:type="dxa"/>
            <w:noWrap/>
            <w:hideMark/>
          </w:tcPr>
          <w:p w14:paraId="26AF5237"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7.2</w:t>
            </w:r>
          </w:p>
        </w:tc>
        <w:tc>
          <w:tcPr>
            <w:tcW w:w="6663" w:type="dxa"/>
            <w:noWrap/>
            <w:hideMark/>
          </w:tcPr>
          <w:p w14:paraId="2EF1BD08"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Metadata standardisation global networks</w:t>
            </w:r>
          </w:p>
        </w:tc>
        <w:tc>
          <w:tcPr>
            <w:tcW w:w="1836" w:type="dxa"/>
            <w:hideMark/>
          </w:tcPr>
          <w:p w14:paraId="0AEDA677" w14:textId="541CAE28"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w:t>
            </w:r>
            <w:r w:rsidR="0031621C" w:rsidRPr="00C8507A">
              <w:rPr>
                <w:rFonts w:asciiTheme="minorBidi" w:hAnsiTheme="minorBidi" w:cstheme="minorBidi"/>
                <w:bCs/>
                <w:snapToGrid/>
                <w:szCs w:val="22"/>
              </w:rPr>
              <w:t>ingle element</w:t>
            </w:r>
          </w:p>
        </w:tc>
      </w:tr>
      <w:tr w:rsidR="0031621C" w:rsidRPr="006F399F" w14:paraId="3A6789F4" w14:textId="77777777" w:rsidTr="0031621C">
        <w:trPr>
          <w:trHeight w:val="283"/>
        </w:trPr>
        <w:tc>
          <w:tcPr>
            <w:tcW w:w="1129" w:type="dxa"/>
            <w:noWrap/>
            <w:hideMark/>
          </w:tcPr>
          <w:p w14:paraId="6C66D863" w14:textId="6B5205C0"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7.</w:t>
            </w:r>
            <w:r w:rsidR="007B3A75">
              <w:rPr>
                <w:rFonts w:asciiTheme="minorBidi" w:hAnsiTheme="minorBidi" w:cstheme="minorBidi"/>
                <w:bCs/>
                <w:snapToGrid/>
                <w:szCs w:val="22"/>
              </w:rPr>
              <w:t>3</w:t>
            </w:r>
          </w:p>
        </w:tc>
        <w:tc>
          <w:tcPr>
            <w:tcW w:w="6663" w:type="dxa"/>
            <w:noWrap/>
            <w:hideMark/>
          </w:tcPr>
          <w:p w14:paraId="40883AC3" w14:textId="44B3930E"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Support a Global Data Assembly Centre for </w:t>
            </w:r>
            <w:r w:rsidR="00775F1E">
              <w:rPr>
                <w:rFonts w:asciiTheme="minorBidi" w:hAnsiTheme="minorBidi" w:cstheme="minorBidi"/>
                <w:bCs/>
                <w:snapToGrid/>
                <w:szCs w:val="22"/>
              </w:rPr>
              <w:t>Biogeochemical</w:t>
            </w:r>
            <w:r w:rsidR="00BD4DC4">
              <w:rPr>
                <w:rFonts w:asciiTheme="minorBidi" w:hAnsiTheme="minorBidi" w:cstheme="minorBidi"/>
                <w:bCs/>
                <w:snapToGrid/>
                <w:szCs w:val="22"/>
              </w:rPr>
              <w:t xml:space="preserve"> (BGC)</w:t>
            </w:r>
            <w:r w:rsidR="00775F1E" w:rsidRPr="00C8507A">
              <w:rPr>
                <w:rFonts w:asciiTheme="minorBidi" w:hAnsiTheme="minorBidi" w:cstheme="minorBidi"/>
                <w:bCs/>
                <w:snapToGrid/>
                <w:szCs w:val="22"/>
              </w:rPr>
              <w:t xml:space="preserve"> </w:t>
            </w:r>
            <w:r w:rsidRPr="00C8507A">
              <w:rPr>
                <w:rFonts w:asciiTheme="minorBidi" w:hAnsiTheme="minorBidi" w:cstheme="minorBidi"/>
                <w:bCs/>
                <w:snapToGrid/>
                <w:szCs w:val="22"/>
              </w:rPr>
              <w:t>EOVs</w:t>
            </w:r>
          </w:p>
        </w:tc>
        <w:tc>
          <w:tcPr>
            <w:tcW w:w="1836" w:type="dxa"/>
            <w:hideMark/>
          </w:tcPr>
          <w:p w14:paraId="45431ACA"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31621C" w:rsidRPr="006F399F" w14:paraId="12FE3272" w14:textId="77777777" w:rsidTr="0031621C">
        <w:trPr>
          <w:trHeight w:val="283"/>
        </w:trPr>
        <w:tc>
          <w:tcPr>
            <w:tcW w:w="1129" w:type="dxa"/>
            <w:noWrap/>
            <w:hideMark/>
          </w:tcPr>
          <w:p w14:paraId="312435ED" w14:textId="381D671D"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7.</w:t>
            </w:r>
            <w:r w:rsidR="007B3A75">
              <w:rPr>
                <w:rFonts w:asciiTheme="minorBidi" w:hAnsiTheme="minorBidi" w:cstheme="minorBidi"/>
                <w:bCs/>
                <w:snapToGrid/>
                <w:szCs w:val="22"/>
              </w:rPr>
              <w:t>4</w:t>
            </w:r>
          </w:p>
        </w:tc>
        <w:tc>
          <w:tcPr>
            <w:tcW w:w="6663" w:type="dxa"/>
            <w:noWrap/>
            <w:hideMark/>
          </w:tcPr>
          <w:p w14:paraId="5535883C" w14:textId="5B099402" w:rsidR="00343EFA" w:rsidRPr="00C8507A" w:rsidRDefault="00775F1E" w:rsidP="00343EFA">
            <w:pPr>
              <w:tabs>
                <w:tab w:val="clear" w:pos="567"/>
              </w:tabs>
              <w:snapToGrid/>
              <w:rPr>
                <w:rFonts w:asciiTheme="minorBidi" w:hAnsiTheme="minorBidi" w:cstheme="minorBidi"/>
                <w:bCs/>
                <w:snapToGrid/>
                <w:szCs w:val="22"/>
              </w:rPr>
            </w:pPr>
            <w:r>
              <w:rPr>
                <w:rFonts w:asciiTheme="minorBidi" w:hAnsiTheme="minorBidi" w:cstheme="minorBidi"/>
                <w:bCs/>
                <w:snapToGrid/>
                <w:szCs w:val="22"/>
              </w:rPr>
              <w:t>Observations Coordination Group</w:t>
            </w:r>
            <w:r w:rsidRPr="00C8507A">
              <w:rPr>
                <w:rFonts w:asciiTheme="minorBidi" w:hAnsiTheme="minorBidi" w:cstheme="minorBidi"/>
                <w:bCs/>
                <w:snapToGrid/>
                <w:szCs w:val="22"/>
              </w:rPr>
              <w:t xml:space="preserve"> </w:t>
            </w:r>
            <w:r w:rsidR="00343EFA" w:rsidRPr="00C8507A">
              <w:rPr>
                <w:rFonts w:asciiTheme="minorBidi" w:hAnsiTheme="minorBidi" w:cstheme="minorBidi"/>
                <w:bCs/>
                <w:snapToGrid/>
                <w:szCs w:val="22"/>
              </w:rPr>
              <w:t xml:space="preserve">Data Strategy </w:t>
            </w:r>
          </w:p>
        </w:tc>
        <w:tc>
          <w:tcPr>
            <w:tcW w:w="1836" w:type="dxa"/>
            <w:hideMark/>
          </w:tcPr>
          <w:p w14:paraId="01B8360D" w14:textId="197FEDB7"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w:t>
            </w:r>
            <w:r w:rsidR="0031621C" w:rsidRPr="00C8507A">
              <w:rPr>
                <w:rFonts w:asciiTheme="minorBidi" w:hAnsiTheme="minorBidi" w:cstheme="minorBidi"/>
                <w:bCs/>
                <w:snapToGrid/>
                <w:szCs w:val="22"/>
              </w:rPr>
              <w:t>ingle element</w:t>
            </w:r>
          </w:p>
        </w:tc>
      </w:tr>
      <w:tr w:rsidR="0031621C" w:rsidRPr="006F399F" w14:paraId="72C41B50" w14:textId="77777777" w:rsidTr="0031621C">
        <w:trPr>
          <w:trHeight w:val="283"/>
        </w:trPr>
        <w:tc>
          <w:tcPr>
            <w:tcW w:w="1129" w:type="dxa"/>
            <w:noWrap/>
            <w:hideMark/>
          </w:tcPr>
          <w:p w14:paraId="3CE1E8DA" w14:textId="5BCF48EA"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7.</w:t>
            </w:r>
            <w:r w:rsidR="007B3A75">
              <w:rPr>
                <w:rFonts w:asciiTheme="minorBidi" w:hAnsiTheme="minorBidi" w:cstheme="minorBidi"/>
                <w:bCs/>
                <w:snapToGrid/>
                <w:szCs w:val="22"/>
              </w:rPr>
              <w:t>5</w:t>
            </w:r>
          </w:p>
        </w:tc>
        <w:tc>
          <w:tcPr>
            <w:tcW w:w="6663" w:type="dxa"/>
            <w:noWrap/>
            <w:hideMark/>
          </w:tcPr>
          <w:p w14:paraId="41AECED5"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Establish OpenGTS Prototype</w:t>
            </w:r>
          </w:p>
        </w:tc>
        <w:tc>
          <w:tcPr>
            <w:tcW w:w="1836" w:type="dxa"/>
            <w:hideMark/>
          </w:tcPr>
          <w:p w14:paraId="6A41A0D6" w14:textId="3A2D2521"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w:t>
            </w:r>
            <w:r w:rsidR="0031621C" w:rsidRPr="00C8507A">
              <w:rPr>
                <w:rFonts w:asciiTheme="minorBidi" w:hAnsiTheme="minorBidi" w:cstheme="minorBidi"/>
                <w:bCs/>
                <w:snapToGrid/>
                <w:szCs w:val="22"/>
              </w:rPr>
              <w:t>ingle element</w:t>
            </w:r>
          </w:p>
        </w:tc>
      </w:tr>
      <w:tr w:rsidR="0031621C" w:rsidRPr="006F399F" w14:paraId="581B61D5" w14:textId="77777777" w:rsidTr="0031621C">
        <w:trPr>
          <w:trHeight w:val="283"/>
        </w:trPr>
        <w:tc>
          <w:tcPr>
            <w:tcW w:w="1129" w:type="dxa"/>
            <w:noWrap/>
            <w:hideMark/>
          </w:tcPr>
          <w:p w14:paraId="6858C9A4" w14:textId="70F640F2"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7.</w:t>
            </w:r>
            <w:r w:rsidR="007B3A75">
              <w:rPr>
                <w:rFonts w:asciiTheme="minorBidi" w:hAnsiTheme="minorBidi" w:cstheme="minorBidi"/>
                <w:bCs/>
                <w:snapToGrid/>
                <w:szCs w:val="22"/>
              </w:rPr>
              <w:t>6</w:t>
            </w:r>
          </w:p>
        </w:tc>
        <w:tc>
          <w:tcPr>
            <w:tcW w:w="6663" w:type="dxa"/>
            <w:noWrap/>
            <w:hideMark/>
          </w:tcPr>
          <w:p w14:paraId="313C82E7"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Description of production &amp; dissemination standards for Ocean Forecasting Systems</w:t>
            </w:r>
          </w:p>
        </w:tc>
        <w:tc>
          <w:tcPr>
            <w:tcW w:w="1836" w:type="dxa"/>
            <w:hideMark/>
          </w:tcPr>
          <w:p w14:paraId="7976A817" w14:textId="32267B93"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w:t>
            </w:r>
            <w:r w:rsidR="0031621C" w:rsidRPr="00C8507A">
              <w:rPr>
                <w:rFonts w:asciiTheme="minorBidi" w:hAnsiTheme="minorBidi" w:cstheme="minorBidi"/>
                <w:bCs/>
                <w:snapToGrid/>
                <w:szCs w:val="22"/>
              </w:rPr>
              <w:t>ingle element</w:t>
            </w:r>
          </w:p>
        </w:tc>
      </w:tr>
      <w:tr w:rsidR="0031621C" w:rsidRPr="006F399F" w14:paraId="166996E2" w14:textId="77777777" w:rsidTr="0031621C">
        <w:trPr>
          <w:trHeight w:val="283"/>
        </w:trPr>
        <w:tc>
          <w:tcPr>
            <w:tcW w:w="1129" w:type="dxa"/>
            <w:noWrap/>
            <w:hideMark/>
          </w:tcPr>
          <w:p w14:paraId="2D84FC60" w14:textId="095F9364"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7.</w:t>
            </w:r>
            <w:r w:rsidR="007B3A75">
              <w:rPr>
                <w:rFonts w:asciiTheme="minorBidi" w:hAnsiTheme="minorBidi" w:cstheme="minorBidi"/>
                <w:bCs/>
                <w:snapToGrid/>
                <w:szCs w:val="22"/>
              </w:rPr>
              <w:t>7</w:t>
            </w:r>
          </w:p>
        </w:tc>
        <w:tc>
          <w:tcPr>
            <w:tcW w:w="6663" w:type="dxa"/>
            <w:noWrap/>
            <w:hideMark/>
          </w:tcPr>
          <w:p w14:paraId="61D2BA1A"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BioEco EOV data available through OBIS</w:t>
            </w:r>
          </w:p>
        </w:tc>
        <w:tc>
          <w:tcPr>
            <w:tcW w:w="1836" w:type="dxa"/>
            <w:hideMark/>
          </w:tcPr>
          <w:p w14:paraId="6C3A5F5E" w14:textId="32A626C4"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w:t>
            </w:r>
            <w:r w:rsidR="0031621C" w:rsidRPr="00C8507A">
              <w:rPr>
                <w:rFonts w:asciiTheme="minorBidi" w:hAnsiTheme="minorBidi" w:cstheme="minorBidi"/>
                <w:bCs/>
                <w:snapToGrid/>
                <w:szCs w:val="22"/>
              </w:rPr>
              <w:t>ingle element</w:t>
            </w:r>
          </w:p>
        </w:tc>
      </w:tr>
      <w:tr w:rsidR="0031621C" w:rsidRPr="006F399F" w14:paraId="5D605425" w14:textId="77777777" w:rsidTr="0031621C">
        <w:trPr>
          <w:trHeight w:val="283"/>
        </w:trPr>
        <w:tc>
          <w:tcPr>
            <w:tcW w:w="1129" w:type="dxa"/>
            <w:noWrap/>
            <w:hideMark/>
          </w:tcPr>
          <w:p w14:paraId="6BCE07C8" w14:textId="2B29F2F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7.</w:t>
            </w:r>
            <w:r w:rsidR="007B3A75">
              <w:rPr>
                <w:rFonts w:asciiTheme="minorBidi" w:hAnsiTheme="minorBidi" w:cstheme="minorBidi"/>
                <w:bCs/>
                <w:snapToGrid/>
                <w:szCs w:val="22"/>
              </w:rPr>
              <w:t>8</w:t>
            </w:r>
          </w:p>
        </w:tc>
        <w:tc>
          <w:tcPr>
            <w:tcW w:w="6663" w:type="dxa"/>
            <w:noWrap/>
            <w:hideMark/>
          </w:tcPr>
          <w:p w14:paraId="5A0D7FE3"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Create new and sustain existing BGC data synthesis products</w:t>
            </w:r>
          </w:p>
        </w:tc>
        <w:tc>
          <w:tcPr>
            <w:tcW w:w="1836" w:type="dxa"/>
            <w:hideMark/>
          </w:tcPr>
          <w:p w14:paraId="52F00799" w14:textId="035AA555"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w:t>
            </w:r>
            <w:r w:rsidR="0031621C" w:rsidRPr="00C8507A">
              <w:rPr>
                <w:rFonts w:asciiTheme="minorBidi" w:hAnsiTheme="minorBidi" w:cstheme="minorBidi"/>
                <w:bCs/>
                <w:snapToGrid/>
                <w:szCs w:val="22"/>
              </w:rPr>
              <w:t>ingle element</w:t>
            </w:r>
          </w:p>
        </w:tc>
      </w:tr>
      <w:tr w:rsidR="00B6431D" w:rsidRPr="006F399F" w14:paraId="642FB3A7" w14:textId="77777777" w:rsidTr="00B6431D">
        <w:trPr>
          <w:trHeight w:val="283"/>
        </w:trPr>
        <w:tc>
          <w:tcPr>
            <w:tcW w:w="9628" w:type="dxa"/>
            <w:gridSpan w:val="3"/>
            <w:shd w:val="clear" w:color="auto" w:fill="D9D9D9" w:themeFill="background1" w:themeFillShade="D9"/>
            <w:noWrap/>
          </w:tcPr>
          <w:p w14:paraId="1DF53CF1" w14:textId="49532150" w:rsidR="00B6431D" w:rsidRPr="00C8507A" w:rsidRDefault="00B6431D" w:rsidP="00343EFA">
            <w:pPr>
              <w:tabs>
                <w:tab w:val="clear" w:pos="567"/>
              </w:tabs>
              <w:snapToGrid/>
              <w:rPr>
                <w:rFonts w:asciiTheme="minorBidi" w:hAnsiTheme="minorBidi" w:cstheme="minorBidi"/>
                <w:b/>
                <w:snapToGrid/>
                <w:szCs w:val="22"/>
              </w:rPr>
            </w:pPr>
            <w:r w:rsidRPr="00C8507A">
              <w:rPr>
                <w:rFonts w:asciiTheme="minorBidi" w:hAnsiTheme="minorBidi" w:cstheme="minorBidi"/>
                <w:b/>
                <w:snapToGrid/>
                <w:szCs w:val="22"/>
              </w:rPr>
              <w:t>Goal: Building for the future</w:t>
            </w:r>
          </w:p>
        </w:tc>
      </w:tr>
      <w:tr w:rsidR="00770E7F" w:rsidRPr="006F399F" w14:paraId="4AE64C00" w14:textId="77777777" w:rsidTr="00770E7F">
        <w:trPr>
          <w:trHeight w:val="283"/>
        </w:trPr>
        <w:tc>
          <w:tcPr>
            <w:tcW w:w="9628" w:type="dxa"/>
            <w:gridSpan w:val="3"/>
            <w:shd w:val="clear" w:color="auto" w:fill="F2F2F2" w:themeFill="background1" w:themeFillShade="F2"/>
            <w:noWrap/>
          </w:tcPr>
          <w:p w14:paraId="58EE5957" w14:textId="0373716C" w:rsidR="00770E7F" w:rsidRPr="00C8507A" w:rsidRDefault="00770E7F" w:rsidP="00343EFA">
            <w:pPr>
              <w:tabs>
                <w:tab w:val="clear" w:pos="567"/>
              </w:tabs>
              <w:snapToGrid/>
              <w:rPr>
                <w:rFonts w:asciiTheme="minorBidi" w:hAnsiTheme="minorBidi" w:cstheme="minorBidi"/>
                <w:bCs/>
                <w:snapToGrid/>
                <w:szCs w:val="22"/>
              </w:rPr>
            </w:pPr>
            <w:bookmarkStart w:id="7" w:name="SO_8"/>
            <w:r w:rsidRPr="00C8507A">
              <w:rPr>
                <w:rFonts w:asciiTheme="minorBidi" w:hAnsiTheme="minorBidi" w:cstheme="minorBidi"/>
                <w:bCs/>
                <w:snapToGrid/>
                <w:szCs w:val="22"/>
              </w:rPr>
              <w:t>SO8</w:t>
            </w:r>
            <w:bookmarkEnd w:id="7"/>
            <w:r w:rsidRPr="00C8507A">
              <w:rPr>
                <w:rFonts w:asciiTheme="minorBidi" w:hAnsiTheme="minorBidi" w:cstheme="minorBidi"/>
                <w:b/>
                <w:snapToGrid/>
                <w:szCs w:val="22"/>
              </w:rPr>
              <w:t>:</w:t>
            </w:r>
            <w:r w:rsidRPr="00C8507A">
              <w:rPr>
                <w:rFonts w:asciiTheme="minorBidi" w:hAnsiTheme="minorBidi" w:cstheme="minorBidi"/>
                <w:bCs/>
                <w:snapToGrid/>
                <w:szCs w:val="22"/>
              </w:rPr>
              <w:t xml:space="preserve"> Support innovation in observing technologies and networks</w:t>
            </w:r>
          </w:p>
        </w:tc>
      </w:tr>
      <w:tr w:rsidR="0031621C" w:rsidRPr="006F399F" w14:paraId="5914665B" w14:textId="77777777" w:rsidTr="0031621C">
        <w:trPr>
          <w:trHeight w:val="283"/>
        </w:trPr>
        <w:tc>
          <w:tcPr>
            <w:tcW w:w="1129" w:type="dxa"/>
            <w:noWrap/>
            <w:hideMark/>
          </w:tcPr>
          <w:p w14:paraId="5388E7EE"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8.1</w:t>
            </w:r>
          </w:p>
        </w:tc>
        <w:tc>
          <w:tcPr>
            <w:tcW w:w="6663" w:type="dxa"/>
            <w:noWrap/>
            <w:hideMark/>
          </w:tcPr>
          <w:p w14:paraId="46368328" w14:textId="6828E203"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Speed integration </w:t>
            </w:r>
            <w:r w:rsidR="007525A8" w:rsidRPr="00C8507A">
              <w:rPr>
                <w:rFonts w:asciiTheme="minorBidi" w:hAnsiTheme="minorBidi" w:cstheme="minorBidi"/>
                <w:bCs/>
                <w:snapToGrid/>
                <w:szCs w:val="22"/>
              </w:rPr>
              <w:t xml:space="preserve">of </w:t>
            </w:r>
            <w:r w:rsidRPr="00C8507A">
              <w:rPr>
                <w:rFonts w:asciiTheme="minorBidi" w:hAnsiTheme="minorBidi" w:cstheme="minorBidi"/>
                <w:bCs/>
                <w:snapToGrid/>
                <w:szCs w:val="22"/>
              </w:rPr>
              <w:t>new technology</w:t>
            </w:r>
          </w:p>
        </w:tc>
        <w:tc>
          <w:tcPr>
            <w:tcW w:w="1836" w:type="dxa"/>
            <w:hideMark/>
          </w:tcPr>
          <w:p w14:paraId="34526C60" w14:textId="4FFFC865"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w:t>
            </w:r>
            <w:r w:rsidR="0031621C" w:rsidRPr="00C8507A">
              <w:rPr>
                <w:rFonts w:asciiTheme="minorBidi" w:hAnsiTheme="minorBidi" w:cstheme="minorBidi"/>
                <w:bCs/>
                <w:snapToGrid/>
                <w:szCs w:val="22"/>
              </w:rPr>
              <w:t>ingle element</w:t>
            </w:r>
          </w:p>
        </w:tc>
      </w:tr>
      <w:tr w:rsidR="0031621C" w:rsidRPr="006F399F" w14:paraId="590E5FC5" w14:textId="77777777" w:rsidTr="0031621C">
        <w:trPr>
          <w:trHeight w:val="283"/>
        </w:trPr>
        <w:tc>
          <w:tcPr>
            <w:tcW w:w="1129" w:type="dxa"/>
            <w:noWrap/>
            <w:hideMark/>
          </w:tcPr>
          <w:p w14:paraId="7EA795D5"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8.2</w:t>
            </w:r>
          </w:p>
        </w:tc>
        <w:tc>
          <w:tcPr>
            <w:tcW w:w="6663" w:type="dxa"/>
            <w:noWrap/>
            <w:hideMark/>
          </w:tcPr>
          <w:p w14:paraId="7E2C1857"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Clear directive on use of biomolecular approaches including eDNA to support biological EOVs</w:t>
            </w:r>
          </w:p>
        </w:tc>
        <w:tc>
          <w:tcPr>
            <w:tcW w:w="1836" w:type="dxa"/>
            <w:hideMark/>
          </w:tcPr>
          <w:p w14:paraId="7CAECD7E" w14:textId="22B7A788"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w:t>
            </w:r>
            <w:r w:rsidR="0031621C" w:rsidRPr="00C8507A">
              <w:rPr>
                <w:rFonts w:asciiTheme="minorBidi" w:hAnsiTheme="minorBidi" w:cstheme="minorBidi"/>
                <w:bCs/>
                <w:snapToGrid/>
                <w:szCs w:val="22"/>
              </w:rPr>
              <w:t>ingle element</w:t>
            </w:r>
          </w:p>
        </w:tc>
      </w:tr>
      <w:tr w:rsidR="00770E7F" w:rsidRPr="006F399F" w14:paraId="197AF86E" w14:textId="77777777" w:rsidTr="00770E7F">
        <w:trPr>
          <w:trHeight w:val="283"/>
        </w:trPr>
        <w:tc>
          <w:tcPr>
            <w:tcW w:w="9628" w:type="dxa"/>
            <w:gridSpan w:val="3"/>
            <w:shd w:val="clear" w:color="auto" w:fill="F2F2F2" w:themeFill="background1" w:themeFillShade="F2"/>
            <w:noWrap/>
          </w:tcPr>
          <w:p w14:paraId="3825B419" w14:textId="20CC4796" w:rsidR="00770E7F" w:rsidRPr="00C8507A" w:rsidRDefault="00770E7F" w:rsidP="00343EFA">
            <w:pPr>
              <w:tabs>
                <w:tab w:val="clear" w:pos="567"/>
              </w:tabs>
              <w:snapToGrid/>
              <w:rPr>
                <w:rFonts w:asciiTheme="minorBidi" w:hAnsiTheme="minorBidi" w:cstheme="minorBidi"/>
                <w:bCs/>
                <w:snapToGrid/>
                <w:szCs w:val="22"/>
              </w:rPr>
            </w:pPr>
            <w:bookmarkStart w:id="8" w:name="SO_9"/>
            <w:r w:rsidRPr="00C8507A">
              <w:rPr>
                <w:rFonts w:asciiTheme="minorBidi" w:hAnsiTheme="minorBidi" w:cstheme="minorBidi"/>
                <w:b/>
                <w:snapToGrid/>
                <w:szCs w:val="22"/>
              </w:rPr>
              <w:t>SO9</w:t>
            </w:r>
            <w:r w:rsidRPr="00C8507A">
              <w:rPr>
                <w:rFonts w:asciiTheme="minorBidi" w:hAnsiTheme="minorBidi" w:cstheme="minorBidi"/>
                <w:bCs/>
                <w:snapToGrid/>
                <w:szCs w:val="22"/>
              </w:rPr>
              <w:t xml:space="preserve">: </w:t>
            </w:r>
            <w:bookmarkEnd w:id="8"/>
            <w:r w:rsidRPr="00C8507A">
              <w:rPr>
                <w:rFonts w:asciiTheme="minorBidi" w:hAnsiTheme="minorBidi" w:cstheme="minorBidi"/>
                <w:bCs/>
                <w:snapToGrid/>
                <w:szCs w:val="22"/>
              </w:rPr>
              <w:t>Develop capacity to ensure a broader range of beneficial stakeholder participation</w:t>
            </w:r>
          </w:p>
        </w:tc>
      </w:tr>
      <w:tr w:rsidR="0031621C" w:rsidRPr="006F399F" w14:paraId="1369529F" w14:textId="77777777" w:rsidTr="0031621C">
        <w:trPr>
          <w:trHeight w:val="283"/>
        </w:trPr>
        <w:tc>
          <w:tcPr>
            <w:tcW w:w="1129" w:type="dxa"/>
            <w:noWrap/>
            <w:hideMark/>
          </w:tcPr>
          <w:p w14:paraId="177CF24B"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9.1</w:t>
            </w:r>
          </w:p>
        </w:tc>
        <w:tc>
          <w:tcPr>
            <w:tcW w:w="6663" w:type="dxa"/>
            <w:noWrap/>
            <w:hideMark/>
          </w:tcPr>
          <w:p w14:paraId="2F67E60A"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Organize global online trainings on operational ocean monitoring and forecasting system </w:t>
            </w:r>
          </w:p>
        </w:tc>
        <w:tc>
          <w:tcPr>
            <w:tcW w:w="1836" w:type="dxa"/>
            <w:hideMark/>
          </w:tcPr>
          <w:p w14:paraId="3FF0C95A" w14:textId="2BDD60CD"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 element</w:t>
            </w:r>
          </w:p>
        </w:tc>
      </w:tr>
      <w:tr w:rsidR="0031621C" w:rsidRPr="006F399F" w14:paraId="56080BA2" w14:textId="77777777" w:rsidTr="0031621C">
        <w:trPr>
          <w:trHeight w:val="283"/>
        </w:trPr>
        <w:tc>
          <w:tcPr>
            <w:tcW w:w="1129" w:type="dxa"/>
            <w:noWrap/>
            <w:hideMark/>
          </w:tcPr>
          <w:p w14:paraId="4A9357D5"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9.2</w:t>
            </w:r>
          </w:p>
        </w:tc>
        <w:tc>
          <w:tcPr>
            <w:tcW w:w="6663" w:type="dxa"/>
            <w:noWrap/>
            <w:hideMark/>
          </w:tcPr>
          <w:p w14:paraId="119D5774"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Enhance existing and develop new technical capacity building resources (including online)</w:t>
            </w:r>
          </w:p>
        </w:tc>
        <w:tc>
          <w:tcPr>
            <w:tcW w:w="1836" w:type="dxa"/>
            <w:hideMark/>
          </w:tcPr>
          <w:p w14:paraId="5C30C525" w14:textId="66D77289"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 element</w:t>
            </w:r>
          </w:p>
        </w:tc>
      </w:tr>
      <w:tr w:rsidR="0031621C" w:rsidRPr="006F399F" w14:paraId="1EFB1BA5" w14:textId="77777777" w:rsidTr="0031621C">
        <w:trPr>
          <w:trHeight w:val="283"/>
        </w:trPr>
        <w:tc>
          <w:tcPr>
            <w:tcW w:w="1129" w:type="dxa"/>
            <w:noWrap/>
            <w:hideMark/>
          </w:tcPr>
          <w:p w14:paraId="0DB334F9"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9.3</w:t>
            </w:r>
          </w:p>
        </w:tc>
        <w:tc>
          <w:tcPr>
            <w:tcW w:w="6663" w:type="dxa"/>
            <w:noWrap/>
            <w:hideMark/>
          </w:tcPr>
          <w:p w14:paraId="2F03F63F"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Implementing ocean monitoring and forecasting system with the engagement of GRAs</w:t>
            </w:r>
          </w:p>
        </w:tc>
        <w:tc>
          <w:tcPr>
            <w:tcW w:w="1836" w:type="dxa"/>
            <w:hideMark/>
          </w:tcPr>
          <w:p w14:paraId="460A94CB" w14:textId="7251D858"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374D3C16" w14:textId="77777777" w:rsidTr="0031621C">
        <w:trPr>
          <w:trHeight w:val="283"/>
        </w:trPr>
        <w:tc>
          <w:tcPr>
            <w:tcW w:w="1129" w:type="dxa"/>
            <w:noWrap/>
            <w:hideMark/>
          </w:tcPr>
          <w:p w14:paraId="22605200"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lastRenderedPageBreak/>
              <w:t>9.4</w:t>
            </w:r>
          </w:p>
        </w:tc>
        <w:tc>
          <w:tcPr>
            <w:tcW w:w="6663" w:type="dxa"/>
            <w:noWrap/>
            <w:hideMark/>
          </w:tcPr>
          <w:p w14:paraId="6436814C"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Cross network integrated capacity development </w:t>
            </w:r>
          </w:p>
        </w:tc>
        <w:tc>
          <w:tcPr>
            <w:tcW w:w="1836" w:type="dxa"/>
            <w:hideMark/>
          </w:tcPr>
          <w:p w14:paraId="1A0B1C66" w14:textId="48E59B5C"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289CB10A" w14:textId="77777777" w:rsidTr="0031621C">
        <w:trPr>
          <w:trHeight w:val="283"/>
        </w:trPr>
        <w:tc>
          <w:tcPr>
            <w:tcW w:w="1129" w:type="dxa"/>
            <w:noWrap/>
            <w:hideMark/>
          </w:tcPr>
          <w:p w14:paraId="2906F953"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9.5</w:t>
            </w:r>
          </w:p>
        </w:tc>
        <w:tc>
          <w:tcPr>
            <w:tcW w:w="6663" w:type="dxa"/>
            <w:noWrap/>
            <w:hideMark/>
          </w:tcPr>
          <w:p w14:paraId="0B97BD1F"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Partner with MBON, OBIS and WCMC on capacity exchange </w:t>
            </w:r>
          </w:p>
        </w:tc>
        <w:tc>
          <w:tcPr>
            <w:tcW w:w="1836" w:type="dxa"/>
            <w:hideMark/>
          </w:tcPr>
          <w:p w14:paraId="573F0B2D" w14:textId="2B85E7C6"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35C24B31" w14:textId="77777777" w:rsidTr="0031621C">
        <w:trPr>
          <w:trHeight w:val="283"/>
        </w:trPr>
        <w:tc>
          <w:tcPr>
            <w:tcW w:w="1129" w:type="dxa"/>
            <w:noWrap/>
            <w:hideMark/>
          </w:tcPr>
          <w:p w14:paraId="1E40917F"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9.6</w:t>
            </w:r>
          </w:p>
        </w:tc>
        <w:tc>
          <w:tcPr>
            <w:tcW w:w="6663" w:type="dxa"/>
            <w:noWrap/>
            <w:hideMark/>
          </w:tcPr>
          <w:p w14:paraId="2E1A65D7"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Ocean monitoring and forecasting system centre evaluation/assessment </w:t>
            </w:r>
          </w:p>
        </w:tc>
        <w:tc>
          <w:tcPr>
            <w:tcW w:w="1836" w:type="dxa"/>
            <w:hideMark/>
          </w:tcPr>
          <w:p w14:paraId="45C1C57E" w14:textId="4B19581E"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Single </w:t>
            </w:r>
            <w:r w:rsidR="0031621C" w:rsidRPr="00C8507A">
              <w:rPr>
                <w:rFonts w:asciiTheme="minorBidi" w:hAnsiTheme="minorBidi" w:cstheme="minorBidi"/>
                <w:bCs/>
                <w:snapToGrid/>
                <w:szCs w:val="22"/>
              </w:rPr>
              <w:t>element</w:t>
            </w:r>
          </w:p>
        </w:tc>
      </w:tr>
      <w:tr w:rsidR="0031621C" w:rsidRPr="006F399F" w14:paraId="4CFDC99B" w14:textId="77777777" w:rsidTr="0031621C">
        <w:trPr>
          <w:trHeight w:val="283"/>
        </w:trPr>
        <w:tc>
          <w:tcPr>
            <w:tcW w:w="1129" w:type="dxa"/>
            <w:noWrap/>
            <w:hideMark/>
          </w:tcPr>
          <w:p w14:paraId="79CB5729"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9.7</w:t>
            </w:r>
          </w:p>
        </w:tc>
        <w:tc>
          <w:tcPr>
            <w:tcW w:w="6663" w:type="dxa"/>
            <w:noWrap/>
            <w:hideMark/>
          </w:tcPr>
          <w:p w14:paraId="08DBC139"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Capacity Exchange Materials and Workshops for Developments or Expansion of GRAs</w:t>
            </w:r>
          </w:p>
        </w:tc>
        <w:tc>
          <w:tcPr>
            <w:tcW w:w="1836" w:type="dxa"/>
            <w:hideMark/>
          </w:tcPr>
          <w:p w14:paraId="71906EF6" w14:textId="265651CA"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Pr="00C8507A" w:rsidDel="006F399F">
              <w:rPr>
                <w:rFonts w:asciiTheme="minorBidi" w:hAnsiTheme="minorBidi" w:cstheme="minorBidi"/>
                <w:bCs/>
                <w:snapToGrid/>
                <w:szCs w:val="22"/>
              </w:rPr>
              <w:t xml:space="preserve"> </w:t>
            </w:r>
            <w:r w:rsidR="0031621C" w:rsidRPr="00C8507A">
              <w:rPr>
                <w:rFonts w:asciiTheme="minorBidi" w:hAnsiTheme="minorBidi" w:cstheme="minorBidi"/>
                <w:bCs/>
                <w:snapToGrid/>
                <w:szCs w:val="22"/>
              </w:rPr>
              <w:t>element</w:t>
            </w:r>
          </w:p>
        </w:tc>
      </w:tr>
      <w:tr w:rsidR="0031621C" w:rsidRPr="006F399F" w14:paraId="1BF6833A" w14:textId="77777777" w:rsidTr="0031621C">
        <w:trPr>
          <w:trHeight w:val="283"/>
        </w:trPr>
        <w:tc>
          <w:tcPr>
            <w:tcW w:w="1129" w:type="dxa"/>
            <w:noWrap/>
            <w:hideMark/>
          </w:tcPr>
          <w:p w14:paraId="3F2C0B10"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9.8</w:t>
            </w:r>
          </w:p>
        </w:tc>
        <w:tc>
          <w:tcPr>
            <w:tcW w:w="6663" w:type="dxa"/>
            <w:noWrap/>
            <w:hideMark/>
          </w:tcPr>
          <w:p w14:paraId="17B130CB"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Market and capability building for EOV reporting in support of the global biodiversity framework indicators and assessment</w:t>
            </w:r>
          </w:p>
        </w:tc>
        <w:tc>
          <w:tcPr>
            <w:tcW w:w="1836" w:type="dxa"/>
            <w:hideMark/>
          </w:tcPr>
          <w:p w14:paraId="03A99645" w14:textId="588C7285"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2DCDF9FB" w14:textId="77777777" w:rsidTr="0031621C">
        <w:trPr>
          <w:trHeight w:val="283"/>
        </w:trPr>
        <w:tc>
          <w:tcPr>
            <w:tcW w:w="1129" w:type="dxa"/>
            <w:noWrap/>
            <w:hideMark/>
          </w:tcPr>
          <w:p w14:paraId="5B14F759"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9.9</w:t>
            </w:r>
          </w:p>
        </w:tc>
        <w:tc>
          <w:tcPr>
            <w:tcW w:w="6663" w:type="dxa"/>
            <w:noWrap/>
            <w:hideMark/>
          </w:tcPr>
          <w:p w14:paraId="4E6202C6" w14:textId="1F1244BD"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Co-development of biodiversity and marine habitat indicators with the business community</w:t>
            </w:r>
          </w:p>
        </w:tc>
        <w:tc>
          <w:tcPr>
            <w:tcW w:w="1836" w:type="dxa"/>
            <w:hideMark/>
          </w:tcPr>
          <w:p w14:paraId="21113FEC" w14:textId="1AE3DA22"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12DB3033" w14:textId="77777777" w:rsidTr="0031621C">
        <w:trPr>
          <w:trHeight w:val="283"/>
        </w:trPr>
        <w:tc>
          <w:tcPr>
            <w:tcW w:w="1129" w:type="dxa"/>
            <w:noWrap/>
            <w:hideMark/>
          </w:tcPr>
          <w:p w14:paraId="51FBE355"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9.10</w:t>
            </w:r>
          </w:p>
        </w:tc>
        <w:tc>
          <w:tcPr>
            <w:tcW w:w="6663" w:type="dxa"/>
            <w:noWrap/>
            <w:hideMark/>
          </w:tcPr>
          <w:p w14:paraId="474D02DA"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Observing Together</w:t>
            </w:r>
          </w:p>
        </w:tc>
        <w:tc>
          <w:tcPr>
            <w:tcW w:w="1836" w:type="dxa"/>
            <w:hideMark/>
          </w:tcPr>
          <w:p w14:paraId="70735044" w14:textId="344F56F2"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Decade</w:t>
            </w:r>
            <w:r w:rsidR="00A93CB3" w:rsidRPr="00C8507A">
              <w:rPr>
                <w:rFonts w:asciiTheme="minorBidi" w:hAnsiTheme="minorBidi" w:cstheme="minorBidi"/>
                <w:bCs/>
                <w:snapToGrid/>
                <w:szCs w:val="22"/>
              </w:rPr>
              <w:t xml:space="preserve"> Prog.</w:t>
            </w:r>
          </w:p>
        </w:tc>
      </w:tr>
      <w:tr w:rsidR="00770E7F" w:rsidRPr="006F399F" w14:paraId="0F673962" w14:textId="77777777" w:rsidTr="00770E7F">
        <w:trPr>
          <w:trHeight w:val="283"/>
        </w:trPr>
        <w:tc>
          <w:tcPr>
            <w:tcW w:w="9628" w:type="dxa"/>
            <w:gridSpan w:val="3"/>
            <w:shd w:val="clear" w:color="auto" w:fill="F2F2F2" w:themeFill="background1" w:themeFillShade="F2"/>
            <w:noWrap/>
          </w:tcPr>
          <w:p w14:paraId="34147207" w14:textId="57E308ED" w:rsidR="00770E7F" w:rsidRPr="00C8507A" w:rsidRDefault="00770E7F" w:rsidP="00343EFA">
            <w:pPr>
              <w:tabs>
                <w:tab w:val="clear" w:pos="567"/>
              </w:tabs>
              <w:snapToGrid/>
              <w:rPr>
                <w:rFonts w:asciiTheme="minorBidi" w:hAnsiTheme="minorBidi" w:cstheme="minorBidi"/>
                <w:bCs/>
                <w:snapToGrid/>
                <w:szCs w:val="22"/>
              </w:rPr>
            </w:pPr>
            <w:bookmarkStart w:id="9" w:name="SO_10"/>
            <w:r w:rsidRPr="00C8507A">
              <w:rPr>
                <w:rFonts w:asciiTheme="minorBidi" w:hAnsiTheme="minorBidi" w:cstheme="minorBidi"/>
                <w:bCs/>
                <w:snapToGrid/>
                <w:szCs w:val="22"/>
              </w:rPr>
              <w:t>SO10</w:t>
            </w:r>
            <w:bookmarkEnd w:id="9"/>
            <w:r w:rsidRPr="00C8507A">
              <w:rPr>
                <w:rFonts w:asciiTheme="minorBidi" w:hAnsiTheme="minorBidi" w:cstheme="minorBidi"/>
                <w:bCs/>
                <w:snapToGrid/>
                <w:szCs w:val="22"/>
              </w:rPr>
              <w:t>: Extend systematic observations to understand human impacts on the ocean</w:t>
            </w:r>
          </w:p>
        </w:tc>
      </w:tr>
      <w:tr w:rsidR="0031621C" w:rsidRPr="006F399F" w14:paraId="475BC88F" w14:textId="77777777" w:rsidTr="0031621C">
        <w:trPr>
          <w:trHeight w:val="283"/>
        </w:trPr>
        <w:tc>
          <w:tcPr>
            <w:tcW w:w="1129" w:type="dxa"/>
            <w:noWrap/>
            <w:hideMark/>
          </w:tcPr>
          <w:p w14:paraId="7DD4D2CA"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10.1</w:t>
            </w:r>
          </w:p>
        </w:tc>
        <w:tc>
          <w:tcPr>
            <w:tcW w:w="6663" w:type="dxa"/>
            <w:noWrap/>
            <w:hideMark/>
          </w:tcPr>
          <w:p w14:paraId="68A78D69" w14:textId="284B4535"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Establish coordination </w:t>
            </w:r>
            <w:r w:rsidR="007525A8" w:rsidRPr="00C8507A">
              <w:rPr>
                <w:rFonts w:asciiTheme="minorBidi" w:hAnsiTheme="minorBidi" w:cstheme="minorBidi"/>
                <w:bCs/>
                <w:snapToGrid/>
                <w:szCs w:val="22"/>
              </w:rPr>
              <w:t xml:space="preserve">of an </w:t>
            </w:r>
            <w:r w:rsidRPr="00C8507A">
              <w:rPr>
                <w:rFonts w:asciiTheme="minorBidi" w:hAnsiTheme="minorBidi" w:cstheme="minorBidi"/>
                <w:bCs/>
                <w:snapToGrid/>
                <w:szCs w:val="22"/>
              </w:rPr>
              <w:t>Integrated Marine Debris Observing System</w:t>
            </w:r>
          </w:p>
        </w:tc>
        <w:tc>
          <w:tcPr>
            <w:tcW w:w="1836" w:type="dxa"/>
            <w:hideMark/>
          </w:tcPr>
          <w:p w14:paraId="7EE8E310" w14:textId="32340B2A" w:rsidR="00343EFA" w:rsidRPr="00C8507A" w:rsidRDefault="006F399F"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Single</w:t>
            </w:r>
            <w:r w:rsidR="0031621C" w:rsidRPr="00C8507A">
              <w:rPr>
                <w:rFonts w:asciiTheme="minorBidi" w:hAnsiTheme="minorBidi" w:cstheme="minorBidi"/>
                <w:bCs/>
                <w:snapToGrid/>
                <w:szCs w:val="22"/>
              </w:rPr>
              <w:t xml:space="preserve"> element</w:t>
            </w:r>
          </w:p>
        </w:tc>
      </w:tr>
      <w:tr w:rsidR="0031621C" w:rsidRPr="006F399F" w14:paraId="4FD34FA2" w14:textId="77777777" w:rsidTr="0031621C">
        <w:trPr>
          <w:trHeight w:val="283"/>
        </w:trPr>
        <w:tc>
          <w:tcPr>
            <w:tcW w:w="1129" w:type="dxa"/>
            <w:noWrap/>
            <w:hideMark/>
          </w:tcPr>
          <w:p w14:paraId="2729F795"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10.2</w:t>
            </w:r>
          </w:p>
        </w:tc>
        <w:tc>
          <w:tcPr>
            <w:tcW w:w="6663" w:type="dxa"/>
            <w:noWrap/>
            <w:hideMark/>
          </w:tcPr>
          <w:p w14:paraId="100BDC9C"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Incorporate/link to the human pressure indices</w:t>
            </w:r>
          </w:p>
        </w:tc>
        <w:tc>
          <w:tcPr>
            <w:tcW w:w="1836" w:type="dxa"/>
            <w:hideMark/>
          </w:tcPr>
          <w:p w14:paraId="321AF91B"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Multi element</w:t>
            </w:r>
          </w:p>
        </w:tc>
      </w:tr>
      <w:tr w:rsidR="00770E7F" w:rsidRPr="006F399F" w14:paraId="5E6BA40D" w14:textId="77777777" w:rsidTr="00770E7F">
        <w:trPr>
          <w:trHeight w:val="283"/>
        </w:trPr>
        <w:tc>
          <w:tcPr>
            <w:tcW w:w="9628" w:type="dxa"/>
            <w:gridSpan w:val="3"/>
            <w:shd w:val="clear" w:color="auto" w:fill="F2F2F2" w:themeFill="background1" w:themeFillShade="F2"/>
            <w:noWrap/>
          </w:tcPr>
          <w:p w14:paraId="5F411265" w14:textId="4E596017" w:rsidR="00770E7F" w:rsidRPr="00C8507A" w:rsidRDefault="00770E7F" w:rsidP="009E3769">
            <w:pPr>
              <w:keepNext/>
              <w:tabs>
                <w:tab w:val="clear" w:pos="567"/>
              </w:tabs>
              <w:snapToGrid/>
              <w:rPr>
                <w:rFonts w:asciiTheme="minorBidi" w:hAnsiTheme="minorBidi" w:cstheme="minorBidi"/>
                <w:snapToGrid/>
                <w:color w:val="000000"/>
                <w:szCs w:val="22"/>
              </w:rPr>
            </w:pPr>
            <w:bookmarkStart w:id="10" w:name="SO_11"/>
            <w:r w:rsidRPr="00C8507A">
              <w:rPr>
                <w:rFonts w:asciiTheme="minorBidi" w:hAnsiTheme="minorBidi" w:cstheme="minorBidi"/>
                <w:color w:val="000000"/>
                <w:szCs w:val="22"/>
              </w:rPr>
              <w:t>SO11</w:t>
            </w:r>
            <w:bookmarkEnd w:id="10"/>
            <w:r w:rsidRPr="00C8507A">
              <w:rPr>
                <w:rFonts w:asciiTheme="minorBidi" w:hAnsiTheme="minorBidi" w:cstheme="minorBidi"/>
                <w:color w:val="000000"/>
                <w:szCs w:val="22"/>
              </w:rPr>
              <w:t xml:space="preserve">: Champion effective governance for global in situ and satellite observing, together with partners and stakeholders </w:t>
            </w:r>
          </w:p>
        </w:tc>
      </w:tr>
      <w:tr w:rsidR="0031621C" w:rsidRPr="006F399F" w14:paraId="3EC42EB8" w14:textId="77777777" w:rsidTr="0031621C">
        <w:trPr>
          <w:trHeight w:val="283"/>
        </w:trPr>
        <w:tc>
          <w:tcPr>
            <w:tcW w:w="1129" w:type="dxa"/>
            <w:noWrap/>
            <w:hideMark/>
          </w:tcPr>
          <w:p w14:paraId="78A2D6FC"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11.1</w:t>
            </w:r>
          </w:p>
        </w:tc>
        <w:tc>
          <w:tcPr>
            <w:tcW w:w="6663" w:type="dxa"/>
            <w:noWrap/>
            <w:hideMark/>
          </w:tcPr>
          <w:p w14:paraId="1A1E7949"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GOOS Structure evaluation and evolution</w:t>
            </w:r>
          </w:p>
        </w:tc>
        <w:tc>
          <w:tcPr>
            <w:tcW w:w="1836" w:type="dxa"/>
            <w:hideMark/>
          </w:tcPr>
          <w:p w14:paraId="1E1FA330" w14:textId="3E0E676A"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r w:rsidR="0031621C" w:rsidRPr="006F399F" w14:paraId="279D686E" w14:textId="77777777" w:rsidTr="0031621C">
        <w:trPr>
          <w:trHeight w:val="283"/>
        </w:trPr>
        <w:tc>
          <w:tcPr>
            <w:tcW w:w="1129" w:type="dxa"/>
            <w:noWrap/>
            <w:hideMark/>
          </w:tcPr>
          <w:p w14:paraId="07413139"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11.2</w:t>
            </w:r>
          </w:p>
        </w:tc>
        <w:tc>
          <w:tcPr>
            <w:tcW w:w="6663" w:type="dxa"/>
            <w:noWrap/>
            <w:hideMark/>
          </w:tcPr>
          <w:p w14:paraId="6B0A0C28"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GOOS Governance evolution</w:t>
            </w:r>
          </w:p>
        </w:tc>
        <w:tc>
          <w:tcPr>
            <w:tcW w:w="1836" w:type="dxa"/>
            <w:hideMark/>
          </w:tcPr>
          <w:p w14:paraId="7B813A10" w14:textId="69F513B9"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r w:rsidR="0031621C" w:rsidRPr="006F399F" w14:paraId="564A396A" w14:textId="77777777" w:rsidTr="0031621C">
        <w:trPr>
          <w:trHeight w:val="283"/>
        </w:trPr>
        <w:tc>
          <w:tcPr>
            <w:tcW w:w="1129" w:type="dxa"/>
            <w:noWrap/>
            <w:hideMark/>
          </w:tcPr>
          <w:p w14:paraId="5CBC1E19" w14:textId="77777777" w:rsidR="00343EFA" w:rsidRPr="00C8507A" w:rsidRDefault="00343EFA" w:rsidP="00343EFA">
            <w:pPr>
              <w:tabs>
                <w:tab w:val="clear" w:pos="567"/>
              </w:tabs>
              <w:snapToGrid/>
              <w:jc w:val="right"/>
              <w:rPr>
                <w:rFonts w:asciiTheme="minorBidi" w:hAnsiTheme="minorBidi" w:cstheme="minorBidi"/>
                <w:bCs/>
                <w:snapToGrid/>
                <w:szCs w:val="22"/>
              </w:rPr>
            </w:pPr>
            <w:r w:rsidRPr="00C8507A">
              <w:rPr>
                <w:rFonts w:asciiTheme="minorBidi" w:hAnsiTheme="minorBidi" w:cstheme="minorBidi"/>
                <w:bCs/>
                <w:snapToGrid/>
                <w:szCs w:val="22"/>
              </w:rPr>
              <w:t>11.3</w:t>
            </w:r>
          </w:p>
        </w:tc>
        <w:tc>
          <w:tcPr>
            <w:tcW w:w="6663" w:type="dxa"/>
            <w:noWrap/>
            <w:hideMark/>
          </w:tcPr>
          <w:p w14:paraId="37DB92A1" w14:textId="77777777" w:rsidR="00343EFA" w:rsidRPr="00C8507A" w:rsidRDefault="00343EFA"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 xml:space="preserve">Develop a GOOS Resourcing Team </w:t>
            </w:r>
          </w:p>
        </w:tc>
        <w:tc>
          <w:tcPr>
            <w:tcW w:w="1836" w:type="dxa"/>
            <w:hideMark/>
          </w:tcPr>
          <w:p w14:paraId="7D94F364" w14:textId="4D05450A" w:rsidR="00343EFA" w:rsidRPr="00C8507A" w:rsidRDefault="0031621C" w:rsidP="00343EFA">
            <w:pPr>
              <w:tabs>
                <w:tab w:val="clear" w:pos="567"/>
              </w:tabs>
              <w:snapToGrid/>
              <w:rPr>
                <w:rFonts w:asciiTheme="minorBidi" w:hAnsiTheme="minorBidi" w:cstheme="minorBidi"/>
                <w:bCs/>
                <w:snapToGrid/>
                <w:szCs w:val="22"/>
              </w:rPr>
            </w:pPr>
            <w:r w:rsidRPr="00C8507A">
              <w:rPr>
                <w:rFonts w:asciiTheme="minorBidi" w:hAnsiTheme="minorBidi" w:cstheme="minorBidi"/>
                <w:bCs/>
                <w:snapToGrid/>
                <w:szCs w:val="22"/>
              </w:rPr>
              <w:t>Cross-GOOS</w:t>
            </w:r>
          </w:p>
        </w:tc>
      </w:tr>
    </w:tbl>
    <w:p w14:paraId="22FC5FBE" w14:textId="29356B5B" w:rsidR="009E3769" w:rsidRPr="007525A8" w:rsidRDefault="009E3769" w:rsidP="00B3423A">
      <w:pPr>
        <w:pStyle w:val="COI"/>
      </w:pPr>
      <w:r w:rsidRPr="007525A8">
        <w:t xml:space="preserve">There are </w:t>
      </w:r>
      <w:proofErr w:type="gramStart"/>
      <w:r w:rsidRPr="007525A8">
        <w:t>a large number of</w:t>
      </w:r>
      <w:proofErr w:type="gramEnd"/>
      <w:r w:rsidRPr="007525A8">
        <w:t xml:space="preserve"> actions under </w:t>
      </w:r>
      <w:hyperlink w:anchor="SO_6" w:history="1">
        <w:r w:rsidRPr="006F399F">
          <w:rPr>
            <w:rStyle w:val="Hyperlink"/>
          </w:rPr>
          <w:t>SO6</w:t>
        </w:r>
      </w:hyperlink>
      <w:r w:rsidRPr="007525A8">
        <w:t>, which represents a core area of work of the GOOS Core Team</w:t>
      </w:r>
      <w:r w:rsidR="004C217D" w:rsidRPr="007525A8">
        <w:t>.</w:t>
      </w:r>
      <w:r w:rsidRPr="007525A8">
        <w:t xml:space="preserve"> </w:t>
      </w:r>
      <w:r w:rsidR="004C217D" w:rsidRPr="007525A8">
        <w:t>A</w:t>
      </w:r>
      <w:r w:rsidRPr="007525A8">
        <w:t xml:space="preserve"> large number of activities in data (</w:t>
      </w:r>
      <w:hyperlink w:anchor="SO_7" w:history="1">
        <w:r w:rsidRPr="006F399F">
          <w:rPr>
            <w:rStyle w:val="Hyperlink"/>
          </w:rPr>
          <w:t>SO7</w:t>
        </w:r>
      </w:hyperlink>
      <w:r w:rsidRPr="007525A8">
        <w:t>) and capacity development (</w:t>
      </w:r>
      <w:hyperlink w:anchor="SO_9" w:history="1">
        <w:r w:rsidRPr="006F399F">
          <w:rPr>
            <w:rStyle w:val="Hyperlink"/>
          </w:rPr>
          <w:t>SO9</w:t>
        </w:r>
      </w:hyperlink>
      <w:r w:rsidRPr="007525A8">
        <w:t xml:space="preserve">) indicate areas where further consolidation of single element actions </w:t>
      </w:r>
      <w:r w:rsidR="000B2D6B" w:rsidRPr="007525A8">
        <w:t>will</w:t>
      </w:r>
      <w:r w:rsidRPr="007525A8">
        <w:t xml:space="preserve"> likely increase impact. Compared to the five identified priority Strategic Objectives (marked in bold in the table), the linked </w:t>
      </w:r>
      <w:hyperlink w:anchor="SO_1" w:history="1">
        <w:r w:rsidRPr="006F399F">
          <w:rPr>
            <w:rStyle w:val="Hyperlink"/>
          </w:rPr>
          <w:t>SO1</w:t>
        </w:r>
      </w:hyperlink>
      <w:r w:rsidRPr="007525A8">
        <w:t xml:space="preserve"> and </w:t>
      </w:r>
      <w:hyperlink w:anchor="SO_2" w:history="1">
        <w:r w:rsidRPr="006F399F">
          <w:rPr>
            <w:rStyle w:val="Hyperlink"/>
          </w:rPr>
          <w:t>SO2</w:t>
        </w:r>
      </w:hyperlink>
      <w:r w:rsidRPr="007525A8">
        <w:t xml:space="preserve"> </w:t>
      </w:r>
      <w:r w:rsidR="004C217D" w:rsidRPr="007525A8">
        <w:t xml:space="preserve">will </w:t>
      </w:r>
      <w:r w:rsidRPr="007525A8">
        <w:t>require more focus moving forward, with the development of long</w:t>
      </w:r>
      <w:r w:rsidR="004C217D" w:rsidRPr="007525A8">
        <w:t>-</w:t>
      </w:r>
      <w:r w:rsidRPr="007525A8">
        <w:t>term plans. Significant collaboration across the elements of the GOOS Core Team is envisioned</w:t>
      </w:r>
      <w:r w:rsidR="003354F1" w:rsidRPr="007525A8">
        <w:t xml:space="preserve"> in the actions identified, </w:t>
      </w:r>
      <w:r w:rsidR="004429FB" w:rsidRPr="007525A8">
        <w:t>which is a positive outcome that also requires support</w:t>
      </w:r>
      <w:r w:rsidR="003354F1" w:rsidRPr="007525A8">
        <w:t>.</w:t>
      </w:r>
    </w:p>
    <w:p w14:paraId="36B747A3" w14:textId="337F800F" w:rsidR="005B5174" w:rsidRDefault="004429FB" w:rsidP="00B3423A">
      <w:pPr>
        <w:pStyle w:val="COI"/>
      </w:pPr>
      <w:proofErr w:type="gramStart"/>
      <w:r w:rsidRPr="007525A8">
        <w:t>A large number of</w:t>
      </w:r>
      <w:proofErr w:type="gramEnd"/>
      <w:r w:rsidRPr="007525A8">
        <w:t xml:space="preserve"> partner programmes and organizations are identified in the actions. The most </w:t>
      </w:r>
      <w:proofErr w:type="gramStart"/>
      <w:r w:rsidRPr="007525A8">
        <w:t>frequent</w:t>
      </w:r>
      <w:r w:rsidR="004C217D" w:rsidRPr="007525A8">
        <w:t>ly-identified</w:t>
      </w:r>
      <w:proofErr w:type="gramEnd"/>
      <w:r w:rsidRPr="007525A8">
        <w:t xml:space="preserve"> partners are IODE, the World Meteorological Organization, and OceanPredict, and these </w:t>
      </w:r>
      <w:r w:rsidR="004C217D" w:rsidRPr="007525A8">
        <w:t>core</w:t>
      </w:r>
      <w:r w:rsidRPr="007525A8">
        <w:t xml:space="preserve"> partners </w:t>
      </w:r>
      <w:r w:rsidR="004C217D" w:rsidRPr="007525A8">
        <w:t>of GOOS require strategic links to be carefully maintained and expanded</w:t>
      </w:r>
      <w:r w:rsidRPr="007525A8">
        <w:t>.</w:t>
      </w:r>
    </w:p>
    <w:p w14:paraId="3D60910C" w14:textId="13F25C19" w:rsidR="009E6B5B" w:rsidRPr="00287B8D" w:rsidRDefault="009E6B5B" w:rsidP="00287B8D">
      <w:pPr>
        <w:pStyle w:val="Heading3"/>
      </w:pPr>
      <w:r w:rsidRPr="00287B8D">
        <w:t>Impact analysis</w:t>
      </w:r>
    </w:p>
    <w:p w14:paraId="53C3F735" w14:textId="5FD05F1A" w:rsidR="009E6B5B" w:rsidRPr="00C8507A" w:rsidRDefault="009E6B5B" w:rsidP="00B3423A">
      <w:pPr>
        <w:pStyle w:val="COI"/>
        <w:rPr>
          <w:b/>
        </w:rPr>
      </w:pPr>
      <w:r w:rsidRPr="007525A8">
        <w:t xml:space="preserve">The </w:t>
      </w:r>
      <w:r w:rsidRPr="007525A8">
        <w:rPr>
          <w:i/>
          <w:iCs/>
        </w:rPr>
        <w:t>Roadmap for the Implementation of the Global Ocean Observing System 2030 Strategy</w:t>
      </w:r>
      <w:r w:rsidRPr="007525A8">
        <w:t xml:space="preserve"> (</w:t>
      </w:r>
      <w:hyperlink r:id="rId16" w:history="1">
        <w:r w:rsidRPr="007525A8">
          <w:rPr>
            <w:rStyle w:val="Hyperlink"/>
          </w:rPr>
          <w:t>GOOS Report No. 249</w:t>
        </w:r>
      </w:hyperlink>
      <w:r w:rsidRPr="007525A8">
        <w:t xml:space="preserve">) gives more detail on the broad issues, implementation, and desired outcomes for each of the Strategic Objectives in the </w:t>
      </w:r>
      <w:r w:rsidRPr="00B8313D">
        <w:t>2030 Strategy</w:t>
      </w:r>
      <w:r w:rsidRPr="007525A8">
        <w:t xml:space="preserve">. Looking at the collective impact of the planned actions in the GOOS Implementation Plan and comparing their level of ambition with the </w:t>
      </w:r>
      <w:r w:rsidRPr="007525A8">
        <w:rPr>
          <w:i/>
          <w:iCs/>
        </w:rPr>
        <w:t>Roadmap</w:t>
      </w:r>
      <w:r w:rsidRPr="007525A8">
        <w:t xml:space="preserve"> (table below) reinforces the need for GOOS to boost planning internally and with partners in certain areas, while also identifying where we expect to have the greatest impact in the medium term.</w:t>
      </w:r>
    </w:p>
    <w:p w14:paraId="059E297F" w14:textId="634D3D98" w:rsidR="009E6B5B" w:rsidRDefault="009E6B5B" w:rsidP="009E6B5B">
      <w:pPr>
        <w:pStyle w:val="Heading3"/>
      </w:pPr>
      <w:r w:rsidRPr="007525A8">
        <w:rPr>
          <w:noProof/>
          <w:snapToGrid/>
        </w:rPr>
        <w:lastRenderedPageBreak/>
        <w:drawing>
          <wp:anchor distT="0" distB="0" distL="114300" distR="114300" simplePos="0" relativeHeight="251658240" behindDoc="1" locked="0" layoutInCell="1" allowOverlap="1" wp14:anchorId="539D499E" wp14:editId="1B6D4CF3">
            <wp:simplePos x="0" y="0"/>
            <wp:positionH relativeFrom="column">
              <wp:posOffset>598805</wp:posOffset>
            </wp:positionH>
            <wp:positionV relativeFrom="page">
              <wp:posOffset>990986</wp:posOffset>
            </wp:positionV>
            <wp:extent cx="5173345" cy="2983230"/>
            <wp:effectExtent l="0" t="0" r="8255" b="7620"/>
            <wp:wrapTight wrapText="bothSides">
              <wp:wrapPolygon edited="0">
                <wp:start x="0" y="0"/>
                <wp:lineTo x="0" y="21517"/>
                <wp:lineTo x="21555" y="21517"/>
                <wp:lineTo x="21555"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6F5C3EA7" w14:textId="77777777" w:rsidR="009E6B5B" w:rsidRDefault="009E6B5B" w:rsidP="009E6B5B">
      <w:pPr>
        <w:pStyle w:val="Heading3"/>
      </w:pPr>
    </w:p>
    <w:p w14:paraId="67AD9D6A" w14:textId="77777777" w:rsidR="009E6B5B" w:rsidRDefault="009E6B5B" w:rsidP="009E6B5B">
      <w:pPr>
        <w:pStyle w:val="Heading3"/>
      </w:pPr>
    </w:p>
    <w:p w14:paraId="6FE2568B" w14:textId="3DA8CA84" w:rsidR="009E6B5B" w:rsidRDefault="009E6B5B" w:rsidP="009E6B5B">
      <w:pPr>
        <w:pStyle w:val="Heading3"/>
      </w:pPr>
    </w:p>
    <w:p w14:paraId="0F6DFEA0" w14:textId="77777777" w:rsidR="009E6B5B" w:rsidRPr="00853E68" w:rsidRDefault="009E6B5B" w:rsidP="00C8507A">
      <w:pPr>
        <w:pStyle w:val="Marge"/>
      </w:pPr>
    </w:p>
    <w:p w14:paraId="17CF9232" w14:textId="77777777" w:rsidR="009E6B5B" w:rsidRDefault="009E6B5B" w:rsidP="009E6B5B">
      <w:pPr>
        <w:pStyle w:val="Heading3"/>
      </w:pPr>
    </w:p>
    <w:p w14:paraId="25F45440" w14:textId="7107860B" w:rsidR="009E6B5B" w:rsidRPr="007525A8" w:rsidRDefault="009E6B5B" w:rsidP="00C8507A">
      <w:pPr>
        <w:pStyle w:val="Heading3"/>
      </w:pPr>
    </w:p>
    <w:p w14:paraId="34CBDCDB" w14:textId="68A076EE" w:rsidR="000B2D6B" w:rsidRPr="007525A8" w:rsidRDefault="000B2D6B" w:rsidP="00B3423A">
      <w:pPr>
        <w:pStyle w:val="COI"/>
        <w:numPr>
          <w:ilvl w:val="0"/>
          <w:numId w:val="0"/>
        </w:numPr>
      </w:pPr>
    </w:p>
    <w:p w14:paraId="1EAE5E0C" w14:textId="181D971B" w:rsidR="00793A73" w:rsidRPr="007525A8" w:rsidRDefault="00C72275" w:rsidP="00B3423A">
      <w:pPr>
        <w:pStyle w:val="COI"/>
      </w:pPr>
      <w:r w:rsidRPr="007525A8">
        <w:t>With present plans, certain areas (</w:t>
      </w:r>
      <w:hyperlink w:anchor="SO_1" w:history="1">
        <w:r w:rsidRPr="006F399F">
          <w:rPr>
            <w:rStyle w:val="Hyperlink"/>
          </w:rPr>
          <w:t>SO1</w:t>
        </w:r>
      </w:hyperlink>
      <w:r w:rsidRPr="007525A8">
        <w:t xml:space="preserve">, </w:t>
      </w:r>
      <w:hyperlink w:anchor="SO_4" w:history="1">
        <w:r w:rsidRPr="006F399F">
          <w:rPr>
            <w:rStyle w:val="Hyperlink"/>
          </w:rPr>
          <w:t>SO4</w:t>
        </w:r>
      </w:hyperlink>
      <w:r w:rsidRPr="007525A8">
        <w:t xml:space="preserve">, </w:t>
      </w:r>
      <w:hyperlink w:anchor="SO_9" w:history="1">
        <w:r w:rsidRPr="006F399F">
          <w:rPr>
            <w:rStyle w:val="Hyperlink"/>
          </w:rPr>
          <w:t>SO9</w:t>
        </w:r>
      </w:hyperlink>
      <w:r w:rsidRPr="007525A8">
        <w:t xml:space="preserve">, </w:t>
      </w:r>
      <w:hyperlink w:anchor="SO_10" w:history="1">
        <w:r w:rsidRPr="006F399F">
          <w:rPr>
            <w:rStyle w:val="Hyperlink"/>
          </w:rPr>
          <w:t>SO10</w:t>
        </w:r>
      </w:hyperlink>
      <w:r w:rsidRPr="007525A8">
        <w:t xml:space="preserve">, and </w:t>
      </w:r>
      <w:hyperlink w:anchor="SO_11" w:history="1">
        <w:r w:rsidRPr="006F399F">
          <w:rPr>
            <w:rStyle w:val="Hyperlink"/>
          </w:rPr>
          <w:t>SO11</w:t>
        </w:r>
      </w:hyperlink>
      <w:r w:rsidRPr="007525A8">
        <w:t>) will need future reinforcement</w:t>
      </w:r>
      <w:r w:rsidR="007525A8" w:rsidRPr="007525A8">
        <w:t>,</w:t>
      </w:r>
      <w:r w:rsidRPr="007525A8">
        <w:t xml:space="preserve"> as they lack in ambition. The core </w:t>
      </w:r>
      <w:hyperlink w:anchor="SO_6" w:history="1">
        <w:r w:rsidRPr="006F399F">
          <w:rPr>
            <w:rStyle w:val="Hyperlink"/>
          </w:rPr>
          <w:t>Strategic Objective 6</w:t>
        </w:r>
      </w:hyperlink>
      <w:r w:rsidRPr="007525A8">
        <w:t xml:space="preserve">, which is the target of </w:t>
      </w:r>
      <w:r w:rsidR="007525A8" w:rsidRPr="007525A8">
        <w:t>substantial</w:t>
      </w:r>
      <w:r w:rsidRPr="007525A8">
        <w:t xml:space="preserve"> resources at the moment, is not hitting all the elements foreseen in the </w:t>
      </w:r>
      <w:r w:rsidRPr="007525A8">
        <w:rPr>
          <w:i/>
          <w:iCs/>
        </w:rPr>
        <w:t>Roadmap</w:t>
      </w:r>
      <w:r w:rsidRPr="007525A8">
        <w:t xml:space="preserve">. Overall, the planning process going forward </w:t>
      </w:r>
      <w:r w:rsidR="00A93CB3" w:rsidRPr="007525A8">
        <w:t>will</w:t>
      </w:r>
      <w:r w:rsidRPr="007525A8">
        <w:t xml:space="preserve"> work to tight</w:t>
      </w:r>
      <w:r w:rsidR="00A93CB3" w:rsidRPr="007525A8">
        <w:t>en</w:t>
      </w:r>
      <w:r w:rsidRPr="007525A8">
        <w:t xml:space="preserve"> expressions of the impacts and benefits of each action, and how they fit together into an overall expected impact</w:t>
      </w:r>
      <w:r w:rsidR="00A93CB3" w:rsidRPr="007525A8">
        <w:t xml:space="preserve"> for the Global Ocean Observing System</w:t>
      </w:r>
      <w:r w:rsidRPr="007525A8">
        <w:t xml:space="preserve">. </w:t>
      </w:r>
    </w:p>
    <w:p w14:paraId="225AA9CF" w14:textId="684CC387" w:rsidR="00793A73" w:rsidRPr="007525A8" w:rsidRDefault="00793A73" w:rsidP="00793A73">
      <w:pPr>
        <w:pStyle w:val="Heading3"/>
      </w:pPr>
      <w:r w:rsidRPr="007525A8">
        <w:t>Priorities</w:t>
      </w:r>
    </w:p>
    <w:p w14:paraId="78ADAC19" w14:textId="2F58153D" w:rsidR="00793A73" w:rsidRPr="007525A8" w:rsidRDefault="00A93CB3" w:rsidP="00B3423A">
      <w:pPr>
        <w:pStyle w:val="COI"/>
      </w:pPr>
      <w:r w:rsidRPr="007525A8">
        <w:t xml:space="preserve">The GOOS Steering Committee decided that priorities for GOOS implementation should include increasing the focus and resources for </w:t>
      </w:r>
      <w:hyperlink w:anchor="SO_1" w:history="1">
        <w:r w:rsidRPr="00117356">
          <w:rPr>
            <w:rStyle w:val="Hyperlink"/>
          </w:rPr>
          <w:t>SO1</w:t>
        </w:r>
      </w:hyperlink>
      <w:r w:rsidRPr="007525A8">
        <w:t xml:space="preserve"> partnerships for delivery and</w:t>
      </w:r>
      <w:hyperlink w:anchor="SO_2" w:history="1">
        <w:r w:rsidRPr="00117356">
          <w:rPr>
            <w:rStyle w:val="Hyperlink"/>
          </w:rPr>
          <w:t xml:space="preserve"> SO2</w:t>
        </w:r>
      </w:hyperlink>
      <w:r w:rsidRPr="007525A8">
        <w:t xml:space="preserve"> advocacy and communications. It will work</w:t>
      </w:r>
      <w:r w:rsidR="007525A8" w:rsidRPr="007525A8">
        <w:t xml:space="preserve"> with the Core Team</w:t>
      </w:r>
      <w:r w:rsidRPr="007525A8">
        <w:t xml:space="preserve"> to connect the many single actions in </w:t>
      </w:r>
      <w:hyperlink w:anchor="SO_7" w:history="1">
        <w:r w:rsidRPr="00117356">
          <w:rPr>
            <w:rStyle w:val="Hyperlink"/>
          </w:rPr>
          <w:t>SO7</w:t>
        </w:r>
      </w:hyperlink>
      <w:r w:rsidRPr="007525A8">
        <w:t xml:space="preserve"> on FAIR data, working closely with IODE, and to work on larger partnerships to increase the impact and longer-term strategic view of actions in </w:t>
      </w:r>
      <w:hyperlink w:anchor="SO_9" w:history="1">
        <w:r w:rsidRPr="00117356">
          <w:rPr>
            <w:rStyle w:val="Hyperlink"/>
          </w:rPr>
          <w:t>SO9</w:t>
        </w:r>
      </w:hyperlink>
      <w:r w:rsidRPr="007525A8">
        <w:t xml:space="preserve"> capacity development. The Ocean Decade Programmes will be integrated into the implementation plan as they develop. </w:t>
      </w:r>
      <w:r w:rsidR="007525A8" w:rsidRPr="007525A8">
        <w:t>The Steering Committee will prioritize actions based on the resources available on an ongoing basis.</w:t>
      </w:r>
    </w:p>
    <w:p w14:paraId="7D1BA06F" w14:textId="3BA05DC3" w:rsidR="005B5174" w:rsidRPr="007525A8" w:rsidRDefault="005B5174" w:rsidP="005B5174">
      <w:pPr>
        <w:pStyle w:val="Heading3"/>
      </w:pPr>
      <w:r w:rsidRPr="007525A8">
        <w:t>Resource requirements</w:t>
      </w:r>
    </w:p>
    <w:p w14:paraId="70C4BBB3" w14:textId="4C825433" w:rsidR="00117356" w:rsidRDefault="0068104A" w:rsidP="00B3423A">
      <w:pPr>
        <w:pStyle w:val="COI"/>
      </w:pPr>
      <w:r w:rsidRPr="007525A8">
        <w:t xml:space="preserve">The GOOS Core Team is supported by a distributed GOOS Office which today has 14.25 full-time equivalent staff members, </w:t>
      </w:r>
      <w:proofErr w:type="gramStart"/>
      <w:r w:rsidRPr="007525A8">
        <w:t>distributed</w:t>
      </w:r>
      <w:proofErr w:type="gramEnd"/>
      <w:r w:rsidRPr="007525A8">
        <w:t xml:space="preserve"> and funded as indicated in the table below. </w:t>
      </w:r>
    </w:p>
    <w:tbl>
      <w:tblPr>
        <w:tblW w:w="8916" w:type="dxa"/>
        <w:jc w:val="center"/>
        <w:tblLook w:val="04A0" w:firstRow="1" w:lastRow="0" w:firstColumn="1" w:lastColumn="0" w:noHBand="0" w:noVBand="1"/>
      </w:tblPr>
      <w:tblGrid>
        <w:gridCol w:w="1970"/>
        <w:gridCol w:w="1685"/>
        <w:gridCol w:w="3134"/>
        <w:gridCol w:w="2127"/>
      </w:tblGrid>
      <w:tr w:rsidR="0068104A" w:rsidRPr="00117356" w14:paraId="5886D320" w14:textId="77777777" w:rsidTr="00C8507A">
        <w:trPr>
          <w:trHeight w:val="283"/>
          <w:tblHeader/>
          <w:jc w:val="center"/>
        </w:trPr>
        <w:tc>
          <w:tcPr>
            <w:tcW w:w="1970" w:type="dxa"/>
            <w:tcBorders>
              <w:top w:val="single" w:sz="12" w:space="0" w:color="000000"/>
              <w:left w:val="single" w:sz="12" w:space="0" w:color="000000"/>
              <w:bottom w:val="single" w:sz="12" w:space="0" w:color="000000"/>
              <w:right w:val="single" w:sz="8" w:space="0" w:color="000000"/>
            </w:tcBorders>
            <w:shd w:val="clear" w:color="auto" w:fill="auto"/>
            <w:vAlign w:val="center"/>
            <w:hideMark/>
          </w:tcPr>
          <w:p w14:paraId="5EF27008" w14:textId="53F69777" w:rsidR="004429FB" w:rsidRPr="00C8507A" w:rsidRDefault="004429FB" w:rsidP="0068104A">
            <w:pPr>
              <w:tabs>
                <w:tab w:val="clear" w:pos="567"/>
              </w:tabs>
              <w:snapToGrid/>
              <w:rPr>
                <w:rFonts w:asciiTheme="minorBidi" w:hAnsiTheme="minorBidi" w:cstheme="minorBidi"/>
                <w:b/>
                <w:bCs/>
                <w:snapToGrid/>
                <w:color w:val="000000"/>
                <w:szCs w:val="22"/>
              </w:rPr>
            </w:pPr>
            <w:r w:rsidRPr="00C8507A">
              <w:rPr>
                <w:rFonts w:asciiTheme="minorBidi" w:hAnsiTheme="minorBidi" w:cstheme="minorBidi"/>
                <w:b/>
                <w:bCs/>
                <w:snapToGrid/>
                <w:color w:val="000000"/>
                <w:szCs w:val="22"/>
              </w:rPr>
              <w:t xml:space="preserve">GOOS </w:t>
            </w:r>
            <w:r w:rsidR="0068104A" w:rsidRPr="00C8507A">
              <w:rPr>
                <w:rFonts w:asciiTheme="minorBidi" w:hAnsiTheme="minorBidi" w:cstheme="minorBidi"/>
                <w:b/>
                <w:bCs/>
                <w:snapToGrid/>
                <w:color w:val="000000"/>
                <w:szCs w:val="22"/>
              </w:rPr>
              <w:t>Office element</w:t>
            </w:r>
          </w:p>
        </w:tc>
        <w:tc>
          <w:tcPr>
            <w:tcW w:w="1685" w:type="dxa"/>
            <w:tcBorders>
              <w:top w:val="single" w:sz="12" w:space="0" w:color="000000"/>
              <w:left w:val="nil"/>
              <w:bottom w:val="single" w:sz="12" w:space="0" w:color="000000"/>
              <w:right w:val="single" w:sz="8" w:space="0" w:color="000000"/>
            </w:tcBorders>
            <w:shd w:val="clear" w:color="auto" w:fill="auto"/>
            <w:vAlign w:val="center"/>
            <w:hideMark/>
          </w:tcPr>
          <w:p w14:paraId="15C0BCAC" w14:textId="0F9C7F44" w:rsidR="004429FB" w:rsidRPr="00C8507A" w:rsidRDefault="0068104A" w:rsidP="0068104A">
            <w:pPr>
              <w:tabs>
                <w:tab w:val="clear" w:pos="567"/>
              </w:tabs>
              <w:snapToGrid/>
              <w:rPr>
                <w:rFonts w:asciiTheme="minorBidi" w:hAnsiTheme="minorBidi" w:cstheme="minorBidi"/>
                <w:b/>
                <w:bCs/>
                <w:snapToGrid/>
                <w:color w:val="000000"/>
                <w:szCs w:val="22"/>
              </w:rPr>
            </w:pPr>
            <w:r w:rsidRPr="00C8507A">
              <w:rPr>
                <w:rFonts w:asciiTheme="minorBidi" w:eastAsia="Arial" w:hAnsiTheme="minorBidi" w:cstheme="minorBidi"/>
                <w:b/>
                <w:bCs/>
                <w:snapToGrid/>
                <w:color w:val="000000"/>
                <w:szCs w:val="22"/>
              </w:rPr>
              <w:t>Full-time equivalents</w:t>
            </w:r>
          </w:p>
        </w:tc>
        <w:tc>
          <w:tcPr>
            <w:tcW w:w="3134" w:type="dxa"/>
            <w:tcBorders>
              <w:top w:val="single" w:sz="12" w:space="0" w:color="000000"/>
              <w:left w:val="nil"/>
              <w:bottom w:val="single" w:sz="12" w:space="0" w:color="000000"/>
              <w:right w:val="single" w:sz="8" w:space="0" w:color="000000"/>
            </w:tcBorders>
            <w:shd w:val="clear" w:color="auto" w:fill="auto"/>
            <w:vAlign w:val="center"/>
            <w:hideMark/>
          </w:tcPr>
          <w:p w14:paraId="1E12DD31" w14:textId="77777777" w:rsidR="004429FB" w:rsidRPr="00C8507A" w:rsidRDefault="004429FB" w:rsidP="0068104A">
            <w:pPr>
              <w:tabs>
                <w:tab w:val="clear" w:pos="567"/>
              </w:tabs>
              <w:snapToGrid/>
              <w:rPr>
                <w:rFonts w:asciiTheme="minorBidi" w:hAnsiTheme="minorBidi" w:cstheme="minorBidi"/>
                <w:b/>
                <w:bCs/>
                <w:snapToGrid/>
                <w:color w:val="000000"/>
                <w:szCs w:val="22"/>
              </w:rPr>
            </w:pPr>
            <w:r w:rsidRPr="00C8507A">
              <w:rPr>
                <w:rFonts w:asciiTheme="minorBidi" w:hAnsiTheme="minorBidi" w:cstheme="minorBidi"/>
                <w:b/>
                <w:bCs/>
                <w:snapToGrid/>
                <w:color w:val="000000"/>
                <w:szCs w:val="22"/>
              </w:rPr>
              <w:t>Funding source</w:t>
            </w:r>
          </w:p>
        </w:tc>
        <w:tc>
          <w:tcPr>
            <w:tcW w:w="2127" w:type="dxa"/>
            <w:tcBorders>
              <w:top w:val="single" w:sz="12" w:space="0" w:color="000000"/>
              <w:left w:val="nil"/>
              <w:bottom w:val="single" w:sz="12" w:space="0" w:color="000000"/>
              <w:right w:val="single" w:sz="12" w:space="0" w:color="000000"/>
            </w:tcBorders>
            <w:shd w:val="clear" w:color="auto" w:fill="auto"/>
            <w:vAlign w:val="center"/>
            <w:hideMark/>
          </w:tcPr>
          <w:p w14:paraId="54BC57F2" w14:textId="77777777" w:rsidR="004429FB" w:rsidRPr="00C8507A" w:rsidRDefault="004429FB" w:rsidP="0068104A">
            <w:pPr>
              <w:tabs>
                <w:tab w:val="clear" w:pos="567"/>
              </w:tabs>
              <w:snapToGrid/>
              <w:rPr>
                <w:rFonts w:asciiTheme="minorBidi" w:hAnsiTheme="minorBidi" w:cstheme="minorBidi"/>
                <w:b/>
                <w:bCs/>
                <w:snapToGrid/>
                <w:color w:val="000000"/>
                <w:szCs w:val="22"/>
              </w:rPr>
            </w:pPr>
            <w:r w:rsidRPr="00C8507A">
              <w:rPr>
                <w:rFonts w:asciiTheme="minorBidi" w:hAnsiTheme="minorBidi" w:cstheme="minorBidi"/>
                <w:b/>
                <w:bCs/>
                <w:snapToGrid/>
                <w:color w:val="000000"/>
                <w:szCs w:val="22"/>
              </w:rPr>
              <w:t>Location</w:t>
            </w:r>
          </w:p>
        </w:tc>
      </w:tr>
      <w:tr w:rsidR="0068104A" w:rsidRPr="00117356" w14:paraId="628CBABF"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475E6843"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Core Coordination</w:t>
            </w:r>
          </w:p>
        </w:tc>
        <w:tc>
          <w:tcPr>
            <w:tcW w:w="1685" w:type="dxa"/>
            <w:tcBorders>
              <w:top w:val="nil"/>
              <w:left w:val="nil"/>
              <w:bottom w:val="single" w:sz="8" w:space="0" w:color="000000"/>
              <w:right w:val="single" w:sz="8" w:space="0" w:color="000000"/>
            </w:tcBorders>
            <w:shd w:val="clear" w:color="auto" w:fill="auto"/>
            <w:hideMark/>
          </w:tcPr>
          <w:p w14:paraId="0BD2B2ED" w14:textId="77777777" w:rsidR="004429FB" w:rsidRPr="00C8507A" w:rsidRDefault="004429FB" w:rsidP="00B3423A">
            <w:pPr>
              <w:tabs>
                <w:tab w:val="clear" w:pos="567"/>
              </w:tabs>
              <w:snapToGrid/>
              <w:ind w:right="299"/>
              <w:jc w:val="right"/>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2.65</w:t>
            </w:r>
          </w:p>
        </w:tc>
        <w:tc>
          <w:tcPr>
            <w:tcW w:w="3134" w:type="dxa"/>
            <w:tcBorders>
              <w:top w:val="nil"/>
              <w:left w:val="nil"/>
              <w:bottom w:val="single" w:sz="8" w:space="0" w:color="000000"/>
              <w:right w:val="single" w:sz="8" w:space="0" w:color="000000"/>
            </w:tcBorders>
            <w:shd w:val="clear" w:color="auto" w:fill="auto"/>
            <w:hideMark/>
          </w:tcPr>
          <w:p w14:paraId="2D26E6BF"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IOC</w:t>
            </w:r>
          </w:p>
        </w:tc>
        <w:tc>
          <w:tcPr>
            <w:tcW w:w="2127" w:type="dxa"/>
            <w:tcBorders>
              <w:top w:val="nil"/>
              <w:left w:val="nil"/>
              <w:bottom w:val="single" w:sz="8" w:space="0" w:color="000000"/>
              <w:right w:val="single" w:sz="12" w:space="0" w:color="000000"/>
            </w:tcBorders>
            <w:shd w:val="clear" w:color="auto" w:fill="auto"/>
            <w:hideMark/>
          </w:tcPr>
          <w:p w14:paraId="486EED27"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Paris, France</w:t>
            </w:r>
          </w:p>
        </w:tc>
      </w:tr>
      <w:tr w:rsidR="0068104A" w:rsidRPr="00117356" w14:paraId="1D76A729"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4BE51976"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OOPC</w:t>
            </w:r>
          </w:p>
        </w:tc>
        <w:tc>
          <w:tcPr>
            <w:tcW w:w="1685" w:type="dxa"/>
            <w:tcBorders>
              <w:top w:val="nil"/>
              <w:left w:val="nil"/>
              <w:bottom w:val="single" w:sz="8" w:space="0" w:color="000000"/>
              <w:right w:val="single" w:sz="8" w:space="0" w:color="000000"/>
            </w:tcBorders>
            <w:shd w:val="clear" w:color="auto" w:fill="auto"/>
            <w:hideMark/>
          </w:tcPr>
          <w:p w14:paraId="2F0EA92C" w14:textId="77777777" w:rsidR="004429FB" w:rsidRPr="00C8507A" w:rsidRDefault="004429FB" w:rsidP="00B3423A">
            <w:pPr>
              <w:tabs>
                <w:tab w:val="clear" w:pos="567"/>
              </w:tabs>
              <w:snapToGrid/>
              <w:ind w:right="299"/>
              <w:jc w:val="right"/>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1</w:t>
            </w:r>
          </w:p>
        </w:tc>
        <w:tc>
          <w:tcPr>
            <w:tcW w:w="3134" w:type="dxa"/>
            <w:tcBorders>
              <w:top w:val="nil"/>
              <w:left w:val="nil"/>
              <w:bottom w:val="single" w:sz="8" w:space="0" w:color="000000"/>
              <w:right w:val="single" w:sz="8" w:space="0" w:color="000000"/>
            </w:tcBorders>
            <w:shd w:val="clear" w:color="auto" w:fill="auto"/>
            <w:hideMark/>
          </w:tcPr>
          <w:p w14:paraId="607CC6A3" w14:textId="70890AED" w:rsidR="004429FB" w:rsidRPr="00C8507A" w:rsidRDefault="0068104A"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 xml:space="preserve">USA </w:t>
            </w:r>
            <w:r w:rsidR="004429FB" w:rsidRPr="00C8507A">
              <w:rPr>
                <w:rFonts w:asciiTheme="minorBidi" w:eastAsia="Arial" w:hAnsiTheme="minorBidi" w:cstheme="minorBidi"/>
                <w:snapToGrid/>
                <w:color w:val="000000"/>
                <w:szCs w:val="22"/>
              </w:rPr>
              <w:t>NOAA</w:t>
            </w:r>
          </w:p>
        </w:tc>
        <w:tc>
          <w:tcPr>
            <w:tcW w:w="2127" w:type="dxa"/>
            <w:tcBorders>
              <w:top w:val="nil"/>
              <w:left w:val="nil"/>
              <w:bottom w:val="single" w:sz="8" w:space="0" w:color="000000"/>
              <w:right w:val="single" w:sz="12" w:space="0" w:color="000000"/>
            </w:tcBorders>
            <w:shd w:val="clear" w:color="auto" w:fill="auto"/>
            <w:hideMark/>
          </w:tcPr>
          <w:p w14:paraId="2DDD4A43" w14:textId="0D7E75E5"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Geneva (WMO), Switzerland</w:t>
            </w:r>
          </w:p>
        </w:tc>
      </w:tr>
      <w:tr w:rsidR="0068104A" w:rsidRPr="00117356" w14:paraId="18056C38"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6BF799EC"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BGC Panel</w:t>
            </w:r>
          </w:p>
        </w:tc>
        <w:tc>
          <w:tcPr>
            <w:tcW w:w="1685" w:type="dxa"/>
            <w:tcBorders>
              <w:top w:val="nil"/>
              <w:left w:val="nil"/>
              <w:bottom w:val="single" w:sz="8" w:space="0" w:color="000000"/>
              <w:right w:val="single" w:sz="8" w:space="0" w:color="000000"/>
            </w:tcBorders>
            <w:shd w:val="clear" w:color="auto" w:fill="auto"/>
            <w:hideMark/>
          </w:tcPr>
          <w:p w14:paraId="14D8DE42" w14:textId="77777777" w:rsidR="004429FB" w:rsidRPr="00C8507A" w:rsidRDefault="004429FB" w:rsidP="00B3423A">
            <w:pPr>
              <w:tabs>
                <w:tab w:val="clear" w:pos="567"/>
              </w:tabs>
              <w:snapToGrid/>
              <w:ind w:right="299"/>
              <w:jc w:val="right"/>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2</w:t>
            </w:r>
          </w:p>
        </w:tc>
        <w:tc>
          <w:tcPr>
            <w:tcW w:w="3134" w:type="dxa"/>
            <w:tcBorders>
              <w:top w:val="nil"/>
              <w:left w:val="nil"/>
              <w:bottom w:val="single" w:sz="8" w:space="0" w:color="000000"/>
              <w:right w:val="single" w:sz="8" w:space="0" w:color="000000"/>
            </w:tcBorders>
            <w:shd w:val="clear" w:color="auto" w:fill="auto"/>
            <w:hideMark/>
          </w:tcPr>
          <w:p w14:paraId="5ED356A0" w14:textId="33FD0A3C" w:rsidR="004429FB" w:rsidRPr="00C8507A" w:rsidRDefault="0068104A" w:rsidP="0068104A">
            <w:pPr>
              <w:tabs>
                <w:tab w:val="clear" w:pos="567"/>
              </w:tabs>
              <w:snapToGrid/>
              <w:rPr>
                <w:rFonts w:asciiTheme="minorBidi" w:hAnsiTheme="minorBidi" w:cstheme="minorBidi"/>
                <w:snapToGrid/>
                <w:color w:val="000000"/>
                <w:szCs w:val="22"/>
                <w:lang w:val="pt-PT"/>
              </w:rPr>
            </w:pPr>
            <w:r w:rsidRPr="00C8507A">
              <w:rPr>
                <w:rFonts w:asciiTheme="minorBidi" w:eastAsia="Arial" w:hAnsiTheme="minorBidi" w:cstheme="minorBidi"/>
                <w:snapToGrid/>
                <w:color w:val="000000"/>
                <w:szCs w:val="22"/>
                <w:lang w:val="pt-PT"/>
              </w:rPr>
              <w:t>USA (</w:t>
            </w:r>
            <w:r w:rsidR="004429FB" w:rsidRPr="00C8507A">
              <w:rPr>
                <w:rFonts w:asciiTheme="minorBidi" w:eastAsia="Arial" w:hAnsiTheme="minorBidi" w:cstheme="minorBidi"/>
                <w:snapToGrid/>
                <w:color w:val="000000"/>
                <w:szCs w:val="22"/>
                <w:lang w:val="pt-PT"/>
              </w:rPr>
              <w:t>NSF</w:t>
            </w:r>
            <w:r w:rsidRPr="00C8507A">
              <w:rPr>
                <w:rFonts w:asciiTheme="minorBidi" w:eastAsia="Arial" w:hAnsiTheme="minorBidi" w:cstheme="minorBidi"/>
                <w:snapToGrid/>
                <w:color w:val="000000"/>
                <w:szCs w:val="22"/>
                <w:lang w:val="pt-PT"/>
              </w:rPr>
              <w:t xml:space="preserve"> via</w:t>
            </w:r>
            <w:r w:rsidR="004429FB" w:rsidRPr="00C8507A">
              <w:rPr>
                <w:rFonts w:asciiTheme="minorBidi" w:eastAsia="Arial" w:hAnsiTheme="minorBidi" w:cstheme="minorBidi"/>
                <w:snapToGrid/>
                <w:color w:val="000000"/>
                <w:szCs w:val="22"/>
                <w:lang w:val="pt-PT"/>
              </w:rPr>
              <w:t xml:space="preserve"> SCOR</w:t>
            </w:r>
            <w:r w:rsidRPr="00C8507A">
              <w:rPr>
                <w:rFonts w:asciiTheme="minorBidi" w:eastAsia="Arial" w:hAnsiTheme="minorBidi" w:cstheme="minorBidi"/>
                <w:snapToGrid/>
                <w:color w:val="000000"/>
                <w:szCs w:val="22"/>
                <w:lang w:val="pt-PT"/>
              </w:rPr>
              <w:t xml:space="preserve">), EC H2020 </w:t>
            </w:r>
            <w:r w:rsidR="004429FB" w:rsidRPr="00C8507A">
              <w:rPr>
                <w:rFonts w:asciiTheme="minorBidi" w:eastAsia="Arial" w:hAnsiTheme="minorBidi" w:cstheme="minorBidi"/>
                <w:snapToGrid/>
                <w:color w:val="000000"/>
                <w:szCs w:val="22"/>
                <w:lang w:val="pt-PT"/>
              </w:rPr>
              <w:t>EuroSea, IOC</w:t>
            </w:r>
          </w:p>
        </w:tc>
        <w:tc>
          <w:tcPr>
            <w:tcW w:w="2127" w:type="dxa"/>
            <w:tcBorders>
              <w:top w:val="nil"/>
              <w:left w:val="nil"/>
              <w:bottom w:val="single" w:sz="8" w:space="0" w:color="000000"/>
              <w:right w:val="single" w:sz="12" w:space="0" w:color="000000"/>
            </w:tcBorders>
            <w:shd w:val="clear" w:color="auto" w:fill="auto"/>
            <w:hideMark/>
          </w:tcPr>
          <w:p w14:paraId="6CAF315B"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Sopot, Poland</w:t>
            </w:r>
          </w:p>
        </w:tc>
      </w:tr>
      <w:tr w:rsidR="0068104A" w:rsidRPr="00117356" w14:paraId="2A6ED19B"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23155313"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BioEco Panel</w:t>
            </w:r>
          </w:p>
        </w:tc>
        <w:tc>
          <w:tcPr>
            <w:tcW w:w="1685" w:type="dxa"/>
            <w:tcBorders>
              <w:top w:val="nil"/>
              <w:left w:val="nil"/>
              <w:bottom w:val="single" w:sz="8" w:space="0" w:color="000000"/>
              <w:right w:val="single" w:sz="8" w:space="0" w:color="000000"/>
            </w:tcBorders>
            <w:shd w:val="clear" w:color="auto" w:fill="auto"/>
            <w:hideMark/>
          </w:tcPr>
          <w:p w14:paraId="0420B242" w14:textId="77777777" w:rsidR="004429FB" w:rsidRPr="00C8507A" w:rsidRDefault="004429FB" w:rsidP="00B3423A">
            <w:pPr>
              <w:tabs>
                <w:tab w:val="clear" w:pos="567"/>
              </w:tabs>
              <w:snapToGrid/>
              <w:ind w:right="299"/>
              <w:jc w:val="right"/>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1</w:t>
            </w:r>
          </w:p>
        </w:tc>
        <w:tc>
          <w:tcPr>
            <w:tcW w:w="3134" w:type="dxa"/>
            <w:tcBorders>
              <w:top w:val="nil"/>
              <w:left w:val="nil"/>
              <w:bottom w:val="single" w:sz="8" w:space="0" w:color="000000"/>
              <w:right w:val="single" w:sz="8" w:space="0" w:color="000000"/>
            </w:tcBorders>
            <w:shd w:val="clear" w:color="auto" w:fill="auto"/>
            <w:hideMark/>
          </w:tcPr>
          <w:p w14:paraId="756343D9" w14:textId="6A4E4D44" w:rsidR="004429FB" w:rsidRPr="00C8507A" w:rsidRDefault="004429FB" w:rsidP="0068104A">
            <w:pPr>
              <w:tabs>
                <w:tab w:val="clear" w:pos="567"/>
              </w:tabs>
              <w:snapToGrid/>
              <w:rPr>
                <w:rFonts w:asciiTheme="minorBidi" w:hAnsiTheme="minorBidi" w:cstheme="minorBidi"/>
                <w:snapToGrid/>
                <w:color w:val="000000"/>
                <w:szCs w:val="22"/>
                <w:lang w:val="pt-PT"/>
              </w:rPr>
            </w:pPr>
            <w:r w:rsidRPr="00C8507A">
              <w:rPr>
                <w:rFonts w:asciiTheme="minorBidi" w:eastAsia="Arial" w:hAnsiTheme="minorBidi" w:cstheme="minorBidi"/>
                <w:snapToGrid/>
                <w:color w:val="000000"/>
                <w:szCs w:val="22"/>
                <w:lang w:val="pt-PT"/>
              </w:rPr>
              <w:t xml:space="preserve">CSIRO, AIMS, </w:t>
            </w:r>
            <w:r w:rsidR="0068104A" w:rsidRPr="00C8507A">
              <w:rPr>
                <w:rFonts w:asciiTheme="minorBidi" w:eastAsia="Arial" w:hAnsiTheme="minorBidi" w:cstheme="minorBidi"/>
                <w:snapToGrid/>
                <w:color w:val="000000"/>
                <w:szCs w:val="22"/>
                <w:lang w:val="pt-PT"/>
              </w:rPr>
              <w:t xml:space="preserve">EC H2020 </w:t>
            </w:r>
            <w:r w:rsidRPr="00C8507A">
              <w:rPr>
                <w:rFonts w:asciiTheme="minorBidi" w:eastAsia="Arial" w:hAnsiTheme="minorBidi" w:cstheme="minorBidi"/>
                <w:snapToGrid/>
                <w:color w:val="000000"/>
                <w:szCs w:val="22"/>
                <w:lang w:val="pt-PT"/>
              </w:rPr>
              <w:t>EuroSea, IOC</w:t>
            </w:r>
          </w:p>
        </w:tc>
        <w:tc>
          <w:tcPr>
            <w:tcW w:w="2127" w:type="dxa"/>
            <w:tcBorders>
              <w:top w:val="nil"/>
              <w:left w:val="nil"/>
              <w:bottom w:val="single" w:sz="8" w:space="0" w:color="000000"/>
              <w:right w:val="single" w:sz="12" w:space="0" w:color="000000"/>
            </w:tcBorders>
            <w:shd w:val="clear" w:color="auto" w:fill="auto"/>
            <w:hideMark/>
          </w:tcPr>
          <w:p w14:paraId="7C2ECCAC"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Hobart, Australia</w:t>
            </w:r>
          </w:p>
        </w:tc>
      </w:tr>
      <w:tr w:rsidR="0068104A" w:rsidRPr="00117356" w14:paraId="4037266D"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786BE92B" w14:textId="10D77C9E" w:rsidR="004429FB" w:rsidRPr="00C8507A" w:rsidRDefault="0068104A"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BioEco data (</w:t>
            </w:r>
            <w:r w:rsidR="004429FB" w:rsidRPr="00C8507A">
              <w:rPr>
                <w:rFonts w:asciiTheme="minorBidi" w:eastAsia="Arial" w:hAnsiTheme="minorBidi" w:cstheme="minorBidi"/>
                <w:snapToGrid/>
                <w:color w:val="000000"/>
                <w:szCs w:val="22"/>
              </w:rPr>
              <w:t>IODE/OBIS</w:t>
            </w:r>
            <w:r w:rsidRPr="00C8507A">
              <w:rPr>
                <w:rFonts w:asciiTheme="minorBidi" w:eastAsia="Arial" w:hAnsiTheme="minorBidi" w:cstheme="minorBidi"/>
                <w:snapToGrid/>
                <w:color w:val="000000"/>
                <w:szCs w:val="22"/>
              </w:rPr>
              <w:t>)</w:t>
            </w:r>
          </w:p>
        </w:tc>
        <w:tc>
          <w:tcPr>
            <w:tcW w:w="1685" w:type="dxa"/>
            <w:tcBorders>
              <w:top w:val="nil"/>
              <w:left w:val="nil"/>
              <w:bottom w:val="single" w:sz="8" w:space="0" w:color="000000"/>
              <w:right w:val="single" w:sz="8" w:space="0" w:color="000000"/>
            </w:tcBorders>
            <w:shd w:val="clear" w:color="auto" w:fill="auto"/>
            <w:hideMark/>
          </w:tcPr>
          <w:p w14:paraId="5EDD09DC" w14:textId="77777777" w:rsidR="004429FB" w:rsidRPr="00C8507A" w:rsidRDefault="004429FB" w:rsidP="00B3423A">
            <w:pPr>
              <w:tabs>
                <w:tab w:val="clear" w:pos="567"/>
              </w:tabs>
              <w:snapToGrid/>
              <w:ind w:right="299"/>
              <w:jc w:val="right"/>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0.1</w:t>
            </w:r>
          </w:p>
        </w:tc>
        <w:tc>
          <w:tcPr>
            <w:tcW w:w="3134" w:type="dxa"/>
            <w:tcBorders>
              <w:top w:val="nil"/>
              <w:left w:val="nil"/>
              <w:bottom w:val="single" w:sz="8" w:space="0" w:color="000000"/>
              <w:right w:val="single" w:sz="8" w:space="0" w:color="000000"/>
            </w:tcBorders>
            <w:shd w:val="clear" w:color="auto" w:fill="auto"/>
            <w:hideMark/>
          </w:tcPr>
          <w:p w14:paraId="60D024D9"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IOC</w:t>
            </w:r>
          </w:p>
        </w:tc>
        <w:tc>
          <w:tcPr>
            <w:tcW w:w="2127" w:type="dxa"/>
            <w:tcBorders>
              <w:top w:val="nil"/>
              <w:left w:val="nil"/>
              <w:bottom w:val="single" w:sz="8" w:space="0" w:color="000000"/>
              <w:right w:val="single" w:sz="12" w:space="0" w:color="000000"/>
            </w:tcBorders>
            <w:shd w:val="clear" w:color="auto" w:fill="auto"/>
            <w:hideMark/>
          </w:tcPr>
          <w:p w14:paraId="2C227033"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Oostende, Belgium</w:t>
            </w:r>
          </w:p>
        </w:tc>
      </w:tr>
      <w:tr w:rsidR="0068104A" w:rsidRPr="00117356" w14:paraId="3E0B3605"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1EC9EB88"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lastRenderedPageBreak/>
              <w:t>OCG</w:t>
            </w:r>
          </w:p>
        </w:tc>
        <w:tc>
          <w:tcPr>
            <w:tcW w:w="1685" w:type="dxa"/>
            <w:tcBorders>
              <w:top w:val="nil"/>
              <w:left w:val="nil"/>
              <w:bottom w:val="single" w:sz="8" w:space="0" w:color="000000"/>
              <w:right w:val="single" w:sz="8" w:space="0" w:color="000000"/>
            </w:tcBorders>
            <w:shd w:val="clear" w:color="auto" w:fill="auto"/>
            <w:hideMark/>
          </w:tcPr>
          <w:p w14:paraId="435D8245" w14:textId="77777777" w:rsidR="004429FB" w:rsidRPr="00C8507A" w:rsidRDefault="004429FB" w:rsidP="00B3423A">
            <w:pPr>
              <w:tabs>
                <w:tab w:val="clear" w:pos="567"/>
              </w:tabs>
              <w:snapToGrid/>
              <w:ind w:right="158"/>
              <w:jc w:val="right"/>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0.65</w:t>
            </w:r>
          </w:p>
        </w:tc>
        <w:tc>
          <w:tcPr>
            <w:tcW w:w="3134" w:type="dxa"/>
            <w:tcBorders>
              <w:top w:val="nil"/>
              <w:left w:val="nil"/>
              <w:bottom w:val="single" w:sz="8" w:space="0" w:color="000000"/>
              <w:right w:val="single" w:sz="8" w:space="0" w:color="000000"/>
            </w:tcBorders>
            <w:shd w:val="clear" w:color="auto" w:fill="auto"/>
            <w:hideMark/>
          </w:tcPr>
          <w:p w14:paraId="755B5DF1" w14:textId="2168D0CD"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 xml:space="preserve">IOC, WMO, </w:t>
            </w:r>
            <w:r w:rsidR="0068104A" w:rsidRPr="00C8507A">
              <w:rPr>
                <w:rFonts w:asciiTheme="minorBidi" w:eastAsia="Arial" w:hAnsiTheme="minorBidi" w:cstheme="minorBidi"/>
                <w:snapToGrid/>
                <w:color w:val="000000"/>
                <w:szCs w:val="22"/>
              </w:rPr>
              <w:t xml:space="preserve">USA </w:t>
            </w:r>
            <w:r w:rsidRPr="00C8507A">
              <w:rPr>
                <w:rFonts w:asciiTheme="minorBidi" w:eastAsia="Arial" w:hAnsiTheme="minorBidi" w:cstheme="minorBidi"/>
                <w:snapToGrid/>
                <w:color w:val="000000"/>
                <w:szCs w:val="22"/>
              </w:rPr>
              <w:t>NOAA</w:t>
            </w:r>
          </w:p>
        </w:tc>
        <w:tc>
          <w:tcPr>
            <w:tcW w:w="2127" w:type="dxa"/>
            <w:tcBorders>
              <w:top w:val="nil"/>
              <w:left w:val="nil"/>
              <w:bottom w:val="single" w:sz="8" w:space="0" w:color="000000"/>
              <w:right w:val="single" w:sz="12" w:space="0" w:color="000000"/>
            </w:tcBorders>
            <w:shd w:val="clear" w:color="auto" w:fill="auto"/>
            <w:hideMark/>
          </w:tcPr>
          <w:p w14:paraId="4D2FCE53"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Paris, Geneva (WMO), Washington DC, USA</w:t>
            </w:r>
          </w:p>
        </w:tc>
      </w:tr>
      <w:tr w:rsidR="0068104A" w:rsidRPr="00117356" w14:paraId="5B3BF1A5"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4F243EEC"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Networks</w:t>
            </w:r>
          </w:p>
        </w:tc>
        <w:tc>
          <w:tcPr>
            <w:tcW w:w="1685" w:type="dxa"/>
            <w:tcBorders>
              <w:top w:val="nil"/>
              <w:left w:val="nil"/>
              <w:bottom w:val="single" w:sz="8" w:space="0" w:color="000000"/>
              <w:right w:val="single" w:sz="8" w:space="0" w:color="000000"/>
            </w:tcBorders>
            <w:shd w:val="clear" w:color="auto" w:fill="auto"/>
            <w:hideMark/>
          </w:tcPr>
          <w:p w14:paraId="3C8ECD29" w14:textId="77777777" w:rsidR="004429FB" w:rsidRPr="00C8507A" w:rsidRDefault="004429FB" w:rsidP="00B3423A">
            <w:pPr>
              <w:tabs>
                <w:tab w:val="clear" w:pos="567"/>
              </w:tabs>
              <w:snapToGrid/>
              <w:ind w:right="158"/>
              <w:jc w:val="right"/>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0.35</w:t>
            </w:r>
          </w:p>
        </w:tc>
        <w:tc>
          <w:tcPr>
            <w:tcW w:w="3134" w:type="dxa"/>
            <w:tcBorders>
              <w:top w:val="nil"/>
              <w:left w:val="nil"/>
              <w:bottom w:val="single" w:sz="8" w:space="0" w:color="000000"/>
              <w:right w:val="single" w:sz="8" w:space="0" w:color="000000"/>
            </w:tcBorders>
            <w:shd w:val="clear" w:color="auto" w:fill="auto"/>
            <w:hideMark/>
          </w:tcPr>
          <w:p w14:paraId="4D61672D"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IOC, WMO</w:t>
            </w:r>
          </w:p>
        </w:tc>
        <w:tc>
          <w:tcPr>
            <w:tcW w:w="2127" w:type="dxa"/>
            <w:tcBorders>
              <w:top w:val="nil"/>
              <w:left w:val="nil"/>
              <w:bottom w:val="single" w:sz="8" w:space="0" w:color="000000"/>
              <w:right w:val="single" w:sz="12" w:space="0" w:color="000000"/>
            </w:tcBorders>
            <w:shd w:val="clear" w:color="auto" w:fill="auto"/>
            <w:hideMark/>
          </w:tcPr>
          <w:p w14:paraId="2CBFF58D"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Paris, Geneva (WMO)</w:t>
            </w:r>
          </w:p>
        </w:tc>
      </w:tr>
      <w:tr w:rsidR="0068104A" w:rsidRPr="00117356" w14:paraId="7459BBD2"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25B23576"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OceanOPS</w:t>
            </w:r>
          </w:p>
        </w:tc>
        <w:tc>
          <w:tcPr>
            <w:tcW w:w="1685" w:type="dxa"/>
            <w:tcBorders>
              <w:top w:val="nil"/>
              <w:left w:val="nil"/>
              <w:bottom w:val="single" w:sz="8" w:space="0" w:color="000000"/>
              <w:right w:val="single" w:sz="8" w:space="0" w:color="000000"/>
            </w:tcBorders>
            <w:shd w:val="clear" w:color="auto" w:fill="auto"/>
            <w:hideMark/>
          </w:tcPr>
          <w:p w14:paraId="40B9C6A2" w14:textId="77777777" w:rsidR="004429FB" w:rsidRPr="00C8507A" w:rsidRDefault="004429FB" w:rsidP="00B3423A">
            <w:pPr>
              <w:tabs>
                <w:tab w:val="clear" w:pos="567"/>
              </w:tabs>
              <w:snapToGrid/>
              <w:ind w:right="158"/>
              <w:jc w:val="right"/>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6</w:t>
            </w:r>
          </w:p>
        </w:tc>
        <w:tc>
          <w:tcPr>
            <w:tcW w:w="3134" w:type="dxa"/>
            <w:tcBorders>
              <w:top w:val="nil"/>
              <w:left w:val="nil"/>
              <w:bottom w:val="single" w:sz="8" w:space="0" w:color="000000"/>
              <w:right w:val="single" w:sz="8" w:space="0" w:color="000000"/>
            </w:tcBorders>
            <w:shd w:val="clear" w:color="auto" w:fill="auto"/>
            <w:hideMark/>
          </w:tcPr>
          <w:p w14:paraId="32061BBB" w14:textId="5604ECAC"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National contributions from USA (68%), Monaco, EU, France, Australia, Canada, China, Germany, Japan, Italy, India, and South Africa</w:t>
            </w:r>
            <w:r w:rsidR="00E2260D" w:rsidRPr="00C8507A">
              <w:rPr>
                <w:rFonts w:asciiTheme="minorBidi" w:eastAsia="Arial" w:hAnsiTheme="minorBidi" w:cstheme="minorBidi"/>
                <w:snapToGrid/>
                <w:color w:val="000000"/>
                <w:szCs w:val="22"/>
              </w:rPr>
              <w:t>. Some support from IOC and</w:t>
            </w:r>
            <w:r w:rsidRPr="00C8507A">
              <w:rPr>
                <w:rFonts w:asciiTheme="minorBidi" w:eastAsia="Arial" w:hAnsiTheme="minorBidi" w:cstheme="minorBidi"/>
                <w:snapToGrid/>
                <w:color w:val="000000"/>
                <w:szCs w:val="22"/>
              </w:rPr>
              <w:t xml:space="preserve"> new from WMO in 2021</w:t>
            </w:r>
            <w:r w:rsidR="00E2260D" w:rsidRPr="00C8507A">
              <w:rPr>
                <w:rFonts w:asciiTheme="minorBidi" w:eastAsia="Arial" w:hAnsiTheme="minorBidi" w:cstheme="minorBidi"/>
                <w:snapToGrid/>
                <w:color w:val="000000"/>
                <w:szCs w:val="22"/>
              </w:rPr>
              <w:t>.</w:t>
            </w:r>
          </w:p>
        </w:tc>
        <w:tc>
          <w:tcPr>
            <w:tcW w:w="2127" w:type="dxa"/>
            <w:tcBorders>
              <w:top w:val="nil"/>
              <w:left w:val="nil"/>
              <w:bottom w:val="single" w:sz="8" w:space="0" w:color="000000"/>
              <w:right w:val="single" w:sz="12" w:space="0" w:color="000000"/>
            </w:tcBorders>
            <w:shd w:val="clear" w:color="auto" w:fill="auto"/>
            <w:hideMark/>
          </w:tcPr>
          <w:p w14:paraId="2F629779"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Brest, France</w:t>
            </w:r>
          </w:p>
        </w:tc>
      </w:tr>
      <w:tr w:rsidR="0068104A" w:rsidRPr="00117356" w14:paraId="0FB829F4"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31875057"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ETOOFS</w:t>
            </w:r>
          </w:p>
        </w:tc>
        <w:tc>
          <w:tcPr>
            <w:tcW w:w="1685" w:type="dxa"/>
            <w:tcBorders>
              <w:top w:val="nil"/>
              <w:left w:val="nil"/>
              <w:bottom w:val="single" w:sz="8" w:space="0" w:color="000000"/>
              <w:right w:val="single" w:sz="8" w:space="0" w:color="000000"/>
            </w:tcBorders>
            <w:shd w:val="clear" w:color="auto" w:fill="auto"/>
            <w:hideMark/>
          </w:tcPr>
          <w:p w14:paraId="2F21E68F" w14:textId="77777777" w:rsidR="004429FB" w:rsidRPr="00C8507A" w:rsidRDefault="004429FB" w:rsidP="00B3423A">
            <w:pPr>
              <w:tabs>
                <w:tab w:val="clear" w:pos="567"/>
              </w:tabs>
              <w:snapToGrid/>
              <w:ind w:right="158"/>
              <w:jc w:val="right"/>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0.25</w:t>
            </w:r>
          </w:p>
        </w:tc>
        <w:tc>
          <w:tcPr>
            <w:tcW w:w="3134" w:type="dxa"/>
            <w:tcBorders>
              <w:top w:val="nil"/>
              <w:left w:val="nil"/>
              <w:bottom w:val="single" w:sz="8" w:space="0" w:color="000000"/>
              <w:right w:val="single" w:sz="8" w:space="0" w:color="000000"/>
            </w:tcBorders>
            <w:shd w:val="clear" w:color="auto" w:fill="auto"/>
            <w:hideMark/>
          </w:tcPr>
          <w:p w14:paraId="4296C455"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IOC</w:t>
            </w:r>
          </w:p>
        </w:tc>
        <w:tc>
          <w:tcPr>
            <w:tcW w:w="2127" w:type="dxa"/>
            <w:tcBorders>
              <w:top w:val="nil"/>
              <w:left w:val="nil"/>
              <w:bottom w:val="single" w:sz="8" w:space="0" w:color="000000"/>
              <w:right w:val="single" w:sz="12" w:space="0" w:color="000000"/>
            </w:tcBorders>
            <w:shd w:val="clear" w:color="auto" w:fill="auto"/>
            <w:hideMark/>
          </w:tcPr>
          <w:p w14:paraId="2CF6B630"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Paris, France</w:t>
            </w:r>
          </w:p>
        </w:tc>
      </w:tr>
      <w:tr w:rsidR="0068104A" w:rsidRPr="00117356" w14:paraId="4A04A9E5" w14:textId="77777777" w:rsidTr="0068104A">
        <w:trPr>
          <w:trHeight w:val="283"/>
          <w:jc w:val="center"/>
        </w:trPr>
        <w:tc>
          <w:tcPr>
            <w:tcW w:w="1970" w:type="dxa"/>
            <w:tcBorders>
              <w:top w:val="nil"/>
              <w:left w:val="single" w:sz="12" w:space="0" w:color="000000"/>
              <w:bottom w:val="single" w:sz="12" w:space="0" w:color="000000"/>
              <w:right w:val="single" w:sz="8" w:space="0" w:color="000000"/>
            </w:tcBorders>
            <w:shd w:val="clear" w:color="auto" w:fill="auto"/>
            <w:hideMark/>
          </w:tcPr>
          <w:p w14:paraId="272E394D"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GRAs</w:t>
            </w:r>
          </w:p>
        </w:tc>
        <w:tc>
          <w:tcPr>
            <w:tcW w:w="1685" w:type="dxa"/>
            <w:tcBorders>
              <w:top w:val="nil"/>
              <w:left w:val="nil"/>
              <w:bottom w:val="single" w:sz="12" w:space="0" w:color="000000"/>
              <w:right w:val="single" w:sz="8" w:space="0" w:color="000000"/>
            </w:tcBorders>
            <w:shd w:val="clear" w:color="auto" w:fill="auto"/>
            <w:hideMark/>
          </w:tcPr>
          <w:p w14:paraId="335919A3" w14:textId="77777777" w:rsidR="004429FB" w:rsidRPr="00C8507A" w:rsidRDefault="004429FB" w:rsidP="00B3423A">
            <w:pPr>
              <w:tabs>
                <w:tab w:val="clear" w:pos="567"/>
              </w:tabs>
              <w:snapToGrid/>
              <w:ind w:right="158"/>
              <w:jc w:val="right"/>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0.25</w:t>
            </w:r>
          </w:p>
        </w:tc>
        <w:tc>
          <w:tcPr>
            <w:tcW w:w="3134" w:type="dxa"/>
            <w:tcBorders>
              <w:top w:val="nil"/>
              <w:left w:val="nil"/>
              <w:bottom w:val="single" w:sz="12" w:space="0" w:color="000000"/>
              <w:right w:val="single" w:sz="8" w:space="0" w:color="000000"/>
            </w:tcBorders>
            <w:shd w:val="clear" w:color="auto" w:fill="auto"/>
            <w:hideMark/>
          </w:tcPr>
          <w:p w14:paraId="7C3953CF"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IOC</w:t>
            </w:r>
          </w:p>
        </w:tc>
        <w:tc>
          <w:tcPr>
            <w:tcW w:w="2127" w:type="dxa"/>
            <w:tcBorders>
              <w:top w:val="nil"/>
              <w:left w:val="nil"/>
              <w:bottom w:val="single" w:sz="12" w:space="0" w:color="000000"/>
              <w:right w:val="single" w:sz="12" w:space="0" w:color="000000"/>
            </w:tcBorders>
            <w:shd w:val="clear" w:color="auto" w:fill="auto"/>
            <w:hideMark/>
          </w:tcPr>
          <w:p w14:paraId="3E5124FC"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eastAsia="Arial" w:hAnsiTheme="minorBidi" w:cstheme="minorBidi"/>
                <w:snapToGrid/>
                <w:color w:val="000000"/>
                <w:szCs w:val="22"/>
              </w:rPr>
              <w:t>Paris, France</w:t>
            </w:r>
          </w:p>
        </w:tc>
      </w:tr>
      <w:tr w:rsidR="0068104A" w:rsidRPr="00117356" w14:paraId="4250BF04" w14:textId="77777777" w:rsidTr="0068104A">
        <w:trPr>
          <w:trHeight w:val="283"/>
          <w:jc w:val="center"/>
        </w:trPr>
        <w:tc>
          <w:tcPr>
            <w:tcW w:w="1970" w:type="dxa"/>
            <w:tcBorders>
              <w:top w:val="nil"/>
              <w:left w:val="single" w:sz="12" w:space="0" w:color="000000"/>
              <w:bottom w:val="single" w:sz="12" w:space="0" w:color="000000"/>
              <w:right w:val="single" w:sz="8" w:space="0" w:color="000000"/>
            </w:tcBorders>
            <w:shd w:val="clear" w:color="auto" w:fill="auto"/>
            <w:hideMark/>
          </w:tcPr>
          <w:p w14:paraId="2FF68192" w14:textId="77777777" w:rsidR="004429FB" w:rsidRPr="00C8507A" w:rsidRDefault="004429FB" w:rsidP="0068104A">
            <w:pPr>
              <w:tabs>
                <w:tab w:val="clear" w:pos="567"/>
              </w:tabs>
              <w:snapToGrid/>
              <w:rPr>
                <w:rFonts w:asciiTheme="minorBidi" w:hAnsiTheme="minorBidi" w:cstheme="minorBidi"/>
                <w:b/>
                <w:bCs/>
                <w:snapToGrid/>
                <w:color w:val="000000"/>
                <w:szCs w:val="22"/>
              </w:rPr>
            </w:pPr>
            <w:r w:rsidRPr="00C8507A">
              <w:rPr>
                <w:rFonts w:asciiTheme="minorBidi" w:hAnsiTheme="minorBidi" w:cstheme="minorBidi"/>
                <w:b/>
                <w:bCs/>
                <w:snapToGrid/>
                <w:color w:val="000000"/>
                <w:szCs w:val="22"/>
              </w:rPr>
              <w:t>Total</w:t>
            </w:r>
          </w:p>
        </w:tc>
        <w:tc>
          <w:tcPr>
            <w:tcW w:w="1685" w:type="dxa"/>
            <w:tcBorders>
              <w:top w:val="nil"/>
              <w:left w:val="nil"/>
              <w:bottom w:val="single" w:sz="12" w:space="0" w:color="000000"/>
              <w:right w:val="single" w:sz="8" w:space="0" w:color="000000"/>
            </w:tcBorders>
            <w:shd w:val="clear" w:color="auto" w:fill="auto"/>
            <w:hideMark/>
          </w:tcPr>
          <w:p w14:paraId="1ED58D8A" w14:textId="77777777" w:rsidR="004429FB" w:rsidRPr="00C8507A" w:rsidRDefault="004429FB" w:rsidP="00B3423A">
            <w:pPr>
              <w:tabs>
                <w:tab w:val="clear" w:pos="567"/>
              </w:tabs>
              <w:snapToGrid/>
              <w:ind w:right="158"/>
              <w:jc w:val="right"/>
              <w:rPr>
                <w:rFonts w:asciiTheme="minorBidi" w:hAnsiTheme="minorBidi" w:cstheme="minorBidi"/>
                <w:b/>
                <w:bCs/>
                <w:snapToGrid/>
                <w:color w:val="000000"/>
                <w:szCs w:val="22"/>
              </w:rPr>
            </w:pPr>
            <w:r w:rsidRPr="00C8507A">
              <w:rPr>
                <w:rFonts w:asciiTheme="minorBidi" w:eastAsia="Arial" w:hAnsiTheme="minorBidi" w:cstheme="minorBidi"/>
                <w:b/>
                <w:bCs/>
                <w:snapToGrid/>
                <w:color w:val="000000"/>
                <w:szCs w:val="22"/>
              </w:rPr>
              <w:t>14.25</w:t>
            </w:r>
          </w:p>
        </w:tc>
        <w:tc>
          <w:tcPr>
            <w:tcW w:w="3134" w:type="dxa"/>
            <w:tcBorders>
              <w:top w:val="single" w:sz="12" w:space="0" w:color="000000"/>
              <w:left w:val="nil"/>
            </w:tcBorders>
            <w:shd w:val="clear" w:color="auto" w:fill="auto"/>
            <w:hideMark/>
          </w:tcPr>
          <w:p w14:paraId="01A3B643"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hAnsiTheme="minorBidi" w:cstheme="minorBidi"/>
                <w:snapToGrid/>
                <w:color w:val="000000"/>
                <w:szCs w:val="22"/>
              </w:rPr>
              <w:t> </w:t>
            </w:r>
          </w:p>
        </w:tc>
        <w:tc>
          <w:tcPr>
            <w:tcW w:w="2127" w:type="dxa"/>
            <w:tcBorders>
              <w:top w:val="single" w:sz="12" w:space="0" w:color="000000"/>
            </w:tcBorders>
            <w:shd w:val="clear" w:color="auto" w:fill="auto"/>
            <w:hideMark/>
          </w:tcPr>
          <w:p w14:paraId="0093D4A0" w14:textId="77777777" w:rsidR="004429FB" w:rsidRPr="00C8507A" w:rsidRDefault="004429FB" w:rsidP="0068104A">
            <w:pPr>
              <w:tabs>
                <w:tab w:val="clear" w:pos="567"/>
              </w:tabs>
              <w:snapToGrid/>
              <w:rPr>
                <w:rFonts w:asciiTheme="minorBidi" w:hAnsiTheme="minorBidi" w:cstheme="minorBidi"/>
                <w:snapToGrid/>
                <w:color w:val="000000"/>
                <w:szCs w:val="22"/>
              </w:rPr>
            </w:pPr>
            <w:r w:rsidRPr="00C8507A">
              <w:rPr>
                <w:rFonts w:asciiTheme="minorBidi" w:hAnsiTheme="minorBidi" w:cstheme="minorBidi"/>
                <w:snapToGrid/>
                <w:color w:val="000000"/>
                <w:szCs w:val="22"/>
              </w:rPr>
              <w:t> </w:t>
            </w:r>
          </w:p>
        </w:tc>
      </w:tr>
    </w:tbl>
    <w:p w14:paraId="18A29E49" w14:textId="15910506" w:rsidR="005B5174" w:rsidRPr="007525A8" w:rsidRDefault="00E2260D" w:rsidP="00B3423A">
      <w:pPr>
        <w:pStyle w:val="COI"/>
      </w:pPr>
      <w:r w:rsidRPr="007525A8">
        <w:t>Achieving the full ambition and impact of the actions identified in paragraph 5 above</w:t>
      </w:r>
      <w:r w:rsidR="000B2D6B" w:rsidRPr="007525A8">
        <w:t>, without prioritization,</w:t>
      </w:r>
      <w:r w:rsidRPr="007525A8">
        <w:t xml:space="preserve"> </w:t>
      </w:r>
      <w:r w:rsidR="003740B1" w:rsidRPr="007525A8">
        <w:t>will</w:t>
      </w:r>
      <w:r w:rsidRPr="007525A8">
        <w:t xml:space="preserve"> require a more than doubling of this staff support in the medium term of about </w:t>
      </w:r>
      <w:r w:rsidR="003C55D3">
        <w:t>three</w:t>
      </w:r>
      <w:r w:rsidRPr="007525A8">
        <w:t xml:space="preserve"> years. The experience built over time with a distributed GOOS Office, and the intense experiment in remote work over the past year</w:t>
      </w:r>
      <w:r w:rsidR="003740B1" w:rsidRPr="007525A8">
        <w:t>,</w:t>
      </w:r>
      <w:r w:rsidRPr="007525A8">
        <w:t xml:space="preserve"> show that part of this support could work remotely from anywhere</w:t>
      </w:r>
      <w:r w:rsidR="003740B1" w:rsidRPr="007525A8">
        <w:t>. This</w:t>
      </w:r>
      <w:r w:rsidRPr="007525A8">
        <w:t xml:space="preserve"> opens </w:t>
      </w:r>
      <w:r w:rsidR="004C217D" w:rsidRPr="007525A8">
        <w:t>the option for support to be provided in</w:t>
      </w:r>
      <w:r w:rsidR="00117356">
        <w:t>-</w:t>
      </w:r>
      <w:r w:rsidR="000B2D6B" w:rsidRPr="007525A8">
        <w:t xml:space="preserve">kind </w:t>
      </w:r>
      <w:r w:rsidR="007525A8">
        <w:t xml:space="preserve">and </w:t>
      </w:r>
      <w:r w:rsidR="000B2D6B" w:rsidRPr="007525A8">
        <w:t xml:space="preserve">in </w:t>
      </w:r>
      <w:r w:rsidR="004C217D" w:rsidRPr="007525A8">
        <w:t xml:space="preserve">country to support projects. </w:t>
      </w:r>
      <w:r w:rsidR="007525A8">
        <w:t>There are advantages to c</w:t>
      </w:r>
      <w:r w:rsidR="004C217D" w:rsidRPr="007525A8">
        <w:t xml:space="preserve">oncentrating support in some hubs </w:t>
      </w:r>
      <w:r w:rsidR="007525A8">
        <w:t>to</w:t>
      </w:r>
      <w:r w:rsidR="004C217D" w:rsidRPr="007525A8">
        <w:t xml:space="preserve"> create synergies, and the overall core coordination will need to be a strong hub in order to ensure a common purpose and coordinated delivery</w:t>
      </w:r>
      <w:r w:rsidR="003740B1" w:rsidRPr="007525A8">
        <w:t xml:space="preserve"> across other hubs and spokes of activity, drawing on the voluntary effort of the experts engaged in GOOS</w:t>
      </w:r>
      <w:r w:rsidR="004C217D" w:rsidRPr="007525A8">
        <w:t xml:space="preserve">. </w:t>
      </w:r>
    </w:p>
    <w:p w14:paraId="2DDD1DE2" w14:textId="5E0164CB" w:rsidR="003740B1" w:rsidRPr="007525A8" w:rsidRDefault="003740B1" w:rsidP="00B3423A">
      <w:pPr>
        <w:pStyle w:val="COI"/>
      </w:pPr>
      <w:r w:rsidRPr="007525A8">
        <w:t>The ambition of GOOS Core Team activities and the development of the GOOS Ocean Decade programmes will require transformation not only in the observing system and its stakeholder engagement, but also in the support provided to coordination</w:t>
      </w:r>
      <w:r w:rsidR="00C72275" w:rsidRPr="007525A8">
        <w:t xml:space="preserve"> of this key infrastructure</w:t>
      </w:r>
      <w:r w:rsidRPr="007525A8">
        <w:t xml:space="preserve">. In this way Member State activities will be able to leverage a functioning global system, and capacities can be developed to respond to the upcoming Decade’s challenges. </w:t>
      </w:r>
      <w:r w:rsidR="00793A73" w:rsidRPr="007525A8">
        <w:t xml:space="preserve">GOOS will need to engage in some serious fundraising, for both GOOS implementation and the Ocean Decade programmes. </w:t>
      </w:r>
    </w:p>
    <w:p w14:paraId="50076403" w14:textId="0AB4B977" w:rsidR="003740B1" w:rsidRPr="007525A8" w:rsidRDefault="003740B1" w:rsidP="00B3423A">
      <w:pPr>
        <w:pStyle w:val="COI"/>
      </w:pPr>
      <w:r w:rsidRPr="007525A8">
        <w:t xml:space="preserve">We invite interested Member States to </w:t>
      </w:r>
      <w:r w:rsidR="00C72275" w:rsidRPr="007525A8">
        <w:t xml:space="preserve">learn more and to </w:t>
      </w:r>
      <w:r w:rsidRPr="007525A8">
        <w:t xml:space="preserve">engage in </w:t>
      </w:r>
      <w:r w:rsidR="000B2D6B" w:rsidRPr="007525A8">
        <w:t>the GOOS</w:t>
      </w:r>
      <w:r w:rsidRPr="007525A8">
        <w:t xml:space="preserve"> planning process, </w:t>
      </w:r>
      <w:r w:rsidR="00C72275" w:rsidRPr="007525A8">
        <w:t>by</w:t>
      </w:r>
      <w:r w:rsidRPr="007525A8">
        <w:t xml:space="preserve"> start</w:t>
      </w:r>
      <w:r w:rsidR="00C72275" w:rsidRPr="007525A8">
        <w:t>ing</w:t>
      </w:r>
      <w:r w:rsidRPr="007525A8">
        <w:t xml:space="preserve"> a conversation </w:t>
      </w:r>
      <w:r w:rsidR="00793A73" w:rsidRPr="007525A8">
        <w:t xml:space="preserve">with the GOOS </w:t>
      </w:r>
      <w:r w:rsidR="00C72275" w:rsidRPr="007525A8">
        <w:t xml:space="preserve">Steering Committee and GOOS </w:t>
      </w:r>
      <w:r w:rsidR="00793A73" w:rsidRPr="007525A8">
        <w:t>Office to identify how they can help with implementation</w:t>
      </w:r>
      <w:r w:rsidR="00C72275" w:rsidRPr="007525A8">
        <w:t>,</w:t>
      </w:r>
      <w:r w:rsidR="00793A73" w:rsidRPr="007525A8">
        <w:t xml:space="preserve"> and what their contributions will enable us to achieve together.</w:t>
      </w:r>
    </w:p>
    <w:p w14:paraId="2F56C63E" w14:textId="13770538" w:rsidR="005B5174" w:rsidRPr="007525A8" w:rsidRDefault="005B5174" w:rsidP="005B5174">
      <w:pPr>
        <w:pStyle w:val="Heading3"/>
      </w:pPr>
      <w:r w:rsidRPr="007525A8">
        <w:t>Proposed decision</w:t>
      </w:r>
    </w:p>
    <w:p w14:paraId="350F68A7" w14:textId="0BC849FE" w:rsidR="00C3684D" w:rsidRPr="007525A8" w:rsidRDefault="005B5174" w:rsidP="00B3423A">
      <w:pPr>
        <w:pStyle w:val="COI"/>
      </w:pPr>
      <w:r w:rsidRPr="007525A8">
        <w:t xml:space="preserve">The Assembly is invited to consider Dec. A-31/3.5.2 in the </w:t>
      </w:r>
      <w:r w:rsidR="00117356">
        <w:t xml:space="preserve">Second Revised </w:t>
      </w:r>
      <w:r w:rsidRPr="007525A8">
        <w:t xml:space="preserve">Action Paper (document </w:t>
      </w:r>
      <w:hyperlink r:id="rId18" w:history="1">
        <w:r w:rsidRPr="00117356">
          <w:rPr>
            <w:rStyle w:val="Hyperlink"/>
          </w:rPr>
          <w:t>IOC/A-31/AP Rev.</w:t>
        </w:r>
        <w:r w:rsidR="00117356" w:rsidRPr="00117356">
          <w:rPr>
            <w:rStyle w:val="Hyperlink"/>
          </w:rPr>
          <w:t>2</w:t>
        </w:r>
      </w:hyperlink>
      <w:r w:rsidRPr="007525A8">
        <w:t>).</w:t>
      </w:r>
    </w:p>
    <w:sectPr w:rsidR="00C3684D" w:rsidRPr="007525A8" w:rsidSect="003F7186">
      <w:headerReference w:type="even" r:id="rId19"/>
      <w:headerReference w:type="default" r:id="rId20"/>
      <w:headerReference w:type="first" r:id="rId21"/>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5FC6F" w14:textId="77777777" w:rsidR="00C377E4" w:rsidRDefault="00C377E4">
      <w:r>
        <w:separator/>
      </w:r>
    </w:p>
  </w:endnote>
  <w:endnote w:type="continuationSeparator" w:id="0">
    <w:p w14:paraId="4BCCBF63" w14:textId="77777777" w:rsidR="00C377E4" w:rsidRDefault="00C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78225" w14:textId="77777777" w:rsidR="00C377E4" w:rsidRDefault="00C377E4">
      <w:r>
        <w:separator/>
      </w:r>
    </w:p>
  </w:footnote>
  <w:footnote w:type="continuationSeparator" w:id="0">
    <w:p w14:paraId="2B2C706B" w14:textId="77777777" w:rsidR="00C377E4" w:rsidRDefault="00C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6839" w14:textId="5D7D57D1" w:rsidR="00690753" w:rsidRPr="00C962F0" w:rsidRDefault="00690753">
    <w:pPr>
      <w:pStyle w:val="Header"/>
      <w:rPr>
        <w:szCs w:val="22"/>
      </w:rPr>
    </w:pPr>
    <w:r>
      <w:rPr>
        <w:szCs w:val="22"/>
      </w:rPr>
      <w:t>IOC/A-31/3.5.2.Doc</w:t>
    </w:r>
  </w:p>
  <w:p w14:paraId="5FBD3922" w14:textId="77777777" w:rsidR="00690753" w:rsidRPr="00C962F0" w:rsidRDefault="00690753">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D8BA" w14:textId="77777777" w:rsidR="00690753" w:rsidRPr="00746B89" w:rsidRDefault="00690753" w:rsidP="00DF2FB9">
    <w:pPr>
      <w:pStyle w:val="Header"/>
      <w:tabs>
        <w:tab w:val="clear" w:pos="8306"/>
      </w:tabs>
      <w:rPr>
        <w:szCs w:val="22"/>
      </w:rPr>
    </w:pPr>
    <w:r w:rsidRPr="00746B89">
      <w:rPr>
        <w:szCs w:val="22"/>
      </w:rPr>
      <w:t xml:space="preserve">IOC-XXIV/2 Annex </w:t>
    </w:r>
    <w:r w:rsidRPr="00746B89">
      <w:rPr>
        <w:szCs w:val="22"/>
        <w:highlight w:val="yellow"/>
      </w:rPr>
      <w:t>__</w:t>
    </w:r>
  </w:p>
  <w:p w14:paraId="2F9618D6" w14:textId="77777777" w:rsidR="00690753" w:rsidRPr="00746B89" w:rsidRDefault="00690753"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2C43853D" w14:textId="77777777" w:rsidR="00690753" w:rsidRPr="00DF2FB9" w:rsidRDefault="00690753"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7826" w14:textId="450BA67E" w:rsidR="00690753" w:rsidRPr="005E544C" w:rsidRDefault="00690753" w:rsidP="005742D0">
    <w:pPr>
      <w:pStyle w:val="Marge"/>
      <w:tabs>
        <w:tab w:val="left" w:pos="6096"/>
      </w:tabs>
      <w:spacing w:after="0"/>
      <w:rPr>
        <w:rFonts w:cs="Arial"/>
        <w:b/>
        <w:szCs w:val="22"/>
      </w:rPr>
    </w:pPr>
    <w:r w:rsidRPr="005E544C">
      <w:rPr>
        <w:rFonts w:cs="Arial"/>
        <w:szCs w:val="22"/>
      </w:rPr>
      <w:t>Restricted Distribution</w:t>
    </w:r>
    <w:r w:rsidRPr="005E544C">
      <w:rPr>
        <w:rFonts w:cs="Arial"/>
        <w:szCs w:val="22"/>
      </w:rPr>
      <w:tab/>
    </w:r>
    <w:r w:rsidRPr="008A6E5C">
      <w:rPr>
        <w:rFonts w:cs="Arial"/>
        <w:b/>
        <w:sz w:val="36"/>
        <w:szCs w:val="36"/>
      </w:rPr>
      <w:t>IOC</w:t>
    </w:r>
    <w:r>
      <w:rPr>
        <w:rFonts w:cs="Arial"/>
        <w:b/>
        <w:sz w:val="36"/>
        <w:szCs w:val="36"/>
      </w:rPr>
      <w:t>/A-31/</w:t>
    </w:r>
    <w:r w:rsidRPr="00A42F1D">
      <w:rPr>
        <w:rFonts w:cs="Arial"/>
        <w:b/>
        <w:sz w:val="36"/>
        <w:szCs w:val="36"/>
      </w:rPr>
      <w:t>3.5.2.</w:t>
    </w:r>
    <w:r>
      <w:rPr>
        <w:rFonts w:cs="Arial"/>
        <w:b/>
        <w:sz w:val="36"/>
        <w:szCs w:val="36"/>
      </w:rPr>
      <w:t>Doc</w:t>
    </w:r>
  </w:p>
  <w:p w14:paraId="235FF364" w14:textId="77777777" w:rsidR="00690753" w:rsidRDefault="00690753" w:rsidP="005742D0">
    <w:pPr>
      <w:tabs>
        <w:tab w:val="clear" w:pos="567"/>
        <w:tab w:val="left" w:pos="6096"/>
      </w:tabs>
      <w:jc w:val="both"/>
      <w:rPr>
        <w:rFonts w:cs="Arial"/>
        <w:b/>
        <w:szCs w:val="22"/>
      </w:rPr>
    </w:pPr>
  </w:p>
  <w:p w14:paraId="330915E6" w14:textId="089F3708" w:rsidR="00690753" w:rsidRPr="005E544C" w:rsidRDefault="00690753" w:rsidP="005742D0">
    <w:pPr>
      <w:tabs>
        <w:tab w:val="clear" w:pos="567"/>
        <w:tab w:val="left" w:pos="6096"/>
      </w:tabs>
      <w:jc w:val="both"/>
      <w:rPr>
        <w:rFonts w:cs="Arial"/>
        <w:szCs w:val="22"/>
      </w:rPr>
    </w:pPr>
    <w:r w:rsidRPr="005E544C">
      <w:rPr>
        <w:rFonts w:cs="Arial"/>
        <w:b/>
        <w:szCs w:val="22"/>
      </w:rPr>
      <w:tab/>
    </w:r>
    <w:r w:rsidRPr="005E544C">
      <w:rPr>
        <w:rFonts w:cs="Arial"/>
        <w:szCs w:val="22"/>
      </w:rPr>
      <w:t xml:space="preserve">Paris, </w:t>
    </w:r>
    <w:r>
      <w:rPr>
        <w:rFonts w:cs="Arial"/>
        <w:szCs w:val="22"/>
      </w:rPr>
      <w:t>31 May 2021</w:t>
    </w:r>
  </w:p>
  <w:p w14:paraId="7E99F8D6" w14:textId="77777777" w:rsidR="00690753" w:rsidRPr="005E544C" w:rsidRDefault="00690753" w:rsidP="005742D0">
    <w:pPr>
      <w:tabs>
        <w:tab w:val="clear" w:pos="567"/>
        <w:tab w:val="left" w:pos="6096"/>
      </w:tabs>
      <w:jc w:val="both"/>
      <w:rPr>
        <w:rFonts w:cs="Arial"/>
        <w:szCs w:val="22"/>
      </w:rPr>
    </w:pPr>
    <w:r w:rsidRPr="005E544C">
      <w:rPr>
        <w:rFonts w:cs="Arial"/>
        <w:b/>
        <w:szCs w:val="22"/>
      </w:rPr>
      <w:tab/>
    </w:r>
    <w:r w:rsidRPr="005E544C">
      <w:rPr>
        <w:rFonts w:cs="Arial"/>
        <w:szCs w:val="22"/>
      </w:rPr>
      <w:t>Original: English</w:t>
    </w:r>
  </w:p>
  <w:p w14:paraId="73EC133D" w14:textId="77777777" w:rsidR="00690753" w:rsidRPr="005E544C" w:rsidRDefault="00690753"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42AB01C6" w14:textId="77777777" w:rsidR="00690753" w:rsidRPr="005E544C" w:rsidRDefault="00690753"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356FD116" w14:textId="77777777" w:rsidR="00690753" w:rsidRPr="005742D0" w:rsidRDefault="00690753"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fr-FR" w:eastAsia="zh-CN"/>
      </w:rPr>
      <w:drawing>
        <wp:anchor distT="0" distB="0" distL="114300" distR="114300" simplePos="0" relativeHeight="251666432" behindDoc="1" locked="0" layoutInCell="1" allowOverlap="1" wp14:anchorId="50BB77CA" wp14:editId="42EF6610">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2D0">
      <w:rPr>
        <w:rFonts w:cs="Arial"/>
        <w:b/>
        <w:sz w:val="24"/>
      </w:rPr>
      <w:t>INTERGOVERNMENTAL OCEANOGRAPHIC COMMISSION</w:t>
    </w:r>
  </w:p>
  <w:p w14:paraId="1DB50FC3" w14:textId="77777777" w:rsidR="00690753" w:rsidRPr="005742D0" w:rsidRDefault="00690753"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462A6C5A" w14:textId="77777777" w:rsidR="00690753" w:rsidRPr="005742D0" w:rsidRDefault="00690753"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648BA198" w14:textId="77777777" w:rsidR="00690753" w:rsidRPr="005742D0" w:rsidRDefault="00690753"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Thirty-first Session of the Assembly</w:t>
    </w:r>
  </w:p>
  <w:p w14:paraId="5BC32972" w14:textId="2495C4FA" w:rsidR="00690753" w:rsidRPr="005742D0" w:rsidRDefault="00690753"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UNESCO, 14–25 June 2021</w:t>
    </w:r>
    <w:r>
      <w:rPr>
        <w:rFonts w:cs="Arial"/>
        <w:sz w:val="24"/>
      </w:rPr>
      <w:t xml:space="preserve"> (Online)</w:t>
    </w:r>
  </w:p>
  <w:p w14:paraId="6919E376" w14:textId="77777777" w:rsidR="00690753" w:rsidRPr="005E544C" w:rsidRDefault="00690753"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1381909" w14:textId="77777777" w:rsidR="00690753" w:rsidRPr="005E544C" w:rsidRDefault="00690753" w:rsidP="00DF2FB9">
    <w:pPr>
      <w:jc w:val="center"/>
      <w:rPr>
        <w:rFonts w:cs="Arial"/>
        <w:szCs w:val="22"/>
      </w:rPr>
    </w:pPr>
  </w:p>
  <w:p w14:paraId="002528B8" w14:textId="77777777" w:rsidR="00690753" w:rsidRDefault="00690753" w:rsidP="00DF2FB9">
    <w:pPr>
      <w:jc w:val="center"/>
      <w:rPr>
        <w:rFonts w:cs="Arial"/>
        <w:szCs w:val="22"/>
      </w:rPr>
    </w:pPr>
  </w:p>
  <w:p w14:paraId="2C97C208" w14:textId="77777777" w:rsidR="00690753" w:rsidRDefault="00690753" w:rsidP="00DF2FB9">
    <w:pPr>
      <w:jc w:val="center"/>
      <w:rPr>
        <w:rFonts w:cs="Arial"/>
        <w:szCs w:val="22"/>
      </w:rPr>
    </w:pPr>
  </w:p>
  <w:p w14:paraId="54FB86AC" w14:textId="77777777" w:rsidR="00690753" w:rsidRDefault="00690753" w:rsidP="00DF2FB9">
    <w:pPr>
      <w:jc w:val="center"/>
      <w:rPr>
        <w:rFonts w:cs="Arial"/>
        <w:szCs w:val="22"/>
      </w:rPr>
    </w:pPr>
  </w:p>
  <w:p w14:paraId="506A4D93" w14:textId="77777777" w:rsidR="00690753" w:rsidRPr="005E544C" w:rsidRDefault="00690753" w:rsidP="00DF2FB9">
    <w:pPr>
      <w:jc w:val="center"/>
      <w:rPr>
        <w:rFonts w:cs="Arial"/>
        <w:szCs w:val="22"/>
      </w:rPr>
    </w:pPr>
  </w:p>
  <w:p w14:paraId="192ED91F" w14:textId="77777777" w:rsidR="00690753" w:rsidRPr="005E544C" w:rsidRDefault="00690753" w:rsidP="00DF2FB9">
    <w:pPr>
      <w:jc w:val="center"/>
      <w:rPr>
        <w:rFonts w:cs="Arial"/>
        <w:szCs w:val="22"/>
      </w:rPr>
    </w:pPr>
  </w:p>
  <w:p w14:paraId="354C3023" w14:textId="6B67E86A" w:rsidR="00690753" w:rsidRPr="008D2398" w:rsidRDefault="00690753" w:rsidP="00DF2FB9">
    <w:pPr>
      <w:pStyle w:val="Heading7"/>
      <w:tabs>
        <w:tab w:val="right" w:pos="9540"/>
      </w:tabs>
      <w:rPr>
        <w:rFonts w:cs="Arial"/>
        <w:sz w:val="24"/>
        <w:u w:val="none"/>
      </w:rPr>
    </w:pPr>
    <w:r w:rsidRPr="00413F17">
      <w:rPr>
        <w:rFonts w:cs="Arial"/>
        <w:sz w:val="24"/>
      </w:rPr>
      <w:t>I</w:t>
    </w:r>
    <w:r w:rsidRPr="008D2398">
      <w:rPr>
        <w:rFonts w:cs="Arial"/>
        <w:sz w:val="24"/>
      </w:rPr>
      <w:t>tem</w:t>
    </w:r>
    <w:r>
      <w:rPr>
        <w:rFonts w:cs="Arial"/>
        <w:sz w:val="24"/>
      </w:rPr>
      <w:t xml:space="preserve"> </w:t>
    </w:r>
    <w:r w:rsidRPr="00C8507A">
      <w:rPr>
        <w:rFonts w:cs="Arial"/>
        <w:b/>
        <w:bCs/>
        <w:sz w:val="24"/>
      </w:rPr>
      <w:t>3.5.2</w:t>
    </w:r>
    <w:r w:rsidRPr="008D2398">
      <w:rPr>
        <w:rFonts w:cs="Arial"/>
        <w:sz w:val="24"/>
      </w:rPr>
      <w:t xml:space="preserve"> of the Provisional Agenda</w:t>
    </w:r>
  </w:p>
  <w:p w14:paraId="46DF7932" w14:textId="77777777" w:rsidR="00690753" w:rsidRPr="005E544C" w:rsidRDefault="00690753" w:rsidP="00DF2FB9">
    <w:pPr>
      <w:rPr>
        <w:rFonts w:cs="Arial"/>
        <w:szCs w:val="22"/>
      </w:rPr>
    </w:pPr>
  </w:p>
  <w:p w14:paraId="06393BC6" w14:textId="77777777" w:rsidR="00690753" w:rsidRPr="005E544C" w:rsidRDefault="00690753" w:rsidP="00DF2FB9">
    <w:pPr>
      <w:rPr>
        <w:rFonts w:cs="Arial"/>
        <w:szCs w:val="22"/>
      </w:rPr>
    </w:pPr>
  </w:p>
  <w:p w14:paraId="6C279CCE" w14:textId="777A8600" w:rsidR="00690753" w:rsidRPr="005E544C" w:rsidRDefault="00690753" w:rsidP="00C8507A">
    <w:pPr>
      <w:pStyle w:val="Docheading"/>
    </w:pPr>
    <w:r>
      <w:t xml:space="preserve">Executive Summary of the </w:t>
    </w:r>
    <w:r>
      <w:br/>
      <w:t>Global Ocean Observing System Implementation Plan</w:t>
    </w:r>
  </w:p>
  <w:p w14:paraId="46B775FC" w14:textId="77777777" w:rsidR="00690753" w:rsidRPr="005E544C" w:rsidRDefault="00690753">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9E31" w14:textId="1E0F3212" w:rsidR="00690753" w:rsidRPr="00A42F1D" w:rsidRDefault="00690753" w:rsidP="00294AD5">
    <w:pPr>
      <w:pStyle w:val="Header"/>
      <w:tabs>
        <w:tab w:val="clear" w:pos="8306"/>
      </w:tabs>
      <w:rPr>
        <w:rFonts w:cs="Arial"/>
        <w:sz w:val="20"/>
        <w:szCs w:val="20"/>
        <w:lang w:val="fr-FR"/>
      </w:rPr>
    </w:pPr>
    <w:r w:rsidRPr="00A42F1D">
      <w:rPr>
        <w:rFonts w:cs="Arial"/>
        <w:sz w:val="20"/>
        <w:szCs w:val="20"/>
        <w:lang w:val="fr-FR"/>
      </w:rPr>
      <w:t>IOC/A-31/</w:t>
    </w:r>
    <w:r>
      <w:rPr>
        <w:rFonts w:cs="Arial"/>
        <w:sz w:val="20"/>
        <w:szCs w:val="20"/>
        <w:lang w:val="fr-FR"/>
      </w:rPr>
      <w:t>3.5.2</w:t>
    </w:r>
    <w:r w:rsidRPr="002F456C">
      <w:rPr>
        <w:rFonts w:cs="Arial"/>
        <w:sz w:val="20"/>
        <w:szCs w:val="20"/>
        <w:lang w:val="fr-FR"/>
      </w:rPr>
      <w:t>.</w:t>
    </w:r>
    <w:r w:rsidRPr="00A42F1D">
      <w:rPr>
        <w:rFonts w:cs="Arial"/>
        <w:sz w:val="20"/>
        <w:szCs w:val="20"/>
        <w:lang w:val="fr-FR"/>
      </w:rPr>
      <w:t>Doc</w:t>
    </w:r>
  </w:p>
  <w:p w14:paraId="6B698D99" w14:textId="77777777" w:rsidR="00690753" w:rsidRPr="00A42F1D" w:rsidRDefault="00690753" w:rsidP="00746B89">
    <w:pPr>
      <w:pStyle w:val="Header"/>
      <w:tabs>
        <w:tab w:val="clear" w:pos="8306"/>
      </w:tabs>
      <w:rPr>
        <w:rFonts w:cs="Arial"/>
        <w:sz w:val="20"/>
        <w:szCs w:val="20"/>
        <w:lang w:val="fr-FR"/>
      </w:rPr>
    </w:pPr>
    <w:r w:rsidRPr="00A42F1D">
      <w:rPr>
        <w:rFonts w:cs="Arial"/>
        <w:sz w:val="20"/>
        <w:szCs w:val="20"/>
        <w:lang w:val="fr-FR"/>
      </w:rPr>
      <w:t>page </w:t>
    </w:r>
    <w:r w:rsidRPr="006842FA">
      <w:rPr>
        <w:rStyle w:val="PageNumber"/>
        <w:rFonts w:cs="Arial"/>
        <w:sz w:val="20"/>
        <w:szCs w:val="20"/>
      </w:rPr>
      <w:fldChar w:fldCharType="begin"/>
    </w:r>
    <w:r w:rsidRPr="00A42F1D">
      <w:rPr>
        <w:rStyle w:val="PageNumber"/>
        <w:rFonts w:cs="Arial"/>
        <w:sz w:val="20"/>
        <w:szCs w:val="20"/>
        <w:lang w:val="fr-FR"/>
      </w:rPr>
      <w:instrText xml:space="preserve"> PAGE </w:instrText>
    </w:r>
    <w:r w:rsidRPr="006842FA">
      <w:rPr>
        <w:rStyle w:val="PageNumber"/>
        <w:rFonts w:cs="Arial"/>
        <w:sz w:val="20"/>
        <w:szCs w:val="20"/>
      </w:rPr>
      <w:fldChar w:fldCharType="separate"/>
    </w:r>
    <w:r w:rsidRPr="00A42F1D">
      <w:rPr>
        <w:rStyle w:val="PageNumber"/>
        <w:rFonts w:cs="Arial"/>
        <w:noProof/>
        <w:sz w:val="20"/>
        <w:szCs w:val="20"/>
        <w:lang w:val="fr-FR"/>
      </w:rPr>
      <w:t>2</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1434A" w14:textId="31D05050" w:rsidR="00690753" w:rsidRPr="00003B31" w:rsidRDefault="00690753" w:rsidP="005742D0">
    <w:pPr>
      <w:pStyle w:val="Header"/>
      <w:tabs>
        <w:tab w:val="clear" w:pos="8306"/>
      </w:tabs>
      <w:ind w:left="7655"/>
      <w:rPr>
        <w:rFonts w:cs="Arial"/>
        <w:szCs w:val="22"/>
        <w:lang w:val="fr-FR"/>
      </w:rPr>
    </w:pPr>
    <w:r w:rsidRPr="00A42F1D">
      <w:rPr>
        <w:rFonts w:cs="Arial"/>
        <w:sz w:val="20"/>
        <w:szCs w:val="20"/>
        <w:lang w:val="fr-FR"/>
      </w:rPr>
      <w:t>IOC/A-31</w:t>
    </w:r>
    <w:r>
      <w:rPr>
        <w:rFonts w:cs="Arial"/>
        <w:sz w:val="20"/>
        <w:szCs w:val="20"/>
        <w:lang w:val="fr-FR"/>
      </w:rPr>
      <w:t>/3.5.2</w:t>
    </w:r>
    <w:r w:rsidRPr="00A42F1D">
      <w:rPr>
        <w:rFonts w:cs="Arial"/>
        <w:sz w:val="20"/>
        <w:szCs w:val="20"/>
        <w:lang w:val="fr-FR"/>
      </w:rPr>
      <w:t>.Doc</w:t>
    </w:r>
  </w:p>
  <w:p w14:paraId="5FEF56A2" w14:textId="77777777" w:rsidR="00690753" w:rsidRPr="00FC2521" w:rsidRDefault="00690753" w:rsidP="005742D0">
    <w:pPr>
      <w:pStyle w:val="Header"/>
      <w:tabs>
        <w:tab w:val="clear" w:pos="8306"/>
      </w:tabs>
      <w:ind w:left="7655"/>
      <w:rPr>
        <w:rFonts w:cs="Arial"/>
        <w:sz w:val="20"/>
        <w:szCs w:val="22"/>
        <w:lang w:val="fr-FR"/>
      </w:rPr>
    </w:pPr>
    <w:r w:rsidRPr="00FC2521">
      <w:rPr>
        <w:rFonts w:cs="Arial"/>
        <w:sz w:val="20"/>
        <w:szCs w:val="22"/>
        <w:lang w:val="fr-FR"/>
      </w:rPr>
      <w:t>page </w:t>
    </w:r>
    <w:r w:rsidRPr="00FC2521">
      <w:rPr>
        <w:rStyle w:val="PageNumber"/>
        <w:rFonts w:cs="Arial"/>
        <w:sz w:val="20"/>
        <w:szCs w:val="22"/>
      </w:rPr>
      <w:fldChar w:fldCharType="begin"/>
    </w:r>
    <w:r w:rsidRPr="00FC2521">
      <w:rPr>
        <w:rStyle w:val="PageNumber"/>
        <w:rFonts w:cs="Arial"/>
        <w:sz w:val="20"/>
        <w:szCs w:val="22"/>
        <w:lang w:val="fr-FR"/>
      </w:rPr>
      <w:instrText xml:space="preserve"> PAGE </w:instrText>
    </w:r>
    <w:r w:rsidRPr="00FC2521">
      <w:rPr>
        <w:rStyle w:val="PageNumber"/>
        <w:rFonts w:cs="Arial"/>
        <w:sz w:val="20"/>
        <w:szCs w:val="22"/>
      </w:rPr>
      <w:fldChar w:fldCharType="separate"/>
    </w:r>
    <w:r>
      <w:rPr>
        <w:rStyle w:val="PageNumber"/>
        <w:rFonts w:cs="Arial"/>
        <w:noProof/>
        <w:sz w:val="20"/>
        <w:szCs w:val="22"/>
        <w:lang w:val="fr-FR"/>
      </w:rPr>
      <w:t>3</w:t>
    </w:r>
    <w:r w:rsidRPr="00FC2521">
      <w:rPr>
        <w:rStyle w:val="PageNumber"/>
        <w:rFonts w:cs="Arial"/>
        <w:sz w:val="20"/>
        <w:szCs w:val="22"/>
      </w:rPr>
      <w:fldChar w:fldCharType="end"/>
    </w:r>
  </w:p>
  <w:p w14:paraId="7BDB5C24" w14:textId="77777777" w:rsidR="00690753" w:rsidRPr="00FC2521" w:rsidRDefault="00690753" w:rsidP="005742D0">
    <w:pPr>
      <w:pStyle w:val="Header"/>
      <w:ind w:left="7655"/>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F828F" w14:textId="439D8BE9" w:rsidR="00690753" w:rsidRPr="006842FA" w:rsidRDefault="00690753" w:rsidP="00294AD5">
    <w:pPr>
      <w:pStyle w:val="Header"/>
      <w:jc w:val="right"/>
      <w:rPr>
        <w:rFonts w:cs="Arial"/>
        <w:sz w:val="20"/>
        <w:szCs w:val="20"/>
      </w:rPr>
    </w:pPr>
    <w:r w:rsidRPr="005742D0">
      <w:rPr>
        <w:rFonts w:cs="Arial"/>
        <w:sz w:val="20"/>
        <w:szCs w:val="20"/>
      </w:rPr>
      <w:t>IOC</w:t>
    </w:r>
    <w:r>
      <w:rPr>
        <w:rFonts w:cs="Arial"/>
        <w:sz w:val="20"/>
        <w:szCs w:val="20"/>
      </w:rPr>
      <w:t>/A</w:t>
    </w:r>
    <w:r w:rsidRPr="005742D0">
      <w:rPr>
        <w:rFonts w:cs="Arial"/>
        <w:sz w:val="20"/>
        <w:szCs w:val="20"/>
      </w:rPr>
      <w:t>-31/</w:t>
    </w:r>
    <w:r w:rsidRPr="002F456C">
      <w:rPr>
        <w:rFonts w:cs="Arial"/>
        <w:sz w:val="20"/>
        <w:szCs w:val="20"/>
      </w:rPr>
      <w:t>3.5.2</w:t>
    </w:r>
    <w:r w:rsidRPr="005742D0">
      <w:rPr>
        <w:rFonts w:cs="Arial"/>
        <w:sz w:val="20"/>
        <w:szCs w:val="20"/>
      </w:rPr>
      <w:t>.Doc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44D088E"/>
    <w:multiLevelType w:val="multilevel"/>
    <w:tmpl w:val="D0FE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204C64"/>
    <w:multiLevelType w:val="hybridMultilevel"/>
    <w:tmpl w:val="2364293E"/>
    <w:lvl w:ilvl="0" w:tplc="896A2A8E">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1"/>
  </w:num>
  <w:num w:numId="5">
    <w:abstractNumId w:val="2"/>
  </w:num>
  <w:num w:numId="6">
    <w:abstractNumId w:val="5"/>
  </w:num>
  <w:num w:numId="7">
    <w:abstractNumId w:val="5"/>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79"/>
    <w:rsid w:val="00003B31"/>
    <w:rsid w:val="00010BBB"/>
    <w:rsid w:val="00016E87"/>
    <w:rsid w:val="0002051C"/>
    <w:rsid w:val="00020AA1"/>
    <w:rsid w:val="00085D6A"/>
    <w:rsid w:val="000B2D6B"/>
    <w:rsid w:val="000C58F2"/>
    <w:rsid w:val="000F0254"/>
    <w:rsid w:val="00117356"/>
    <w:rsid w:val="00123719"/>
    <w:rsid w:val="001241D7"/>
    <w:rsid w:val="00137E97"/>
    <w:rsid w:val="001448C4"/>
    <w:rsid w:val="00155393"/>
    <w:rsid w:val="00167158"/>
    <w:rsid w:val="00167520"/>
    <w:rsid w:val="00196052"/>
    <w:rsid w:val="001B3B24"/>
    <w:rsid w:val="001C6455"/>
    <w:rsid w:val="0021210D"/>
    <w:rsid w:val="00287B8D"/>
    <w:rsid w:val="00294AD5"/>
    <w:rsid w:val="002B7A3F"/>
    <w:rsid w:val="002C04D3"/>
    <w:rsid w:val="002C7DE3"/>
    <w:rsid w:val="002E0859"/>
    <w:rsid w:val="002E4DB8"/>
    <w:rsid w:val="002F456C"/>
    <w:rsid w:val="003007B6"/>
    <w:rsid w:val="0031621C"/>
    <w:rsid w:val="003313D8"/>
    <w:rsid w:val="003354F1"/>
    <w:rsid w:val="0034156B"/>
    <w:rsid w:val="00343EFA"/>
    <w:rsid w:val="00355412"/>
    <w:rsid w:val="003561BE"/>
    <w:rsid w:val="003740B1"/>
    <w:rsid w:val="003805F5"/>
    <w:rsid w:val="003A7860"/>
    <w:rsid w:val="003C55D3"/>
    <w:rsid w:val="003C64EB"/>
    <w:rsid w:val="003D3711"/>
    <w:rsid w:val="003F55CF"/>
    <w:rsid w:val="003F7186"/>
    <w:rsid w:val="004031FB"/>
    <w:rsid w:val="00413F17"/>
    <w:rsid w:val="00424DE6"/>
    <w:rsid w:val="004365D0"/>
    <w:rsid w:val="004429FB"/>
    <w:rsid w:val="004529B8"/>
    <w:rsid w:val="00467E3F"/>
    <w:rsid w:val="004A135F"/>
    <w:rsid w:val="004C1625"/>
    <w:rsid w:val="004C217D"/>
    <w:rsid w:val="004F7D6C"/>
    <w:rsid w:val="005742D0"/>
    <w:rsid w:val="005B5174"/>
    <w:rsid w:val="005C7A36"/>
    <w:rsid w:val="005C7D76"/>
    <w:rsid w:val="005E544C"/>
    <w:rsid w:val="006005DF"/>
    <w:rsid w:val="006110DA"/>
    <w:rsid w:val="00633EA5"/>
    <w:rsid w:val="00664E7D"/>
    <w:rsid w:val="0068104A"/>
    <w:rsid w:val="006842FA"/>
    <w:rsid w:val="0068682C"/>
    <w:rsid w:val="00690753"/>
    <w:rsid w:val="00690A0C"/>
    <w:rsid w:val="00690FD2"/>
    <w:rsid w:val="00693199"/>
    <w:rsid w:val="006B4B95"/>
    <w:rsid w:val="006C18D9"/>
    <w:rsid w:val="006C6449"/>
    <w:rsid w:val="006E6586"/>
    <w:rsid w:val="006F399F"/>
    <w:rsid w:val="006F732A"/>
    <w:rsid w:val="00737A18"/>
    <w:rsid w:val="00746B89"/>
    <w:rsid w:val="007525A8"/>
    <w:rsid w:val="00770E7F"/>
    <w:rsid w:val="00775F1E"/>
    <w:rsid w:val="0079212B"/>
    <w:rsid w:val="00793A73"/>
    <w:rsid w:val="007B3A75"/>
    <w:rsid w:val="008048D2"/>
    <w:rsid w:val="0081004E"/>
    <w:rsid w:val="00823C91"/>
    <w:rsid w:val="008338A6"/>
    <w:rsid w:val="00853565"/>
    <w:rsid w:val="00853E68"/>
    <w:rsid w:val="008A6E5C"/>
    <w:rsid w:val="008B384B"/>
    <w:rsid w:val="008D2398"/>
    <w:rsid w:val="008E57B4"/>
    <w:rsid w:val="008F6942"/>
    <w:rsid w:val="009026D3"/>
    <w:rsid w:val="009162AC"/>
    <w:rsid w:val="00993CA4"/>
    <w:rsid w:val="009B63AB"/>
    <w:rsid w:val="009C035C"/>
    <w:rsid w:val="009C0A89"/>
    <w:rsid w:val="009C15B1"/>
    <w:rsid w:val="009E3769"/>
    <w:rsid w:val="009E6A03"/>
    <w:rsid w:val="009E6B5B"/>
    <w:rsid w:val="009F3A67"/>
    <w:rsid w:val="009F7769"/>
    <w:rsid w:val="00A11697"/>
    <w:rsid w:val="00A25BC8"/>
    <w:rsid w:val="00A42F1D"/>
    <w:rsid w:val="00A93CB3"/>
    <w:rsid w:val="00AD3D55"/>
    <w:rsid w:val="00B3423A"/>
    <w:rsid w:val="00B6431D"/>
    <w:rsid w:val="00B722DE"/>
    <w:rsid w:val="00B83068"/>
    <w:rsid w:val="00BB4185"/>
    <w:rsid w:val="00BD4DC4"/>
    <w:rsid w:val="00BD6603"/>
    <w:rsid w:val="00BF069C"/>
    <w:rsid w:val="00BF3835"/>
    <w:rsid w:val="00C1002D"/>
    <w:rsid w:val="00C2635E"/>
    <w:rsid w:val="00C3684D"/>
    <w:rsid w:val="00C377E4"/>
    <w:rsid w:val="00C4032B"/>
    <w:rsid w:val="00C6486C"/>
    <w:rsid w:val="00C648D3"/>
    <w:rsid w:val="00C72275"/>
    <w:rsid w:val="00C75B02"/>
    <w:rsid w:val="00C8507A"/>
    <w:rsid w:val="00C962F0"/>
    <w:rsid w:val="00D013ED"/>
    <w:rsid w:val="00D36BDC"/>
    <w:rsid w:val="00D41668"/>
    <w:rsid w:val="00D5049E"/>
    <w:rsid w:val="00D55FEC"/>
    <w:rsid w:val="00DD0880"/>
    <w:rsid w:val="00DF2FB9"/>
    <w:rsid w:val="00E2260D"/>
    <w:rsid w:val="00E63DEF"/>
    <w:rsid w:val="00E64936"/>
    <w:rsid w:val="00ED6838"/>
    <w:rsid w:val="00EE0542"/>
    <w:rsid w:val="00EF3B79"/>
    <w:rsid w:val="00F463F2"/>
    <w:rsid w:val="00F57CAD"/>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5AD35B"/>
  <w15:docId w15:val="{661DE7C0-1703-9C49-BCBF-AF6A7684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3423A"/>
    <w:pPr>
      <w:numPr>
        <w:numId w:val="2"/>
      </w:numPr>
      <w:tabs>
        <w:tab w:val="clear" w:pos="567"/>
      </w:tabs>
      <w:spacing w:before="360"/>
    </w:pPr>
    <w:rPr>
      <w:rFonts w:eastAsia="Arial Unicode MS"/>
      <w:bC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B3423A"/>
    <w:rPr>
      <w:rFonts w:ascii="Arial" w:eastAsia="Arial Unicode MS" w:hAnsi="Arial"/>
      <w:bCs/>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table" w:styleId="TableGrid">
    <w:name w:val="Table Grid"/>
    <w:basedOn w:val="TableNormal"/>
    <w:rsid w:val="00343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769"/>
    <w:pPr>
      <w:ind w:left="720"/>
      <w:contextualSpacing/>
    </w:pPr>
  </w:style>
  <w:style w:type="paragraph" w:styleId="BalloonText">
    <w:name w:val="Balloon Text"/>
    <w:basedOn w:val="Normal"/>
    <w:link w:val="BalloonTextChar"/>
    <w:semiHidden/>
    <w:unhideWhenUsed/>
    <w:rsid w:val="00823C91"/>
    <w:rPr>
      <w:rFonts w:ascii="Segoe UI" w:hAnsi="Segoe UI" w:cs="Segoe UI"/>
      <w:sz w:val="18"/>
      <w:szCs w:val="18"/>
    </w:rPr>
  </w:style>
  <w:style w:type="character" w:customStyle="1" w:styleId="BalloonTextChar">
    <w:name w:val="Balloon Text Char"/>
    <w:basedOn w:val="DefaultParagraphFont"/>
    <w:link w:val="BalloonText"/>
    <w:semiHidden/>
    <w:rsid w:val="00823C91"/>
    <w:rPr>
      <w:rFonts w:ascii="Segoe UI" w:hAnsi="Segoe UI" w:cs="Segoe UI"/>
      <w:snapToGrid w:val="0"/>
      <w:sz w:val="18"/>
      <w:szCs w:val="18"/>
      <w:lang w:val="en-GB" w:eastAsia="en-US"/>
    </w:rPr>
  </w:style>
  <w:style w:type="character" w:styleId="CommentReference">
    <w:name w:val="annotation reference"/>
    <w:basedOn w:val="DefaultParagraphFont"/>
    <w:semiHidden/>
    <w:unhideWhenUsed/>
    <w:rsid w:val="000C58F2"/>
    <w:rPr>
      <w:sz w:val="16"/>
      <w:szCs w:val="16"/>
    </w:rPr>
  </w:style>
  <w:style w:type="paragraph" w:styleId="CommentText">
    <w:name w:val="annotation text"/>
    <w:basedOn w:val="Normal"/>
    <w:link w:val="CommentTextChar"/>
    <w:semiHidden/>
    <w:unhideWhenUsed/>
    <w:rsid w:val="000C58F2"/>
    <w:rPr>
      <w:sz w:val="20"/>
      <w:szCs w:val="20"/>
    </w:rPr>
  </w:style>
  <w:style w:type="character" w:customStyle="1" w:styleId="CommentTextChar">
    <w:name w:val="Comment Text Char"/>
    <w:basedOn w:val="DefaultParagraphFont"/>
    <w:link w:val="CommentText"/>
    <w:semiHidden/>
    <w:rsid w:val="000C58F2"/>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C58F2"/>
    <w:rPr>
      <w:b/>
      <w:bCs/>
    </w:rPr>
  </w:style>
  <w:style w:type="character" w:customStyle="1" w:styleId="CommentSubjectChar">
    <w:name w:val="Comment Subject Char"/>
    <w:basedOn w:val="CommentTextChar"/>
    <w:link w:val="CommentSubject"/>
    <w:semiHidden/>
    <w:rsid w:val="000C58F2"/>
    <w:rPr>
      <w:rFonts w:ascii="Arial" w:hAnsi="Arial"/>
      <w:b/>
      <w:bCs/>
      <w:snapToGrid w:val="0"/>
      <w:lang w:val="en-GB" w:eastAsia="en-US"/>
    </w:rPr>
  </w:style>
  <w:style w:type="paragraph" w:styleId="Revision">
    <w:name w:val="Revision"/>
    <w:hidden/>
    <w:uiPriority w:val="99"/>
    <w:semiHidden/>
    <w:rsid w:val="000C58F2"/>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3602">
      <w:bodyDiv w:val="1"/>
      <w:marLeft w:val="0"/>
      <w:marRight w:val="0"/>
      <w:marTop w:val="0"/>
      <w:marBottom w:val="0"/>
      <w:divBdr>
        <w:top w:val="none" w:sz="0" w:space="0" w:color="auto"/>
        <w:left w:val="none" w:sz="0" w:space="0" w:color="auto"/>
        <w:bottom w:val="none" w:sz="0" w:space="0" w:color="auto"/>
        <w:right w:val="none" w:sz="0" w:space="0" w:color="auto"/>
      </w:divBdr>
    </w:div>
    <w:div w:id="77867152">
      <w:bodyDiv w:val="1"/>
      <w:marLeft w:val="0"/>
      <w:marRight w:val="0"/>
      <w:marTop w:val="0"/>
      <w:marBottom w:val="0"/>
      <w:divBdr>
        <w:top w:val="none" w:sz="0" w:space="0" w:color="auto"/>
        <w:left w:val="none" w:sz="0" w:space="0" w:color="auto"/>
        <w:bottom w:val="none" w:sz="0" w:space="0" w:color="auto"/>
        <w:right w:val="none" w:sz="0" w:space="0" w:color="auto"/>
      </w:divBdr>
    </w:div>
    <w:div w:id="170604340">
      <w:bodyDiv w:val="1"/>
      <w:marLeft w:val="0"/>
      <w:marRight w:val="0"/>
      <w:marTop w:val="0"/>
      <w:marBottom w:val="0"/>
      <w:divBdr>
        <w:top w:val="none" w:sz="0" w:space="0" w:color="auto"/>
        <w:left w:val="none" w:sz="0" w:space="0" w:color="auto"/>
        <w:bottom w:val="none" w:sz="0" w:space="0" w:color="auto"/>
        <w:right w:val="none" w:sz="0" w:space="0" w:color="auto"/>
      </w:divBdr>
    </w:div>
    <w:div w:id="278537430">
      <w:bodyDiv w:val="1"/>
      <w:marLeft w:val="0"/>
      <w:marRight w:val="0"/>
      <w:marTop w:val="0"/>
      <w:marBottom w:val="0"/>
      <w:divBdr>
        <w:top w:val="none" w:sz="0" w:space="0" w:color="auto"/>
        <w:left w:val="none" w:sz="0" w:space="0" w:color="auto"/>
        <w:bottom w:val="none" w:sz="0" w:space="0" w:color="auto"/>
        <w:right w:val="none" w:sz="0" w:space="0" w:color="auto"/>
      </w:divBdr>
    </w:div>
    <w:div w:id="295767651">
      <w:bodyDiv w:val="1"/>
      <w:marLeft w:val="0"/>
      <w:marRight w:val="0"/>
      <w:marTop w:val="0"/>
      <w:marBottom w:val="0"/>
      <w:divBdr>
        <w:top w:val="none" w:sz="0" w:space="0" w:color="auto"/>
        <w:left w:val="none" w:sz="0" w:space="0" w:color="auto"/>
        <w:bottom w:val="none" w:sz="0" w:space="0" w:color="auto"/>
        <w:right w:val="none" w:sz="0" w:space="0" w:color="auto"/>
      </w:divBdr>
    </w:div>
    <w:div w:id="346912389">
      <w:bodyDiv w:val="1"/>
      <w:marLeft w:val="0"/>
      <w:marRight w:val="0"/>
      <w:marTop w:val="0"/>
      <w:marBottom w:val="0"/>
      <w:divBdr>
        <w:top w:val="none" w:sz="0" w:space="0" w:color="auto"/>
        <w:left w:val="none" w:sz="0" w:space="0" w:color="auto"/>
        <w:bottom w:val="none" w:sz="0" w:space="0" w:color="auto"/>
        <w:right w:val="none" w:sz="0" w:space="0" w:color="auto"/>
      </w:divBdr>
    </w:div>
    <w:div w:id="364604193">
      <w:bodyDiv w:val="1"/>
      <w:marLeft w:val="0"/>
      <w:marRight w:val="0"/>
      <w:marTop w:val="0"/>
      <w:marBottom w:val="0"/>
      <w:divBdr>
        <w:top w:val="none" w:sz="0" w:space="0" w:color="auto"/>
        <w:left w:val="none" w:sz="0" w:space="0" w:color="auto"/>
        <w:bottom w:val="none" w:sz="0" w:space="0" w:color="auto"/>
        <w:right w:val="none" w:sz="0" w:space="0" w:color="auto"/>
      </w:divBdr>
    </w:div>
    <w:div w:id="433477471">
      <w:bodyDiv w:val="1"/>
      <w:marLeft w:val="0"/>
      <w:marRight w:val="0"/>
      <w:marTop w:val="0"/>
      <w:marBottom w:val="0"/>
      <w:divBdr>
        <w:top w:val="none" w:sz="0" w:space="0" w:color="auto"/>
        <w:left w:val="none" w:sz="0" w:space="0" w:color="auto"/>
        <w:bottom w:val="none" w:sz="0" w:space="0" w:color="auto"/>
        <w:right w:val="none" w:sz="0" w:space="0" w:color="auto"/>
      </w:divBdr>
    </w:div>
    <w:div w:id="674765359">
      <w:bodyDiv w:val="1"/>
      <w:marLeft w:val="0"/>
      <w:marRight w:val="0"/>
      <w:marTop w:val="0"/>
      <w:marBottom w:val="0"/>
      <w:divBdr>
        <w:top w:val="none" w:sz="0" w:space="0" w:color="auto"/>
        <w:left w:val="none" w:sz="0" w:space="0" w:color="auto"/>
        <w:bottom w:val="none" w:sz="0" w:space="0" w:color="auto"/>
        <w:right w:val="none" w:sz="0" w:space="0" w:color="auto"/>
      </w:divBdr>
    </w:div>
    <w:div w:id="796945117">
      <w:bodyDiv w:val="1"/>
      <w:marLeft w:val="0"/>
      <w:marRight w:val="0"/>
      <w:marTop w:val="0"/>
      <w:marBottom w:val="0"/>
      <w:divBdr>
        <w:top w:val="none" w:sz="0" w:space="0" w:color="auto"/>
        <w:left w:val="none" w:sz="0" w:space="0" w:color="auto"/>
        <w:bottom w:val="none" w:sz="0" w:space="0" w:color="auto"/>
        <w:right w:val="none" w:sz="0" w:space="0" w:color="auto"/>
      </w:divBdr>
    </w:div>
    <w:div w:id="799879990">
      <w:bodyDiv w:val="1"/>
      <w:marLeft w:val="0"/>
      <w:marRight w:val="0"/>
      <w:marTop w:val="0"/>
      <w:marBottom w:val="0"/>
      <w:divBdr>
        <w:top w:val="none" w:sz="0" w:space="0" w:color="auto"/>
        <w:left w:val="none" w:sz="0" w:space="0" w:color="auto"/>
        <w:bottom w:val="none" w:sz="0" w:space="0" w:color="auto"/>
        <w:right w:val="none" w:sz="0" w:space="0" w:color="auto"/>
      </w:divBdr>
    </w:div>
    <w:div w:id="867177985">
      <w:bodyDiv w:val="1"/>
      <w:marLeft w:val="0"/>
      <w:marRight w:val="0"/>
      <w:marTop w:val="0"/>
      <w:marBottom w:val="0"/>
      <w:divBdr>
        <w:top w:val="none" w:sz="0" w:space="0" w:color="auto"/>
        <w:left w:val="none" w:sz="0" w:space="0" w:color="auto"/>
        <w:bottom w:val="none" w:sz="0" w:space="0" w:color="auto"/>
        <w:right w:val="none" w:sz="0" w:space="0" w:color="auto"/>
      </w:divBdr>
    </w:div>
    <w:div w:id="886645941">
      <w:bodyDiv w:val="1"/>
      <w:marLeft w:val="0"/>
      <w:marRight w:val="0"/>
      <w:marTop w:val="0"/>
      <w:marBottom w:val="0"/>
      <w:divBdr>
        <w:top w:val="none" w:sz="0" w:space="0" w:color="auto"/>
        <w:left w:val="none" w:sz="0" w:space="0" w:color="auto"/>
        <w:bottom w:val="none" w:sz="0" w:space="0" w:color="auto"/>
        <w:right w:val="none" w:sz="0" w:space="0" w:color="auto"/>
      </w:divBdr>
    </w:div>
    <w:div w:id="905648115">
      <w:bodyDiv w:val="1"/>
      <w:marLeft w:val="0"/>
      <w:marRight w:val="0"/>
      <w:marTop w:val="0"/>
      <w:marBottom w:val="0"/>
      <w:divBdr>
        <w:top w:val="none" w:sz="0" w:space="0" w:color="auto"/>
        <w:left w:val="none" w:sz="0" w:space="0" w:color="auto"/>
        <w:bottom w:val="none" w:sz="0" w:space="0" w:color="auto"/>
        <w:right w:val="none" w:sz="0" w:space="0" w:color="auto"/>
      </w:divBdr>
    </w:div>
    <w:div w:id="1142308263">
      <w:bodyDiv w:val="1"/>
      <w:marLeft w:val="0"/>
      <w:marRight w:val="0"/>
      <w:marTop w:val="0"/>
      <w:marBottom w:val="0"/>
      <w:divBdr>
        <w:top w:val="none" w:sz="0" w:space="0" w:color="auto"/>
        <w:left w:val="none" w:sz="0" w:space="0" w:color="auto"/>
        <w:bottom w:val="none" w:sz="0" w:space="0" w:color="auto"/>
        <w:right w:val="none" w:sz="0" w:space="0" w:color="auto"/>
      </w:divBdr>
    </w:div>
    <w:div w:id="1576236376">
      <w:bodyDiv w:val="1"/>
      <w:marLeft w:val="0"/>
      <w:marRight w:val="0"/>
      <w:marTop w:val="0"/>
      <w:marBottom w:val="0"/>
      <w:divBdr>
        <w:top w:val="none" w:sz="0" w:space="0" w:color="auto"/>
        <w:left w:val="none" w:sz="0" w:space="0" w:color="auto"/>
        <w:bottom w:val="none" w:sz="0" w:space="0" w:color="auto"/>
        <w:right w:val="none" w:sz="0" w:space="0" w:color="auto"/>
      </w:divBdr>
    </w:div>
    <w:div w:id="1659265709">
      <w:bodyDiv w:val="1"/>
      <w:marLeft w:val="0"/>
      <w:marRight w:val="0"/>
      <w:marTop w:val="0"/>
      <w:marBottom w:val="0"/>
      <w:divBdr>
        <w:top w:val="none" w:sz="0" w:space="0" w:color="auto"/>
        <w:left w:val="none" w:sz="0" w:space="0" w:color="auto"/>
        <w:bottom w:val="none" w:sz="0" w:space="0" w:color="auto"/>
        <w:right w:val="none" w:sz="0" w:space="0" w:color="auto"/>
      </w:divBdr>
    </w:div>
    <w:div w:id="1820227855">
      <w:bodyDiv w:val="1"/>
      <w:marLeft w:val="0"/>
      <w:marRight w:val="0"/>
      <w:marTop w:val="0"/>
      <w:marBottom w:val="0"/>
      <w:divBdr>
        <w:top w:val="none" w:sz="0" w:space="0" w:color="auto"/>
        <w:left w:val="none" w:sz="0" w:space="0" w:color="auto"/>
        <w:bottom w:val="none" w:sz="0" w:space="0" w:color="auto"/>
        <w:right w:val="none" w:sz="0" w:space="0" w:color="auto"/>
      </w:divBdr>
    </w:div>
    <w:div w:id="1864856757">
      <w:bodyDiv w:val="1"/>
      <w:marLeft w:val="0"/>
      <w:marRight w:val="0"/>
      <w:marTop w:val="0"/>
      <w:marBottom w:val="0"/>
      <w:divBdr>
        <w:top w:val="none" w:sz="0" w:space="0" w:color="auto"/>
        <w:left w:val="none" w:sz="0" w:space="0" w:color="auto"/>
        <w:bottom w:val="none" w:sz="0" w:space="0" w:color="auto"/>
        <w:right w:val="none" w:sz="0" w:space="0" w:color="auto"/>
      </w:divBdr>
    </w:div>
    <w:div w:id="1949896024">
      <w:bodyDiv w:val="1"/>
      <w:marLeft w:val="0"/>
      <w:marRight w:val="0"/>
      <w:marTop w:val="0"/>
      <w:marBottom w:val="0"/>
      <w:divBdr>
        <w:top w:val="none" w:sz="0" w:space="0" w:color="auto"/>
        <w:left w:val="none" w:sz="0" w:space="0" w:color="auto"/>
        <w:bottom w:val="none" w:sz="0" w:space="0" w:color="auto"/>
        <w:right w:val="none" w:sz="0" w:space="0" w:color="auto"/>
      </w:divBdr>
    </w:div>
    <w:div w:id="2002080123">
      <w:bodyDiv w:val="1"/>
      <w:marLeft w:val="0"/>
      <w:marRight w:val="0"/>
      <w:marTop w:val="0"/>
      <w:marBottom w:val="0"/>
      <w:divBdr>
        <w:top w:val="none" w:sz="0" w:space="0" w:color="auto"/>
        <w:left w:val="none" w:sz="0" w:space="0" w:color="auto"/>
        <w:bottom w:val="none" w:sz="0" w:space="0" w:color="auto"/>
        <w:right w:val="none" w:sz="0" w:space="0" w:color="auto"/>
      </w:divBdr>
    </w:div>
    <w:div w:id="2106685917">
      <w:bodyDiv w:val="1"/>
      <w:marLeft w:val="0"/>
      <w:marRight w:val="0"/>
      <w:marTop w:val="0"/>
      <w:marBottom w:val="0"/>
      <w:divBdr>
        <w:top w:val="none" w:sz="0" w:space="0" w:color="auto"/>
        <w:left w:val="none" w:sz="0" w:space="0" w:color="auto"/>
        <w:bottom w:val="none" w:sz="0" w:space="0" w:color="auto"/>
        <w:right w:val="none" w:sz="0" w:space="0" w:color="auto"/>
      </w:divBdr>
    </w:div>
    <w:div w:id="21069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8600" TargetMode="External"/><Relationship Id="rId13" Type="http://schemas.openxmlformats.org/officeDocument/2006/relationships/header" Target="header3.xml"/><Relationship Id="rId18" Type="http://schemas.openxmlformats.org/officeDocument/2006/relationships/hyperlink" Target="https://oceanexpert.org/document/28075"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goosocean.org/goos-249"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oosocean.org/index.php?option=com_oe&amp;task=viewEventRecord&amp;eventID=2921" TargetMode="External"/><Relationship Id="rId23" Type="http://schemas.openxmlformats.org/officeDocument/2006/relationships/theme" Target="theme/theme1.xml"/><Relationship Id="rId10" Type="http://schemas.openxmlformats.org/officeDocument/2006/relationships/hyperlink" Target="https://oceanexpert.org/document/28075"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unesdoc.unesco.org/ark:/48223/pf0000368020.locale=en" TargetMode="External"/><Relationship Id="rId14" Type="http://schemas.openxmlformats.org/officeDocument/2006/relationships/hyperlink" Target="https://unesdoc.unesco.org/ark:/48223/pf0000368020.locale=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solidFill>
                  <a:sysClr val="windowText" lastClr="000000"/>
                </a:solidFill>
              </a:rPr>
              <a:t>Collective impact vs. ambition (%)</a:t>
            </a:r>
          </a:p>
          <a:p>
            <a:pPr>
              <a:defRPr/>
            </a:pPr>
            <a:r>
              <a:rPr lang="en-US" sz="1050" i="1">
                <a:solidFill>
                  <a:sysClr val="windowText" lastClr="000000"/>
                </a:solidFill>
              </a:rPr>
              <a:t>of the actions in the GOOS Impelementation Plan vs. 2030 Strategy</a:t>
            </a:r>
          </a:p>
        </c:rich>
      </c:tx>
      <c:layout>
        <c:manualLayout>
          <c:xMode val="edge"/>
          <c:yMode val="edge"/>
          <c:x val="0.1212592626240855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Sheet1!$B$1</c:f>
              <c:strCache>
                <c:ptCount val="1"/>
                <c:pt idx="0">
                  <c:v>Percent</c:v>
                </c:pt>
              </c:strCache>
            </c:strRef>
          </c:tx>
          <c:spPr>
            <a:solidFill>
              <a:schemeClr val="accent1"/>
            </a:solidFill>
            <a:ln>
              <a:noFill/>
            </a:ln>
            <a:effectLst/>
          </c:spPr>
          <c:invertIfNegative val="0"/>
          <c:cat>
            <c:strRef>
              <c:f>Sheet1!$A$2:$A$12</c:f>
              <c:strCache>
                <c:ptCount val="11"/>
                <c:pt idx="0">
                  <c:v>SO1 partnerships</c:v>
                </c:pt>
                <c:pt idx="1">
                  <c:v>SO2 advocacy</c:v>
                </c:pt>
                <c:pt idx="2">
                  <c:v>SO3 evaluation</c:v>
                </c:pt>
                <c:pt idx="3">
                  <c:v>SO4 products</c:v>
                </c:pt>
                <c:pt idx="4">
                  <c:v>SO5 guidance</c:v>
                </c:pt>
                <c:pt idx="5">
                  <c:v>SO6 obs implementation</c:v>
                </c:pt>
                <c:pt idx="6">
                  <c:v>SO7 FAIR data</c:v>
                </c:pt>
                <c:pt idx="7">
                  <c:v>SO8 innovation</c:v>
                </c:pt>
                <c:pt idx="8">
                  <c:v>SO9 capacity</c:v>
                </c:pt>
                <c:pt idx="9">
                  <c:v>SO10 human impacts</c:v>
                </c:pt>
                <c:pt idx="10">
                  <c:v>SO11 governance</c:v>
                </c:pt>
              </c:strCache>
            </c:strRef>
          </c:cat>
          <c:val>
            <c:numRef>
              <c:f>Sheet1!$B$2:$B$12</c:f>
              <c:numCache>
                <c:formatCode>General</c:formatCode>
                <c:ptCount val="11"/>
                <c:pt idx="0">
                  <c:v>20</c:v>
                </c:pt>
                <c:pt idx="1">
                  <c:v>70</c:v>
                </c:pt>
                <c:pt idx="2">
                  <c:v>70</c:v>
                </c:pt>
                <c:pt idx="3">
                  <c:v>10</c:v>
                </c:pt>
                <c:pt idx="4">
                  <c:v>60</c:v>
                </c:pt>
                <c:pt idx="5">
                  <c:v>60</c:v>
                </c:pt>
                <c:pt idx="6">
                  <c:v>70</c:v>
                </c:pt>
                <c:pt idx="7">
                  <c:v>50</c:v>
                </c:pt>
                <c:pt idx="8">
                  <c:v>20</c:v>
                </c:pt>
                <c:pt idx="9">
                  <c:v>10</c:v>
                </c:pt>
                <c:pt idx="10">
                  <c:v>30</c:v>
                </c:pt>
              </c:numCache>
            </c:numRef>
          </c:val>
          <c:extLst>
            <c:ext xmlns:c16="http://schemas.microsoft.com/office/drawing/2014/chart" uri="{C3380CC4-5D6E-409C-BE32-E72D297353CC}">
              <c16:uniqueId val="{00000000-2D3E-2F44-ACBE-4E1A7AF7C69E}"/>
            </c:ext>
          </c:extLst>
        </c:ser>
        <c:dLbls>
          <c:showLegendKey val="0"/>
          <c:showVal val="0"/>
          <c:showCatName val="0"/>
          <c:showSerName val="0"/>
          <c:showPercent val="0"/>
          <c:showBubbleSize val="0"/>
        </c:dLbls>
        <c:gapWidth val="182"/>
        <c:axId val="290400831"/>
        <c:axId val="290402479"/>
      </c:barChart>
      <c:dateAx>
        <c:axId val="29040083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0402479"/>
        <c:crosses val="autoZero"/>
        <c:auto val="0"/>
        <c:lblOffset val="100"/>
        <c:baseTimeUnit val="days"/>
      </c:dateAx>
      <c:valAx>
        <c:axId val="290402479"/>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0400831"/>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2372</Words>
  <Characters>14737</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Albert Fischer</dc:creator>
  <cp:lastModifiedBy>Boned, Patrice</cp:lastModifiedBy>
  <cp:revision>3</cp:revision>
  <cp:lastPrinted>2021-05-31T16:48:00Z</cp:lastPrinted>
  <dcterms:created xsi:type="dcterms:W3CDTF">2021-06-01T15:58:00Z</dcterms:created>
  <dcterms:modified xsi:type="dcterms:W3CDTF">2021-06-01T15:59:00Z</dcterms:modified>
</cp:coreProperties>
</file>