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4649EA" w:rsidRPr="002F2E9B" w14:paraId="0D511464" w14:textId="77777777" w:rsidTr="00370302">
        <w:trPr>
          <w:trHeight w:val="4298"/>
          <w:jc w:val="center"/>
        </w:trPr>
        <w:tc>
          <w:tcPr>
            <w:tcW w:w="7654" w:type="dxa"/>
            <w:tcMar>
              <w:top w:w="170" w:type="dxa"/>
              <w:left w:w="170" w:type="dxa"/>
              <w:bottom w:w="170" w:type="dxa"/>
              <w:right w:w="170" w:type="dxa"/>
            </w:tcMar>
          </w:tcPr>
          <w:p w14:paraId="792E5074" w14:textId="77777777" w:rsidR="004649EA" w:rsidRPr="002F2E9B" w:rsidRDefault="004649EA" w:rsidP="00406DF4">
            <w:pPr>
              <w:pStyle w:val="Marge"/>
              <w:jc w:val="center"/>
              <w:rPr>
                <w:rFonts w:cs="Arial"/>
                <w:szCs w:val="22"/>
                <w:lang w:val="en-US"/>
              </w:rPr>
            </w:pPr>
            <w:r w:rsidRPr="002F2E9B">
              <w:rPr>
                <w:rFonts w:cs="Arial"/>
                <w:szCs w:val="22"/>
                <w:u w:val="single"/>
                <w:lang w:val="en-US"/>
              </w:rPr>
              <w:t>Summary</w:t>
            </w:r>
          </w:p>
          <w:p w14:paraId="010EBE99" w14:textId="7FACEE57" w:rsidR="0070118D" w:rsidRPr="002F2E9B" w:rsidRDefault="004649EA" w:rsidP="00370302">
            <w:pPr>
              <w:pStyle w:val="Marge"/>
              <w:rPr>
                <w:rFonts w:cs="Arial"/>
                <w:iCs/>
                <w:color w:val="000000"/>
                <w:szCs w:val="22"/>
                <w:lang w:val="en-US"/>
              </w:rPr>
            </w:pPr>
            <w:r w:rsidRPr="002F2E9B">
              <w:rPr>
                <w:rFonts w:cs="Arial"/>
                <w:szCs w:val="22"/>
                <w:lang w:val="en-US"/>
              </w:rPr>
              <w:t>In Decision XXIX/9.1, the IOC Assembly</w:t>
            </w:r>
            <w:r w:rsidR="008F0AA4" w:rsidRPr="002F2E9B">
              <w:rPr>
                <w:rFonts w:cs="Arial"/>
                <w:szCs w:val="22"/>
                <w:lang w:val="en-US"/>
              </w:rPr>
              <w:t xml:space="preserve"> at its 29</w:t>
            </w:r>
            <w:r w:rsidR="008F0AA4" w:rsidRPr="002F2E9B">
              <w:rPr>
                <w:rFonts w:cs="Arial"/>
                <w:szCs w:val="22"/>
                <w:vertAlign w:val="superscript"/>
                <w:lang w:val="en-US"/>
              </w:rPr>
              <w:t>th</w:t>
            </w:r>
            <w:r w:rsidR="008F0AA4" w:rsidRPr="002F2E9B">
              <w:rPr>
                <w:rFonts w:cs="Arial"/>
                <w:szCs w:val="22"/>
                <w:lang w:val="en-US"/>
              </w:rPr>
              <w:t xml:space="preserve"> session in 2017</w:t>
            </w:r>
            <w:r w:rsidRPr="002F2E9B">
              <w:rPr>
                <w:rFonts w:cs="Arial"/>
                <w:szCs w:val="22"/>
                <w:lang w:val="en-US"/>
              </w:rPr>
              <w:t xml:space="preserve"> </w:t>
            </w:r>
            <w:r w:rsidRPr="002F2E9B">
              <w:rPr>
                <w:rFonts w:eastAsiaTheme="minorHAnsi" w:cs="Arial"/>
                <w:color w:val="000000"/>
                <w:szCs w:val="22"/>
                <w:lang w:val="en-US"/>
              </w:rPr>
              <w:t xml:space="preserve">took </w:t>
            </w:r>
            <w:r w:rsidRPr="002F2E9B">
              <w:rPr>
                <w:rFonts w:cs="Arial"/>
                <w:color w:val="000000"/>
                <w:szCs w:val="22"/>
                <w:lang w:val="en-US"/>
              </w:rPr>
              <w:t xml:space="preserve">note of the assignment of IOC as a custodian agency for specific SDG 14 indicators, particularly under </w:t>
            </w:r>
            <w:r w:rsidR="00CB208A" w:rsidRPr="002F2E9B">
              <w:rPr>
                <w:rFonts w:cs="Arial"/>
                <w:color w:val="000000"/>
                <w:szCs w:val="22"/>
                <w:lang w:val="en-US"/>
              </w:rPr>
              <w:t xml:space="preserve">Targets </w:t>
            </w:r>
            <w:r w:rsidRPr="002F2E9B">
              <w:rPr>
                <w:rFonts w:cs="Arial"/>
                <w:color w:val="000000"/>
                <w:szCs w:val="22"/>
                <w:lang w:val="en-US"/>
              </w:rPr>
              <w:t xml:space="preserve">14.3 and 14.a. This means that the IOC is responsible for the methodological development and measurement of these SDG indicators at </w:t>
            </w:r>
            <w:r w:rsidR="001B29AB">
              <w:rPr>
                <w:rFonts w:cs="Arial"/>
                <w:color w:val="000000"/>
                <w:szCs w:val="22"/>
                <w:lang w:val="en-US"/>
              </w:rPr>
              <w:t xml:space="preserve">the </w:t>
            </w:r>
            <w:r w:rsidRPr="002F2E9B">
              <w:rPr>
                <w:rFonts w:cs="Arial"/>
                <w:color w:val="000000"/>
                <w:szCs w:val="22"/>
                <w:lang w:val="en-US"/>
              </w:rPr>
              <w:t>global scale.</w:t>
            </w:r>
            <w:r w:rsidR="006C6109" w:rsidRPr="002F2E9B">
              <w:rPr>
                <w:rFonts w:cs="Arial"/>
                <w:color w:val="000000"/>
                <w:szCs w:val="22"/>
                <w:lang w:val="en-US"/>
              </w:rPr>
              <w:t xml:space="preserve"> In </w:t>
            </w:r>
            <w:hyperlink r:id="rId8" w:history="1">
              <w:r w:rsidR="006C6109" w:rsidRPr="002F2E9B">
                <w:rPr>
                  <w:rStyle w:val="Hyperlink"/>
                  <w:rFonts w:cs="Arial"/>
                  <w:lang w:val="en-US"/>
                </w:rPr>
                <w:t>Decision EC-LI/4.3</w:t>
              </w:r>
            </w:hyperlink>
            <w:r w:rsidR="008A5F2E" w:rsidRPr="002F2E9B">
              <w:rPr>
                <w:rStyle w:val="Hyperlink"/>
                <w:rFonts w:cs="Arial"/>
                <w:u w:val="none"/>
                <w:lang w:val="en-US"/>
              </w:rPr>
              <w:t>,</w:t>
            </w:r>
            <w:r w:rsidR="006C6109" w:rsidRPr="002F2E9B">
              <w:rPr>
                <w:rFonts w:cs="Arial"/>
                <w:lang w:val="en-US"/>
              </w:rPr>
              <w:t xml:space="preserve"> the IOC Executive Council </w:t>
            </w:r>
            <w:r w:rsidR="008F0AA4" w:rsidRPr="002F2E9B">
              <w:rPr>
                <w:rFonts w:cs="Arial"/>
                <w:lang w:val="en-US"/>
              </w:rPr>
              <w:t>at its 51</w:t>
            </w:r>
            <w:r w:rsidR="002F2E9B">
              <w:rPr>
                <w:rFonts w:cs="Arial"/>
                <w:lang w:val="en-US"/>
              </w:rPr>
              <w:t>st</w:t>
            </w:r>
            <w:r w:rsidR="008F0AA4" w:rsidRPr="002F2E9B">
              <w:rPr>
                <w:rFonts w:cs="Arial"/>
                <w:lang w:val="en-US"/>
              </w:rPr>
              <w:t xml:space="preserve"> session in 2018 </w:t>
            </w:r>
            <w:r w:rsidR="006C6109" w:rsidRPr="002F2E9B">
              <w:rPr>
                <w:rFonts w:cs="Arial"/>
                <w:lang w:val="en-US"/>
              </w:rPr>
              <w:t>endorsed the</w:t>
            </w:r>
            <w:r w:rsidR="00F26900" w:rsidRPr="002F2E9B">
              <w:rPr>
                <w:rFonts w:cs="Arial"/>
                <w:lang w:val="en-US"/>
              </w:rPr>
              <w:t xml:space="preserve"> implementation of the</w:t>
            </w:r>
            <w:r w:rsidR="006C6109" w:rsidRPr="002F2E9B">
              <w:rPr>
                <w:rFonts w:cs="Arial"/>
                <w:lang w:val="en-US"/>
              </w:rPr>
              <w:t xml:space="preserve"> second edition of the </w:t>
            </w:r>
            <w:r w:rsidR="006C6109" w:rsidRPr="002F2E9B">
              <w:rPr>
                <w:rFonts w:cs="Arial"/>
                <w:i/>
                <w:iCs/>
                <w:lang w:val="en-US"/>
              </w:rPr>
              <w:t>Global Ocean Science Report</w:t>
            </w:r>
            <w:r w:rsidR="00F26900" w:rsidRPr="002F2E9B">
              <w:rPr>
                <w:rFonts w:cs="Arial"/>
                <w:lang w:val="en-US"/>
              </w:rPr>
              <w:t xml:space="preserve"> and its role as the main mechanism for reporting towards the SDG Target 14.a</w:t>
            </w:r>
            <w:r w:rsidR="006C6109" w:rsidRPr="002F2E9B">
              <w:rPr>
                <w:rFonts w:cs="Arial"/>
                <w:lang w:val="en-US"/>
              </w:rPr>
              <w:t xml:space="preserve">. </w:t>
            </w:r>
            <w:r w:rsidR="008F0AA4" w:rsidRPr="002F2E9B">
              <w:rPr>
                <w:rFonts w:cs="Arial"/>
                <w:lang w:val="en-US"/>
              </w:rPr>
              <w:t>At the same session, the IOC Executive Council</w:t>
            </w:r>
            <w:r w:rsidR="006C6109" w:rsidRPr="002F2E9B">
              <w:rPr>
                <w:rFonts w:cs="Arial"/>
                <w:lang w:val="en-US"/>
              </w:rPr>
              <w:t>, in</w:t>
            </w:r>
            <w:r w:rsidR="006C6109" w:rsidRPr="002F2E9B">
              <w:rPr>
                <w:rFonts w:cs="Arial"/>
                <w:u w:val="single"/>
                <w:lang w:val="en-US"/>
              </w:rPr>
              <w:t xml:space="preserve"> </w:t>
            </w:r>
            <w:hyperlink r:id="rId9" w:history="1">
              <w:r w:rsidR="006C6109" w:rsidRPr="002F2E9B">
                <w:rPr>
                  <w:rStyle w:val="Hyperlink"/>
                  <w:rFonts w:cs="Arial"/>
                  <w:bCs/>
                  <w:iCs/>
                  <w:szCs w:val="22"/>
                  <w:lang w:val="en-US"/>
                </w:rPr>
                <w:t>Decision EC-LI/4.4</w:t>
              </w:r>
            </w:hyperlink>
            <w:r w:rsidR="008F0AA4" w:rsidRPr="002F2E9B">
              <w:rPr>
                <w:rStyle w:val="Hyperlink"/>
                <w:rFonts w:cs="Arial"/>
                <w:bCs/>
                <w:iCs/>
                <w:szCs w:val="22"/>
                <w:u w:val="none"/>
                <w:lang w:val="en-US"/>
              </w:rPr>
              <w:t>,</w:t>
            </w:r>
            <w:r w:rsidR="006C6109" w:rsidRPr="002F2E9B">
              <w:rPr>
                <w:rFonts w:cs="Arial"/>
                <w:lang w:val="en-US"/>
              </w:rPr>
              <w:t xml:space="preserve"> </w:t>
            </w:r>
            <w:r w:rsidR="009C20C7" w:rsidRPr="002F2E9B">
              <w:rPr>
                <w:rFonts w:cs="Arial"/>
                <w:lang w:val="en-US"/>
              </w:rPr>
              <w:t xml:space="preserve">welcomed the methodology for </w:t>
            </w:r>
            <w:r w:rsidR="008F0AA4" w:rsidRPr="002F2E9B">
              <w:rPr>
                <w:rFonts w:cs="Arial"/>
                <w:lang w:val="en-US"/>
              </w:rPr>
              <w:t xml:space="preserve">Indicator </w:t>
            </w:r>
            <w:r w:rsidR="009C20C7" w:rsidRPr="002F2E9B">
              <w:rPr>
                <w:rFonts w:cs="Arial"/>
                <w:lang w:val="en-US"/>
              </w:rPr>
              <w:t>14.3.1 as presented in</w:t>
            </w:r>
            <w:r w:rsidR="009C20C7" w:rsidRPr="002F2E9B">
              <w:rPr>
                <w:rFonts w:cs="Arial"/>
                <w:iCs/>
                <w:color w:val="000000"/>
                <w:szCs w:val="22"/>
                <w:lang w:val="en-US"/>
              </w:rPr>
              <w:t xml:space="preserve"> document </w:t>
            </w:r>
            <w:hyperlink r:id="rId10" w:history="1">
              <w:r w:rsidR="009C20C7" w:rsidRPr="002F2E9B">
                <w:rPr>
                  <w:rStyle w:val="Hyperlink"/>
                  <w:rFonts w:cs="Arial"/>
                  <w:iCs/>
                  <w:szCs w:val="22"/>
                  <w:lang w:val="en-US"/>
                </w:rPr>
                <w:t>IOC/EC-LI/2 Annex 6</w:t>
              </w:r>
            </w:hyperlink>
            <w:r w:rsidR="009C20C7" w:rsidRPr="002F2E9B">
              <w:rPr>
                <w:rFonts w:cs="Arial"/>
                <w:iCs/>
                <w:color w:val="000000"/>
                <w:szCs w:val="22"/>
                <w:lang w:val="en-US"/>
              </w:rPr>
              <w:t xml:space="preserve">. </w:t>
            </w:r>
          </w:p>
          <w:p w14:paraId="2B844B7F" w14:textId="25002003" w:rsidR="004649EA" w:rsidRPr="00FE2B4A" w:rsidRDefault="009C20C7" w:rsidP="00FE2B4A">
            <w:pPr>
              <w:pStyle w:val="Marge"/>
              <w:rPr>
                <w:rFonts w:cs="Arial"/>
                <w:szCs w:val="22"/>
                <w:lang w:val="en-GB"/>
              </w:rPr>
            </w:pPr>
            <w:r w:rsidRPr="002F2E9B">
              <w:rPr>
                <w:rFonts w:cs="Arial"/>
                <w:iCs/>
                <w:color w:val="000000"/>
                <w:szCs w:val="22"/>
                <w:lang w:val="en-US"/>
              </w:rPr>
              <w:t xml:space="preserve">This information document provides an overview of the progress </w:t>
            </w:r>
            <w:r w:rsidR="00ED7C86" w:rsidRPr="002F2E9B">
              <w:rPr>
                <w:rFonts w:cs="Arial"/>
                <w:iCs/>
                <w:color w:val="000000"/>
                <w:szCs w:val="22"/>
                <w:lang w:val="en-US"/>
              </w:rPr>
              <w:t xml:space="preserve">regarding the </w:t>
            </w:r>
            <w:r w:rsidR="00CB208A" w:rsidRPr="002F2E9B">
              <w:rPr>
                <w:rFonts w:cs="Arial"/>
                <w:iCs/>
                <w:color w:val="000000"/>
                <w:szCs w:val="22"/>
                <w:lang w:val="en-US"/>
              </w:rPr>
              <w:t>indicators for Targets 14.3 (ocean acidification) and 14.a (marine scientific research)</w:t>
            </w:r>
            <w:r w:rsidRPr="002F2E9B">
              <w:rPr>
                <w:rFonts w:cs="Arial"/>
                <w:iCs/>
                <w:color w:val="000000"/>
                <w:szCs w:val="22"/>
                <w:lang w:val="en-US"/>
              </w:rPr>
              <w:t xml:space="preserve"> for which the IOC is identified as custodian agency, as well as for the</w:t>
            </w:r>
            <w:r w:rsidR="00755CFD" w:rsidRPr="002F2E9B">
              <w:rPr>
                <w:rFonts w:cs="Arial"/>
                <w:iCs/>
                <w:color w:val="000000"/>
                <w:szCs w:val="22"/>
                <w:lang w:val="en-US"/>
              </w:rPr>
              <w:t xml:space="preserve"> SDG</w:t>
            </w:r>
            <w:r w:rsidR="0070118D" w:rsidRPr="002F2E9B">
              <w:rPr>
                <w:rFonts w:cs="Arial"/>
                <w:iCs/>
                <w:color w:val="000000"/>
                <w:szCs w:val="22"/>
                <w:lang w:val="en-US"/>
              </w:rPr>
              <w:t> </w:t>
            </w:r>
            <w:r w:rsidR="00755CFD" w:rsidRPr="002F2E9B">
              <w:rPr>
                <w:rFonts w:cs="Arial"/>
                <w:iCs/>
                <w:color w:val="000000"/>
                <w:szCs w:val="22"/>
                <w:lang w:val="en-US"/>
              </w:rPr>
              <w:t>14 indicators</w:t>
            </w:r>
            <w:r w:rsidRPr="002F2E9B">
              <w:rPr>
                <w:rFonts w:cs="Arial"/>
                <w:iCs/>
                <w:color w:val="000000"/>
                <w:szCs w:val="22"/>
                <w:lang w:val="en-US"/>
              </w:rPr>
              <w:t xml:space="preserve"> </w:t>
            </w:r>
            <w:r w:rsidR="0070118D" w:rsidRPr="002F2E9B">
              <w:rPr>
                <w:rFonts w:cs="Arial"/>
                <w:iCs/>
                <w:color w:val="000000"/>
                <w:szCs w:val="22"/>
                <w:lang w:val="en-US"/>
              </w:rPr>
              <w:t xml:space="preserve">14.1.1 and 14.2.1 </w:t>
            </w:r>
            <w:r w:rsidRPr="002F2E9B">
              <w:rPr>
                <w:rFonts w:cs="Arial"/>
                <w:iCs/>
                <w:color w:val="000000"/>
                <w:szCs w:val="22"/>
                <w:lang w:val="en-US"/>
              </w:rPr>
              <w:t xml:space="preserve">for which the IOC </w:t>
            </w:r>
            <w:r w:rsidR="00F26900" w:rsidRPr="002F2E9B">
              <w:rPr>
                <w:rFonts w:cs="Arial"/>
                <w:iCs/>
                <w:color w:val="000000"/>
                <w:szCs w:val="22"/>
                <w:lang w:val="en-US"/>
              </w:rPr>
              <w:t xml:space="preserve">is providing technical support to </w:t>
            </w:r>
            <w:r w:rsidR="001B29AB">
              <w:rPr>
                <w:rFonts w:cs="Arial"/>
                <w:iCs/>
                <w:color w:val="000000"/>
                <w:szCs w:val="22"/>
                <w:lang w:val="en-US"/>
              </w:rPr>
              <w:t>UNEP</w:t>
            </w:r>
            <w:r w:rsidR="002F2E9B">
              <w:rPr>
                <w:rFonts w:cs="Arial"/>
                <w:iCs/>
                <w:color w:val="000000"/>
                <w:szCs w:val="22"/>
                <w:lang w:val="en-US"/>
              </w:rPr>
              <w:t>.</w:t>
            </w:r>
            <w:r w:rsidR="0070118D" w:rsidRPr="002F2E9B">
              <w:rPr>
                <w:rFonts w:cs="Arial"/>
                <w:iCs/>
                <w:color w:val="000000"/>
                <w:szCs w:val="22"/>
                <w:lang w:val="en-US"/>
              </w:rPr>
              <w:t xml:space="preserve"> </w:t>
            </w:r>
            <w:r w:rsidR="00280759">
              <w:rPr>
                <w:rFonts w:cs="Arial"/>
                <w:iCs/>
                <w:color w:val="000000"/>
                <w:szCs w:val="22"/>
                <w:lang w:val="en-US"/>
              </w:rPr>
              <w:t xml:space="preserve">This document update </w:t>
            </w:r>
            <w:r w:rsidR="00485885">
              <w:rPr>
                <w:rFonts w:cs="Arial"/>
                <w:iCs/>
                <w:color w:val="000000"/>
                <w:szCs w:val="22"/>
                <w:lang w:val="en-US"/>
              </w:rPr>
              <w:t>similar reports for 2019 (</w:t>
            </w:r>
            <w:hyperlink r:id="rId11" w:history="1">
              <w:r w:rsidR="00485885" w:rsidRPr="00485885">
                <w:rPr>
                  <w:rStyle w:val="Hyperlink"/>
                  <w:rFonts w:cs="Arial"/>
                  <w:iCs/>
                  <w:szCs w:val="22"/>
                  <w:lang w:val="en-US"/>
                </w:rPr>
                <w:t>IOC/INF-1368</w:t>
              </w:r>
            </w:hyperlink>
            <w:r w:rsidR="00485885">
              <w:rPr>
                <w:rFonts w:cs="Arial"/>
                <w:iCs/>
                <w:color w:val="000000"/>
                <w:szCs w:val="22"/>
                <w:lang w:val="en-US"/>
              </w:rPr>
              <w:t>), 2018 (</w:t>
            </w:r>
            <w:hyperlink r:id="rId12" w:history="1">
              <w:r w:rsidR="00485885" w:rsidRPr="00485885">
                <w:rPr>
                  <w:rStyle w:val="Hyperlink"/>
                  <w:rFonts w:cs="Arial"/>
                  <w:iCs/>
                  <w:szCs w:val="22"/>
                  <w:lang w:val="en-US"/>
                </w:rPr>
                <w:t>IOC/EC-LI/2 Annex 6 rev.</w:t>
              </w:r>
            </w:hyperlink>
            <w:r w:rsidR="00485885">
              <w:rPr>
                <w:rFonts w:cs="Arial"/>
                <w:iCs/>
                <w:color w:val="000000"/>
                <w:szCs w:val="22"/>
                <w:lang w:val="en-US"/>
              </w:rPr>
              <w:t>), and 2017 (</w:t>
            </w:r>
            <w:hyperlink r:id="rId13" w:history="1">
              <w:r w:rsidR="00485885" w:rsidRPr="00485885">
                <w:rPr>
                  <w:rStyle w:val="Hyperlink"/>
                  <w:rFonts w:cs="Arial"/>
                  <w:iCs/>
                  <w:szCs w:val="22"/>
                  <w:lang w:val="en-US"/>
                </w:rPr>
                <w:t>IOC-XXIX/2 Annex 14</w:t>
              </w:r>
            </w:hyperlink>
            <w:r w:rsidR="00485885">
              <w:rPr>
                <w:rFonts w:cs="Arial"/>
                <w:iCs/>
                <w:color w:val="000000"/>
                <w:szCs w:val="22"/>
                <w:lang w:val="en-US"/>
              </w:rPr>
              <w:t>).</w:t>
            </w:r>
          </w:p>
        </w:tc>
      </w:tr>
    </w:tbl>
    <w:p w14:paraId="7A87FE37" w14:textId="77777777" w:rsidR="004649EA" w:rsidRPr="002F2E9B" w:rsidRDefault="004649EA" w:rsidP="004649EA">
      <w:pPr>
        <w:rPr>
          <w:rFonts w:ascii="Arial" w:eastAsia="SimSun" w:hAnsi="Arial" w:cs="Arial"/>
          <w:b/>
          <w:bCs/>
          <w:snapToGrid w:val="0"/>
          <w:sz w:val="28"/>
          <w:szCs w:val="28"/>
          <w:lang w:eastAsia="zh-CN"/>
        </w:rPr>
      </w:pPr>
    </w:p>
    <w:p w14:paraId="4E308588" w14:textId="2F927758" w:rsidR="0061273C" w:rsidRPr="002F2E9B" w:rsidRDefault="0061273C" w:rsidP="004649EA">
      <w:pPr>
        <w:pStyle w:val="Marge"/>
        <w:tabs>
          <w:tab w:val="clear" w:pos="567"/>
          <w:tab w:val="center" w:pos="7020"/>
        </w:tabs>
        <w:rPr>
          <w:rFonts w:eastAsia="SimSun" w:cs="Arial"/>
          <w:b/>
          <w:bCs/>
          <w:sz w:val="28"/>
          <w:szCs w:val="28"/>
          <w:lang w:val="en-US" w:eastAsia="zh-CN"/>
        </w:rPr>
      </w:pPr>
    </w:p>
    <w:p w14:paraId="7F8869F8" w14:textId="77777777" w:rsidR="0061273C" w:rsidRPr="002F2E9B" w:rsidRDefault="0061273C" w:rsidP="00370302">
      <w:pPr>
        <w:rPr>
          <w:rFonts w:ascii="Arial" w:hAnsi="Arial" w:cs="Arial"/>
          <w:lang w:eastAsia="zh-CN"/>
        </w:rPr>
      </w:pPr>
    </w:p>
    <w:p w14:paraId="20F92B7C" w14:textId="2F565644" w:rsidR="0061273C" w:rsidRPr="002F2E9B" w:rsidRDefault="0061273C" w:rsidP="00370302">
      <w:pPr>
        <w:jc w:val="center"/>
        <w:rPr>
          <w:rFonts w:ascii="Arial" w:hAnsi="Arial" w:cs="Arial"/>
          <w:lang w:eastAsia="zh-CN"/>
        </w:rPr>
      </w:pPr>
    </w:p>
    <w:p w14:paraId="1E383C42" w14:textId="7D36ABA2" w:rsidR="0061273C" w:rsidRPr="002F2E9B" w:rsidRDefault="0061273C" w:rsidP="0061273C">
      <w:pPr>
        <w:rPr>
          <w:rFonts w:ascii="Arial" w:hAnsi="Arial" w:cs="Arial"/>
          <w:lang w:eastAsia="zh-CN"/>
        </w:rPr>
      </w:pPr>
    </w:p>
    <w:p w14:paraId="35637052" w14:textId="77777777" w:rsidR="004649EA" w:rsidRPr="002F2E9B" w:rsidRDefault="004649EA" w:rsidP="00370302">
      <w:pPr>
        <w:rPr>
          <w:rFonts w:ascii="Arial" w:hAnsi="Arial" w:cs="Arial"/>
          <w:lang w:eastAsia="zh-CN"/>
        </w:rPr>
        <w:sectPr w:rsidR="004649EA" w:rsidRPr="002F2E9B" w:rsidSect="00AF119E">
          <w:headerReference w:type="default" r:id="rId14"/>
          <w:footerReference w:type="default" r:id="rId15"/>
          <w:headerReference w:type="first" r:id="rId16"/>
          <w:pgSz w:w="11900" w:h="16840"/>
          <w:pgMar w:top="1417" w:right="1135" w:bottom="1417" w:left="1148" w:header="708" w:footer="708" w:gutter="0"/>
          <w:pgNumType w:start="3"/>
          <w:cols w:space="708"/>
          <w:titlePg/>
          <w:docGrid w:linePitch="360"/>
        </w:sectPr>
      </w:pPr>
    </w:p>
    <w:p w14:paraId="367F8E7E" w14:textId="77777777" w:rsidR="004649EA" w:rsidRPr="002F2E9B" w:rsidRDefault="004649EA" w:rsidP="004649EA">
      <w:pPr>
        <w:pStyle w:val="Marge"/>
        <w:tabs>
          <w:tab w:val="clear" w:pos="567"/>
          <w:tab w:val="left" w:pos="728"/>
          <w:tab w:val="center" w:pos="7020"/>
        </w:tabs>
        <w:rPr>
          <w:rFonts w:eastAsia="SimSun" w:cs="Arial"/>
          <w:b/>
          <w:bCs/>
          <w:szCs w:val="28"/>
          <w:lang w:val="en-US" w:eastAsia="zh-CN"/>
        </w:rPr>
      </w:pPr>
      <w:r w:rsidRPr="002F2E9B">
        <w:rPr>
          <w:rFonts w:eastAsia="SimSun" w:cs="Arial"/>
          <w:b/>
          <w:bCs/>
          <w:szCs w:val="28"/>
          <w:lang w:val="en-US" w:eastAsia="zh-CN"/>
        </w:rPr>
        <w:lastRenderedPageBreak/>
        <w:t>Introduction</w:t>
      </w:r>
    </w:p>
    <w:p w14:paraId="568A5AAD" w14:textId="420567D3" w:rsidR="004649EA" w:rsidRPr="002F2E9B" w:rsidRDefault="004649EA" w:rsidP="00370302">
      <w:pPr>
        <w:pStyle w:val="ListParagraph"/>
        <w:widowControl w:val="0"/>
        <w:tabs>
          <w:tab w:val="left" w:pos="709"/>
        </w:tabs>
        <w:autoSpaceDE w:val="0"/>
        <w:autoSpaceDN w:val="0"/>
        <w:adjustRightInd w:val="0"/>
        <w:spacing w:after="240" w:line="240" w:lineRule="auto"/>
        <w:ind w:left="0"/>
        <w:contextualSpacing w:val="0"/>
        <w:jc w:val="both"/>
        <w:rPr>
          <w:color w:val="000000"/>
          <w:lang w:val="en-US"/>
        </w:rPr>
      </w:pPr>
      <w:r w:rsidRPr="002F2E9B">
        <w:rPr>
          <w:color w:val="000000"/>
          <w:lang w:val="en-US"/>
        </w:rPr>
        <w:t xml:space="preserve">In 2015, the </w:t>
      </w:r>
      <w:r w:rsidR="00A30C1D" w:rsidRPr="002F2E9B">
        <w:rPr>
          <w:color w:val="000000"/>
          <w:lang w:val="en-US"/>
        </w:rPr>
        <w:t xml:space="preserve">Member States of the </w:t>
      </w:r>
      <w:r w:rsidRPr="002F2E9B">
        <w:rPr>
          <w:color w:val="000000"/>
          <w:lang w:val="en-US"/>
        </w:rPr>
        <w:t>United Nations adopted the 2030 Agenda and a set of Sustainable Development Goals (SDG</w:t>
      </w:r>
      <w:r w:rsidR="00A30C1D" w:rsidRPr="002F2E9B">
        <w:rPr>
          <w:color w:val="000000"/>
          <w:lang w:val="en-US"/>
        </w:rPr>
        <w:t>s</w:t>
      </w:r>
      <w:r w:rsidRPr="002F2E9B">
        <w:rPr>
          <w:color w:val="000000"/>
          <w:lang w:val="en-US"/>
        </w:rPr>
        <w:t>), including a dedicated goal on the ocean, SDG 14</w:t>
      </w:r>
      <w:r w:rsidR="00A30C1D" w:rsidRPr="002F2E9B">
        <w:rPr>
          <w:color w:val="000000"/>
          <w:lang w:val="en-US"/>
        </w:rPr>
        <w:t>,</w:t>
      </w:r>
      <w:r w:rsidRPr="002F2E9B">
        <w:rPr>
          <w:color w:val="000000"/>
          <w:lang w:val="en-US"/>
        </w:rPr>
        <w:t xml:space="preserve"> which calls to </w:t>
      </w:r>
      <w:r w:rsidRPr="002F2E9B">
        <w:rPr>
          <w:i/>
          <w:color w:val="000000"/>
          <w:lang w:val="en-US"/>
        </w:rPr>
        <w:t>‘con</w:t>
      </w:r>
      <w:r w:rsidR="001B29AB">
        <w:rPr>
          <w:i/>
          <w:color w:val="000000"/>
          <w:lang w:val="en-US"/>
        </w:rPr>
        <w:t>ser</w:t>
      </w:r>
      <w:r w:rsidRPr="002F2E9B">
        <w:rPr>
          <w:i/>
          <w:color w:val="000000"/>
          <w:lang w:val="en-US"/>
        </w:rPr>
        <w:t xml:space="preserve">ve and sustainably use the oceans, seas </w:t>
      </w:r>
      <w:r w:rsidRPr="001F7C5D">
        <w:rPr>
          <w:i/>
          <w:color w:val="000000"/>
          <w:lang w:val="en-US"/>
        </w:rPr>
        <w:t>and marine resources for sustainable development’</w:t>
      </w:r>
      <w:r w:rsidRPr="001F7C5D">
        <w:rPr>
          <w:color w:val="000000"/>
          <w:lang w:val="en-US"/>
        </w:rPr>
        <w:t xml:space="preserve">. This </w:t>
      </w:r>
      <w:r w:rsidR="001B29AB">
        <w:rPr>
          <w:color w:val="000000"/>
          <w:lang w:val="en-US"/>
        </w:rPr>
        <w:t>G</w:t>
      </w:r>
      <w:r w:rsidR="001F7C5D">
        <w:rPr>
          <w:color w:val="000000"/>
          <w:lang w:val="en-US"/>
        </w:rPr>
        <w:t xml:space="preserve">oal reinforces the policy enabling framework for ocean science, </w:t>
      </w:r>
      <w:r w:rsidRPr="001F7C5D">
        <w:rPr>
          <w:color w:val="000000"/>
          <w:lang w:val="en-US"/>
        </w:rPr>
        <w:t>constitutes an essential point of reference for IOC’s engagement with its Member States</w:t>
      </w:r>
      <w:r w:rsidR="001F7C5D">
        <w:rPr>
          <w:color w:val="000000"/>
          <w:lang w:val="en-US"/>
        </w:rPr>
        <w:t xml:space="preserve">, national institutions dealing with ocean matters, </w:t>
      </w:r>
      <w:r w:rsidRPr="001F7C5D">
        <w:rPr>
          <w:color w:val="000000"/>
          <w:lang w:val="en-US"/>
        </w:rPr>
        <w:t xml:space="preserve">as well as </w:t>
      </w:r>
      <w:r w:rsidR="001F7C5D">
        <w:rPr>
          <w:color w:val="000000"/>
          <w:lang w:val="en-US"/>
        </w:rPr>
        <w:t xml:space="preserve">with individual scientists contributing to the Commission’s programmes and activities </w:t>
      </w:r>
      <w:r w:rsidRPr="001F7C5D">
        <w:rPr>
          <w:color w:val="000000"/>
          <w:lang w:val="en-US"/>
        </w:rPr>
        <w:t xml:space="preserve">at the global, regional and </w:t>
      </w:r>
      <w:r w:rsidR="001F7C5D">
        <w:rPr>
          <w:color w:val="000000"/>
          <w:lang w:val="en-US"/>
        </w:rPr>
        <w:t xml:space="preserve">national </w:t>
      </w:r>
      <w:r w:rsidRPr="001F7C5D">
        <w:rPr>
          <w:color w:val="000000"/>
          <w:lang w:val="en-US"/>
        </w:rPr>
        <w:t>levels.</w:t>
      </w:r>
      <w:r w:rsidRPr="002F2E9B">
        <w:rPr>
          <w:color w:val="000000"/>
          <w:lang w:val="en-US"/>
        </w:rPr>
        <w:t xml:space="preserve"> </w:t>
      </w:r>
    </w:p>
    <w:p w14:paraId="14C59610" w14:textId="10515C75" w:rsidR="004649EA" w:rsidRPr="002F2E9B" w:rsidRDefault="004649EA" w:rsidP="00370302">
      <w:pPr>
        <w:pStyle w:val="ListParagraph"/>
        <w:widowControl w:val="0"/>
        <w:tabs>
          <w:tab w:val="left" w:pos="709"/>
        </w:tabs>
        <w:autoSpaceDE w:val="0"/>
        <w:autoSpaceDN w:val="0"/>
        <w:adjustRightInd w:val="0"/>
        <w:spacing w:after="240" w:line="240" w:lineRule="auto"/>
        <w:ind w:left="0"/>
        <w:contextualSpacing w:val="0"/>
        <w:jc w:val="both"/>
        <w:rPr>
          <w:color w:val="000000"/>
          <w:lang w:val="en-US"/>
        </w:rPr>
      </w:pPr>
      <w:r w:rsidRPr="002F2E9B">
        <w:rPr>
          <w:color w:val="000000"/>
          <w:lang w:val="en-US"/>
        </w:rPr>
        <w:t>The IOC Executive Council at its 49th session</w:t>
      </w:r>
      <w:r w:rsidR="00280759">
        <w:rPr>
          <w:color w:val="000000"/>
          <w:lang w:val="en-US"/>
        </w:rPr>
        <w:t>,</w:t>
      </w:r>
      <w:r w:rsidRPr="002F2E9B">
        <w:rPr>
          <w:color w:val="000000"/>
          <w:lang w:val="en-US"/>
        </w:rPr>
        <w:t xml:space="preserve"> through decision </w:t>
      </w:r>
      <w:hyperlink r:id="rId17" w:history="1">
        <w:r w:rsidRPr="002F2E9B">
          <w:rPr>
            <w:rStyle w:val="Hyperlink"/>
            <w:lang w:val="en-US"/>
          </w:rPr>
          <w:t>EC-XLIX</w:t>
        </w:r>
        <w:r w:rsidR="002125F1" w:rsidRPr="002F2E9B">
          <w:rPr>
            <w:rStyle w:val="Hyperlink"/>
            <w:lang w:val="en-US"/>
          </w:rPr>
          <w:t>, Dec.</w:t>
        </w:r>
        <w:r w:rsidRPr="002F2E9B">
          <w:rPr>
            <w:rStyle w:val="Hyperlink"/>
            <w:lang w:val="en-US"/>
          </w:rPr>
          <w:t>4.1</w:t>
        </w:r>
      </w:hyperlink>
      <w:r w:rsidR="00881C32" w:rsidRPr="002F2E9B">
        <w:rPr>
          <w:color w:val="000000"/>
          <w:lang w:val="en-US"/>
        </w:rPr>
        <w:t>,</w:t>
      </w:r>
      <w:r w:rsidRPr="002F2E9B">
        <w:rPr>
          <w:color w:val="000000"/>
          <w:lang w:val="en-US"/>
        </w:rPr>
        <w:t xml:space="preserve"> decided that IOC should </w:t>
      </w:r>
      <w:r w:rsidRPr="002F2E9B">
        <w:rPr>
          <w:i/>
          <w:color w:val="000000"/>
          <w:lang w:val="en-US"/>
        </w:rPr>
        <w:t>‘</w:t>
      </w:r>
      <w:r w:rsidRPr="002F2E9B">
        <w:rPr>
          <w:bCs/>
          <w:i/>
          <w:color w:val="000000"/>
          <w:lang w:val="en-US"/>
        </w:rPr>
        <w:t xml:space="preserve">provide normative support to countries </w:t>
      </w:r>
      <w:r w:rsidRPr="002F2E9B">
        <w:rPr>
          <w:i/>
          <w:color w:val="000000"/>
          <w:lang w:val="en-US"/>
        </w:rPr>
        <w:t>to establish, implement, monitor and report on implementation of the Ocean SDG 14 and its related targets’</w:t>
      </w:r>
      <w:r w:rsidRPr="002F2E9B">
        <w:rPr>
          <w:color w:val="000000"/>
          <w:lang w:val="en-US"/>
        </w:rPr>
        <w:t xml:space="preserve">. </w:t>
      </w:r>
    </w:p>
    <w:p w14:paraId="7B1A96E9" w14:textId="11861E35" w:rsidR="004649EA" w:rsidRPr="002F2E9B" w:rsidRDefault="00881C32" w:rsidP="00370302">
      <w:pPr>
        <w:pStyle w:val="ListParagraph"/>
        <w:widowControl w:val="0"/>
        <w:tabs>
          <w:tab w:val="left" w:pos="709"/>
        </w:tabs>
        <w:autoSpaceDE w:val="0"/>
        <w:autoSpaceDN w:val="0"/>
        <w:adjustRightInd w:val="0"/>
        <w:spacing w:after="240" w:line="240" w:lineRule="auto"/>
        <w:ind w:left="0"/>
        <w:contextualSpacing w:val="0"/>
        <w:jc w:val="both"/>
        <w:rPr>
          <w:color w:val="000000"/>
          <w:lang w:val="en-US"/>
        </w:rPr>
      </w:pPr>
      <w:r w:rsidRPr="002F2E9B">
        <w:rPr>
          <w:color w:val="000000"/>
          <w:lang w:val="en-US"/>
        </w:rPr>
        <w:t>On</w:t>
      </w:r>
      <w:r w:rsidR="002125F1" w:rsidRPr="002F2E9B">
        <w:rPr>
          <w:color w:val="000000"/>
          <w:lang w:val="en-US"/>
        </w:rPr>
        <w:t xml:space="preserve"> </w:t>
      </w:r>
      <w:r w:rsidR="004649EA" w:rsidRPr="002F2E9B">
        <w:rPr>
          <w:color w:val="000000"/>
          <w:lang w:val="en-US"/>
        </w:rPr>
        <w:t>6 March 2015</w:t>
      </w:r>
      <w:r w:rsidR="002125F1" w:rsidRPr="002F2E9B">
        <w:rPr>
          <w:color w:val="000000"/>
          <w:lang w:val="en-US"/>
        </w:rPr>
        <w:t xml:space="preserve">, the United Nations Statistical Commission (UNStats), </w:t>
      </w:r>
      <w:r w:rsidR="004649EA" w:rsidRPr="002F2E9B">
        <w:rPr>
          <w:color w:val="000000"/>
          <w:lang w:val="en-US"/>
        </w:rPr>
        <w:t>at its 46th session</w:t>
      </w:r>
      <w:r w:rsidR="002125F1" w:rsidRPr="002F2E9B">
        <w:rPr>
          <w:color w:val="000000"/>
          <w:lang w:val="en-US"/>
        </w:rPr>
        <w:t>,</w:t>
      </w:r>
      <w:r w:rsidR="004649EA" w:rsidRPr="002F2E9B">
        <w:rPr>
          <w:color w:val="000000"/>
          <w:lang w:val="en-US"/>
        </w:rPr>
        <w:t xml:space="preserve"> created </w:t>
      </w:r>
      <w:r w:rsidR="002125F1" w:rsidRPr="002F2E9B">
        <w:rPr>
          <w:color w:val="000000"/>
          <w:lang w:val="en-US"/>
        </w:rPr>
        <w:t xml:space="preserve">the </w:t>
      </w:r>
      <w:r w:rsidR="004649EA" w:rsidRPr="002F2E9B">
        <w:rPr>
          <w:color w:val="000000"/>
          <w:lang w:val="en-US"/>
        </w:rPr>
        <w:t xml:space="preserve">Inter-agency and Expert Group on SDG Indicators (IAEG-SDGs) composed of Member States with the task to: (i) develop an indicator framework for the follow-up and review of the goals and targets of the 2030 Agenda at the global level; (ii) provide technical support for the implementation of the approved indicator and monitoring framework over the 15-year period towards 2030; and (iii) regularly review methodological developments and issues related to the indicators and their metadata. </w:t>
      </w:r>
    </w:p>
    <w:p w14:paraId="461C6434" w14:textId="1EBA7C3F" w:rsidR="004649EA" w:rsidRPr="002F2E9B" w:rsidRDefault="004649EA" w:rsidP="00BA5BC7">
      <w:pPr>
        <w:pStyle w:val="ListParagraph"/>
        <w:widowControl w:val="0"/>
        <w:tabs>
          <w:tab w:val="left" w:pos="709"/>
        </w:tabs>
        <w:autoSpaceDE w:val="0"/>
        <w:autoSpaceDN w:val="0"/>
        <w:adjustRightInd w:val="0"/>
        <w:spacing w:after="120" w:line="240" w:lineRule="auto"/>
        <w:ind w:left="0"/>
        <w:contextualSpacing w:val="0"/>
        <w:jc w:val="both"/>
        <w:rPr>
          <w:color w:val="000000"/>
          <w:lang w:val="en-US"/>
        </w:rPr>
      </w:pPr>
      <w:r w:rsidRPr="002F2E9B">
        <w:rPr>
          <w:color w:val="000000"/>
          <w:lang w:val="en-US"/>
        </w:rPr>
        <w:t xml:space="preserve">In 2016, the IAEG-SDG agreed on a list of indicators for all </w:t>
      </w:r>
      <w:r w:rsidR="002125F1" w:rsidRPr="002F2E9B">
        <w:rPr>
          <w:color w:val="000000"/>
          <w:lang w:val="en-US"/>
        </w:rPr>
        <w:t>SDGs, which</w:t>
      </w:r>
      <w:r w:rsidRPr="002F2E9B">
        <w:rPr>
          <w:color w:val="000000"/>
          <w:lang w:val="en-US"/>
        </w:rPr>
        <w:t xml:space="preserve"> was approved by the UN Statistical Commission. IOC was identified as the custodian agency for two SDG 14 targets and related indicators, i.e. ocean acidification (</w:t>
      </w:r>
      <w:hyperlink r:id="rId18" w:history="1">
        <w:r w:rsidRPr="002F2E9B">
          <w:rPr>
            <w:rStyle w:val="Hyperlink"/>
            <w:lang w:val="en-US"/>
          </w:rPr>
          <w:t>Target 14.3</w:t>
        </w:r>
      </w:hyperlink>
      <w:r w:rsidRPr="002F2E9B">
        <w:rPr>
          <w:color w:val="000000"/>
          <w:lang w:val="en-US"/>
        </w:rPr>
        <w:t>) and marine scientific research (</w:t>
      </w:r>
      <w:hyperlink r:id="rId19" w:history="1">
        <w:r w:rsidRPr="002F2E9B">
          <w:rPr>
            <w:rStyle w:val="Hyperlink"/>
            <w:lang w:val="en-US"/>
          </w:rPr>
          <w:t>Target 14.a</w:t>
        </w:r>
      </w:hyperlink>
      <w:r w:rsidRPr="002F2E9B">
        <w:rPr>
          <w:color w:val="000000"/>
          <w:lang w:val="en-US"/>
        </w:rPr>
        <w:t xml:space="preserve">). A </w:t>
      </w:r>
      <w:hyperlink r:id="rId20" w:history="1">
        <w:r w:rsidR="002125F1" w:rsidRPr="002F2E9B">
          <w:rPr>
            <w:rStyle w:val="Hyperlink"/>
            <w:lang w:val="en-US"/>
          </w:rPr>
          <w:t>tier Classifi</w:t>
        </w:r>
        <w:r w:rsidRPr="002F2E9B">
          <w:rPr>
            <w:rStyle w:val="Hyperlink"/>
            <w:lang w:val="en-US"/>
          </w:rPr>
          <w:t>cation</w:t>
        </w:r>
      </w:hyperlink>
      <w:r w:rsidRPr="002F2E9B">
        <w:rPr>
          <w:color w:val="000000"/>
          <w:lang w:val="en-US"/>
        </w:rPr>
        <w:t xml:space="preserve"> </w:t>
      </w:r>
      <w:r w:rsidR="002125F1" w:rsidRPr="002F2E9B">
        <w:rPr>
          <w:color w:val="000000"/>
          <w:lang w:val="en-US"/>
        </w:rPr>
        <w:t xml:space="preserve">for Global SDG Indicators </w:t>
      </w:r>
      <w:r w:rsidRPr="002F2E9B">
        <w:rPr>
          <w:color w:val="000000"/>
          <w:lang w:val="en-US"/>
        </w:rPr>
        <w:t>was also put in place in order to assess the degree of operationality for each indicator of the SDGs, ranging from Tier III (no internationally established methodology)</w:t>
      </w:r>
      <w:r w:rsidR="00883710" w:rsidRPr="002F2E9B">
        <w:rPr>
          <w:color w:val="000000"/>
          <w:lang w:val="en-US"/>
        </w:rPr>
        <w:t>, Tier II</w:t>
      </w:r>
      <w:r w:rsidRPr="002F2E9B">
        <w:rPr>
          <w:color w:val="000000"/>
          <w:lang w:val="en-US"/>
        </w:rPr>
        <w:t xml:space="preserve"> </w:t>
      </w:r>
      <w:r w:rsidR="00883710" w:rsidRPr="002F2E9B">
        <w:rPr>
          <w:color w:val="000000"/>
          <w:lang w:val="en-US"/>
        </w:rPr>
        <w:t>(</w:t>
      </w:r>
      <w:r w:rsidR="00883710" w:rsidRPr="002F2E9B">
        <w:rPr>
          <w:lang w:val="en-US"/>
        </w:rPr>
        <w:t>whereby the Indicator is conceptually clear, has an internationally established methodology and standards are available, but data are not regularly produced by countries)</w:t>
      </w:r>
      <w:r w:rsidR="00883710" w:rsidRPr="002F2E9B">
        <w:rPr>
          <w:color w:val="000000"/>
          <w:lang w:val="en-US"/>
        </w:rPr>
        <w:t xml:space="preserve"> </w:t>
      </w:r>
      <w:r w:rsidRPr="002F2E9B">
        <w:rPr>
          <w:color w:val="000000"/>
          <w:lang w:val="en-US"/>
        </w:rPr>
        <w:t xml:space="preserve">to Tier I (indicator conceptually clear, with internationally agreed methodology and data regularly collected for at least 50% of countries). The </w:t>
      </w:r>
      <w:r w:rsidR="00881C32" w:rsidRPr="002F2E9B">
        <w:rPr>
          <w:color w:val="000000"/>
          <w:lang w:val="en-US"/>
        </w:rPr>
        <w:t xml:space="preserve">two </w:t>
      </w:r>
      <w:r w:rsidRPr="002F2E9B">
        <w:rPr>
          <w:color w:val="000000"/>
          <w:lang w:val="en-US"/>
        </w:rPr>
        <w:t xml:space="preserve">indicators under IOC custodianship are: </w:t>
      </w:r>
    </w:p>
    <w:p w14:paraId="4A3CE699" w14:textId="10545D3B" w:rsidR="004649EA" w:rsidRPr="002F2E9B" w:rsidRDefault="004649EA" w:rsidP="00BA5BC7">
      <w:pPr>
        <w:pStyle w:val="ListParagraph"/>
        <w:widowControl w:val="0"/>
        <w:numPr>
          <w:ilvl w:val="0"/>
          <w:numId w:val="25"/>
        </w:numPr>
        <w:autoSpaceDE w:val="0"/>
        <w:autoSpaceDN w:val="0"/>
        <w:adjustRightInd w:val="0"/>
        <w:spacing w:after="120" w:line="240" w:lineRule="auto"/>
        <w:ind w:left="720" w:hanging="720"/>
        <w:contextualSpacing w:val="0"/>
        <w:jc w:val="both"/>
        <w:rPr>
          <w:iCs/>
          <w:color w:val="000000"/>
          <w:lang w:val="en-US"/>
        </w:rPr>
      </w:pPr>
      <w:r w:rsidRPr="002F2E9B">
        <w:rPr>
          <w:iCs/>
          <w:color w:val="000000"/>
          <w:u w:val="single"/>
          <w:lang w:val="en-US"/>
        </w:rPr>
        <w:t>Indicator 14.a.1</w:t>
      </w:r>
      <w:r w:rsidRPr="002F2E9B">
        <w:rPr>
          <w:iCs/>
          <w:color w:val="000000"/>
          <w:lang w:val="en-US"/>
        </w:rPr>
        <w:t>: Proportion of total research budget allocated to research in the field of marine technology</w:t>
      </w:r>
      <w:r w:rsidR="00881C32" w:rsidRPr="002F2E9B">
        <w:rPr>
          <w:iCs/>
          <w:color w:val="000000"/>
          <w:lang w:val="en-US"/>
        </w:rPr>
        <w:t>.</w:t>
      </w:r>
      <w:r w:rsidRPr="002F2E9B">
        <w:rPr>
          <w:iCs/>
          <w:color w:val="000000"/>
          <w:lang w:val="en-US"/>
        </w:rPr>
        <w:t xml:space="preserve"> </w:t>
      </w:r>
    </w:p>
    <w:p w14:paraId="1D674EE8" w14:textId="094DE95A" w:rsidR="004649EA" w:rsidRPr="002F2E9B" w:rsidRDefault="004649EA" w:rsidP="00370302">
      <w:pPr>
        <w:pStyle w:val="ListParagraph"/>
        <w:widowControl w:val="0"/>
        <w:numPr>
          <w:ilvl w:val="0"/>
          <w:numId w:val="25"/>
        </w:numPr>
        <w:autoSpaceDE w:val="0"/>
        <w:autoSpaceDN w:val="0"/>
        <w:adjustRightInd w:val="0"/>
        <w:spacing w:after="240" w:line="240" w:lineRule="auto"/>
        <w:ind w:left="720" w:hanging="720"/>
        <w:contextualSpacing w:val="0"/>
        <w:jc w:val="both"/>
        <w:rPr>
          <w:color w:val="000000"/>
          <w:lang w:val="en-US"/>
        </w:rPr>
      </w:pPr>
      <w:r w:rsidRPr="002F2E9B">
        <w:rPr>
          <w:iCs/>
          <w:color w:val="000000"/>
          <w:u w:val="single"/>
          <w:lang w:val="en-US"/>
        </w:rPr>
        <w:t>Indicator 14.3.1</w:t>
      </w:r>
      <w:r w:rsidRPr="002F2E9B">
        <w:rPr>
          <w:iCs/>
          <w:color w:val="000000"/>
          <w:lang w:val="en-US"/>
        </w:rPr>
        <w:t>: Average marine acidity (pH) measured at agreed suite of representative sampling stations</w:t>
      </w:r>
      <w:r w:rsidR="00881C32" w:rsidRPr="002F2E9B">
        <w:rPr>
          <w:iCs/>
          <w:color w:val="000000"/>
          <w:lang w:val="en-US"/>
        </w:rPr>
        <w:t>.</w:t>
      </w:r>
    </w:p>
    <w:p w14:paraId="1F4ACD29" w14:textId="7304D687" w:rsidR="004649EA" w:rsidRPr="002F2E9B" w:rsidRDefault="004649EA" w:rsidP="00370302">
      <w:pPr>
        <w:pStyle w:val="ListParagraph"/>
        <w:widowControl w:val="0"/>
        <w:tabs>
          <w:tab w:val="left" w:pos="709"/>
        </w:tabs>
        <w:autoSpaceDE w:val="0"/>
        <w:autoSpaceDN w:val="0"/>
        <w:adjustRightInd w:val="0"/>
        <w:spacing w:after="120" w:line="240" w:lineRule="auto"/>
        <w:ind w:left="0"/>
        <w:contextualSpacing w:val="0"/>
        <w:jc w:val="both"/>
        <w:rPr>
          <w:color w:val="000000"/>
          <w:lang w:val="en-US"/>
        </w:rPr>
      </w:pPr>
      <w:r w:rsidRPr="002F2E9B">
        <w:rPr>
          <w:color w:val="000000"/>
          <w:lang w:val="en-US"/>
        </w:rPr>
        <w:t xml:space="preserve">IOC is also identified as a technical support agency for two additional SDG targets indicators, namely Target 14.1 on marine pollution and Target 14.2 on marine and coastal ecosystems, both under UN Environment custodianship. The indicators for these two targets are: </w:t>
      </w:r>
    </w:p>
    <w:p w14:paraId="13AD5E30" w14:textId="12DD0679" w:rsidR="004649EA" w:rsidRPr="002F2E9B" w:rsidRDefault="004649EA" w:rsidP="00D33415">
      <w:pPr>
        <w:pStyle w:val="ListParagraph"/>
        <w:widowControl w:val="0"/>
        <w:numPr>
          <w:ilvl w:val="0"/>
          <w:numId w:val="25"/>
        </w:numPr>
        <w:autoSpaceDE w:val="0"/>
        <w:autoSpaceDN w:val="0"/>
        <w:adjustRightInd w:val="0"/>
        <w:spacing w:after="120" w:line="240" w:lineRule="auto"/>
        <w:ind w:left="720" w:hanging="720"/>
        <w:contextualSpacing w:val="0"/>
        <w:rPr>
          <w:iCs/>
          <w:color w:val="000000"/>
          <w:lang w:val="en-US"/>
        </w:rPr>
      </w:pPr>
      <w:r w:rsidRPr="002F2E9B">
        <w:rPr>
          <w:iCs/>
          <w:color w:val="000000"/>
          <w:u w:val="single"/>
          <w:lang w:val="en-US"/>
        </w:rPr>
        <w:t>Indicator 14.1.1</w:t>
      </w:r>
      <w:r w:rsidRPr="002F2E9B">
        <w:rPr>
          <w:iCs/>
          <w:color w:val="000000"/>
          <w:lang w:val="en-US"/>
        </w:rPr>
        <w:t>: Index of coastal eutrophication and floating plastic debris density</w:t>
      </w:r>
      <w:r w:rsidR="006F5BD2" w:rsidRPr="002F2E9B">
        <w:rPr>
          <w:iCs/>
          <w:color w:val="000000"/>
          <w:lang w:val="en-US"/>
        </w:rPr>
        <w:t>.</w:t>
      </w:r>
    </w:p>
    <w:p w14:paraId="64CF3017" w14:textId="47012FB7" w:rsidR="00284AC8" w:rsidRPr="002F2E9B" w:rsidRDefault="004649EA" w:rsidP="00A7654A">
      <w:pPr>
        <w:pStyle w:val="ListParagraph"/>
        <w:widowControl w:val="0"/>
        <w:numPr>
          <w:ilvl w:val="0"/>
          <w:numId w:val="25"/>
        </w:numPr>
        <w:autoSpaceDE w:val="0"/>
        <w:autoSpaceDN w:val="0"/>
        <w:adjustRightInd w:val="0"/>
        <w:spacing w:after="240" w:line="240" w:lineRule="auto"/>
        <w:ind w:left="720" w:hanging="720"/>
        <w:contextualSpacing w:val="0"/>
        <w:rPr>
          <w:iCs/>
          <w:color w:val="000000"/>
          <w:lang w:val="en-US"/>
        </w:rPr>
      </w:pPr>
      <w:r w:rsidRPr="002F2E9B">
        <w:rPr>
          <w:iCs/>
          <w:color w:val="000000"/>
          <w:u w:val="single"/>
          <w:lang w:val="en-US"/>
        </w:rPr>
        <w:t>Indicator</w:t>
      </w:r>
      <w:r w:rsidR="00A7654A" w:rsidRPr="002F2E9B">
        <w:rPr>
          <w:iCs/>
          <w:color w:val="000000"/>
          <w:u w:val="single"/>
          <w:lang w:val="en-US"/>
        </w:rPr>
        <w:t xml:space="preserve"> </w:t>
      </w:r>
      <w:r w:rsidRPr="002F2E9B">
        <w:rPr>
          <w:iCs/>
          <w:color w:val="000000"/>
          <w:u w:val="single"/>
          <w:lang w:val="en-US"/>
        </w:rPr>
        <w:t>14.2.1</w:t>
      </w:r>
      <w:r w:rsidRPr="002F2E9B">
        <w:rPr>
          <w:iCs/>
          <w:color w:val="000000"/>
          <w:lang w:val="en-US"/>
        </w:rPr>
        <w:t>: Proportion of national exclusive economic zones managed using ecosystem-based approaches</w:t>
      </w:r>
      <w:r w:rsidR="006F5BD2" w:rsidRPr="002F2E9B">
        <w:rPr>
          <w:iCs/>
          <w:color w:val="000000"/>
          <w:lang w:val="en-US"/>
        </w:rPr>
        <w:t>.</w:t>
      </w:r>
    </w:p>
    <w:p w14:paraId="77E64EC4" w14:textId="2916B6EE" w:rsidR="004649EA" w:rsidRPr="002F2E9B" w:rsidRDefault="004649EA" w:rsidP="001B3E12">
      <w:pPr>
        <w:pStyle w:val="Heading3"/>
        <w:tabs>
          <w:tab w:val="clear" w:pos="567"/>
        </w:tabs>
        <w:ind w:left="0" w:firstLine="0"/>
        <w:rPr>
          <w:rFonts w:ascii="Arial" w:eastAsia="Times New Roman" w:hAnsi="Arial" w:cs="Arial"/>
          <w:noProof w:val="0"/>
          <w:szCs w:val="28"/>
        </w:rPr>
      </w:pPr>
      <w:r w:rsidRPr="002F2E9B">
        <w:rPr>
          <w:rFonts w:ascii="Arial" w:eastAsia="Times New Roman" w:hAnsi="Arial" w:cs="Arial"/>
          <w:noProof w:val="0"/>
          <w:szCs w:val="28"/>
        </w:rPr>
        <w:t xml:space="preserve">Progress with </w:t>
      </w:r>
      <w:r w:rsidR="00AF39F4" w:rsidRPr="002F2E9B">
        <w:rPr>
          <w:rFonts w:ascii="Arial" w:eastAsia="Times New Roman" w:hAnsi="Arial" w:cs="Arial"/>
          <w:noProof w:val="0"/>
          <w:szCs w:val="28"/>
        </w:rPr>
        <w:t xml:space="preserve">the </w:t>
      </w:r>
      <w:r w:rsidRPr="002F2E9B">
        <w:rPr>
          <w:rFonts w:ascii="Arial" w:eastAsia="Times New Roman" w:hAnsi="Arial" w:cs="Arial"/>
          <w:noProof w:val="0"/>
          <w:szCs w:val="28"/>
        </w:rPr>
        <w:t>development of methodologies</w:t>
      </w:r>
      <w:r w:rsidR="00034296" w:rsidRPr="002F2E9B">
        <w:rPr>
          <w:rFonts w:ascii="Arial" w:eastAsia="Times New Roman" w:hAnsi="Arial" w:cs="Arial"/>
          <w:noProof w:val="0"/>
          <w:szCs w:val="28"/>
        </w:rPr>
        <w:t xml:space="preserve"> under IOC custodianship </w:t>
      </w:r>
      <w:r w:rsidR="00ED7C86" w:rsidRPr="002F2E9B">
        <w:rPr>
          <w:rFonts w:ascii="Arial" w:eastAsia="Times New Roman" w:hAnsi="Arial" w:cs="Arial"/>
          <w:noProof w:val="0"/>
          <w:szCs w:val="28"/>
        </w:rPr>
        <w:br/>
      </w:r>
      <w:r w:rsidR="00ED7C86" w:rsidRPr="002F2E9B">
        <w:rPr>
          <w:rFonts w:ascii="Arial" w:eastAsia="Times New Roman" w:hAnsi="Arial" w:cs="Arial"/>
          <w:b w:val="0"/>
          <w:bCs w:val="0"/>
          <w:noProof w:val="0"/>
          <w:szCs w:val="28"/>
        </w:rPr>
        <w:t>(Indicators 14.a.1 and 14.3.1)</w:t>
      </w:r>
    </w:p>
    <w:p w14:paraId="59689D21" w14:textId="615CB3C3" w:rsidR="004649EA" w:rsidRPr="002F2E9B" w:rsidRDefault="004649EA" w:rsidP="00370302">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 xml:space="preserve">The technical support provided by IOC includes the development of agreed methodology to populate respective SDG indicators as well as underpinning data standards to collect data from Member States </w:t>
      </w:r>
      <w:r w:rsidRPr="002F2E9B">
        <w:rPr>
          <w:color w:val="000000"/>
          <w:lang w:val="en-US"/>
        </w:rPr>
        <w:t>and</w:t>
      </w:r>
      <w:r w:rsidRPr="002F2E9B">
        <w:rPr>
          <w:lang w:val="en-US"/>
        </w:rPr>
        <w:t xml:space="preserve"> report these globally to the UN Statistical Division. For each indicator the methodology is addressing the following: definitions, sampling approach, guidelines for measurement, data quality control, data analysis, data </w:t>
      </w:r>
      <w:r w:rsidR="002F2E9B" w:rsidRPr="002F2E9B">
        <w:rPr>
          <w:lang w:val="en-US"/>
        </w:rPr>
        <w:t>visualization</w:t>
      </w:r>
      <w:r w:rsidRPr="002F2E9B">
        <w:rPr>
          <w:lang w:val="en-US"/>
        </w:rPr>
        <w:t xml:space="preserve">, and reporting aspects. </w:t>
      </w:r>
    </w:p>
    <w:p w14:paraId="1D60D26F" w14:textId="10721ECA" w:rsidR="004649EA" w:rsidRPr="002F2E9B" w:rsidRDefault="004649EA" w:rsidP="006F5BD2">
      <w:pPr>
        <w:pStyle w:val="Style2"/>
        <w:tabs>
          <w:tab w:val="clear" w:pos="1400"/>
          <w:tab w:val="left" w:pos="812"/>
        </w:tabs>
        <w:ind w:left="0"/>
        <w:rPr>
          <w:rFonts w:cs="Arial"/>
          <w:bCs/>
          <w:i/>
          <w:u w:val="single"/>
          <w:lang w:val="en-US"/>
        </w:rPr>
      </w:pPr>
      <w:r w:rsidRPr="002F2E9B">
        <w:rPr>
          <w:rFonts w:cs="Arial"/>
          <w:b/>
          <w:bCs/>
          <w:i/>
          <w:u w:val="single"/>
          <w:lang w:val="en-US"/>
        </w:rPr>
        <w:lastRenderedPageBreak/>
        <w:t>Indicator 14.a.1</w:t>
      </w:r>
      <w:r w:rsidR="008F4EE5" w:rsidRPr="002F2E9B">
        <w:rPr>
          <w:rFonts w:cs="Arial"/>
          <w:i/>
          <w:u w:val="single"/>
          <w:lang w:val="en-US"/>
        </w:rPr>
        <w:t xml:space="preserve">: </w:t>
      </w:r>
      <w:r w:rsidR="008F4EE5" w:rsidRPr="002F2E9B">
        <w:rPr>
          <w:rFonts w:cs="Arial"/>
          <w:bCs/>
          <w:i/>
          <w:u w:val="single"/>
          <w:lang w:val="en-US"/>
        </w:rPr>
        <w:t>Proportion of total research budget allocated to research in the field of marine technology</w:t>
      </w:r>
      <w:r w:rsidR="008F4EE5" w:rsidRPr="002F2E9B" w:rsidDel="008F4EE5">
        <w:rPr>
          <w:rFonts w:cs="Arial"/>
          <w:bCs/>
          <w:i/>
          <w:u w:val="single"/>
          <w:lang w:val="en-US"/>
        </w:rPr>
        <w:t xml:space="preserve"> </w:t>
      </w:r>
    </w:p>
    <w:p w14:paraId="26759ED4" w14:textId="39862551" w:rsidR="004649EA" w:rsidRPr="002F2E9B" w:rsidRDefault="004649EA" w:rsidP="00370302">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rFonts w:eastAsia="Times New Roman"/>
          <w:bCs/>
          <w:iCs/>
          <w:snapToGrid w:val="0"/>
          <w:lang w:val="en-US" w:eastAsia="en-US"/>
        </w:rPr>
        <w:t xml:space="preserve">In 2017, based on the methodology tested through the </w:t>
      </w:r>
      <w:hyperlink r:id="rId21" w:history="1">
        <w:r w:rsidRPr="002F2E9B">
          <w:rPr>
            <w:rStyle w:val="Hyperlink"/>
            <w:rFonts w:eastAsia="Times New Roman"/>
            <w:bCs/>
            <w:i/>
            <w:iCs/>
            <w:snapToGrid w:val="0"/>
            <w:lang w:val="en-US" w:eastAsia="en-US"/>
          </w:rPr>
          <w:t>Global Ocean Science Report</w:t>
        </w:r>
      </w:hyperlink>
      <w:r w:rsidRPr="002F2E9B">
        <w:rPr>
          <w:rFonts w:eastAsia="Times New Roman"/>
          <w:bCs/>
          <w:i/>
          <w:iCs/>
          <w:snapToGrid w:val="0"/>
          <w:lang w:val="en-US" w:eastAsia="en-US"/>
        </w:rPr>
        <w:t xml:space="preserve"> </w:t>
      </w:r>
      <w:r w:rsidRPr="002F2E9B">
        <w:rPr>
          <w:rFonts w:eastAsia="Times New Roman"/>
          <w:bCs/>
          <w:iCs/>
          <w:snapToGrid w:val="0"/>
          <w:lang w:val="en-US" w:eastAsia="en-US"/>
        </w:rPr>
        <w:t>and foll</w:t>
      </w:r>
      <w:r w:rsidR="00D33415" w:rsidRPr="002F2E9B">
        <w:rPr>
          <w:rFonts w:eastAsia="Times New Roman"/>
          <w:bCs/>
          <w:iCs/>
          <w:snapToGrid w:val="0"/>
          <w:lang w:val="en-US" w:eastAsia="en-US"/>
        </w:rPr>
        <w:t>owing</w:t>
      </w:r>
      <w:r w:rsidRPr="002F2E9B">
        <w:rPr>
          <w:lang w:val="en-US"/>
        </w:rPr>
        <w:t xml:space="preserve"> </w:t>
      </w:r>
      <w:hyperlink r:id="rId22" w:history="1">
        <w:r w:rsidRPr="002F2E9B">
          <w:rPr>
            <w:rStyle w:val="Hyperlink"/>
            <w:lang w:val="en-US"/>
          </w:rPr>
          <w:t>Decision XXIX/9.1</w:t>
        </w:r>
      </w:hyperlink>
      <w:r w:rsidRPr="002F2E9B">
        <w:rPr>
          <w:lang w:val="en-US"/>
        </w:rPr>
        <w:t xml:space="preserve">, the IOC Assembly welcomed the proposed methodology for </w:t>
      </w:r>
      <w:r w:rsidR="00881C32" w:rsidRPr="002F2E9B">
        <w:rPr>
          <w:lang w:val="en-US"/>
        </w:rPr>
        <w:t xml:space="preserve">Indicator </w:t>
      </w:r>
      <w:r w:rsidRPr="002F2E9B">
        <w:rPr>
          <w:lang w:val="en-US"/>
        </w:rPr>
        <w:t xml:space="preserve">14.a.1 (Annex 3 of </w:t>
      </w:r>
      <w:hyperlink r:id="rId23" w:history="1">
        <w:r w:rsidRPr="002F2E9B">
          <w:rPr>
            <w:rStyle w:val="Hyperlink"/>
            <w:lang w:val="en-US"/>
          </w:rPr>
          <w:t>IOC-XXIX/2 Annex 14</w:t>
        </w:r>
      </w:hyperlink>
      <w:r w:rsidRPr="002F2E9B">
        <w:rPr>
          <w:lang w:val="en-US"/>
        </w:rPr>
        <w:t xml:space="preserve">). Subsequently, IOC requested the IAEG-SDGs to move up this indicator to Tier II (whereby the Indicator is conceptually clear, has an internationally established methodology and standards are available, but data are not regularly produced by countries). The IAEG-SDG agreed to the reclassification of this indicator at its 6th meeting in November 2017. </w:t>
      </w:r>
    </w:p>
    <w:p w14:paraId="134C0A57" w14:textId="00197D47" w:rsidR="00E777BC" w:rsidRPr="002F2E9B" w:rsidRDefault="00E777BC" w:rsidP="00370302">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 xml:space="preserve">The IOC Executive Council in July 2018 in its </w:t>
      </w:r>
      <w:r w:rsidR="00CA6BB1" w:rsidRPr="002F2E9B">
        <w:rPr>
          <w:lang w:val="en-US"/>
        </w:rPr>
        <w:t>D</w:t>
      </w:r>
      <w:r w:rsidRPr="002F2E9B">
        <w:rPr>
          <w:lang w:val="en-US"/>
        </w:rPr>
        <w:t xml:space="preserve">ecision </w:t>
      </w:r>
      <w:hyperlink r:id="rId24" w:history="1">
        <w:r w:rsidRPr="002F2E9B">
          <w:rPr>
            <w:rStyle w:val="Hyperlink"/>
            <w:lang w:val="en-US"/>
          </w:rPr>
          <w:t>IOC/EC-LI/4.3</w:t>
        </w:r>
      </w:hyperlink>
      <w:r w:rsidRPr="002F2E9B">
        <w:rPr>
          <w:lang w:val="en-US"/>
        </w:rPr>
        <w:t xml:space="preserve"> reaffirmed the importance of </w:t>
      </w:r>
      <w:r w:rsidR="00CC3FC5" w:rsidRPr="002F2E9B">
        <w:rPr>
          <w:lang w:val="en-US"/>
        </w:rPr>
        <w:t xml:space="preserve">the </w:t>
      </w:r>
      <w:r w:rsidR="00CC3FC5" w:rsidRPr="002F2E9B">
        <w:rPr>
          <w:i/>
          <w:lang w:val="en-US"/>
        </w:rPr>
        <w:t>Global Ocean Science Report</w:t>
      </w:r>
      <w:r w:rsidR="00E576B1" w:rsidRPr="002F2E9B">
        <w:rPr>
          <w:i/>
          <w:lang w:val="en-US"/>
        </w:rPr>
        <w:t xml:space="preserve"> (GOSR)</w:t>
      </w:r>
      <w:r w:rsidRPr="002F2E9B">
        <w:rPr>
          <w:lang w:val="en-US"/>
        </w:rPr>
        <w:t xml:space="preserve"> as the main mechanism to measure progress towards the achievement of Sustainable Development Goal (SDG) 14, Target 14.a (SDG </w:t>
      </w:r>
      <w:r w:rsidR="00881C32" w:rsidRPr="002F2E9B">
        <w:rPr>
          <w:lang w:val="en-US"/>
        </w:rPr>
        <w:t xml:space="preserve">Indicator </w:t>
      </w:r>
      <w:r w:rsidRPr="002F2E9B">
        <w:rPr>
          <w:lang w:val="en-US"/>
        </w:rPr>
        <w:t xml:space="preserve">14.a.1) and recognized that investments in ocean science are key to developing sustainable ocean economies. </w:t>
      </w:r>
    </w:p>
    <w:p w14:paraId="283F5FCB" w14:textId="5C5D1010" w:rsidR="003D420C" w:rsidRPr="002F2E9B" w:rsidRDefault="008F550B" w:rsidP="00370302">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 xml:space="preserve">The IOC Secretariat, in close cooperation with the </w:t>
      </w:r>
      <w:hyperlink r:id="rId25" w:history="1">
        <w:r w:rsidRPr="002F2E9B">
          <w:rPr>
            <w:rStyle w:val="Hyperlink"/>
            <w:lang w:val="en-US"/>
          </w:rPr>
          <w:t>Editorial Board</w:t>
        </w:r>
      </w:hyperlink>
      <w:r w:rsidR="00881C32" w:rsidRPr="002F2E9B">
        <w:rPr>
          <w:rStyle w:val="Hyperlink"/>
          <w:lang w:val="en-US"/>
        </w:rPr>
        <w:t xml:space="preserve"> of GOSR</w:t>
      </w:r>
      <w:r w:rsidRPr="002F2E9B">
        <w:rPr>
          <w:lang w:val="en-US"/>
        </w:rPr>
        <w:t xml:space="preserve">, developed a new online questionnaire for the second edition of the </w:t>
      </w:r>
      <w:r w:rsidRPr="002F2E9B">
        <w:rPr>
          <w:i/>
          <w:iCs/>
          <w:lang w:val="en-US"/>
        </w:rPr>
        <w:t>Global Ocean Science Report</w:t>
      </w:r>
      <w:r w:rsidR="00E576B1" w:rsidRPr="002F2E9B">
        <w:rPr>
          <w:lang w:val="en-US"/>
        </w:rPr>
        <w:t xml:space="preserve"> (GOSR</w:t>
      </w:r>
      <w:r w:rsidR="00400BED" w:rsidRPr="002F2E9B">
        <w:rPr>
          <w:lang w:val="en-US"/>
        </w:rPr>
        <w:t> </w:t>
      </w:r>
      <w:r w:rsidR="00E576B1" w:rsidRPr="002F2E9B">
        <w:rPr>
          <w:lang w:val="en-US"/>
        </w:rPr>
        <w:t>2020)</w:t>
      </w:r>
      <w:r w:rsidRPr="002F2E9B">
        <w:rPr>
          <w:lang w:val="en-US"/>
        </w:rPr>
        <w:t>, to which Member States were invited to report on the current status report of ocean science (</w:t>
      </w:r>
      <w:hyperlink r:id="rId26" w:tgtFrame="_blank" w:history="1">
        <w:r w:rsidR="00881C32" w:rsidRPr="002F2E9B">
          <w:rPr>
            <w:rStyle w:val="Hyperlink"/>
            <w:lang w:val="en-US"/>
          </w:rPr>
          <w:t xml:space="preserve">Circular letters, </w:t>
        </w:r>
        <w:r w:rsidRPr="002F2E9B">
          <w:rPr>
            <w:rStyle w:val="Hyperlink"/>
            <w:lang w:val="en-US"/>
          </w:rPr>
          <w:t>2729</w:t>
        </w:r>
      </w:hyperlink>
      <w:r w:rsidR="00881C32" w:rsidRPr="002F2E9B">
        <w:rPr>
          <w:lang w:val="en-US"/>
        </w:rPr>
        <w:t xml:space="preserve"> and</w:t>
      </w:r>
      <w:r w:rsidRPr="002F2E9B">
        <w:rPr>
          <w:lang w:val="en-US"/>
        </w:rPr>
        <w:t xml:space="preserve"> </w:t>
      </w:r>
      <w:hyperlink r:id="rId27" w:tgtFrame="_blank" w:history="1">
        <w:r w:rsidRPr="002F2E9B">
          <w:rPr>
            <w:rStyle w:val="Hyperlink"/>
            <w:lang w:val="en-US"/>
          </w:rPr>
          <w:t>2744</w:t>
        </w:r>
      </w:hyperlink>
      <w:r w:rsidRPr="002F2E9B">
        <w:rPr>
          <w:lang w:val="en-US"/>
        </w:rPr>
        <w:t xml:space="preserve">). </w:t>
      </w:r>
    </w:p>
    <w:p w14:paraId="1D86A245" w14:textId="05CE87F8" w:rsidR="00850FFF" w:rsidRPr="002F2E9B" w:rsidRDefault="00850FFF" w:rsidP="00D7580A">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The IOC-UNESCO Secretariat received 45 national replies to the GOSR</w:t>
      </w:r>
      <w:r w:rsidR="00280759">
        <w:rPr>
          <w:lang w:val="en-US"/>
        </w:rPr>
        <w:t> </w:t>
      </w:r>
      <w:r w:rsidRPr="002F2E9B">
        <w:rPr>
          <w:lang w:val="en-US"/>
        </w:rPr>
        <w:t>2020 questionnaire (30% of the IOC-UNESCO Member States): Australia, Belgium, Brazil, Bulgaria, Canada, Chile, China, Colombia, Comoros, Democratic Republic of the Congo, Denmark, Ecuador, El Salvador, Finland, France, Germany, Guinea, Islamic Republic of Iran, Ireland, Italy, Japan, Kenya, Kuwait, Madagascar, Mauritania, Mauritius, Mexico, Morocco, Mozambique, Myanmar, Netherlands, Norway, Oman, Peru, Poland, Portugal, Republic of Korea, Russian Federation, Somalia, South Africa, Spain, Sweden, Turkey, United Kingdom of Great Britain and Northern Ireland, and the United States of America. The countries that submitted information to the GOSR2020 questionnaire produced about 82% of the global ocean science publications during the period 2012–2017.</w:t>
      </w:r>
    </w:p>
    <w:p w14:paraId="3C828122" w14:textId="006C7138" w:rsidR="00850FFF" w:rsidRPr="002F2E9B" w:rsidRDefault="00850FFF" w:rsidP="00D7580A">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 xml:space="preserve">The GOSR2020 was published </w:t>
      </w:r>
      <w:proofErr w:type="gramStart"/>
      <w:r w:rsidRPr="002F2E9B">
        <w:rPr>
          <w:lang w:val="en-US"/>
        </w:rPr>
        <w:t>on the occasion of</w:t>
      </w:r>
      <w:proofErr w:type="gramEnd"/>
      <w:r w:rsidRPr="002F2E9B">
        <w:rPr>
          <w:lang w:val="en-US"/>
        </w:rPr>
        <w:t xml:space="preserve"> the 60</w:t>
      </w:r>
      <w:r w:rsidR="00CB208A" w:rsidRPr="002F2E9B">
        <w:rPr>
          <w:vertAlign w:val="superscript"/>
          <w:lang w:val="en-US"/>
        </w:rPr>
        <w:t>th</w:t>
      </w:r>
      <w:r w:rsidR="00CB208A" w:rsidRPr="002F2E9B">
        <w:rPr>
          <w:lang w:val="en-US"/>
        </w:rPr>
        <w:t xml:space="preserve"> a</w:t>
      </w:r>
      <w:r w:rsidRPr="002F2E9B">
        <w:rPr>
          <w:lang w:val="en-US"/>
        </w:rPr>
        <w:t>nniversary of IOC on 14</w:t>
      </w:r>
      <w:r w:rsidRPr="002F2E9B">
        <w:rPr>
          <w:vertAlign w:val="superscript"/>
          <w:lang w:val="en-US"/>
        </w:rPr>
        <w:t>th</w:t>
      </w:r>
      <w:r w:rsidRPr="002F2E9B">
        <w:rPr>
          <w:lang w:val="en-US"/>
        </w:rPr>
        <w:t xml:space="preserve"> December 2020. The report and all the information and data used in the report can be accessed via the GOSR portal </w:t>
      </w:r>
      <w:hyperlink r:id="rId28" w:history="1">
        <w:r w:rsidRPr="002F2E9B">
          <w:rPr>
            <w:rStyle w:val="Hyperlink"/>
            <w:lang w:val="en-US"/>
          </w:rPr>
          <w:t>http://ioc-unesco.gosr.org</w:t>
        </w:r>
      </w:hyperlink>
      <w:r w:rsidRPr="002F2E9B">
        <w:rPr>
          <w:lang w:val="en-US"/>
        </w:rPr>
        <w:t xml:space="preserve">. </w:t>
      </w:r>
    </w:p>
    <w:p w14:paraId="1E6761F5" w14:textId="3C692897" w:rsidR="00D7580A" w:rsidRPr="002F2E9B" w:rsidRDefault="00D7580A" w:rsidP="00D621F1">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Based on data collected from around the world</w:t>
      </w:r>
      <w:r w:rsidR="00666F64" w:rsidRPr="002F2E9B">
        <w:rPr>
          <w:lang w:val="en-US"/>
        </w:rPr>
        <w:t xml:space="preserve"> via the </w:t>
      </w:r>
      <w:hyperlink r:id="rId29" w:tgtFrame="_blank" w:history="1">
        <w:r w:rsidR="00666F64" w:rsidRPr="002F2E9B">
          <w:rPr>
            <w:rStyle w:val="Hyperlink"/>
            <w:lang w:val="en-US"/>
          </w:rPr>
          <w:t>questionnaire</w:t>
        </w:r>
      </w:hyperlink>
      <w:r w:rsidRPr="002F2E9B">
        <w:rPr>
          <w:lang w:val="en-US"/>
        </w:rPr>
        <w:t xml:space="preserve">, the </w:t>
      </w:r>
      <w:r w:rsidRPr="002F2E9B">
        <w:rPr>
          <w:i/>
          <w:iCs/>
          <w:lang w:val="en-US"/>
        </w:rPr>
        <w:t>Global Ocean Science Report</w:t>
      </w:r>
      <w:r w:rsidRPr="002F2E9B">
        <w:rPr>
          <w:lang w:val="en-US"/>
        </w:rPr>
        <w:t xml:space="preserve"> 2020 (GOSR2020) offers a global record of how, where and by whom ocean science is conducted. By analy</w:t>
      </w:r>
      <w:r w:rsidR="002F2E9B" w:rsidRPr="002F2E9B">
        <w:rPr>
          <w:lang w:val="en-US"/>
        </w:rPr>
        <w:t>z</w:t>
      </w:r>
      <w:r w:rsidRPr="002F2E9B">
        <w:rPr>
          <w:lang w:val="en-US"/>
        </w:rPr>
        <w:t xml:space="preserve">ing the workforce, infrastructures, equipment, funding, investments, publications, data flow and exchange policies, as well as national strategies, the GOSR monitors our capacity to understand the ocean and seize new opportunities. In its second edition, the GOSR2020 addresses four additional topics: contribution of ocean science to sustainable development; blue patent applications; extended gender analysis; and capacity development in ocean science. </w:t>
      </w:r>
    </w:p>
    <w:p w14:paraId="2B6BCD1B" w14:textId="29470026" w:rsidR="00E777BC" w:rsidRPr="002F2E9B" w:rsidRDefault="00D7580A" w:rsidP="00D7580A">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 xml:space="preserve">The GOSR2020 is a resource for policymakers, academics and other stakeholders seeking to assess progress towards the sustainable development goals of the UN 2030 Agenda, in particular SDG </w:t>
      </w:r>
      <w:r w:rsidR="00CB208A" w:rsidRPr="002F2E9B">
        <w:rPr>
          <w:lang w:val="en-US"/>
        </w:rPr>
        <w:t xml:space="preserve">Target </w:t>
      </w:r>
      <w:r w:rsidRPr="002F2E9B">
        <w:rPr>
          <w:lang w:val="en-US"/>
        </w:rPr>
        <w:t>14.</w:t>
      </w:r>
      <w:proofErr w:type="spellStart"/>
      <w:r w:rsidRPr="002F2E9B">
        <w:rPr>
          <w:lang w:val="en-US"/>
        </w:rPr>
        <w:t>a</w:t>
      </w:r>
      <w:proofErr w:type="spellEnd"/>
      <w:r w:rsidRPr="002F2E9B">
        <w:rPr>
          <w:lang w:val="en-US"/>
        </w:rPr>
        <w:t xml:space="preserve"> on scientific knowledge, research capacity and transfer of marine technology. The GOSR provides the information for the indicator for </w:t>
      </w:r>
      <w:r w:rsidR="00CB208A" w:rsidRPr="002F2E9B">
        <w:rPr>
          <w:lang w:val="en-US"/>
        </w:rPr>
        <w:t xml:space="preserve">Target </w:t>
      </w:r>
      <w:r w:rsidRPr="002F2E9B">
        <w:rPr>
          <w:lang w:val="en-US"/>
        </w:rPr>
        <w:t xml:space="preserve">14.a as the proportion of total research budget allocated to research in the field of ocean science. GOSR2020 not only provides consistent reference information at the start of UN Decade for Ocean Science for Sustainable Development 2021–2030, </w:t>
      </w:r>
      <w:r w:rsidR="002F2E9B" w:rsidRPr="002F2E9B">
        <w:rPr>
          <w:lang w:val="en-US"/>
        </w:rPr>
        <w:t>but it also</w:t>
      </w:r>
      <w:r w:rsidRPr="002F2E9B">
        <w:rPr>
          <w:lang w:val="en-US"/>
        </w:rPr>
        <w:t xml:space="preserve"> evolves as a living product. The global community is given the online facility to submit and update data on the GOSR portal and consult data to regularly assess progress on the efficiency and impact of policies to develop ocean science capacity.</w:t>
      </w:r>
      <w:r w:rsidR="00CC3FC5" w:rsidRPr="002F2E9B">
        <w:rPr>
          <w:lang w:val="en-US"/>
        </w:rPr>
        <w:t xml:space="preserve"> </w:t>
      </w:r>
    </w:p>
    <w:p w14:paraId="767AFCD4" w14:textId="77777777" w:rsidR="00280759" w:rsidRDefault="00280759" w:rsidP="00D7580A">
      <w:pPr>
        <w:pStyle w:val="ListParagraph"/>
        <w:widowControl w:val="0"/>
        <w:tabs>
          <w:tab w:val="left" w:pos="709"/>
        </w:tabs>
        <w:autoSpaceDE w:val="0"/>
        <w:autoSpaceDN w:val="0"/>
        <w:adjustRightInd w:val="0"/>
        <w:spacing w:after="240" w:line="240" w:lineRule="auto"/>
        <w:ind w:left="0"/>
        <w:contextualSpacing w:val="0"/>
        <w:jc w:val="both"/>
      </w:pPr>
    </w:p>
    <w:p w14:paraId="04B10509" w14:textId="1C54A642" w:rsidR="00DA6C94" w:rsidRPr="002F2E9B" w:rsidRDefault="00FE2B4A" w:rsidP="00D7580A">
      <w:pPr>
        <w:pStyle w:val="ListParagraph"/>
        <w:widowControl w:val="0"/>
        <w:tabs>
          <w:tab w:val="left" w:pos="709"/>
        </w:tabs>
        <w:autoSpaceDE w:val="0"/>
        <w:autoSpaceDN w:val="0"/>
        <w:adjustRightInd w:val="0"/>
        <w:spacing w:after="240" w:line="240" w:lineRule="auto"/>
        <w:ind w:left="0"/>
        <w:contextualSpacing w:val="0"/>
        <w:jc w:val="both"/>
        <w:rPr>
          <w:lang w:val="en-US"/>
        </w:rPr>
      </w:pPr>
      <w:hyperlink w:anchor="Fig_1" w:history="1">
        <w:r w:rsidR="00DA6C94" w:rsidRPr="002F2E9B">
          <w:rPr>
            <w:rStyle w:val="Hyperlink"/>
            <w:lang w:val="en-US"/>
          </w:rPr>
          <w:t>Figure 1</w:t>
        </w:r>
      </w:hyperlink>
      <w:r w:rsidR="00DA6C94" w:rsidRPr="002F2E9B">
        <w:rPr>
          <w:lang w:val="en-US"/>
        </w:rPr>
        <w:t xml:space="preserve"> illustrates the </w:t>
      </w:r>
      <w:r w:rsidR="00931FAC" w:rsidRPr="002F2E9B">
        <w:rPr>
          <w:lang w:val="en-US"/>
        </w:rPr>
        <w:t xml:space="preserve">information regarding </w:t>
      </w:r>
      <w:hyperlink r:id="rId30" w:history="1">
        <w:r w:rsidR="00CB208A" w:rsidRPr="002F2E9B">
          <w:rPr>
            <w:rStyle w:val="Hyperlink"/>
            <w:lang w:val="en-US"/>
          </w:rPr>
          <w:t>Indicator 14.a.1</w:t>
        </w:r>
      </w:hyperlink>
      <w:r w:rsidR="00931FAC" w:rsidRPr="002F2E9B">
        <w:rPr>
          <w:lang w:val="en-US"/>
        </w:rPr>
        <w:t xml:space="preserve"> on the proportion of total research </w:t>
      </w:r>
      <w:r w:rsidR="00931FAC" w:rsidRPr="002F2E9B">
        <w:rPr>
          <w:lang w:val="en-US"/>
        </w:rPr>
        <w:lastRenderedPageBreak/>
        <w:t>budget allocated to research in the field of marine technology.</w:t>
      </w:r>
      <w:r w:rsidR="007720BA" w:rsidRPr="002F2E9B">
        <w:rPr>
          <w:lang w:val="en-US"/>
        </w:rPr>
        <w:t xml:space="preserve"> This information was </w:t>
      </w:r>
      <w:r w:rsidR="002F2E9B">
        <w:rPr>
          <w:lang w:val="en-US"/>
        </w:rPr>
        <w:t>transmitted</w:t>
      </w:r>
      <w:r w:rsidR="002F2E9B" w:rsidRPr="002F2E9B">
        <w:rPr>
          <w:lang w:val="en-US"/>
        </w:rPr>
        <w:t xml:space="preserve"> </w:t>
      </w:r>
      <w:r w:rsidR="007720BA" w:rsidRPr="002F2E9B">
        <w:rPr>
          <w:lang w:val="en-US"/>
        </w:rPr>
        <w:t>for submission to the office of the UN Secretary-General in February 2021 and is expected to be published in July 2021.</w:t>
      </w:r>
    </w:p>
    <w:p w14:paraId="78471DC7" w14:textId="2EF8DA38" w:rsidR="00BD287A" w:rsidRPr="002F2E9B" w:rsidRDefault="00DA2E28" w:rsidP="00D7580A">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noProof/>
          <w:lang w:val="en-US"/>
        </w:rPr>
        <w:drawing>
          <wp:inline distT="0" distB="0" distL="0" distR="0" wp14:anchorId="7DEA9715" wp14:editId="2BB2F12C">
            <wp:extent cx="5943600" cy="49637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963795"/>
                    </a:xfrm>
                    <a:prstGeom prst="rect">
                      <a:avLst/>
                    </a:prstGeom>
                  </pic:spPr>
                </pic:pic>
              </a:graphicData>
            </a:graphic>
          </wp:inline>
        </w:drawing>
      </w:r>
    </w:p>
    <w:p w14:paraId="0576B24C" w14:textId="77777777" w:rsidR="001F7C5D" w:rsidRPr="001B29AB" w:rsidRDefault="00931FAC" w:rsidP="00FE2B4A">
      <w:pPr>
        <w:pStyle w:val="ListParagraph"/>
        <w:widowControl w:val="0"/>
        <w:tabs>
          <w:tab w:val="left" w:pos="709"/>
        </w:tabs>
        <w:autoSpaceDE w:val="0"/>
        <w:autoSpaceDN w:val="0"/>
        <w:adjustRightInd w:val="0"/>
        <w:spacing w:after="360" w:line="240" w:lineRule="auto"/>
        <w:ind w:left="567" w:right="544"/>
        <w:contextualSpacing w:val="0"/>
        <w:jc w:val="both"/>
        <w:rPr>
          <w:sz w:val="20"/>
          <w:szCs w:val="20"/>
          <w:lang w:val="en-US"/>
        </w:rPr>
      </w:pPr>
      <w:bookmarkStart w:id="0" w:name="Fig_1"/>
      <w:r w:rsidRPr="001B29AB">
        <w:rPr>
          <w:sz w:val="20"/>
          <w:szCs w:val="20"/>
          <w:u w:val="single"/>
          <w:lang w:val="en-US"/>
        </w:rPr>
        <w:t>Figure 1</w:t>
      </w:r>
      <w:bookmarkEnd w:id="0"/>
      <w:r w:rsidRPr="001B29AB">
        <w:rPr>
          <w:sz w:val="20"/>
          <w:szCs w:val="20"/>
          <w:lang w:val="en-US"/>
        </w:rPr>
        <w:t xml:space="preserve">. Estimates of ocean science funding as a share of GERD. Sources: Data adapted from GOSR2020 questionnaire and UNESCO Institute for Statistics database. </w:t>
      </w:r>
      <w:r w:rsidR="00004CFA" w:rsidRPr="00FE2B4A">
        <w:rPr>
          <w:sz w:val="20"/>
          <w:szCs w:val="20"/>
        </w:rPr>
        <w:t>Note that ocean science funding is not explicitly as such in GERD data, and can often be found under the categor</w:t>
      </w:r>
      <w:r w:rsidR="001F7C5D" w:rsidRPr="00FE2B4A">
        <w:rPr>
          <w:sz w:val="20"/>
          <w:szCs w:val="20"/>
        </w:rPr>
        <w:t xml:space="preserve">y </w:t>
      </w:r>
      <w:r w:rsidR="00004CFA" w:rsidRPr="00FE2B4A">
        <w:rPr>
          <w:sz w:val="20"/>
          <w:szCs w:val="20"/>
        </w:rPr>
        <w:t xml:space="preserve">of natural sciences or </w:t>
      </w:r>
      <w:r w:rsidR="001F7C5D" w:rsidRPr="00FE2B4A">
        <w:rPr>
          <w:sz w:val="20"/>
          <w:szCs w:val="20"/>
        </w:rPr>
        <w:t>other science categories.</w:t>
      </w:r>
    </w:p>
    <w:p w14:paraId="71A13AD0" w14:textId="1C806A32" w:rsidR="003262EB" w:rsidRPr="001F7C5D" w:rsidRDefault="003D420C" w:rsidP="00370302">
      <w:pPr>
        <w:pStyle w:val="ListParagraph"/>
        <w:widowControl w:val="0"/>
        <w:tabs>
          <w:tab w:val="left" w:pos="709"/>
        </w:tabs>
        <w:autoSpaceDE w:val="0"/>
        <w:autoSpaceDN w:val="0"/>
        <w:adjustRightInd w:val="0"/>
        <w:spacing w:after="240" w:line="240" w:lineRule="auto"/>
        <w:ind w:left="0"/>
        <w:contextualSpacing w:val="0"/>
        <w:jc w:val="both"/>
        <w:rPr>
          <w:sz w:val="20"/>
          <w:szCs w:val="20"/>
          <w:lang w:val="en-US"/>
        </w:rPr>
      </w:pPr>
      <w:r w:rsidRPr="002F2E9B">
        <w:rPr>
          <w:lang w:val="en-US"/>
        </w:rPr>
        <w:t xml:space="preserve">By providing </w:t>
      </w:r>
      <w:r w:rsidR="007B39D3" w:rsidRPr="002F2E9B">
        <w:rPr>
          <w:lang w:val="en-US"/>
        </w:rPr>
        <w:t xml:space="preserve">information </w:t>
      </w:r>
      <w:r w:rsidR="00146EB0" w:rsidRPr="002F2E9B">
        <w:rPr>
          <w:lang w:val="en-US"/>
        </w:rPr>
        <w:t xml:space="preserve">on </w:t>
      </w:r>
      <w:r w:rsidRPr="002F2E9B">
        <w:rPr>
          <w:lang w:val="en-US"/>
        </w:rPr>
        <w:t xml:space="preserve">the gender of </w:t>
      </w:r>
      <w:r w:rsidR="00146EB0" w:rsidRPr="002F2E9B">
        <w:rPr>
          <w:lang w:val="en-US"/>
        </w:rPr>
        <w:t xml:space="preserve">research </w:t>
      </w:r>
      <w:r w:rsidR="00400BED" w:rsidRPr="002F2E9B">
        <w:rPr>
          <w:lang w:val="en-US"/>
        </w:rPr>
        <w:t>personnel,</w:t>
      </w:r>
      <w:r w:rsidR="00146EB0" w:rsidRPr="002F2E9B">
        <w:rPr>
          <w:lang w:val="en-US"/>
        </w:rPr>
        <w:t xml:space="preserve"> </w:t>
      </w:r>
      <w:r w:rsidR="007B39D3" w:rsidRPr="002F2E9B">
        <w:rPr>
          <w:lang w:val="en-US"/>
        </w:rPr>
        <w:t xml:space="preserve">the </w:t>
      </w:r>
      <w:r w:rsidR="00704563" w:rsidRPr="002F2E9B">
        <w:rPr>
          <w:lang w:val="en-US"/>
        </w:rPr>
        <w:t>GOSR</w:t>
      </w:r>
      <w:r w:rsidR="00400BED" w:rsidRPr="002F2E9B">
        <w:rPr>
          <w:lang w:val="en-US"/>
        </w:rPr>
        <w:t> </w:t>
      </w:r>
      <w:r w:rsidR="00704563" w:rsidRPr="002F2E9B">
        <w:rPr>
          <w:lang w:val="en-US"/>
        </w:rPr>
        <w:t>2020</w:t>
      </w:r>
      <w:r w:rsidR="002E003B" w:rsidRPr="002F2E9B">
        <w:rPr>
          <w:lang w:val="en-US"/>
        </w:rPr>
        <w:t xml:space="preserve"> </w:t>
      </w:r>
      <w:r w:rsidR="00A84CAD" w:rsidRPr="002F2E9B">
        <w:rPr>
          <w:lang w:val="en-US"/>
        </w:rPr>
        <w:t xml:space="preserve">links </w:t>
      </w:r>
      <w:hyperlink r:id="rId32" w:history="1">
        <w:r w:rsidR="00A84CAD" w:rsidRPr="002F2E9B">
          <w:rPr>
            <w:rStyle w:val="Hyperlink"/>
            <w:lang w:val="en-US"/>
          </w:rPr>
          <w:t xml:space="preserve">SDG </w:t>
        </w:r>
        <w:r w:rsidR="0003379E" w:rsidRPr="002F2E9B">
          <w:rPr>
            <w:rStyle w:val="Hyperlink"/>
            <w:lang w:val="en-US"/>
          </w:rPr>
          <w:t xml:space="preserve">Target </w:t>
        </w:r>
        <w:r w:rsidR="00A84CAD" w:rsidRPr="002F2E9B">
          <w:rPr>
            <w:rStyle w:val="Hyperlink"/>
            <w:lang w:val="en-US"/>
          </w:rPr>
          <w:t>14.a</w:t>
        </w:r>
      </w:hyperlink>
      <w:r w:rsidR="00A84CAD" w:rsidRPr="002F2E9B">
        <w:rPr>
          <w:lang w:val="en-US"/>
        </w:rPr>
        <w:t xml:space="preserve"> with </w:t>
      </w:r>
      <w:hyperlink r:id="rId33" w:history="1">
        <w:r w:rsidR="00A84CAD" w:rsidRPr="002F2E9B">
          <w:rPr>
            <w:rStyle w:val="Hyperlink"/>
            <w:lang w:val="en-US"/>
          </w:rPr>
          <w:t>SDG Target 5.5</w:t>
        </w:r>
      </w:hyperlink>
      <w:r w:rsidR="002E003B" w:rsidRPr="002F2E9B">
        <w:rPr>
          <w:lang w:val="en-US"/>
        </w:rPr>
        <w:t xml:space="preserve"> </w:t>
      </w:r>
      <w:r w:rsidR="00A84CAD" w:rsidRPr="002F2E9B">
        <w:rPr>
          <w:lang w:val="en-US"/>
        </w:rPr>
        <w:t>(</w:t>
      </w:r>
      <w:r w:rsidR="002E003B" w:rsidRPr="002F2E9B">
        <w:rPr>
          <w:lang w:val="en-US"/>
        </w:rPr>
        <w:t>‘</w:t>
      </w:r>
      <w:r w:rsidR="007B39D3" w:rsidRPr="002F2E9B">
        <w:rPr>
          <w:lang w:val="en-US"/>
        </w:rPr>
        <w:t>Ensure women’s full and effective participation and equal opportunities for leadership at all levels of decision-making in political, economic and public life</w:t>
      </w:r>
      <w:r w:rsidR="002E003B" w:rsidRPr="002F2E9B">
        <w:rPr>
          <w:lang w:val="en-US"/>
        </w:rPr>
        <w:t>’</w:t>
      </w:r>
      <w:r w:rsidR="00A84CAD" w:rsidRPr="002F2E9B">
        <w:rPr>
          <w:lang w:val="en-US"/>
        </w:rPr>
        <w:t>)</w:t>
      </w:r>
      <w:r w:rsidRPr="002F2E9B">
        <w:rPr>
          <w:lang w:val="en-US"/>
        </w:rPr>
        <w:t xml:space="preserve"> and supports IOC’s commitment to gender equality.</w:t>
      </w:r>
    </w:p>
    <w:p w14:paraId="035FB4BA" w14:textId="42517412" w:rsidR="00704563" w:rsidRPr="00004CFA" w:rsidRDefault="003262EB" w:rsidP="00370302">
      <w:pPr>
        <w:pStyle w:val="ListParagraph"/>
        <w:widowControl w:val="0"/>
        <w:tabs>
          <w:tab w:val="left" w:pos="709"/>
        </w:tabs>
        <w:autoSpaceDE w:val="0"/>
        <w:autoSpaceDN w:val="0"/>
        <w:adjustRightInd w:val="0"/>
        <w:spacing w:after="240" w:line="240" w:lineRule="auto"/>
        <w:ind w:left="0"/>
        <w:contextualSpacing w:val="0"/>
        <w:jc w:val="both"/>
        <w:rPr>
          <w:color w:val="000000" w:themeColor="text1"/>
          <w:lang w:val="en-US"/>
        </w:rPr>
      </w:pPr>
      <w:r w:rsidRPr="002F2E9B">
        <w:rPr>
          <w:lang w:val="en-US"/>
        </w:rPr>
        <w:t xml:space="preserve">Financial </w:t>
      </w:r>
      <w:r w:rsidR="0003379E" w:rsidRPr="002F2E9B">
        <w:rPr>
          <w:lang w:val="en-US"/>
        </w:rPr>
        <w:t xml:space="preserve">as well as in kind </w:t>
      </w:r>
      <w:r w:rsidRPr="002F2E9B">
        <w:rPr>
          <w:lang w:val="en-US"/>
        </w:rPr>
        <w:t>support provided</w:t>
      </w:r>
      <w:r w:rsidR="00AC4E19" w:rsidRPr="002F2E9B">
        <w:rPr>
          <w:lang w:val="en-US"/>
        </w:rPr>
        <w:t xml:space="preserve"> by the Republic of Korea for the development of the GOSR</w:t>
      </w:r>
      <w:r w:rsidR="00400BED" w:rsidRPr="002F2E9B">
        <w:rPr>
          <w:lang w:val="en-US"/>
        </w:rPr>
        <w:t> </w:t>
      </w:r>
      <w:r w:rsidR="00704563" w:rsidRPr="002F2E9B">
        <w:rPr>
          <w:lang w:val="en-US"/>
        </w:rPr>
        <w:t>2020</w:t>
      </w:r>
      <w:r w:rsidR="00AC4E19" w:rsidRPr="002F2E9B">
        <w:rPr>
          <w:lang w:val="en-US"/>
        </w:rPr>
        <w:t xml:space="preserve"> data portal and the bibliometric analysis, and </w:t>
      </w:r>
      <w:r w:rsidR="00092049" w:rsidRPr="002F2E9B">
        <w:rPr>
          <w:lang w:val="en-US"/>
        </w:rPr>
        <w:t xml:space="preserve">financial </w:t>
      </w:r>
      <w:r w:rsidR="00AC4E19" w:rsidRPr="002F2E9B">
        <w:rPr>
          <w:lang w:val="en-US"/>
        </w:rPr>
        <w:t xml:space="preserve">support </w:t>
      </w:r>
      <w:r w:rsidR="0003379E" w:rsidRPr="002F2E9B">
        <w:rPr>
          <w:lang w:val="en-US"/>
        </w:rPr>
        <w:t xml:space="preserve">provided </w:t>
      </w:r>
      <w:r w:rsidR="00AC4E19" w:rsidRPr="002F2E9B">
        <w:rPr>
          <w:lang w:val="en-US"/>
        </w:rPr>
        <w:t>by the United Kingdom for bibliometric research ha</w:t>
      </w:r>
      <w:r w:rsidR="0003379E" w:rsidRPr="002F2E9B">
        <w:rPr>
          <w:lang w:val="en-US"/>
        </w:rPr>
        <w:t>ve</w:t>
      </w:r>
      <w:r w:rsidR="00AC4E19" w:rsidRPr="002F2E9B">
        <w:rPr>
          <w:lang w:val="en-US"/>
        </w:rPr>
        <w:t xml:space="preserve"> </w:t>
      </w:r>
      <w:r w:rsidR="0018210A">
        <w:rPr>
          <w:lang w:val="en-US"/>
        </w:rPr>
        <w:t>been instrumental to</w:t>
      </w:r>
      <w:r w:rsidR="00AC4E19" w:rsidRPr="002F2E9B">
        <w:rPr>
          <w:lang w:val="en-US"/>
        </w:rPr>
        <w:t xml:space="preserve"> the </w:t>
      </w:r>
      <w:r w:rsidR="00850FFF" w:rsidRPr="002F2E9B">
        <w:rPr>
          <w:lang w:val="en-US"/>
        </w:rPr>
        <w:t xml:space="preserve">production </w:t>
      </w:r>
      <w:r w:rsidR="00AC4E19" w:rsidRPr="002F2E9B">
        <w:rPr>
          <w:lang w:val="en-US"/>
        </w:rPr>
        <w:t>of the GOSR</w:t>
      </w:r>
      <w:r w:rsidR="00400BED" w:rsidRPr="002F2E9B">
        <w:rPr>
          <w:lang w:val="en-US"/>
        </w:rPr>
        <w:t> </w:t>
      </w:r>
      <w:r w:rsidR="00AC4E19" w:rsidRPr="002F2E9B">
        <w:rPr>
          <w:lang w:val="en-US"/>
        </w:rPr>
        <w:t xml:space="preserve">2020. </w:t>
      </w:r>
      <w:r w:rsidR="0018210A">
        <w:rPr>
          <w:lang w:val="en-US"/>
        </w:rPr>
        <w:t xml:space="preserve">Further support to GOSR 2020 was received from: </w:t>
      </w:r>
      <w:r w:rsidR="00004CFA" w:rsidRPr="00004CFA">
        <w:rPr>
          <w:color w:val="000000" w:themeColor="text1"/>
          <w:lang w:val="en-US"/>
        </w:rPr>
        <w:t xml:space="preserve">Belgium, Kenya, Ireland, </w:t>
      </w:r>
      <w:proofErr w:type="gramStart"/>
      <w:r w:rsidR="00004CFA" w:rsidRPr="00004CFA">
        <w:rPr>
          <w:color w:val="000000" w:themeColor="text1"/>
          <w:lang w:val="en-US"/>
        </w:rPr>
        <w:t>Norway</w:t>
      </w:r>
      <w:proofErr w:type="gramEnd"/>
      <w:r w:rsidR="00004CFA" w:rsidRPr="00004CFA">
        <w:rPr>
          <w:color w:val="000000" w:themeColor="text1"/>
          <w:lang w:val="en-US"/>
        </w:rPr>
        <w:t xml:space="preserve"> and Sweden</w:t>
      </w:r>
      <w:r w:rsidR="0018210A" w:rsidRPr="00004CFA">
        <w:rPr>
          <w:color w:val="000000" w:themeColor="text1"/>
          <w:lang w:val="en-US"/>
        </w:rPr>
        <w:t xml:space="preserve">. </w:t>
      </w:r>
    </w:p>
    <w:p w14:paraId="2B2F4DC6" w14:textId="49DEBFE3" w:rsidR="003262EB" w:rsidRPr="002F2E9B" w:rsidRDefault="00AD0003" w:rsidP="00370302">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It is expected that</w:t>
      </w:r>
      <w:r w:rsidR="0018210A">
        <w:rPr>
          <w:lang w:val="en-US"/>
        </w:rPr>
        <w:t xml:space="preserve"> </w:t>
      </w:r>
      <w:r w:rsidR="0003379E" w:rsidRPr="002F2E9B">
        <w:rPr>
          <w:lang w:val="en-US"/>
        </w:rPr>
        <w:t>the</w:t>
      </w:r>
      <w:r w:rsidRPr="002F2E9B">
        <w:rPr>
          <w:lang w:val="en-US"/>
        </w:rPr>
        <w:t xml:space="preserve"> </w:t>
      </w:r>
      <w:r w:rsidR="0018210A">
        <w:rPr>
          <w:lang w:val="en-US"/>
        </w:rPr>
        <w:t xml:space="preserve">data and findings in the </w:t>
      </w:r>
      <w:r w:rsidRPr="002F2E9B">
        <w:rPr>
          <w:lang w:val="en-US"/>
        </w:rPr>
        <w:t>GOSR</w:t>
      </w:r>
      <w:r w:rsidR="00280759">
        <w:rPr>
          <w:lang w:val="en-US"/>
        </w:rPr>
        <w:t> </w:t>
      </w:r>
      <w:r w:rsidRPr="002F2E9B">
        <w:rPr>
          <w:lang w:val="en-US"/>
        </w:rPr>
        <w:t>2020</w:t>
      </w:r>
      <w:r w:rsidR="007720BA" w:rsidRPr="002F2E9B">
        <w:rPr>
          <w:lang w:val="en-US"/>
        </w:rPr>
        <w:t xml:space="preserve"> as well as newly established features to facilitate </w:t>
      </w:r>
      <w:r w:rsidR="0018210A">
        <w:rPr>
          <w:lang w:val="en-US"/>
        </w:rPr>
        <w:t xml:space="preserve">the submission of data related to </w:t>
      </w:r>
      <w:r w:rsidR="007720BA" w:rsidRPr="002F2E9B">
        <w:rPr>
          <w:lang w:val="en-US"/>
        </w:rPr>
        <w:t xml:space="preserve">SDG indicator </w:t>
      </w:r>
      <w:r w:rsidR="00870104" w:rsidRPr="002F2E9B">
        <w:rPr>
          <w:lang w:val="en-US"/>
        </w:rPr>
        <w:t>14.a.1</w:t>
      </w:r>
      <w:r w:rsidR="00DA2E28" w:rsidRPr="002F2E9B">
        <w:rPr>
          <w:lang w:val="en-US"/>
        </w:rPr>
        <w:t xml:space="preserve"> between </w:t>
      </w:r>
      <w:r w:rsidR="0018210A">
        <w:rPr>
          <w:lang w:val="en-US"/>
        </w:rPr>
        <w:t xml:space="preserve">the current and the next edition of the </w:t>
      </w:r>
      <w:r w:rsidR="00DA2E28" w:rsidRPr="002F2E9B">
        <w:rPr>
          <w:lang w:val="en-US"/>
        </w:rPr>
        <w:t>GOSR</w:t>
      </w:r>
      <w:r w:rsidRPr="002F2E9B">
        <w:rPr>
          <w:lang w:val="en-US"/>
        </w:rPr>
        <w:t xml:space="preserve"> will corroborate the upgrade of </w:t>
      </w:r>
      <w:hyperlink r:id="rId34" w:history="1">
        <w:r w:rsidRPr="002F2E9B">
          <w:rPr>
            <w:rStyle w:val="Hyperlink"/>
            <w:lang w:val="en-US"/>
          </w:rPr>
          <w:t>SDG Indicator 14.a.1</w:t>
        </w:r>
      </w:hyperlink>
      <w:r w:rsidRPr="002F2E9B">
        <w:rPr>
          <w:lang w:val="en-US"/>
        </w:rPr>
        <w:t xml:space="preserve"> to Tier I, </w:t>
      </w:r>
      <w:r w:rsidR="0018210A">
        <w:rPr>
          <w:lang w:val="en-US"/>
        </w:rPr>
        <w:t xml:space="preserve">as </w:t>
      </w:r>
      <w:r w:rsidRPr="002F2E9B">
        <w:rPr>
          <w:lang w:val="en-US"/>
        </w:rPr>
        <w:t>formal</w:t>
      </w:r>
      <w:r w:rsidR="0018210A">
        <w:rPr>
          <w:lang w:val="en-US"/>
        </w:rPr>
        <w:t>ly</w:t>
      </w:r>
      <w:r w:rsidRPr="002F2E9B">
        <w:rPr>
          <w:lang w:val="en-US"/>
        </w:rPr>
        <w:t xml:space="preserve"> request</w:t>
      </w:r>
      <w:r w:rsidR="0018210A">
        <w:rPr>
          <w:lang w:val="en-US"/>
        </w:rPr>
        <w:t>ed</w:t>
      </w:r>
      <w:r w:rsidRPr="002F2E9B">
        <w:rPr>
          <w:lang w:val="en-US"/>
        </w:rPr>
        <w:t xml:space="preserve"> by IOC in its role as custodian agency for the Indicator</w:t>
      </w:r>
      <w:r w:rsidR="0018210A">
        <w:rPr>
          <w:lang w:val="en-US"/>
        </w:rPr>
        <w:t xml:space="preserve">, </w:t>
      </w:r>
      <w:r w:rsidR="0018210A" w:rsidRPr="002F2E9B">
        <w:rPr>
          <w:lang w:val="en-US"/>
        </w:rPr>
        <w:t>to the IAEG-SDGs</w:t>
      </w:r>
      <w:r w:rsidR="007720BA" w:rsidRPr="002F2E9B">
        <w:rPr>
          <w:lang w:val="en-US"/>
        </w:rPr>
        <w:t xml:space="preserve">. </w:t>
      </w:r>
    </w:p>
    <w:p w14:paraId="095AEED4" w14:textId="6774994E" w:rsidR="004649EA" w:rsidRPr="002F2E9B" w:rsidRDefault="004649EA" w:rsidP="00F308D8">
      <w:pPr>
        <w:pStyle w:val="Style2"/>
        <w:tabs>
          <w:tab w:val="clear" w:pos="1400"/>
          <w:tab w:val="left" w:pos="812"/>
        </w:tabs>
        <w:ind w:left="0"/>
        <w:rPr>
          <w:rFonts w:cs="Arial"/>
          <w:i/>
          <w:u w:val="single"/>
          <w:lang w:val="en-US"/>
        </w:rPr>
      </w:pPr>
      <w:r w:rsidRPr="002F2E9B">
        <w:rPr>
          <w:rFonts w:cs="Arial"/>
          <w:b/>
          <w:bCs/>
          <w:i/>
          <w:u w:val="single"/>
          <w:lang w:val="en-US"/>
        </w:rPr>
        <w:lastRenderedPageBreak/>
        <w:t>Indicator 14.3.1</w:t>
      </w:r>
      <w:r w:rsidR="00ED7C86" w:rsidRPr="002F2E9B">
        <w:rPr>
          <w:rFonts w:cs="Arial"/>
          <w:i/>
          <w:u w:val="single"/>
          <w:lang w:val="en-US"/>
        </w:rPr>
        <w:t>:</w:t>
      </w:r>
      <w:r w:rsidR="00D95732" w:rsidRPr="002F2E9B">
        <w:rPr>
          <w:rFonts w:eastAsiaTheme="minorHAnsi" w:cs="Arial"/>
          <w:bCs/>
          <w:iCs w:val="0"/>
          <w:snapToGrid/>
          <w:sz w:val="24"/>
          <w:szCs w:val="24"/>
          <w:u w:val="single"/>
          <w:lang w:val="en-US"/>
        </w:rPr>
        <w:t xml:space="preserve"> </w:t>
      </w:r>
      <w:r w:rsidR="00D95732" w:rsidRPr="002F2E9B">
        <w:rPr>
          <w:rFonts w:cs="Arial"/>
          <w:bCs/>
          <w:i/>
          <w:u w:val="single"/>
          <w:lang w:val="en-US"/>
        </w:rPr>
        <w:t>Average marine acidity (pH) measured at agreed suite of representative sampling stations</w:t>
      </w:r>
    </w:p>
    <w:p w14:paraId="20AC5BFB" w14:textId="7670BCA9" w:rsidR="00ED7C86" w:rsidRPr="002F2E9B" w:rsidRDefault="0076361D" w:rsidP="00D621F1">
      <w:pPr>
        <w:widowControl w:val="0"/>
        <w:tabs>
          <w:tab w:val="left" w:pos="709"/>
        </w:tabs>
        <w:autoSpaceDE w:val="0"/>
        <w:autoSpaceDN w:val="0"/>
        <w:adjustRightInd w:val="0"/>
        <w:spacing w:after="240"/>
        <w:jc w:val="both"/>
        <w:rPr>
          <w:rFonts w:ascii="Arial" w:hAnsi="Arial" w:cs="Arial"/>
          <w:sz w:val="22"/>
          <w:szCs w:val="22"/>
        </w:rPr>
      </w:pPr>
      <w:r w:rsidRPr="002F2E9B">
        <w:rPr>
          <w:rFonts w:ascii="Arial" w:hAnsi="Arial" w:cs="Arial"/>
          <w:sz w:val="22"/>
          <w:szCs w:val="22"/>
        </w:rPr>
        <w:t>As the custodian agency</w:t>
      </w:r>
      <w:r w:rsidR="0003379E" w:rsidRPr="002F2E9B">
        <w:rPr>
          <w:rFonts w:ascii="Arial" w:hAnsi="Arial" w:cs="Arial"/>
          <w:sz w:val="22"/>
          <w:szCs w:val="22"/>
        </w:rPr>
        <w:t xml:space="preserve"> for SDG 14 Target</w:t>
      </w:r>
      <w:r w:rsidR="00230506" w:rsidRPr="002F2E9B">
        <w:rPr>
          <w:rFonts w:ascii="Arial" w:hAnsi="Arial" w:cs="Arial"/>
          <w:sz w:val="22"/>
          <w:szCs w:val="22"/>
        </w:rPr>
        <w:t>s</w:t>
      </w:r>
      <w:r w:rsidR="0003379E" w:rsidRPr="002F2E9B">
        <w:rPr>
          <w:rFonts w:ascii="Arial" w:hAnsi="Arial" w:cs="Arial"/>
          <w:sz w:val="22"/>
          <w:szCs w:val="22"/>
        </w:rPr>
        <w:t xml:space="preserve"> 14.3 and 14.a</w:t>
      </w:r>
      <w:r w:rsidRPr="002F2E9B">
        <w:rPr>
          <w:rFonts w:ascii="Arial" w:hAnsi="Arial" w:cs="Arial"/>
          <w:sz w:val="22"/>
          <w:szCs w:val="22"/>
        </w:rPr>
        <w:t>, IOC develop</w:t>
      </w:r>
      <w:r w:rsidR="00230506" w:rsidRPr="002F2E9B">
        <w:rPr>
          <w:rFonts w:ascii="Arial" w:hAnsi="Arial" w:cs="Arial"/>
          <w:sz w:val="22"/>
          <w:szCs w:val="22"/>
        </w:rPr>
        <w:t>ed</w:t>
      </w:r>
      <w:r w:rsidRPr="002F2E9B">
        <w:rPr>
          <w:rFonts w:ascii="Arial" w:hAnsi="Arial" w:cs="Arial"/>
          <w:sz w:val="22"/>
          <w:szCs w:val="22"/>
        </w:rPr>
        <w:t xml:space="preserve"> the methodology for the SDG </w:t>
      </w:r>
      <w:r w:rsidR="00ED7C86" w:rsidRPr="002F2E9B">
        <w:rPr>
          <w:rFonts w:ascii="Arial" w:hAnsi="Arial" w:cs="Arial"/>
          <w:sz w:val="22"/>
          <w:szCs w:val="22"/>
        </w:rPr>
        <w:t xml:space="preserve">Indicator </w:t>
      </w:r>
      <w:r w:rsidRPr="002F2E9B">
        <w:rPr>
          <w:rFonts w:ascii="Arial" w:hAnsi="Arial" w:cs="Arial"/>
          <w:sz w:val="22"/>
          <w:szCs w:val="22"/>
        </w:rPr>
        <w:t xml:space="preserve">14.3.1 </w:t>
      </w:r>
      <w:r w:rsidR="00230506" w:rsidRPr="002F2E9B">
        <w:rPr>
          <w:rFonts w:ascii="Arial" w:hAnsi="Arial" w:cs="Arial"/>
          <w:sz w:val="22"/>
          <w:szCs w:val="22"/>
        </w:rPr>
        <w:t xml:space="preserve">and is now </w:t>
      </w:r>
      <w:r w:rsidRPr="002F2E9B">
        <w:rPr>
          <w:rFonts w:ascii="Arial" w:hAnsi="Arial" w:cs="Arial"/>
          <w:sz w:val="22"/>
          <w:szCs w:val="22"/>
        </w:rPr>
        <w:t xml:space="preserve">collecting relevant data from Member States and </w:t>
      </w:r>
      <w:r w:rsidR="00ED7C86" w:rsidRPr="002F2E9B">
        <w:rPr>
          <w:rFonts w:ascii="Arial" w:hAnsi="Arial" w:cs="Arial"/>
          <w:sz w:val="22"/>
          <w:szCs w:val="22"/>
        </w:rPr>
        <w:t>send</w:t>
      </w:r>
      <w:r w:rsidR="00FA26A8">
        <w:rPr>
          <w:rFonts w:ascii="Arial" w:hAnsi="Arial" w:cs="Arial"/>
          <w:sz w:val="22"/>
          <w:szCs w:val="22"/>
        </w:rPr>
        <w:t>ing</w:t>
      </w:r>
      <w:r w:rsidR="00ED7C86" w:rsidRPr="002F2E9B">
        <w:rPr>
          <w:rFonts w:ascii="Arial" w:hAnsi="Arial" w:cs="Arial"/>
          <w:sz w:val="22"/>
          <w:szCs w:val="22"/>
        </w:rPr>
        <w:t xml:space="preserve"> </w:t>
      </w:r>
      <w:r w:rsidR="00FA26A8">
        <w:rPr>
          <w:rFonts w:ascii="Arial" w:hAnsi="Arial" w:cs="Arial"/>
          <w:sz w:val="22"/>
          <w:szCs w:val="22"/>
        </w:rPr>
        <w:t xml:space="preserve">annual </w:t>
      </w:r>
      <w:r w:rsidRPr="002F2E9B">
        <w:rPr>
          <w:rFonts w:ascii="Arial" w:hAnsi="Arial" w:cs="Arial"/>
          <w:sz w:val="22"/>
          <w:szCs w:val="22"/>
        </w:rPr>
        <w:t>report</w:t>
      </w:r>
      <w:r w:rsidR="00ED7C86" w:rsidRPr="002F2E9B">
        <w:rPr>
          <w:rFonts w:ascii="Arial" w:hAnsi="Arial" w:cs="Arial"/>
          <w:sz w:val="22"/>
          <w:szCs w:val="22"/>
        </w:rPr>
        <w:t>s</w:t>
      </w:r>
      <w:r w:rsidRPr="002F2E9B">
        <w:rPr>
          <w:rFonts w:ascii="Arial" w:hAnsi="Arial" w:cs="Arial"/>
          <w:sz w:val="22"/>
          <w:szCs w:val="22"/>
        </w:rPr>
        <w:t xml:space="preserve"> to the United Nations.</w:t>
      </w:r>
      <w:r w:rsidR="00230506" w:rsidRPr="002F2E9B">
        <w:rPr>
          <w:rFonts w:ascii="Arial" w:hAnsi="Arial" w:cs="Arial"/>
          <w:sz w:val="22"/>
          <w:szCs w:val="22"/>
        </w:rPr>
        <w:t xml:space="preserve"> </w:t>
      </w:r>
    </w:p>
    <w:p w14:paraId="6DDA06F6" w14:textId="4FDB22B7" w:rsidR="0076361D" w:rsidRPr="002F2E9B" w:rsidRDefault="00230506" w:rsidP="00D621F1">
      <w:pPr>
        <w:widowControl w:val="0"/>
        <w:tabs>
          <w:tab w:val="left" w:pos="709"/>
        </w:tabs>
        <w:autoSpaceDE w:val="0"/>
        <w:autoSpaceDN w:val="0"/>
        <w:adjustRightInd w:val="0"/>
        <w:spacing w:after="240"/>
        <w:jc w:val="both"/>
        <w:rPr>
          <w:rFonts w:ascii="Arial" w:hAnsi="Arial" w:cs="Arial"/>
          <w:sz w:val="22"/>
          <w:szCs w:val="22"/>
        </w:rPr>
      </w:pPr>
      <w:r w:rsidRPr="002F2E9B">
        <w:rPr>
          <w:rFonts w:ascii="Arial" w:hAnsi="Arial" w:cs="Arial"/>
          <w:sz w:val="22"/>
          <w:szCs w:val="22"/>
        </w:rPr>
        <w:t xml:space="preserve">In 2018, </w:t>
      </w:r>
      <w:r w:rsidR="00FA26A8">
        <w:rPr>
          <w:rFonts w:ascii="Arial" w:hAnsi="Arial" w:cs="Arial"/>
          <w:sz w:val="22"/>
          <w:szCs w:val="22"/>
        </w:rPr>
        <w:t>a</w:t>
      </w:r>
      <w:r w:rsidR="00FA26A8" w:rsidRPr="002F2E9B">
        <w:rPr>
          <w:rFonts w:ascii="Arial" w:hAnsi="Arial" w:cs="Arial"/>
          <w:sz w:val="22"/>
          <w:szCs w:val="22"/>
        </w:rPr>
        <w:t xml:space="preserve"> </w:t>
      </w:r>
      <w:r w:rsidRPr="002F2E9B">
        <w:rPr>
          <w:rFonts w:ascii="Arial" w:hAnsi="Arial" w:cs="Arial"/>
          <w:sz w:val="22"/>
          <w:szCs w:val="22"/>
        </w:rPr>
        <w:t>dedicated expert meeting held in January at IOC resulted in the preparation of a draft methodology. Further expert reviews took place between March and May 2018, with the Global Ocean Acidification Observing Network (</w:t>
      </w:r>
      <w:hyperlink r:id="rId35" w:history="1">
        <w:r w:rsidRPr="002F2E9B">
          <w:rPr>
            <w:rStyle w:val="Hyperlink"/>
            <w:rFonts w:ascii="Arial" w:hAnsi="Arial" w:cs="Arial"/>
            <w:sz w:val="22"/>
            <w:szCs w:val="22"/>
          </w:rPr>
          <w:t>GOA-ON</w:t>
        </w:r>
      </w:hyperlink>
      <w:r w:rsidRPr="002F2E9B">
        <w:rPr>
          <w:rFonts w:ascii="Arial" w:hAnsi="Arial" w:cs="Arial"/>
          <w:sz w:val="22"/>
          <w:szCs w:val="22"/>
        </w:rPr>
        <w:t xml:space="preserve">). </w:t>
      </w:r>
    </w:p>
    <w:p w14:paraId="604A0BCB" w14:textId="77A6085B" w:rsidR="0076361D" w:rsidRPr="002F2E9B" w:rsidRDefault="0076361D" w:rsidP="001B3E12">
      <w:pPr>
        <w:tabs>
          <w:tab w:val="left" w:pos="709"/>
        </w:tabs>
        <w:autoSpaceDE w:val="0"/>
        <w:autoSpaceDN w:val="0"/>
        <w:adjustRightInd w:val="0"/>
        <w:spacing w:after="240"/>
        <w:jc w:val="both"/>
        <w:rPr>
          <w:rFonts w:ascii="Arial" w:hAnsi="Arial" w:cs="Arial"/>
          <w:sz w:val="22"/>
          <w:szCs w:val="22"/>
        </w:rPr>
      </w:pPr>
      <w:r w:rsidRPr="002F2E9B">
        <w:rPr>
          <w:rFonts w:ascii="Arial" w:hAnsi="Arial" w:cs="Arial"/>
          <w:sz w:val="22"/>
          <w:szCs w:val="22"/>
        </w:rPr>
        <w:t xml:space="preserve">The </w:t>
      </w:r>
      <w:hyperlink r:id="rId36" w:history="1">
        <w:r w:rsidR="00230506" w:rsidRPr="002F2E9B">
          <w:rPr>
            <w:rStyle w:val="Hyperlink"/>
            <w:rFonts w:ascii="Arial" w:hAnsi="Arial" w:cs="Arial"/>
            <w:sz w:val="22"/>
            <w:szCs w:val="22"/>
          </w:rPr>
          <w:t xml:space="preserve">methodology for </w:t>
        </w:r>
        <w:r w:rsidRPr="002F2E9B">
          <w:rPr>
            <w:rStyle w:val="Hyperlink"/>
            <w:rFonts w:ascii="Arial" w:hAnsi="Arial" w:cs="Arial"/>
            <w:sz w:val="22"/>
            <w:szCs w:val="22"/>
          </w:rPr>
          <w:t>SDG Indicator 14.3.1</w:t>
        </w:r>
      </w:hyperlink>
      <w:r w:rsidRPr="002F2E9B">
        <w:rPr>
          <w:rFonts w:ascii="Arial" w:hAnsi="Arial" w:cs="Arial"/>
          <w:sz w:val="22"/>
          <w:szCs w:val="22"/>
        </w:rPr>
        <w:t xml:space="preserve"> provides the necessary guidance on how to conduct ocean acidification observation</w:t>
      </w:r>
      <w:r w:rsidR="000C7822">
        <w:rPr>
          <w:rFonts w:ascii="Arial" w:hAnsi="Arial" w:cs="Arial"/>
          <w:sz w:val="22"/>
          <w:szCs w:val="22"/>
        </w:rPr>
        <w:t>s</w:t>
      </w:r>
      <w:r w:rsidRPr="002F2E9B">
        <w:rPr>
          <w:rFonts w:ascii="Arial" w:hAnsi="Arial" w:cs="Arial"/>
          <w:sz w:val="22"/>
          <w:szCs w:val="22"/>
        </w:rPr>
        <w:t>, using different types of technology and measuring different variables, including pH, carbon dioxide partial pressure [</w:t>
      </w:r>
      <w:r w:rsidRPr="00004CFA">
        <w:rPr>
          <w:rFonts w:ascii="Arial" w:hAnsi="Arial" w:cs="Arial"/>
          <w:i/>
          <w:iCs/>
          <w:sz w:val="22"/>
          <w:szCs w:val="22"/>
        </w:rPr>
        <w:t>p</w:t>
      </w:r>
      <w:r w:rsidRPr="002F2E9B">
        <w:rPr>
          <w:rFonts w:ascii="Arial" w:hAnsi="Arial" w:cs="Arial"/>
          <w:sz w:val="22"/>
          <w:szCs w:val="22"/>
        </w:rPr>
        <w:t>CO</w:t>
      </w:r>
      <w:r w:rsidRPr="002F2E9B">
        <w:rPr>
          <w:rFonts w:ascii="Arial" w:hAnsi="Arial" w:cs="Arial"/>
          <w:sz w:val="22"/>
          <w:szCs w:val="22"/>
          <w:vertAlign w:val="subscript"/>
        </w:rPr>
        <w:t>2</w:t>
      </w:r>
      <w:r w:rsidRPr="002F2E9B">
        <w:rPr>
          <w:rFonts w:ascii="Arial" w:hAnsi="Arial" w:cs="Arial"/>
          <w:sz w:val="22"/>
          <w:szCs w:val="22"/>
        </w:rPr>
        <w:t>], total dissolved inorganic carbon [CT/DIC], and total alkalinity [AT/TA], as well as salinity and temperature. It further provides support on how to and what kind of data sets to submit to IOC, to ensure the production of quality controlled global and possibly regional products, as requested by the Inter-agency Expert Group on SDG indicators (</w:t>
      </w:r>
      <w:hyperlink r:id="rId37" w:history="1">
        <w:r w:rsidRPr="002F2E9B">
          <w:rPr>
            <w:rStyle w:val="Hyperlink"/>
            <w:rFonts w:ascii="Arial" w:hAnsi="Arial" w:cs="Arial"/>
            <w:sz w:val="22"/>
            <w:szCs w:val="22"/>
          </w:rPr>
          <w:t>https://unstats.un.org/sdgs/iaeg-sdgs/</w:t>
        </w:r>
      </w:hyperlink>
      <w:r w:rsidRPr="002F2E9B">
        <w:rPr>
          <w:rFonts w:ascii="Arial" w:hAnsi="Arial" w:cs="Arial"/>
          <w:sz w:val="22"/>
          <w:szCs w:val="22"/>
        </w:rPr>
        <w:t xml:space="preserve">). The </w:t>
      </w:r>
      <w:r w:rsidR="00230506" w:rsidRPr="002F2E9B">
        <w:rPr>
          <w:rFonts w:ascii="Arial" w:hAnsi="Arial" w:cs="Arial"/>
          <w:sz w:val="22"/>
          <w:szCs w:val="22"/>
        </w:rPr>
        <w:t xml:space="preserve">methodology </w:t>
      </w:r>
      <w:r w:rsidRPr="002F2E9B">
        <w:rPr>
          <w:rFonts w:ascii="Arial" w:hAnsi="Arial" w:cs="Arial"/>
          <w:sz w:val="22"/>
          <w:szCs w:val="22"/>
        </w:rPr>
        <w:t>was developed in collaboration with IOC’s International Oceanographic Data and Information Exchange Programme (IODE), international ocean acidification experts (including data managers) and the Global Ocean Acidification Observing Network (GOA-ON).</w:t>
      </w:r>
    </w:p>
    <w:p w14:paraId="13B3517A" w14:textId="32B18EED" w:rsidR="0076361D" w:rsidRPr="002F2E9B" w:rsidRDefault="0076361D" w:rsidP="00D621F1">
      <w:pPr>
        <w:widowControl w:val="0"/>
        <w:tabs>
          <w:tab w:val="left" w:pos="709"/>
        </w:tabs>
        <w:autoSpaceDE w:val="0"/>
        <w:autoSpaceDN w:val="0"/>
        <w:adjustRightInd w:val="0"/>
        <w:spacing w:after="240"/>
        <w:jc w:val="both"/>
        <w:rPr>
          <w:rFonts w:ascii="Arial" w:hAnsi="Arial" w:cs="Arial"/>
          <w:sz w:val="22"/>
          <w:szCs w:val="22"/>
        </w:rPr>
      </w:pPr>
      <w:r w:rsidRPr="002F2E9B">
        <w:rPr>
          <w:rFonts w:ascii="Arial" w:hAnsi="Arial" w:cs="Arial"/>
          <w:sz w:val="22"/>
          <w:szCs w:val="22"/>
        </w:rPr>
        <w:t>In July 2018, the IOC Executive Council at its 51st session endorsed the methodology</w:t>
      </w:r>
      <w:r w:rsidR="00674557" w:rsidRPr="002F2E9B">
        <w:rPr>
          <w:rFonts w:ascii="Arial" w:hAnsi="Arial" w:cs="Arial"/>
          <w:sz w:val="22"/>
          <w:szCs w:val="22"/>
        </w:rPr>
        <w:t xml:space="preserve"> (</w:t>
      </w:r>
      <w:hyperlink r:id="rId38" w:history="1">
        <w:r w:rsidR="00674557" w:rsidRPr="002F2E9B">
          <w:rPr>
            <w:rStyle w:val="Hyperlink"/>
            <w:rFonts w:ascii="Arial" w:hAnsi="Arial" w:cs="Arial"/>
            <w:sz w:val="22"/>
            <w:szCs w:val="22"/>
          </w:rPr>
          <w:t>IOC/EC-LI/2 Annex 6 rev.</w:t>
        </w:r>
      </w:hyperlink>
      <w:r w:rsidR="00674557" w:rsidRPr="002F2E9B">
        <w:rPr>
          <w:rFonts w:ascii="Arial" w:hAnsi="Arial" w:cs="Arial"/>
          <w:sz w:val="22"/>
          <w:szCs w:val="22"/>
        </w:rPr>
        <w:t>)</w:t>
      </w:r>
      <w:r w:rsidRPr="002F2E9B">
        <w:rPr>
          <w:rFonts w:ascii="Arial" w:hAnsi="Arial" w:cs="Arial"/>
          <w:sz w:val="22"/>
          <w:szCs w:val="22"/>
        </w:rPr>
        <w:t>, and with the upgrade to Tier II granted by the IAEG-SDG in November 2018, the Indicator is now recognized as ‘conceptually clear, has an internationally established methodology and standards are available, but data are not regularly produced by countries.’</w:t>
      </w:r>
    </w:p>
    <w:p w14:paraId="614969EB" w14:textId="0C952C2B" w:rsidR="0076361D" w:rsidRPr="002F2E9B" w:rsidRDefault="0076361D">
      <w:pPr>
        <w:widowControl w:val="0"/>
        <w:tabs>
          <w:tab w:val="left" w:pos="709"/>
        </w:tabs>
        <w:autoSpaceDE w:val="0"/>
        <w:autoSpaceDN w:val="0"/>
        <w:adjustRightInd w:val="0"/>
        <w:spacing w:after="240"/>
        <w:jc w:val="both"/>
        <w:rPr>
          <w:rFonts w:ascii="Arial" w:hAnsi="Arial" w:cs="Arial"/>
          <w:sz w:val="22"/>
          <w:szCs w:val="22"/>
        </w:rPr>
      </w:pPr>
      <w:r w:rsidRPr="002F2E9B">
        <w:rPr>
          <w:rFonts w:ascii="Arial" w:hAnsi="Arial" w:cs="Arial"/>
          <w:sz w:val="22"/>
          <w:szCs w:val="22"/>
        </w:rPr>
        <w:t xml:space="preserve">IOC Members States </w:t>
      </w:r>
      <w:r w:rsidR="009B0306" w:rsidRPr="002F2E9B">
        <w:rPr>
          <w:rFonts w:ascii="Arial" w:hAnsi="Arial" w:cs="Arial"/>
          <w:sz w:val="22"/>
          <w:szCs w:val="22"/>
        </w:rPr>
        <w:t xml:space="preserve">are strongly encouraged </w:t>
      </w:r>
      <w:r w:rsidRPr="002F2E9B">
        <w:rPr>
          <w:rFonts w:ascii="Arial" w:hAnsi="Arial" w:cs="Arial"/>
          <w:sz w:val="22"/>
          <w:szCs w:val="22"/>
        </w:rPr>
        <w:t xml:space="preserve">to submit the relevant data for the </w:t>
      </w:r>
      <w:r w:rsidR="00ED7C86" w:rsidRPr="002F2E9B">
        <w:rPr>
          <w:rFonts w:ascii="Arial" w:hAnsi="Arial" w:cs="Arial"/>
          <w:sz w:val="22"/>
          <w:szCs w:val="22"/>
        </w:rPr>
        <w:t xml:space="preserve">SDG Indicator </w:t>
      </w:r>
      <w:r w:rsidRPr="002F2E9B">
        <w:rPr>
          <w:rFonts w:ascii="Arial" w:hAnsi="Arial" w:cs="Arial"/>
          <w:sz w:val="22"/>
          <w:szCs w:val="22"/>
        </w:rPr>
        <w:t xml:space="preserve">14.3.1. The data submitted should be validated as </w:t>
      </w:r>
      <w:r w:rsidR="00ED7C86" w:rsidRPr="002F2E9B">
        <w:rPr>
          <w:rFonts w:ascii="Arial" w:hAnsi="Arial" w:cs="Arial"/>
          <w:sz w:val="22"/>
          <w:szCs w:val="22"/>
        </w:rPr>
        <w:t>‘</w:t>
      </w:r>
      <w:r w:rsidRPr="002F2E9B">
        <w:rPr>
          <w:rFonts w:ascii="Arial" w:hAnsi="Arial" w:cs="Arial"/>
          <w:sz w:val="22"/>
          <w:szCs w:val="22"/>
        </w:rPr>
        <w:t>national data submissions from the Member States of IOC</w:t>
      </w:r>
      <w:r w:rsidR="00ED7C86" w:rsidRPr="002F2E9B">
        <w:rPr>
          <w:rFonts w:ascii="Arial" w:hAnsi="Arial" w:cs="Arial"/>
          <w:sz w:val="22"/>
          <w:szCs w:val="22"/>
        </w:rPr>
        <w:t>’</w:t>
      </w:r>
      <w:r w:rsidRPr="002F2E9B">
        <w:rPr>
          <w:rFonts w:ascii="Arial" w:hAnsi="Arial" w:cs="Arial"/>
          <w:sz w:val="22"/>
          <w:szCs w:val="22"/>
        </w:rPr>
        <w:t xml:space="preserve">. All data submissions should follow the instructions and guidelines laid out in the </w:t>
      </w:r>
      <w:r w:rsidR="00230506" w:rsidRPr="002F2E9B">
        <w:rPr>
          <w:rFonts w:ascii="Arial" w:hAnsi="Arial" w:cs="Arial"/>
          <w:sz w:val="22"/>
          <w:szCs w:val="22"/>
        </w:rPr>
        <w:t xml:space="preserve">methodology </w:t>
      </w:r>
      <w:r w:rsidRPr="002F2E9B">
        <w:rPr>
          <w:rFonts w:ascii="Arial" w:hAnsi="Arial" w:cs="Arial"/>
          <w:sz w:val="22"/>
          <w:szCs w:val="22"/>
        </w:rPr>
        <w:t xml:space="preserve">and follow the format of the associated data and metadata files. </w:t>
      </w:r>
    </w:p>
    <w:p w14:paraId="587149D7" w14:textId="1F269F0B" w:rsidR="0076361D" w:rsidRPr="002F2E9B" w:rsidRDefault="0076361D">
      <w:pPr>
        <w:widowControl w:val="0"/>
        <w:tabs>
          <w:tab w:val="left" w:pos="709"/>
        </w:tabs>
        <w:autoSpaceDE w:val="0"/>
        <w:autoSpaceDN w:val="0"/>
        <w:adjustRightInd w:val="0"/>
        <w:spacing w:after="240"/>
        <w:jc w:val="both"/>
        <w:rPr>
          <w:rFonts w:ascii="Arial" w:hAnsi="Arial" w:cs="Arial"/>
          <w:sz w:val="22"/>
          <w:szCs w:val="22"/>
        </w:rPr>
      </w:pPr>
      <w:r w:rsidRPr="002F2E9B">
        <w:rPr>
          <w:rFonts w:ascii="Arial" w:hAnsi="Arial" w:cs="Arial"/>
          <w:sz w:val="22"/>
          <w:szCs w:val="22"/>
        </w:rPr>
        <w:t>To facilitate data submission, IOC has developed an online portal (</w:t>
      </w:r>
      <w:hyperlink r:id="rId39" w:history="1">
        <w:r w:rsidR="004857D2" w:rsidRPr="002F2E9B">
          <w:rPr>
            <w:rStyle w:val="Hyperlink"/>
            <w:rFonts w:ascii="Arial" w:hAnsi="Arial" w:cs="Arial"/>
            <w:sz w:val="22"/>
            <w:szCs w:val="22"/>
          </w:rPr>
          <w:t>https://oa.iode.org/</w:t>
        </w:r>
      </w:hyperlink>
      <w:r w:rsidR="004857D2" w:rsidRPr="002F2E9B">
        <w:rPr>
          <w:rFonts w:ascii="Arial" w:hAnsi="Arial" w:cs="Arial"/>
          <w:sz w:val="22"/>
          <w:szCs w:val="22"/>
        </w:rPr>
        <w:t>)</w:t>
      </w:r>
      <w:r w:rsidRPr="002F2E9B">
        <w:rPr>
          <w:rFonts w:ascii="Arial" w:hAnsi="Arial" w:cs="Arial"/>
          <w:sz w:val="22"/>
          <w:szCs w:val="22"/>
        </w:rPr>
        <w:t xml:space="preserve"> based on the </w:t>
      </w:r>
      <w:r w:rsidR="00230506" w:rsidRPr="002F2E9B">
        <w:rPr>
          <w:rFonts w:ascii="Arial" w:hAnsi="Arial" w:cs="Arial"/>
          <w:sz w:val="22"/>
          <w:szCs w:val="22"/>
        </w:rPr>
        <w:t xml:space="preserve">methodology for </w:t>
      </w:r>
      <w:r w:rsidRPr="002F2E9B">
        <w:rPr>
          <w:rFonts w:ascii="Arial" w:hAnsi="Arial" w:cs="Arial"/>
          <w:sz w:val="22"/>
          <w:szCs w:val="22"/>
        </w:rPr>
        <w:t xml:space="preserve">SDG </w:t>
      </w:r>
      <w:r w:rsidR="00ED7C86" w:rsidRPr="002F2E9B">
        <w:rPr>
          <w:rFonts w:ascii="Arial" w:hAnsi="Arial" w:cs="Arial"/>
          <w:sz w:val="22"/>
          <w:szCs w:val="22"/>
        </w:rPr>
        <w:t xml:space="preserve">Indicator </w:t>
      </w:r>
      <w:r w:rsidRPr="002F2E9B">
        <w:rPr>
          <w:rFonts w:ascii="Arial" w:hAnsi="Arial" w:cs="Arial"/>
          <w:sz w:val="22"/>
          <w:szCs w:val="22"/>
        </w:rPr>
        <w:t xml:space="preserve">14.3.1 and the associated data and metadata files, in cooperation with the International Oceanographic Data and Information Exchange (IODE). The online data submission interface allows for the uploading of the completed data and metadata files, with some additional information. All received submissions </w:t>
      </w:r>
      <w:r w:rsidR="00F244CE" w:rsidRPr="002F2E9B">
        <w:rPr>
          <w:rFonts w:ascii="Arial" w:hAnsi="Arial" w:cs="Arial"/>
          <w:sz w:val="22"/>
          <w:szCs w:val="22"/>
        </w:rPr>
        <w:t>are</w:t>
      </w:r>
      <w:r w:rsidRPr="002F2E9B">
        <w:rPr>
          <w:rFonts w:ascii="Arial" w:hAnsi="Arial" w:cs="Arial"/>
          <w:sz w:val="22"/>
          <w:szCs w:val="22"/>
        </w:rPr>
        <w:t xml:space="preserve"> attributed a Digital Object Identifier (DOI), allowing for the tracing and correct citation of the data in derived products. Open data access is encouraged. It is expected that data and metadata contributions will be shared and used under one Creative Common license. The data submission process through the portal includes and explains all the steps outlined above. </w:t>
      </w:r>
    </w:p>
    <w:p w14:paraId="0D2AA569" w14:textId="66334566" w:rsidR="0076361D" w:rsidRPr="002F2E9B" w:rsidRDefault="0076361D">
      <w:pPr>
        <w:widowControl w:val="0"/>
        <w:tabs>
          <w:tab w:val="left" w:pos="709"/>
        </w:tabs>
        <w:autoSpaceDE w:val="0"/>
        <w:autoSpaceDN w:val="0"/>
        <w:adjustRightInd w:val="0"/>
        <w:spacing w:after="240"/>
        <w:jc w:val="both"/>
        <w:rPr>
          <w:rFonts w:ascii="Arial" w:hAnsi="Arial" w:cs="Arial"/>
          <w:sz w:val="22"/>
          <w:szCs w:val="22"/>
        </w:rPr>
      </w:pPr>
      <w:r w:rsidRPr="002F2E9B">
        <w:rPr>
          <w:rFonts w:ascii="Arial" w:hAnsi="Arial" w:cs="Arial"/>
          <w:sz w:val="22"/>
          <w:szCs w:val="22"/>
        </w:rPr>
        <w:t xml:space="preserve">Alternative submissions using appropriate data formats (e.g. .csv or .xls) are also accepted. For that purpose, templates for the data and metadata files for the required information can be found at the online </w:t>
      </w:r>
      <w:r w:rsidRPr="00466DEB">
        <w:rPr>
          <w:rFonts w:ascii="Arial" w:hAnsi="Arial" w:cs="Arial"/>
          <w:sz w:val="22"/>
          <w:szCs w:val="22"/>
        </w:rPr>
        <w:t>portal (</w:t>
      </w:r>
      <w:hyperlink r:id="rId40" w:history="1">
        <w:r w:rsidRPr="00466DEB">
          <w:rPr>
            <w:rStyle w:val="Hyperlink"/>
            <w:rFonts w:ascii="Arial" w:hAnsi="Arial" w:cs="Arial"/>
            <w:sz w:val="22"/>
            <w:szCs w:val="22"/>
          </w:rPr>
          <w:t>https://oa.iode.org/</w:t>
        </w:r>
      </w:hyperlink>
      <w:r w:rsidRPr="00466DEB">
        <w:rPr>
          <w:rFonts w:ascii="Arial" w:hAnsi="Arial" w:cs="Arial"/>
          <w:sz w:val="22"/>
          <w:szCs w:val="22"/>
        </w:rPr>
        <w:t xml:space="preserve">). These data files, once completed, can be sent directly to the IOC Secretariat at </w:t>
      </w:r>
      <w:r w:rsidRPr="00004CFA">
        <w:rPr>
          <w:rFonts w:ascii="Arial" w:hAnsi="Arial" w:cs="Arial"/>
          <w:sz w:val="22"/>
          <w:szCs w:val="22"/>
        </w:rPr>
        <w:t xml:space="preserve">the </w:t>
      </w:r>
      <w:r w:rsidR="00466DEB" w:rsidRPr="00004CFA">
        <w:rPr>
          <w:rFonts w:ascii="Arial" w:hAnsi="Arial" w:cs="Arial"/>
          <w:sz w:val="22"/>
          <w:szCs w:val="22"/>
        </w:rPr>
        <w:t xml:space="preserve">following </w:t>
      </w:r>
      <w:r w:rsidRPr="00004CFA">
        <w:rPr>
          <w:rFonts w:ascii="Arial" w:hAnsi="Arial" w:cs="Arial"/>
          <w:sz w:val="22"/>
          <w:szCs w:val="22"/>
        </w:rPr>
        <w:t>email addresses</w:t>
      </w:r>
      <w:r w:rsidR="00466DEB" w:rsidRPr="00004CFA">
        <w:rPr>
          <w:rFonts w:ascii="Arial" w:hAnsi="Arial" w:cs="Arial"/>
          <w:sz w:val="22"/>
          <w:szCs w:val="22"/>
        </w:rPr>
        <w:t>: Ms Kirsten Isensee (</w:t>
      </w:r>
      <w:hyperlink r:id="rId41" w:history="1">
        <w:r w:rsidR="00466DEB" w:rsidRPr="00004CFA">
          <w:rPr>
            <w:rStyle w:val="Hyperlink"/>
            <w:rFonts w:ascii="Arial" w:hAnsi="Arial" w:cs="Arial"/>
            <w:sz w:val="22"/>
            <w:szCs w:val="22"/>
          </w:rPr>
          <w:t>k.isensee@unesco.org</w:t>
        </w:r>
      </w:hyperlink>
      <w:r w:rsidR="00466DEB" w:rsidRPr="00004CFA">
        <w:rPr>
          <w:rFonts w:ascii="Arial" w:hAnsi="Arial" w:cs="Arial"/>
          <w:sz w:val="22"/>
          <w:szCs w:val="22"/>
        </w:rPr>
        <w:t>) and Ms</w:t>
      </w:r>
      <w:r w:rsidR="00280759">
        <w:rPr>
          <w:rFonts w:ascii="Arial" w:hAnsi="Arial" w:cs="Arial"/>
          <w:sz w:val="22"/>
          <w:szCs w:val="22"/>
        </w:rPr>
        <w:t> </w:t>
      </w:r>
      <w:r w:rsidR="00466DEB" w:rsidRPr="00004CFA">
        <w:rPr>
          <w:rFonts w:ascii="Arial" w:hAnsi="Arial" w:cs="Arial"/>
          <w:sz w:val="22"/>
          <w:szCs w:val="22"/>
        </w:rPr>
        <w:t>Katherina Schoo (</w:t>
      </w:r>
      <w:hyperlink r:id="rId42" w:history="1">
        <w:r w:rsidR="00466DEB" w:rsidRPr="00004CFA">
          <w:rPr>
            <w:rStyle w:val="Hyperlink"/>
            <w:rFonts w:ascii="Arial" w:hAnsi="Arial" w:cs="Arial"/>
            <w:sz w:val="22"/>
            <w:szCs w:val="22"/>
          </w:rPr>
          <w:t>k.schoo@unesco.org</w:t>
        </w:r>
      </w:hyperlink>
      <w:r w:rsidR="00466DEB" w:rsidRPr="00004CFA">
        <w:rPr>
          <w:rFonts w:ascii="Arial" w:hAnsi="Arial" w:cs="Arial"/>
          <w:sz w:val="22"/>
          <w:szCs w:val="22"/>
        </w:rPr>
        <w:t xml:space="preserve">). </w:t>
      </w:r>
    </w:p>
    <w:p w14:paraId="01170D36" w14:textId="1677A7EE" w:rsidR="00F244CE" w:rsidRPr="002F2E9B" w:rsidRDefault="00DA1355" w:rsidP="001B3E12">
      <w:pPr>
        <w:spacing w:after="240"/>
        <w:jc w:val="both"/>
        <w:rPr>
          <w:rFonts w:ascii="Arial" w:eastAsia="Times New Roman" w:hAnsi="Arial" w:cs="Arial"/>
          <w:sz w:val="22"/>
          <w:szCs w:val="22"/>
        </w:rPr>
      </w:pPr>
      <w:r w:rsidRPr="002F2E9B">
        <w:rPr>
          <w:rFonts w:ascii="Arial" w:hAnsi="Arial" w:cs="Arial"/>
          <w:sz w:val="22"/>
          <w:szCs w:val="22"/>
        </w:rPr>
        <w:t xml:space="preserve">IOC Member States and experts in the respective countries, as well as </w:t>
      </w:r>
      <w:r w:rsidR="00230506" w:rsidRPr="002F2E9B">
        <w:rPr>
          <w:rFonts w:ascii="Arial" w:hAnsi="Arial" w:cs="Arial"/>
          <w:sz w:val="22"/>
          <w:szCs w:val="22"/>
        </w:rPr>
        <w:t xml:space="preserve">National Oceanographic Data Centres </w:t>
      </w:r>
      <w:r w:rsidRPr="002F2E9B">
        <w:rPr>
          <w:rFonts w:ascii="Arial" w:hAnsi="Arial" w:cs="Arial"/>
          <w:sz w:val="22"/>
          <w:szCs w:val="22"/>
        </w:rPr>
        <w:t xml:space="preserve">were invited in 2019 and 2020 to contribute to the data collection for the </w:t>
      </w:r>
      <w:r w:rsidR="004857D2" w:rsidRPr="002F2E9B">
        <w:rPr>
          <w:rFonts w:ascii="Arial" w:hAnsi="Arial" w:cs="Arial"/>
          <w:sz w:val="22"/>
          <w:szCs w:val="22"/>
        </w:rPr>
        <w:t>SDG </w:t>
      </w:r>
      <w:r w:rsidRPr="002F2E9B">
        <w:rPr>
          <w:rFonts w:ascii="Arial" w:hAnsi="Arial" w:cs="Arial"/>
          <w:sz w:val="22"/>
          <w:szCs w:val="22"/>
        </w:rPr>
        <w:t>14.3.1</w:t>
      </w:r>
      <w:r w:rsidR="00FF5FFB" w:rsidRPr="002F2E9B">
        <w:rPr>
          <w:rFonts w:ascii="Arial" w:hAnsi="Arial" w:cs="Arial"/>
          <w:sz w:val="22"/>
          <w:szCs w:val="22"/>
        </w:rPr>
        <w:t xml:space="preserve"> through </w:t>
      </w:r>
      <w:r w:rsidR="0001119F">
        <w:rPr>
          <w:rFonts w:ascii="Arial" w:hAnsi="Arial" w:cs="Arial"/>
          <w:sz w:val="22"/>
          <w:szCs w:val="22"/>
        </w:rPr>
        <w:t>IOC C</w:t>
      </w:r>
      <w:r w:rsidRPr="002F2E9B">
        <w:rPr>
          <w:rFonts w:ascii="Arial" w:hAnsi="Arial" w:cs="Arial"/>
          <w:sz w:val="22"/>
          <w:szCs w:val="22"/>
        </w:rPr>
        <w:t xml:space="preserve">ircular </w:t>
      </w:r>
      <w:r w:rsidR="0001119F" w:rsidRPr="00466DEB">
        <w:rPr>
          <w:rFonts w:ascii="Arial" w:hAnsi="Arial" w:cs="Arial"/>
          <w:sz w:val="22"/>
          <w:szCs w:val="22"/>
        </w:rPr>
        <w:t>L</w:t>
      </w:r>
      <w:r w:rsidRPr="00466DEB">
        <w:rPr>
          <w:rFonts w:ascii="Arial" w:hAnsi="Arial" w:cs="Arial"/>
          <w:sz w:val="22"/>
          <w:szCs w:val="22"/>
        </w:rPr>
        <w:t xml:space="preserve">etter </w:t>
      </w:r>
      <w:hyperlink r:id="rId43" w:history="1">
        <w:r w:rsidRPr="00004CFA">
          <w:rPr>
            <w:rStyle w:val="Hyperlink"/>
            <w:rFonts w:ascii="Arial" w:hAnsi="Arial" w:cs="Arial"/>
            <w:sz w:val="22"/>
            <w:szCs w:val="22"/>
          </w:rPr>
          <w:t>2792</w:t>
        </w:r>
      </w:hyperlink>
      <w:r w:rsidRPr="002F2E9B">
        <w:rPr>
          <w:rFonts w:ascii="Arial" w:eastAsia="Times New Roman" w:hAnsi="Arial" w:cs="Arial"/>
          <w:sz w:val="22"/>
          <w:szCs w:val="22"/>
        </w:rPr>
        <w:t xml:space="preserve"> </w:t>
      </w:r>
      <w:r w:rsidR="00230506" w:rsidRPr="002F2E9B">
        <w:rPr>
          <w:rFonts w:ascii="Arial" w:hAnsi="Arial" w:cs="Arial"/>
          <w:sz w:val="22"/>
          <w:szCs w:val="22"/>
        </w:rPr>
        <w:t xml:space="preserve">in 2019 </w:t>
      </w:r>
      <w:r w:rsidRPr="002F2E9B">
        <w:rPr>
          <w:rFonts w:ascii="Arial" w:hAnsi="Arial" w:cs="Arial"/>
          <w:sz w:val="22"/>
          <w:szCs w:val="22"/>
        </w:rPr>
        <w:t>and</w:t>
      </w:r>
      <w:r w:rsidR="0001119F">
        <w:rPr>
          <w:rFonts w:ascii="Arial" w:hAnsi="Arial" w:cs="Arial"/>
          <w:sz w:val="22"/>
          <w:szCs w:val="22"/>
        </w:rPr>
        <w:t xml:space="preserve"> C</w:t>
      </w:r>
      <w:r w:rsidR="00230506" w:rsidRPr="002F2E9B">
        <w:rPr>
          <w:rFonts w:ascii="Arial" w:hAnsi="Arial" w:cs="Arial"/>
          <w:sz w:val="22"/>
          <w:szCs w:val="22"/>
        </w:rPr>
        <w:t xml:space="preserve">ircular </w:t>
      </w:r>
      <w:r w:rsidR="0001119F">
        <w:rPr>
          <w:rFonts w:ascii="Arial" w:hAnsi="Arial" w:cs="Arial"/>
          <w:sz w:val="22"/>
          <w:szCs w:val="22"/>
        </w:rPr>
        <w:t>L</w:t>
      </w:r>
      <w:r w:rsidR="00230506" w:rsidRPr="002F2E9B">
        <w:rPr>
          <w:rFonts w:ascii="Arial" w:hAnsi="Arial" w:cs="Arial"/>
          <w:sz w:val="22"/>
          <w:szCs w:val="22"/>
        </w:rPr>
        <w:t>etter</w:t>
      </w:r>
      <w:r w:rsidRPr="002F2E9B">
        <w:rPr>
          <w:rFonts w:ascii="Arial" w:hAnsi="Arial" w:cs="Arial"/>
          <w:sz w:val="22"/>
          <w:szCs w:val="22"/>
        </w:rPr>
        <w:t xml:space="preserve"> </w:t>
      </w:r>
      <w:hyperlink r:id="rId44" w:history="1">
        <w:r w:rsidRPr="002F2E9B">
          <w:rPr>
            <w:rStyle w:val="Hyperlink"/>
            <w:rFonts w:ascii="Arial" w:hAnsi="Arial" w:cs="Arial"/>
            <w:sz w:val="22"/>
            <w:szCs w:val="22"/>
          </w:rPr>
          <w:t>2815</w:t>
        </w:r>
      </w:hyperlink>
      <w:r w:rsidR="00230506" w:rsidRPr="002F2E9B">
        <w:rPr>
          <w:rFonts w:ascii="Arial" w:eastAsia="Times New Roman" w:hAnsi="Arial" w:cs="Arial"/>
          <w:bCs/>
          <w:sz w:val="22"/>
          <w:szCs w:val="22"/>
          <w:shd w:val="clear" w:color="auto" w:fill="FFFFFF"/>
        </w:rPr>
        <w:t xml:space="preserve"> in 2020. </w:t>
      </w:r>
    </w:p>
    <w:p w14:paraId="7F7B8327" w14:textId="57FA4F78" w:rsidR="00F244CE" w:rsidRPr="00004CFA" w:rsidRDefault="00F244CE" w:rsidP="001B3E12">
      <w:pPr>
        <w:spacing w:after="240"/>
        <w:jc w:val="both"/>
        <w:rPr>
          <w:rStyle w:val="Hyperlink"/>
          <w:rFonts w:ascii="Arial" w:hAnsi="Arial" w:cs="Arial"/>
          <w:color w:val="auto"/>
          <w:sz w:val="22"/>
          <w:szCs w:val="22"/>
          <w:u w:val="none"/>
        </w:rPr>
      </w:pPr>
      <w:r w:rsidRPr="002F2E9B">
        <w:rPr>
          <w:rFonts w:ascii="Arial" w:eastAsia="Times New Roman" w:hAnsi="Arial" w:cs="Arial"/>
          <w:sz w:val="22"/>
          <w:szCs w:val="22"/>
        </w:rPr>
        <w:t xml:space="preserve">Information provided to the </w:t>
      </w:r>
      <w:r w:rsidR="004857D2" w:rsidRPr="002F2E9B">
        <w:rPr>
          <w:rFonts w:ascii="Arial" w:eastAsia="Times New Roman" w:hAnsi="Arial" w:cs="Arial"/>
          <w:sz w:val="22"/>
          <w:szCs w:val="22"/>
        </w:rPr>
        <w:t>SDG </w:t>
      </w:r>
      <w:hyperlink r:id="rId45" w:history="1">
        <w:r w:rsidRPr="002F2E9B">
          <w:rPr>
            <w:rStyle w:val="Hyperlink"/>
            <w:rFonts w:ascii="Arial" w:hAnsi="Arial" w:cs="Arial"/>
            <w:sz w:val="22"/>
            <w:szCs w:val="22"/>
          </w:rPr>
          <w:t>14.3.1 data portal</w:t>
        </w:r>
      </w:hyperlink>
      <w:r w:rsidRPr="002F2E9B">
        <w:rPr>
          <w:rFonts w:ascii="Arial" w:eastAsia="Times New Roman" w:hAnsi="Arial" w:cs="Arial"/>
          <w:sz w:val="22"/>
          <w:szCs w:val="22"/>
        </w:rPr>
        <w:t xml:space="preserve"> in late 2019 and early 2020 was used for the annual submission </w:t>
      </w:r>
      <w:r w:rsidR="00FF5FFB" w:rsidRPr="002F2E9B">
        <w:rPr>
          <w:rFonts w:ascii="Arial" w:eastAsia="Times New Roman" w:hAnsi="Arial" w:cs="Arial"/>
          <w:sz w:val="22"/>
          <w:szCs w:val="22"/>
        </w:rPr>
        <w:t xml:space="preserve">to </w:t>
      </w:r>
      <w:r w:rsidRPr="002F2E9B">
        <w:rPr>
          <w:rFonts w:ascii="Arial" w:eastAsia="Times New Roman" w:hAnsi="Arial" w:cs="Arial"/>
          <w:sz w:val="22"/>
          <w:szCs w:val="22"/>
        </w:rPr>
        <w:t xml:space="preserve">the office of the UN </w:t>
      </w:r>
      <w:r w:rsidR="00EE35B4" w:rsidRPr="002F2E9B">
        <w:rPr>
          <w:rFonts w:ascii="Arial" w:eastAsia="Times New Roman" w:hAnsi="Arial" w:cs="Arial"/>
          <w:sz w:val="22"/>
          <w:szCs w:val="22"/>
        </w:rPr>
        <w:t>Secretary-</w:t>
      </w:r>
      <w:r w:rsidRPr="002F2E9B">
        <w:rPr>
          <w:rFonts w:ascii="Arial" w:eastAsia="Times New Roman" w:hAnsi="Arial" w:cs="Arial"/>
          <w:sz w:val="22"/>
          <w:szCs w:val="22"/>
        </w:rPr>
        <w:t>General in February 2020 and</w:t>
      </w:r>
      <w:r w:rsidR="00FF5FFB" w:rsidRPr="002F2E9B">
        <w:rPr>
          <w:rFonts w:ascii="Arial" w:eastAsia="Times New Roman" w:hAnsi="Arial" w:cs="Arial"/>
          <w:sz w:val="22"/>
          <w:szCs w:val="22"/>
        </w:rPr>
        <w:t xml:space="preserve"> was</w:t>
      </w:r>
      <w:r w:rsidRPr="002F2E9B">
        <w:rPr>
          <w:rFonts w:ascii="Arial" w:eastAsia="Times New Roman" w:hAnsi="Arial" w:cs="Arial"/>
          <w:sz w:val="22"/>
          <w:szCs w:val="22"/>
        </w:rPr>
        <w:t xml:space="preserve"> published in July 2020</w:t>
      </w:r>
      <w:r w:rsidR="00DA2E28" w:rsidRPr="002F2E9B">
        <w:rPr>
          <w:rFonts w:ascii="Arial" w:eastAsia="Times New Roman" w:hAnsi="Arial" w:cs="Arial"/>
          <w:sz w:val="22"/>
          <w:szCs w:val="22"/>
        </w:rPr>
        <w:t xml:space="preserve">. Following the </w:t>
      </w:r>
      <w:r w:rsidR="00466DEB">
        <w:rPr>
          <w:rFonts w:ascii="Arial" w:eastAsia="Times New Roman" w:hAnsi="Arial" w:cs="Arial"/>
          <w:sz w:val="22"/>
          <w:szCs w:val="22"/>
        </w:rPr>
        <w:t xml:space="preserve">second </w:t>
      </w:r>
      <w:r w:rsidR="00DA2E28" w:rsidRPr="002F2E9B">
        <w:rPr>
          <w:rFonts w:ascii="Arial" w:eastAsia="Times New Roman" w:hAnsi="Arial" w:cs="Arial"/>
          <w:sz w:val="22"/>
          <w:szCs w:val="22"/>
        </w:rPr>
        <w:t xml:space="preserve">call for 14.3.1 data submission the IOC Secretariat received data </w:t>
      </w:r>
      <w:r w:rsidR="00DA2E28" w:rsidRPr="002F2E9B">
        <w:rPr>
          <w:rFonts w:ascii="Arial" w:eastAsia="Times New Roman" w:hAnsi="Arial" w:cs="Arial"/>
          <w:sz w:val="22"/>
          <w:szCs w:val="22"/>
        </w:rPr>
        <w:lastRenderedPageBreak/>
        <w:t xml:space="preserve">from 30 Member States, which is an </w:t>
      </w:r>
      <w:r w:rsidR="002F2E9B" w:rsidRPr="002F2E9B">
        <w:rPr>
          <w:rFonts w:ascii="Arial" w:eastAsia="Times New Roman" w:hAnsi="Arial" w:cs="Arial"/>
          <w:sz w:val="22"/>
          <w:szCs w:val="22"/>
        </w:rPr>
        <w:t>increase</w:t>
      </w:r>
      <w:r w:rsidR="00DA2E28" w:rsidRPr="002F2E9B">
        <w:rPr>
          <w:rFonts w:ascii="Arial" w:eastAsia="Times New Roman" w:hAnsi="Arial" w:cs="Arial"/>
          <w:sz w:val="22"/>
          <w:szCs w:val="22"/>
        </w:rPr>
        <w:t xml:space="preserve"> of more than 300% compared to 2020. This success is based on </w:t>
      </w:r>
      <w:r w:rsidR="0001119F">
        <w:rPr>
          <w:rFonts w:ascii="Arial" w:eastAsia="Times New Roman" w:hAnsi="Arial" w:cs="Arial"/>
          <w:sz w:val="22"/>
          <w:szCs w:val="22"/>
        </w:rPr>
        <w:t xml:space="preserve">the </w:t>
      </w:r>
      <w:r w:rsidR="00DA2E28" w:rsidRPr="002F2E9B">
        <w:rPr>
          <w:rFonts w:ascii="Arial" w:eastAsia="Times New Roman" w:hAnsi="Arial" w:cs="Arial"/>
          <w:sz w:val="22"/>
          <w:szCs w:val="22"/>
        </w:rPr>
        <w:t xml:space="preserve">capacity development activities described below, as well as an </w:t>
      </w:r>
      <w:r w:rsidR="002F2E9B" w:rsidRPr="002F2E9B">
        <w:rPr>
          <w:rFonts w:ascii="Arial" w:eastAsia="Times New Roman" w:hAnsi="Arial" w:cs="Arial"/>
          <w:sz w:val="22"/>
          <w:szCs w:val="22"/>
        </w:rPr>
        <w:t>imp</w:t>
      </w:r>
      <w:r w:rsidR="0001119F">
        <w:rPr>
          <w:rFonts w:ascii="Arial" w:eastAsia="Times New Roman" w:hAnsi="Arial" w:cs="Arial"/>
          <w:sz w:val="22"/>
          <w:szCs w:val="22"/>
        </w:rPr>
        <w:t>r</w:t>
      </w:r>
      <w:r w:rsidR="002F2E9B" w:rsidRPr="002F2E9B">
        <w:rPr>
          <w:rFonts w:ascii="Arial" w:eastAsia="Times New Roman" w:hAnsi="Arial" w:cs="Arial"/>
          <w:sz w:val="22"/>
          <w:szCs w:val="22"/>
        </w:rPr>
        <w:t>o</w:t>
      </w:r>
      <w:r w:rsidR="0001119F">
        <w:rPr>
          <w:rFonts w:ascii="Arial" w:eastAsia="Times New Roman" w:hAnsi="Arial" w:cs="Arial"/>
          <w:sz w:val="22"/>
          <w:szCs w:val="22"/>
        </w:rPr>
        <w:t>ve</w:t>
      </w:r>
      <w:r w:rsidR="002F2E9B" w:rsidRPr="002F2E9B">
        <w:rPr>
          <w:rFonts w:ascii="Arial" w:eastAsia="Times New Roman" w:hAnsi="Arial" w:cs="Arial"/>
          <w:sz w:val="22"/>
          <w:szCs w:val="22"/>
        </w:rPr>
        <w:t>d</w:t>
      </w:r>
      <w:r w:rsidR="00DA2E28" w:rsidRPr="002F2E9B">
        <w:rPr>
          <w:rFonts w:ascii="Arial" w:eastAsia="Times New Roman" w:hAnsi="Arial" w:cs="Arial"/>
          <w:sz w:val="22"/>
          <w:szCs w:val="22"/>
        </w:rPr>
        <w:t xml:space="preserve"> SDG </w:t>
      </w:r>
      <w:hyperlink r:id="rId46" w:history="1">
        <w:r w:rsidR="00DA2E28" w:rsidRPr="002F2E9B">
          <w:rPr>
            <w:rStyle w:val="Hyperlink"/>
            <w:rFonts w:ascii="Arial" w:hAnsi="Arial" w:cs="Arial"/>
            <w:sz w:val="22"/>
            <w:szCs w:val="22"/>
          </w:rPr>
          <w:t>14.3.1 data portal</w:t>
        </w:r>
      </w:hyperlink>
      <w:r w:rsidR="00DA2E28" w:rsidRPr="002F2E9B">
        <w:rPr>
          <w:rStyle w:val="Hyperlink"/>
          <w:rFonts w:ascii="Arial" w:hAnsi="Arial" w:cs="Arial"/>
          <w:sz w:val="22"/>
          <w:szCs w:val="22"/>
        </w:rPr>
        <w:t xml:space="preserve">. </w:t>
      </w:r>
      <w:r w:rsidR="00DA2E28" w:rsidRPr="00004CFA">
        <w:rPr>
          <w:rStyle w:val="Hyperlink"/>
          <w:rFonts w:ascii="Arial" w:hAnsi="Arial" w:cs="Arial"/>
          <w:color w:val="auto"/>
          <w:sz w:val="22"/>
          <w:szCs w:val="22"/>
          <w:u w:val="none"/>
        </w:rPr>
        <w:t>Figure</w:t>
      </w:r>
      <w:r w:rsidR="00466DEB">
        <w:rPr>
          <w:rStyle w:val="Hyperlink"/>
          <w:rFonts w:ascii="Arial" w:hAnsi="Arial" w:cs="Arial"/>
          <w:color w:val="auto"/>
          <w:sz w:val="22"/>
          <w:szCs w:val="22"/>
          <w:u w:val="none"/>
        </w:rPr>
        <w:t>s</w:t>
      </w:r>
      <w:r w:rsidR="00DA2E28" w:rsidRPr="00004CFA">
        <w:rPr>
          <w:rStyle w:val="Hyperlink"/>
          <w:rFonts w:ascii="Arial" w:hAnsi="Arial" w:cs="Arial"/>
          <w:color w:val="auto"/>
          <w:sz w:val="22"/>
          <w:szCs w:val="22"/>
          <w:u w:val="none"/>
        </w:rPr>
        <w:t xml:space="preserve"> 2, 3, 4 illustrate the submission by the Commission to the office of the UN Secretary-General in 2021.</w:t>
      </w:r>
    </w:p>
    <w:p w14:paraId="670C151C" w14:textId="162302EA" w:rsidR="00DA2E28" w:rsidRPr="002F2E9B" w:rsidRDefault="00466DEB" w:rsidP="00D33415">
      <w:pPr>
        <w:spacing w:after="120"/>
        <w:jc w:val="center"/>
        <w:rPr>
          <w:rFonts w:asciiTheme="minorBidi" w:hAnsiTheme="minorBidi"/>
          <w:sz w:val="16"/>
          <w:szCs w:val="16"/>
        </w:rPr>
      </w:pPr>
      <w:r>
        <w:rPr>
          <w:noProof/>
        </w:rPr>
        <w:drawing>
          <wp:inline distT="0" distB="0" distL="0" distR="0" wp14:anchorId="235E0212" wp14:editId="68823D76">
            <wp:extent cx="5943600" cy="4985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985385"/>
                    </a:xfrm>
                    <a:prstGeom prst="rect">
                      <a:avLst/>
                    </a:prstGeom>
                  </pic:spPr>
                </pic:pic>
              </a:graphicData>
            </a:graphic>
          </wp:inline>
        </w:drawing>
      </w:r>
    </w:p>
    <w:p w14:paraId="5592D16D" w14:textId="38C785BC" w:rsidR="00DA2E28" w:rsidRPr="002F2E9B" w:rsidRDefault="00DA2E28" w:rsidP="00FE2B4A">
      <w:pPr>
        <w:pStyle w:val="ListParagraph"/>
        <w:widowControl w:val="0"/>
        <w:tabs>
          <w:tab w:val="left" w:pos="709"/>
        </w:tabs>
        <w:autoSpaceDE w:val="0"/>
        <w:autoSpaceDN w:val="0"/>
        <w:adjustRightInd w:val="0"/>
        <w:spacing w:line="240" w:lineRule="auto"/>
        <w:ind w:left="567" w:right="545"/>
        <w:contextualSpacing w:val="0"/>
        <w:jc w:val="both"/>
        <w:rPr>
          <w:sz w:val="20"/>
          <w:szCs w:val="20"/>
          <w:u w:val="single"/>
          <w:lang w:val="en-US"/>
        </w:rPr>
      </w:pPr>
      <w:r w:rsidRPr="002F2E9B">
        <w:rPr>
          <w:sz w:val="20"/>
          <w:szCs w:val="20"/>
          <w:u w:val="single"/>
          <w:lang w:val="en-US"/>
        </w:rPr>
        <w:t xml:space="preserve">Figure 2. </w:t>
      </w:r>
      <w:r w:rsidR="00FA26A8" w:rsidRPr="00FA26A8">
        <w:rPr>
          <w:sz w:val="20"/>
          <w:szCs w:val="20"/>
          <w:lang w:val="en-US"/>
        </w:rPr>
        <w:t>Calculated surface pH values based on ocean acidification data submitted to the 14.3.1 data portal (</w:t>
      </w:r>
      <w:hyperlink r:id="rId48" w:history="1">
        <w:r w:rsidR="00FA26A8" w:rsidRPr="00FA26A8">
          <w:rPr>
            <w:rStyle w:val="Hyperlink"/>
            <w:sz w:val="20"/>
            <w:szCs w:val="20"/>
            <w:lang w:val="en-US"/>
          </w:rPr>
          <w:t>http://oa.iode.org</w:t>
        </w:r>
      </w:hyperlink>
      <w:r w:rsidR="00FA26A8" w:rsidRPr="00FA26A8">
        <w:rPr>
          <w:sz w:val="20"/>
          <w:szCs w:val="20"/>
          <w:lang w:val="en-US"/>
        </w:rPr>
        <w:t>). Top panel: Black dots – number of stations represented per year. Bottom panel: Blue crosses – average annual pH reported from quality assured measurements; orange diamonds – annual minimum pH values reported for each station; green circles – annual maximum pH values reported for each station.</w:t>
      </w:r>
    </w:p>
    <w:p w14:paraId="198E3748" w14:textId="77777777" w:rsidR="00DA2E28" w:rsidRPr="002F2E9B" w:rsidRDefault="00DA2E28" w:rsidP="00DA2E28">
      <w:pPr>
        <w:jc w:val="center"/>
        <w:rPr>
          <w:rFonts w:ascii="Arial" w:hAnsi="Arial" w:cs="Arial"/>
          <w:sz w:val="16"/>
          <w:szCs w:val="16"/>
        </w:rPr>
      </w:pPr>
      <w:r w:rsidRPr="002F2E9B">
        <w:rPr>
          <w:noProof/>
        </w:rPr>
        <w:drawing>
          <wp:inline distT="0" distB="0" distL="0" distR="0" wp14:anchorId="4BF9977E" wp14:editId="4135A67F">
            <wp:extent cx="5849034" cy="3444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5456" cy="3448022"/>
                    </a:xfrm>
                    <a:prstGeom prst="rect">
                      <a:avLst/>
                    </a:prstGeom>
                    <a:noFill/>
                  </pic:spPr>
                </pic:pic>
              </a:graphicData>
            </a:graphic>
          </wp:inline>
        </w:drawing>
      </w:r>
    </w:p>
    <w:p w14:paraId="08A7C335" w14:textId="592F4777" w:rsidR="00DA2E28" w:rsidRPr="002F2E9B" w:rsidRDefault="00DA2E28" w:rsidP="00FE2B4A">
      <w:pPr>
        <w:ind w:left="567" w:right="545"/>
        <w:jc w:val="both"/>
      </w:pPr>
      <w:r w:rsidRPr="002F2E9B">
        <w:rPr>
          <w:rFonts w:ascii="Arial" w:eastAsia="Arial" w:hAnsi="Arial" w:cs="Arial"/>
          <w:sz w:val="20"/>
          <w:szCs w:val="20"/>
          <w:u w:val="single"/>
          <w:lang w:eastAsia="fr-FR"/>
        </w:rPr>
        <w:t>Figure 3</w:t>
      </w:r>
      <w:r w:rsidR="007B5195" w:rsidRPr="002F2E9B">
        <w:rPr>
          <w:rFonts w:ascii="Arial" w:eastAsia="Arial" w:hAnsi="Arial" w:cs="Arial"/>
          <w:sz w:val="20"/>
          <w:szCs w:val="20"/>
          <w:u w:val="single"/>
          <w:lang w:eastAsia="fr-FR"/>
        </w:rPr>
        <w:t>.</w:t>
      </w:r>
      <w:r w:rsidRPr="002F2E9B">
        <w:rPr>
          <w:rFonts w:ascii="Arial" w:eastAsia="Arial" w:hAnsi="Arial" w:cs="Arial"/>
          <w:sz w:val="20"/>
          <w:szCs w:val="20"/>
          <w:lang w:eastAsia="fr-FR"/>
        </w:rPr>
        <w:t xml:space="preserve"> Variations in the annual average pH values from a suite of representative global sampling stations. Australia NRSKAI – Kangaroo Island National Reference Station (data from 2010</w:t>
      </w:r>
      <w:r w:rsidR="00280759">
        <w:rPr>
          <w:rFonts w:ascii="Arial" w:eastAsia="Arial" w:hAnsi="Arial" w:cs="Arial"/>
          <w:sz w:val="20"/>
          <w:szCs w:val="20"/>
          <w:lang w:eastAsia="fr-FR"/>
        </w:rPr>
        <w:t>–</w:t>
      </w:r>
      <w:r w:rsidRPr="002F2E9B">
        <w:rPr>
          <w:rFonts w:ascii="Arial" w:eastAsia="Arial" w:hAnsi="Arial" w:cs="Arial"/>
          <w:sz w:val="20"/>
          <w:szCs w:val="20"/>
          <w:lang w:eastAsia="fr-FR"/>
        </w:rPr>
        <w:t xml:space="preserve">2020); Australia NRSYON – </w:t>
      </w:r>
      <w:proofErr w:type="spellStart"/>
      <w:r w:rsidRPr="002F2E9B">
        <w:rPr>
          <w:rFonts w:ascii="Arial" w:eastAsia="Arial" w:hAnsi="Arial" w:cs="Arial"/>
          <w:sz w:val="20"/>
          <w:szCs w:val="20"/>
          <w:lang w:eastAsia="fr-FR"/>
        </w:rPr>
        <w:t>Yongala</w:t>
      </w:r>
      <w:proofErr w:type="spellEnd"/>
      <w:r w:rsidRPr="002F2E9B">
        <w:rPr>
          <w:rFonts w:ascii="Arial" w:eastAsia="Arial" w:hAnsi="Arial" w:cs="Arial"/>
          <w:sz w:val="20"/>
          <w:szCs w:val="20"/>
          <w:lang w:eastAsia="fr-FR"/>
        </w:rPr>
        <w:t xml:space="preserve"> National Reference Station (data from 2010</w:t>
      </w:r>
      <w:r w:rsidR="00280759">
        <w:rPr>
          <w:rFonts w:ascii="Arial" w:eastAsia="Arial" w:hAnsi="Arial" w:cs="Arial"/>
          <w:sz w:val="20"/>
          <w:szCs w:val="20"/>
          <w:lang w:eastAsia="fr-FR"/>
        </w:rPr>
        <w:t>–</w:t>
      </w:r>
      <w:r w:rsidRPr="002F2E9B">
        <w:rPr>
          <w:rFonts w:ascii="Arial" w:eastAsia="Arial" w:hAnsi="Arial" w:cs="Arial"/>
          <w:sz w:val="20"/>
          <w:szCs w:val="20"/>
          <w:lang w:eastAsia="fr-FR"/>
        </w:rPr>
        <w:t>2020); Japan K2 – subarctic western North Pacific Station K2 (data from 2008</w:t>
      </w:r>
      <w:r w:rsidR="00280759">
        <w:rPr>
          <w:rFonts w:ascii="Arial" w:eastAsia="Arial" w:hAnsi="Arial" w:cs="Arial"/>
          <w:sz w:val="20"/>
          <w:szCs w:val="20"/>
          <w:lang w:eastAsia="fr-FR"/>
        </w:rPr>
        <w:t>–</w:t>
      </w:r>
      <w:r w:rsidRPr="002F2E9B">
        <w:rPr>
          <w:rFonts w:ascii="Arial" w:eastAsia="Arial" w:hAnsi="Arial" w:cs="Arial"/>
          <w:sz w:val="20"/>
          <w:szCs w:val="20"/>
          <w:lang w:eastAsia="fr-FR"/>
        </w:rPr>
        <w:t>2019); South Africa Inshore – Eastern Cape coastal station (data from 2018</w:t>
      </w:r>
      <w:r w:rsidR="00280759">
        <w:rPr>
          <w:rFonts w:ascii="Arial" w:eastAsia="Arial" w:hAnsi="Arial" w:cs="Arial"/>
          <w:sz w:val="20"/>
          <w:szCs w:val="20"/>
          <w:lang w:eastAsia="fr-FR"/>
        </w:rPr>
        <w:t>–</w:t>
      </w:r>
      <w:r w:rsidRPr="002F2E9B">
        <w:rPr>
          <w:rFonts w:ascii="Arial" w:eastAsia="Arial" w:hAnsi="Arial" w:cs="Arial"/>
          <w:sz w:val="20"/>
          <w:szCs w:val="20"/>
          <w:lang w:eastAsia="fr-FR"/>
        </w:rPr>
        <w:t>2020); South Africa Offshore – Eastern Cape ocean station (data from 2018</w:t>
      </w:r>
      <w:r w:rsidR="00280759">
        <w:rPr>
          <w:rFonts w:ascii="Arial" w:eastAsia="Arial" w:hAnsi="Arial" w:cs="Arial"/>
          <w:sz w:val="20"/>
          <w:szCs w:val="20"/>
          <w:lang w:eastAsia="fr-FR"/>
        </w:rPr>
        <w:t>–</w:t>
      </w:r>
      <w:r w:rsidRPr="002F2E9B">
        <w:rPr>
          <w:rFonts w:ascii="Arial" w:eastAsia="Arial" w:hAnsi="Arial" w:cs="Arial"/>
          <w:sz w:val="20"/>
          <w:szCs w:val="20"/>
          <w:lang w:eastAsia="fr-FR"/>
        </w:rPr>
        <w:t xml:space="preserve">2020); Spain ESTOC </w:t>
      </w:r>
      <w:r w:rsidR="0001119F">
        <w:rPr>
          <w:rFonts w:ascii="Arial" w:eastAsia="Arial" w:hAnsi="Arial" w:cs="Arial"/>
          <w:sz w:val="20"/>
          <w:szCs w:val="20"/>
          <w:lang w:eastAsia="fr-FR"/>
        </w:rPr>
        <w:t>–</w:t>
      </w:r>
      <w:r w:rsidRPr="002F2E9B">
        <w:rPr>
          <w:rFonts w:ascii="Arial" w:eastAsia="Arial" w:hAnsi="Arial" w:cs="Arial"/>
          <w:sz w:val="20"/>
          <w:szCs w:val="20"/>
          <w:lang w:eastAsia="fr-FR"/>
        </w:rPr>
        <w:t xml:space="preserve"> European Station for Time-series in the Ocean, Canary Islands (data from 2008</w:t>
      </w:r>
      <w:r w:rsidR="00280759">
        <w:rPr>
          <w:rFonts w:ascii="Arial" w:eastAsia="Arial" w:hAnsi="Arial" w:cs="Arial"/>
          <w:sz w:val="20"/>
          <w:szCs w:val="20"/>
          <w:lang w:eastAsia="fr-FR"/>
        </w:rPr>
        <w:t>–</w:t>
      </w:r>
      <w:r w:rsidRPr="002F2E9B">
        <w:rPr>
          <w:rFonts w:ascii="Arial" w:eastAsia="Arial" w:hAnsi="Arial" w:cs="Arial"/>
          <w:sz w:val="20"/>
          <w:szCs w:val="20"/>
          <w:lang w:eastAsia="fr-FR"/>
        </w:rPr>
        <w:t xml:space="preserve">2019); USA </w:t>
      </w:r>
      <w:proofErr w:type="spellStart"/>
      <w:r w:rsidRPr="002F2E9B">
        <w:rPr>
          <w:rFonts w:ascii="Arial" w:eastAsia="Arial" w:hAnsi="Arial" w:cs="Arial"/>
          <w:sz w:val="20"/>
          <w:szCs w:val="20"/>
          <w:lang w:eastAsia="fr-FR"/>
        </w:rPr>
        <w:t>Chá</w:t>
      </w:r>
      <w:proofErr w:type="spellEnd"/>
      <w:r w:rsidRPr="002F2E9B">
        <w:rPr>
          <w:rFonts w:ascii="Arial" w:eastAsia="Arial" w:hAnsi="Arial" w:cs="Arial"/>
          <w:sz w:val="20"/>
          <w:szCs w:val="20"/>
          <w:lang w:eastAsia="fr-FR"/>
        </w:rPr>
        <w:t xml:space="preserve"> </w:t>
      </w:r>
      <w:proofErr w:type="spellStart"/>
      <w:r w:rsidRPr="002F2E9B">
        <w:rPr>
          <w:rFonts w:ascii="Arial" w:eastAsia="Arial" w:hAnsi="Arial" w:cs="Arial"/>
          <w:sz w:val="20"/>
          <w:szCs w:val="20"/>
          <w:lang w:eastAsia="fr-FR"/>
        </w:rPr>
        <w:t>bă</w:t>
      </w:r>
      <w:proofErr w:type="spellEnd"/>
      <w:r w:rsidRPr="002F2E9B">
        <w:rPr>
          <w:rFonts w:ascii="Arial" w:eastAsia="Arial" w:hAnsi="Arial" w:cs="Arial"/>
          <w:sz w:val="20"/>
          <w:szCs w:val="20"/>
          <w:lang w:eastAsia="fr-FR"/>
        </w:rPr>
        <w:t xml:space="preserve"> – Pacific West Coast station (data from 2010</w:t>
      </w:r>
      <w:r w:rsidR="00280759">
        <w:rPr>
          <w:rFonts w:ascii="Arial" w:eastAsia="Arial" w:hAnsi="Arial" w:cs="Arial"/>
          <w:sz w:val="20"/>
          <w:szCs w:val="20"/>
          <w:lang w:eastAsia="fr-FR"/>
        </w:rPr>
        <w:t>–</w:t>
      </w:r>
      <w:r w:rsidRPr="002F2E9B">
        <w:rPr>
          <w:rFonts w:ascii="Arial" w:eastAsia="Arial" w:hAnsi="Arial" w:cs="Arial"/>
          <w:sz w:val="20"/>
          <w:szCs w:val="20"/>
          <w:lang w:eastAsia="fr-FR"/>
        </w:rPr>
        <w:t>2016); USA Gray’s Reef – Atlantic East Coast station (data from 2010</w:t>
      </w:r>
      <w:r w:rsidR="00280759">
        <w:rPr>
          <w:rFonts w:ascii="Arial" w:eastAsia="Arial" w:hAnsi="Arial" w:cs="Arial"/>
          <w:sz w:val="20"/>
          <w:szCs w:val="20"/>
          <w:lang w:eastAsia="fr-FR"/>
        </w:rPr>
        <w:t>–</w:t>
      </w:r>
      <w:r w:rsidRPr="002F2E9B">
        <w:rPr>
          <w:rFonts w:ascii="Arial" w:eastAsia="Arial" w:hAnsi="Arial" w:cs="Arial"/>
          <w:sz w:val="20"/>
          <w:szCs w:val="20"/>
          <w:lang w:eastAsia="fr-FR"/>
        </w:rPr>
        <w:t>2018).</w:t>
      </w:r>
    </w:p>
    <w:p w14:paraId="26F878E2" w14:textId="0764D967" w:rsidR="00DA2E28" w:rsidRPr="002F2E9B" w:rsidRDefault="00FA26A8" w:rsidP="00D33415">
      <w:pPr>
        <w:spacing w:after="120"/>
        <w:jc w:val="center"/>
      </w:pPr>
      <w:r>
        <w:rPr>
          <w:noProof/>
        </w:rPr>
        <w:drawing>
          <wp:inline distT="0" distB="0" distL="0" distR="0" wp14:anchorId="7B1CB5A5" wp14:editId="0F9CEB7D">
            <wp:extent cx="5149850" cy="348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2112" t="2718" r="2768" b="14414"/>
                    <a:stretch/>
                  </pic:blipFill>
                  <pic:spPr bwMode="auto">
                    <a:xfrm>
                      <a:off x="0" y="0"/>
                      <a:ext cx="514985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25424B86" w14:textId="6A1A0927" w:rsidR="00DA2E28" w:rsidRPr="002F2E9B" w:rsidRDefault="00DA2E28" w:rsidP="00FE2B4A">
      <w:pPr>
        <w:ind w:left="567" w:right="545"/>
        <w:jc w:val="both"/>
        <w:rPr>
          <w:rFonts w:ascii="Arial" w:hAnsi="Arial" w:cs="Arial"/>
          <w:sz w:val="20"/>
          <w:szCs w:val="20"/>
        </w:rPr>
      </w:pPr>
      <w:r w:rsidRPr="002F2E9B">
        <w:rPr>
          <w:rFonts w:ascii="Arial" w:hAnsi="Arial" w:cs="Arial"/>
          <w:sz w:val="20"/>
          <w:szCs w:val="20"/>
          <w:u w:val="single"/>
        </w:rPr>
        <w:t xml:space="preserve">Figure </w:t>
      </w:r>
      <w:r w:rsidR="007B5195" w:rsidRPr="002F2E9B">
        <w:rPr>
          <w:rFonts w:ascii="Arial" w:hAnsi="Arial" w:cs="Arial"/>
          <w:sz w:val="20"/>
          <w:szCs w:val="20"/>
          <w:u w:val="single"/>
        </w:rPr>
        <w:t>4.</w:t>
      </w:r>
      <w:r w:rsidRPr="002F2E9B">
        <w:rPr>
          <w:rFonts w:ascii="Arial" w:hAnsi="Arial" w:cs="Arial"/>
          <w:sz w:val="20"/>
          <w:szCs w:val="20"/>
        </w:rPr>
        <w:t xml:space="preserve"> Map illustration surface ocean carbonate chemistry measurement locations received for the 14.3.1 ocean acidification reporting. Blue – countries whose data was reported in accordance with the SDG 14.3.1 Indicator Methodology; dark grey – countries reporting ocean acidification observation data not collected in accordance with the SDG 14.3.1 Indicator Methodology. </w:t>
      </w:r>
    </w:p>
    <w:p w14:paraId="756556E0" w14:textId="63A59350" w:rsidR="00FF5FFB" w:rsidRPr="002F2E9B" w:rsidRDefault="00FF5FFB" w:rsidP="00466DEB">
      <w:pPr>
        <w:spacing w:after="240"/>
        <w:jc w:val="both"/>
        <w:rPr>
          <w:rFonts w:ascii="Arial" w:eastAsia="Times New Roman" w:hAnsi="Arial" w:cs="Arial"/>
          <w:sz w:val="22"/>
          <w:szCs w:val="22"/>
        </w:rPr>
      </w:pPr>
      <w:r w:rsidRPr="002F2E9B">
        <w:rPr>
          <w:rFonts w:ascii="Arial" w:eastAsia="Times New Roman" w:hAnsi="Arial" w:cs="Arial"/>
          <w:sz w:val="22"/>
          <w:szCs w:val="22"/>
        </w:rPr>
        <w:t>The methodology for SDG Indicator 14.3.1 and the associated data and metadata files for data collection are being disseminated and introduced to researchers and data managers during workshops and capacity building trainings. Several in-person or virtual capacity workshops were conducted, e.g. with the North East Atlantic Hub in November 2020, in-person workshops at the IAEA in March 2020</w:t>
      </w:r>
      <w:r w:rsidR="00466DEB">
        <w:rPr>
          <w:rFonts w:ascii="Arial" w:eastAsia="Times New Roman" w:hAnsi="Arial" w:cs="Arial"/>
          <w:sz w:val="22"/>
          <w:szCs w:val="22"/>
        </w:rPr>
        <w:t xml:space="preserve">, at the </w:t>
      </w:r>
      <w:r w:rsidR="00466DEB" w:rsidRPr="00466DEB">
        <w:rPr>
          <w:rFonts w:ascii="Arial" w:eastAsia="Times New Roman" w:hAnsi="Arial" w:cs="Arial"/>
          <w:sz w:val="22"/>
          <w:szCs w:val="22"/>
        </w:rPr>
        <w:t>Regional Education and Research Center on Oceanography for West Asia</w:t>
      </w:r>
      <w:r w:rsidR="00466DEB">
        <w:rPr>
          <w:rFonts w:ascii="Arial" w:eastAsia="Times New Roman" w:hAnsi="Arial" w:cs="Arial"/>
          <w:sz w:val="22"/>
          <w:szCs w:val="22"/>
        </w:rPr>
        <w:t xml:space="preserve"> (RCOWA) in Teheran, Islamic Republic of Iran, in June 2019</w:t>
      </w:r>
      <w:r w:rsidRPr="002F2E9B">
        <w:rPr>
          <w:rFonts w:ascii="Arial" w:eastAsia="Times New Roman" w:hAnsi="Arial" w:cs="Arial"/>
          <w:sz w:val="22"/>
          <w:szCs w:val="22"/>
        </w:rPr>
        <w:t xml:space="preserve"> and at INVEMAR, Colombia, in October 2019. </w:t>
      </w:r>
      <w:r w:rsidR="00596223">
        <w:rPr>
          <w:rFonts w:ascii="Arial" w:eastAsia="Times New Roman" w:hAnsi="Arial" w:cs="Arial"/>
          <w:sz w:val="22"/>
          <w:szCs w:val="22"/>
        </w:rPr>
        <w:t xml:space="preserve"> </w:t>
      </w:r>
      <w:r w:rsidR="00004CFA" w:rsidRPr="00004CFA">
        <w:rPr>
          <w:rFonts w:ascii="Arial" w:eastAsia="Times New Roman" w:hAnsi="Arial" w:cs="Arial"/>
          <w:sz w:val="22"/>
          <w:szCs w:val="22"/>
        </w:rPr>
        <w:t>In an effort to increase capacity development efforts, the IOC Secretariat is developing an online course on ocean acidification for the Ocean Teacher Global Academy (OTGA) platform, which will include a module on the SDG 14.3.1 Indicator Methodology and how to apply it.</w:t>
      </w:r>
    </w:p>
    <w:p w14:paraId="047E61C9" w14:textId="33D808CE" w:rsidR="00BD287A" w:rsidRPr="002F2E9B" w:rsidRDefault="00FF5FFB" w:rsidP="001B3E12">
      <w:pPr>
        <w:jc w:val="both"/>
        <w:rPr>
          <w:rFonts w:ascii="Arial" w:eastAsia="Times New Roman" w:hAnsi="Arial" w:cs="Arial"/>
          <w:sz w:val="22"/>
          <w:szCs w:val="22"/>
        </w:rPr>
      </w:pPr>
      <w:r w:rsidRPr="002F2E9B">
        <w:rPr>
          <w:rFonts w:ascii="Arial" w:eastAsia="Times New Roman" w:hAnsi="Arial" w:cs="Arial"/>
          <w:sz w:val="22"/>
          <w:szCs w:val="22"/>
        </w:rPr>
        <w:t>The IOC Secretariat, although acknowledging continued financial support by Germany, will require additional funds to further develop, improve and maintain the 14.3.1 data portal, to build the capacity of Member States to successfully implement the methodology for SDG 14.3.1 Indicator and to ensure IOC’s leadership in the field of ocean acidification research and observation. The expected portal improvements and increased capacity</w:t>
      </w:r>
      <w:r w:rsidR="00466DEB">
        <w:rPr>
          <w:rFonts w:ascii="Arial" w:eastAsia="Times New Roman" w:hAnsi="Arial" w:cs="Arial"/>
          <w:sz w:val="22"/>
          <w:szCs w:val="22"/>
        </w:rPr>
        <w:t xml:space="preserve"> development</w:t>
      </w:r>
      <w:r w:rsidRPr="002F2E9B">
        <w:rPr>
          <w:rFonts w:ascii="Arial" w:eastAsia="Times New Roman" w:hAnsi="Arial" w:cs="Arial"/>
          <w:sz w:val="22"/>
          <w:szCs w:val="22"/>
        </w:rPr>
        <w:t xml:space="preserve"> by experts and Member States will allow the IOC Secretariat to request that the SDG 14.3.1 indicator be classified as Tier I (indicator conceptually clear, with internationally agreed methodology and data regularly collected for at least 50% of countries) in 202</w:t>
      </w:r>
      <w:r w:rsidR="00A56081">
        <w:rPr>
          <w:rFonts w:ascii="Arial" w:eastAsia="Times New Roman" w:hAnsi="Arial" w:cs="Arial"/>
          <w:sz w:val="22"/>
          <w:szCs w:val="22"/>
        </w:rPr>
        <w:t>2</w:t>
      </w:r>
      <w:r w:rsidR="00004CFA">
        <w:rPr>
          <w:rFonts w:ascii="Arial" w:eastAsia="Times New Roman" w:hAnsi="Arial" w:cs="Arial"/>
          <w:sz w:val="22"/>
          <w:szCs w:val="22"/>
        </w:rPr>
        <w:t>.</w:t>
      </w:r>
    </w:p>
    <w:p w14:paraId="5815A56E" w14:textId="77777777" w:rsidR="00FF5FFB" w:rsidRPr="002F2E9B" w:rsidRDefault="00FF5FFB" w:rsidP="00DA1355">
      <w:pPr>
        <w:rPr>
          <w:rFonts w:ascii="Arial" w:eastAsia="Times New Roman" w:hAnsi="Arial" w:cs="Arial"/>
        </w:rPr>
      </w:pPr>
    </w:p>
    <w:p w14:paraId="0FACC4EC" w14:textId="0DCC1DC9" w:rsidR="00034296" w:rsidRPr="002F2E9B" w:rsidRDefault="00034296" w:rsidP="001B3E12">
      <w:pPr>
        <w:pStyle w:val="Style2"/>
        <w:tabs>
          <w:tab w:val="left" w:pos="812"/>
        </w:tabs>
        <w:ind w:left="0"/>
        <w:jc w:val="left"/>
        <w:rPr>
          <w:rFonts w:cs="Arial"/>
          <w:b/>
          <w:bCs/>
          <w:u w:val="single"/>
          <w:lang w:val="en-US"/>
        </w:rPr>
      </w:pPr>
      <w:r w:rsidRPr="002F2E9B">
        <w:rPr>
          <w:rFonts w:cs="Arial"/>
          <w:b/>
          <w:bCs/>
          <w:u w:val="single"/>
          <w:lang w:val="en-US"/>
        </w:rPr>
        <w:t xml:space="preserve">Progress with </w:t>
      </w:r>
      <w:r w:rsidR="00AF39F4" w:rsidRPr="002F2E9B">
        <w:rPr>
          <w:rFonts w:cs="Arial"/>
          <w:b/>
          <w:bCs/>
          <w:u w:val="single"/>
          <w:lang w:val="en-US"/>
        </w:rPr>
        <w:t xml:space="preserve">the </w:t>
      </w:r>
      <w:r w:rsidRPr="002F2E9B">
        <w:rPr>
          <w:rFonts w:cs="Arial"/>
          <w:b/>
          <w:bCs/>
          <w:u w:val="single"/>
          <w:lang w:val="en-US"/>
        </w:rPr>
        <w:t xml:space="preserve">development of methodologies </w:t>
      </w:r>
      <w:r w:rsidR="002E2FE6">
        <w:rPr>
          <w:rFonts w:cs="Arial"/>
          <w:b/>
          <w:bCs/>
          <w:u w:val="single"/>
          <w:lang w:val="en-US"/>
        </w:rPr>
        <w:t>benefiting from</w:t>
      </w:r>
      <w:r w:rsidR="002E2FE6" w:rsidRPr="002F2E9B">
        <w:rPr>
          <w:rFonts w:cs="Arial"/>
          <w:b/>
          <w:bCs/>
          <w:u w:val="single"/>
          <w:lang w:val="en-US"/>
        </w:rPr>
        <w:t xml:space="preserve"> </w:t>
      </w:r>
      <w:r w:rsidRPr="002F2E9B">
        <w:rPr>
          <w:rFonts w:cs="Arial"/>
          <w:b/>
          <w:bCs/>
          <w:u w:val="single"/>
          <w:lang w:val="en-US"/>
        </w:rPr>
        <w:t>IOC technical support</w:t>
      </w:r>
      <w:r w:rsidR="00674557" w:rsidRPr="002F2E9B">
        <w:rPr>
          <w:rFonts w:cs="Arial"/>
          <w:b/>
          <w:bCs/>
          <w:u w:val="single"/>
          <w:lang w:val="en-US"/>
        </w:rPr>
        <w:t xml:space="preserve"> </w:t>
      </w:r>
      <w:r w:rsidR="00674557" w:rsidRPr="002F2E9B">
        <w:rPr>
          <w:rFonts w:cs="Arial"/>
          <w:b/>
          <w:bCs/>
          <w:u w:val="single"/>
          <w:lang w:val="en-US"/>
        </w:rPr>
        <w:br/>
      </w:r>
      <w:r w:rsidR="00674557" w:rsidRPr="002F2E9B">
        <w:rPr>
          <w:rFonts w:cs="Arial"/>
          <w:lang w:val="en-US"/>
        </w:rPr>
        <w:t>(Indicators 14.1.1 and 14.2.1)</w:t>
      </w:r>
    </w:p>
    <w:p w14:paraId="56C01782" w14:textId="03DB02A6" w:rsidR="004649EA" w:rsidRPr="00FE2B4A" w:rsidRDefault="004649EA" w:rsidP="00FE2B4A">
      <w:pPr>
        <w:pStyle w:val="Style2"/>
        <w:tabs>
          <w:tab w:val="clear" w:pos="1400"/>
          <w:tab w:val="left" w:pos="812"/>
        </w:tabs>
        <w:ind w:left="714" w:firstLine="137"/>
        <w:rPr>
          <w:rFonts w:cs="Arial"/>
          <w:i/>
          <w:iCs w:val="0"/>
          <w:lang w:val="en-US"/>
        </w:rPr>
      </w:pPr>
      <w:r w:rsidRPr="00FE2B4A">
        <w:rPr>
          <w:rFonts w:cs="Arial"/>
          <w:b/>
          <w:bCs/>
          <w:i/>
          <w:lang w:val="en-US"/>
        </w:rPr>
        <w:t xml:space="preserve">Indicator </w:t>
      </w:r>
      <w:r w:rsidR="00197DD5" w:rsidRPr="00FE2B4A">
        <w:rPr>
          <w:rFonts w:cs="Arial"/>
          <w:b/>
          <w:bCs/>
          <w:i/>
          <w:lang w:val="en-US"/>
        </w:rPr>
        <w:t>14.1.1</w:t>
      </w:r>
      <w:r w:rsidR="00197DD5" w:rsidRPr="00FE2B4A">
        <w:rPr>
          <w:rFonts w:cs="Arial"/>
          <w:i/>
          <w:lang w:val="en-US"/>
        </w:rPr>
        <w:t>:</w:t>
      </w:r>
      <w:r w:rsidR="00034296" w:rsidRPr="00FE2B4A">
        <w:rPr>
          <w:rFonts w:cs="Arial"/>
          <w:i/>
          <w:lang w:val="en-US"/>
        </w:rPr>
        <w:t xml:space="preserve"> </w:t>
      </w:r>
      <w:r w:rsidR="00034296" w:rsidRPr="00FE2B4A">
        <w:rPr>
          <w:rFonts w:cs="Arial"/>
          <w:bCs/>
          <w:i/>
          <w:lang w:val="en-US"/>
        </w:rPr>
        <w:t>Index of coastal eutrophication and floating plastic debris density</w:t>
      </w:r>
    </w:p>
    <w:p w14:paraId="2252AD68" w14:textId="04014997" w:rsidR="004649EA" w:rsidRPr="002F2E9B" w:rsidRDefault="004649EA" w:rsidP="00370302">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 xml:space="preserve">The IOC </w:t>
      </w:r>
      <w:r w:rsidR="00571307" w:rsidRPr="002F2E9B">
        <w:rPr>
          <w:lang w:val="en-US"/>
        </w:rPr>
        <w:t xml:space="preserve">is identified </w:t>
      </w:r>
      <w:r w:rsidR="00453DDB" w:rsidRPr="002F2E9B">
        <w:rPr>
          <w:lang w:val="en-US"/>
        </w:rPr>
        <w:t>as</w:t>
      </w:r>
      <w:r w:rsidR="00BD287A" w:rsidRPr="002F2E9B">
        <w:rPr>
          <w:lang w:val="en-US"/>
        </w:rPr>
        <w:t xml:space="preserve"> </w:t>
      </w:r>
      <w:r w:rsidR="00BC0F8C" w:rsidRPr="002F2E9B">
        <w:rPr>
          <w:lang w:val="en-US"/>
        </w:rPr>
        <w:t xml:space="preserve">a technical advisory agency to </w:t>
      </w:r>
      <w:r w:rsidRPr="002F2E9B">
        <w:rPr>
          <w:lang w:val="en-US"/>
        </w:rPr>
        <w:t xml:space="preserve">support the work to develop the Index for Coastal Eutrophication Potential (ICEP) as the indicator for </w:t>
      </w:r>
      <w:hyperlink r:id="rId51" w:history="1">
        <w:r w:rsidRPr="002F2E9B">
          <w:rPr>
            <w:rStyle w:val="Hyperlink"/>
            <w:lang w:val="en-US"/>
          </w:rPr>
          <w:t>Target 14.1</w:t>
        </w:r>
      </w:hyperlink>
      <w:r w:rsidRPr="002F2E9B">
        <w:rPr>
          <w:lang w:val="en-US"/>
        </w:rPr>
        <w:t xml:space="preserve"> on nutrient pollution of coastal marine ecosystems.</w:t>
      </w:r>
    </w:p>
    <w:p w14:paraId="08F7E6CB" w14:textId="7DF62F45" w:rsidR="000C097D" w:rsidRPr="002F2E9B" w:rsidRDefault="004649EA" w:rsidP="00370302">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The development of the ICEP to the next tier is carried out under the coordination of the IOC for UN</w:t>
      </w:r>
      <w:r w:rsidR="002E2FE6">
        <w:rPr>
          <w:lang w:val="en-US"/>
        </w:rPr>
        <w:t>EP</w:t>
      </w:r>
      <w:r w:rsidR="00A84CAD" w:rsidRPr="002F2E9B">
        <w:rPr>
          <w:lang w:val="en-US"/>
        </w:rPr>
        <w:t>, which</w:t>
      </w:r>
      <w:r w:rsidRPr="002F2E9B">
        <w:rPr>
          <w:lang w:val="en-US"/>
        </w:rPr>
        <w:t xml:space="preserve"> is the custodian agency for </w:t>
      </w:r>
      <w:r w:rsidR="0061273C" w:rsidRPr="002F2E9B">
        <w:rPr>
          <w:lang w:val="en-US"/>
        </w:rPr>
        <w:t>Indicator </w:t>
      </w:r>
      <w:r w:rsidRPr="002F2E9B">
        <w:rPr>
          <w:lang w:val="en-US"/>
        </w:rPr>
        <w:t>14.1.1. Without this work, it will not be possible to develop ICEP for global application for national reporting on SDG 14. A workshop was held in December 2017 to define the work required to fully develop ICEP</w:t>
      </w:r>
      <w:r w:rsidR="00BC0F8C" w:rsidRPr="002F2E9B">
        <w:rPr>
          <w:lang w:val="en-US"/>
        </w:rPr>
        <w:t>. However, th</w:t>
      </w:r>
      <w:r w:rsidR="00453DDB" w:rsidRPr="002F2E9B">
        <w:rPr>
          <w:lang w:val="en-US"/>
        </w:rPr>
        <w:t>e</w:t>
      </w:r>
      <w:r w:rsidR="00BC0F8C" w:rsidRPr="002F2E9B">
        <w:rPr>
          <w:lang w:val="en-US"/>
        </w:rPr>
        <w:t xml:space="preserve"> substantial work is not possible to fund within the exiting IOC budget but </w:t>
      </w:r>
      <w:proofErr w:type="gramStart"/>
      <w:r w:rsidR="00BC0F8C" w:rsidRPr="002F2E9B">
        <w:rPr>
          <w:lang w:val="en-US"/>
        </w:rPr>
        <w:t>has to</w:t>
      </w:r>
      <w:proofErr w:type="gramEnd"/>
      <w:r w:rsidR="00BC0F8C" w:rsidRPr="002F2E9B">
        <w:rPr>
          <w:lang w:val="en-US"/>
        </w:rPr>
        <w:t xml:space="preserve"> be funded extra-budgetary</w:t>
      </w:r>
      <w:r w:rsidR="00BD287A" w:rsidRPr="002F2E9B">
        <w:rPr>
          <w:lang w:val="en-US"/>
        </w:rPr>
        <w:t>.</w:t>
      </w:r>
    </w:p>
    <w:p w14:paraId="7535F744" w14:textId="519D0735" w:rsidR="00E838A2" w:rsidRPr="002F2E9B" w:rsidRDefault="00E838A2" w:rsidP="00370302">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An Expert Workshop on Marine Pollution Indicators</w:t>
      </w:r>
      <w:r w:rsidR="00AF1498" w:rsidRPr="002F2E9B">
        <w:rPr>
          <w:lang w:val="en-US"/>
        </w:rPr>
        <w:t xml:space="preserve"> for </w:t>
      </w:r>
      <w:hyperlink r:id="rId52" w:history="1">
        <w:r w:rsidR="00AF1498" w:rsidRPr="002F2E9B">
          <w:rPr>
            <w:lang w:val="en-US"/>
          </w:rPr>
          <w:t>SDG Target 14.1</w:t>
        </w:r>
      </w:hyperlink>
      <w:r w:rsidRPr="002F2E9B">
        <w:rPr>
          <w:lang w:val="en-US"/>
        </w:rPr>
        <w:t xml:space="preserve">, held </w:t>
      </w:r>
      <w:r w:rsidR="0061273C" w:rsidRPr="002F2E9B">
        <w:rPr>
          <w:lang w:val="en-US"/>
        </w:rPr>
        <w:t xml:space="preserve">on </w:t>
      </w:r>
      <w:r w:rsidR="00A03ADF" w:rsidRPr="002F2E9B">
        <w:rPr>
          <w:lang w:val="en-US"/>
        </w:rPr>
        <w:t>12</w:t>
      </w:r>
      <w:r w:rsidR="002C2834" w:rsidRPr="002F2E9B">
        <w:rPr>
          <w:lang w:val="en-US"/>
        </w:rPr>
        <w:t>–</w:t>
      </w:r>
      <w:r w:rsidR="00A03ADF" w:rsidRPr="002F2E9B">
        <w:rPr>
          <w:lang w:val="en-US"/>
        </w:rPr>
        <w:t xml:space="preserve">13 September 2018 </w:t>
      </w:r>
      <w:r w:rsidRPr="002F2E9B">
        <w:rPr>
          <w:lang w:val="en-US"/>
        </w:rPr>
        <w:t>at UNESCO</w:t>
      </w:r>
      <w:r w:rsidR="00A03ADF" w:rsidRPr="002F2E9B">
        <w:rPr>
          <w:lang w:val="en-US"/>
        </w:rPr>
        <w:t xml:space="preserve"> Headquarters</w:t>
      </w:r>
      <w:r w:rsidRPr="002F2E9B">
        <w:rPr>
          <w:lang w:val="en-US"/>
        </w:rPr>
        <w:t>, Paris,</w:t>
      </w:r>
      <w:r w:rsidR="00A03ADF" w:rsidRPr="002F2E9B">
        <w:rPr>
          <w:lang w:val="en-US"/>
        </w:rPr>
        <w:t xml:space="preserve"> </w:t>
      </w:r>
      <w:r w:rsidRPr="002F2E9B">
        <w:rPr>
          <w:lang w:val="en-US"/>
        </w:rPr>
        <w:t>brough</w:t>
      </w:r>
      <w:r w:rsidR="0018493C" w:rsidRPr="002F2E9B">
        <w:rPr>
          <w:lang w:val="en-US"/>
        </w:rPr>
        <w:t>t</w:t>
      </w:r>
      <w:r w:rsidRPr="002F2E9B">
        <w:rPr>
          <w:lang w:val="en-US"/>
        </w:rPr>
        <w:t xml:space="preserve"> together the task force charged to work on the science of marine pollution indicators, data capture and dissemination and to advance the global methodology on eutrophication and plastic debris assessment. A review of existing indicators and methodologies currently used highlighted three main approaches for monitoring coastal eutrophication and marine litter</w:t>
      </w:r>
      <w:r w:rsidR="00AF1498" w:rsidRPr="002F2E9B">
        <w:rPr>
          <w:lang w:val="en-US"/>
        </w:rPr>
        <w:t>, and</w:t>
      </w:r>
      <w:r w:rsidRPr="002F2E9B">
        <w:rPr>
          <w:lang w:val="en-US"/>
        </w:rPr>
        <w:t xml:space="preserve"> four main types of indicators for coastal eutrophication</w:t>
      </w:r>
      <w:r w:rsidR="00AF39F4" w:rsidRPr="002F2E9B">
        <w:rPr>
          <w:lang w:val="en-US"/>
        </w:rPr>
        <w:t>:</w:t>
      </w:r>
      <w:r w:rsidR="00AF1498" w:rsidRPr="002F2E9B">
        <w:rPr>
          <w:lang w:val="en-US"/>
        </w:rPr>
        <w:t xml:space="preserve"> (</w:t>
      </w:r>
      <w:r w:rsidR="00280759">
        <w:rPr>
          <w:lang w:val="en-US"/>
        </w:rPr>
        <w:t>i</w:t>
      </w:r>
      <w:r w:rsidR="00AF1498" w:rsidRPr="002F2E9B">
        <w:rPr>
          <w:lang w:val="en-US"/>
        </w:rPr>
        <w:t xml:space="preserve">) </w:t>
      </w:r>
      <w:r w:rsidR="0061273C" w:rsidRPr="002F2E9B">
        <w:rPr>
          <w:lang w:val="en-US"/>
        </w:rPr>
        <w:t xml:space="preserve">indicators </w:t>
      </w:r>
      <w:r w:rsidRPr="002F2E9B">
        <w:rPr>
          <w:lang w:val="en-US"/>
        </w:rPr>
        <w:t>for the cause of eutrophication (nutrient input and concentration</w:t>
      </w:r>
      <w:r w:rsidR="00AF1498" w:rsidRPr="002F2E9B">
        <w:rPr>
          <w:lang w:val="en-US"/>
        </w:rPr>
        <w:t>s); (</w:t>
      </w:r>
      <w:r w:rsidR="00280759">
        <w:rPr>
          <w:lang w:val="en-US"/>
        </w:rPr>
        <w:t>ii</w:t>
      </w:r>
      <w:r w:rsidR="00AF1498" w:rsidRPr="002F2E9B">
        <w:rPr>
          <w:lang w:val="en-US"/>
        </w:rPr>
        <w:t xml:space="preserve">) </w:t>
      </w:r>
      <w:r w:rsidR="0061273C" w:rsidRPr="002F2E9B">
        <w:rPr>
          <w:lang w:val="en-US"/>
        </w:rPr>
        <w:t xml:space="preserve">indicators </w:t>
      </w:r>
      <w:r w:rsidRPr="002F2E9B">
        <w:rPr>
          <w:lang w:val="en-US"/>
        </w:rPr>
        <w:t>for the direct effects of e</w:t>
      </w:r>
      <w:r w:rsidR="00AF1498" w:rsidRPr="002F2E9B">
        <w:rPr>
          <w:lang w:val="en-US"/>
        </w:rPr>
        <w:t>utrophication (e.g. Chlorophyll-</w:t>
      </w:r>
      <w:r w:rsidRPr="002F2E9B">
        <w:rPr>
          <w:lang w:val="en-US"/>
        </w:rPr>
        <w:t>a concentrations, biomass growth, water clarity/turbidity)</w:t>
      </w:r>
      <w:r w:rsidR="00AF1498" w:rsidRPr="002F2E9B">
        <w:rPr>
          <w:lang w:val="en-US"/>
        </w:rPr>
        <w:t>; (</w:t>
      </w:r>
      <w:r w:rsidR="00280759">
        <w:rPr>
          <w:lang w:val="en-US"/>
        </w:rPr>
        <w:t>iii</w:t>
      </w:r>
      <w:r w:rsidR="00AF1498" w:rsidRPr="002F2E9B">
        <w:rPr>
          <w:lang w:val="en-US"/>
        </w:rPr>
        <w:t xml:space="preserve">) </w:t>
      </w:r>
      <w:r w:rsidR="0061273C" w:rsidRPr="002F2E9B">
        <w:rPr>
          <w:lang w:val="en-US"/>
        </w:rPr>
        <w:t xml:space="preserve">indicators </w:t>
      </w:r>
      <w:r w:rsidRPr="002F2E9B">
        <w:rPr>
          <w:lang w:val="en-US"/>
        </w:rPr>
        <w:t>for the indirect effects of eutrophication (e.g. dissolved oxygen levels)</w:t>
      </w:r>
      <w:r w:rsidR="00AF1498" w:rsidRPr="002F2E9B">
        <w:rPr>
          <w:lang w:val="en-US"/>
        </w:rPr>
        <w:t xml:space="preserve"> and</w:t>
      </w:r>
      <w:r w:rsidR="00A03ADF" w:rsidRPr="002F2E9B">
        <w:rPr>
          <w:lang w:val="en-US"/>
        </w:rPr>
        <w:t>;</w:t>
      </w:r>
      <w:r w:rsidR="00AF1498" w:rsidRPr="002F2E9B">
        <w:rPr>
          <w:lang w:val="en-US"/>
        </w:rPr>
        <w:t xml:space="preserve"> (</w:t>
      </w:r>
      <w:r w:rsidR="00280759">
        <w:rPr>
          <w:lang w:val="en-US"/>
        </w:rPr>
        <w:t>iv</w:t>
      </w:r>
      <w:r w:rsidR="00AF1498" w:rsidRPr="002F2E9B">
        <w:rPr>
          <w:lang w:val="en-US"/>
        </w:rPr>
        <w:t>) m</w:t>
      </w:r>
      <w:r w:rsidRPr="002F2E9B">
        <w:rPr>
          <w:lang w:val="en-US"/>
        </w:rPr>
        <w:t>odelled indicators of the potential for coastal eutrophication (the Index of Coastal Eutrophication Potential (ICEP)</w:t>
      </w:r>
      <w:r w:rsidR="00284AC8" w:rsidRPr="002F2E9B">
        <w:rPr>
          <w:lang w:val="en-US"/>
        </w:rPr>
        <w:t>)</w:t>
      </w:r>
      <w:r w:rsidRPr="002F2E9B">
        <w:rPr>
          <w:lang w:val="en-US"/>
        </w:rPr>
        <w:t>.</w:t>
      </w:r>
    </w:p>
    <w:p w14:paraId="5C325FC4" w14:textId="77777777" w:rsidR="00BC0F8C" w:rsidRPr="002F2E9B" w:rsidRDefault="00BC0F8C" w:rsidP="00BC0F8C">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Combining information about land-based nutrient loading with information about the ratio of land-derived nutrients (ICEP) would make it possible to assess the risk of problems such as coastal hypoxia/</w:t>
      </w:r>
      <w:r w:rsidRPr="002F2E9B">
        <w:rPr>
          <w:color w:val="000000"/>
          <w:lang w:val="en-US"/>
        </w:rPr>
        <w:t>anoxia</w:t>
      </w:r>
      <w:r w:rsidRPr="002F2E9B">
        <w:rPr>
          <w:lang w:val="en-US"/>
        </w:rPr>
        <w:t xml:space="preserve">, toxic blooms etc. Using ICEP as an indicator of coastal eutrophication would also make it possible to use nutrient loading models to fill gaps in data spatially (e.g. by estimating ICEP for LMEs where no nutrient data has been collected) and to explore future scenarios and potential nutrient mitigation measures. This would allow for better and more complete regional and global </w:t>
      </w:r>
      <w:r w:rsidRPr="002F2E9B">
        <w:rPr>
          <w:lang w:val="en-US"/>
        </w:rPr>
        <w:lastRenderedPageBreak/>
        <w:t xml:space="preserve">overviews than are currently possible and thus better and more informative reporting under Indicator 14.1.1. </w:t>
      </w:r>
    </w:p>
    <w:p w14:paraId="044E8B31" w14:textId="42181D07" w:rsidR="00BC0F8C" w:rsidRPr="002F2E9B" w:rsidRDefault="00BC0F8C" w:rsidP="00BC0F8C">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 xml:space="preserve">IOC UNESCO and its N-CIRP Group of Experts have </w:t>
      </w:r>
      <w:r w:rsidR="00453DDB" w:rsidRPr="002F2E9B">
        <w:rPr>
          <w:lang w:val="en-US"/>
        </w:rPr>
        <w:t xml:space="preserve">in 2020 </w:t>
      </w:r>
      <w:r w:rsidRPr="002F2E9B">
        <w:rPr>
          <w:lang w:val="en-US"/>
        </w:rPr>
        <w:t>produced a video available at YouTube (</w:t>
      </w:r>
      <w:hyperlink r:id="rId53" w:history="1">
        <w:r w:rsidRPr="002F2E9B">
          <w:rPr>
            <w:rStyle w:val="Hyperlink"/>
            <w:lang w:val="en-US"/>
          </w:rPr>
          <w:t>https://www.youtube.com/watch?v=qW2nV2bsyCs&amp;feature=youtu.be</w:t>
        </w:r>
      </w:hyperlink>
      <w:r w:rsidRPr="002F2E9B">
        <w:rPr>
          <w:lang w:val="en-US"/>
        </w:rPr>
        <w:t xml:space="preserve">) to communicate about ICEP and what </w:t>
      </w:r>
      <w:r w:rsidR="00453DDB" w:rsidRPr="002F2E9B">
        <w:rPr>
          <w:lang w:val="en-US"/>
        </w:rPr>
        <w:t>i</w:t>
      </w:r>
      <w:r w:rsidRPr="002F2E9B">
        <w:rPr>
          <w:lang w:val="en-US"/>
        </w:rPr>
        <w:t xml:space="preserve">t can deliver as an SDG </w:t>
      </w:r>
      <w:r w:rsidR="002C2834" w:rsidRPr="002F2E9B">
        <w:rPr>
          <w:lang w:val="en-US"/>
        </w:rPr>
        <w:t xml:space="preserve">indicator </w:t>
      </w:r>
      <w:r w:rsidRPr="002F2E9B">
        <w:rPr>
          <w:lang w:val="en-US"/>
        </w:rPr>
        <w:t xml:space="preserve">14.1.1. </w:t>
      </w:r>
    </w:p>
    <w:p w14:paraId="649A82CF" w14:textId="53B44626" w:rsidR="00BD287A" w:rsidRPr="002F2E9B" w:rsidRDefault="00BC0F8C" w:rsidP="00370302">
      <w:pPr>
        <w:pStyle w:val="ListParagraph"/>
        <w:widowControl w:val="0"/>
        <w:tabs>
          <w:tab w:val="left" w:pos="709"/>
        </w:tabs>
        <w:autoSpaceDE w:val="0"/>
        <w:autoSpaceDN w:val="0"/>
        <w:adjustRightInd w:val="0"/>
        <w:spacing w:after="240" w:line="240" w:lineRule="auto"/>
        <w:ind w:left="0"/>
        <w:contextualSpacing w:val="0"/>
        <w:jc w:val="both"/>
        <w:rPr>
          <w:lang w:val="en-US"/>
        </w:rPr>
      </w:pPr>
      <w:r w:rsidRPr="002F2E9B">
        <w:rPr>
          <w:lang w:val="en-US"/>
        </w:rPr>
        <w:t>T</w:t>
      </w:r>
      <w:r w:rsidR="004C3BA6" w:rsidRPr="002F2E9B">
        <w:rPr>
          <w:lang w:val="en-US"/>
        </w:rPr>
        <w:t xml:space="preserve">he development of the </w:t>
      </w:r>
      <w:r w:rsidRPr="002F2E9B">
        <w:rPr>
          <w:lang w:val="en-US"/>
        </w:rPr>
        <w:t xml:space="preserve">ICEP </w:t>
      </w:r>
      <w:r w:rsidR="004C3BA6" w:rsidRPr="002F2E9B">
        <w:rPr>
          <w:lang w:val="en-US"/>
        </w:rPr>
        <w:t>is on hold</w:t>
      </w:r>
      <w:r w:rsidRPr="002F2E9B">
        <w:rPr>
          <w:lang w:val="en-US"/>
        </w:rPr>
        <w:t xml:space="preserve"> as funding has not been identified</w:t>
      </w:r>
      <w:r w:rsidR="004A09AC" w:rsidRPr="002F2E9B">
        <w:rPr>
          <w:lang w:val="en-US"/>
        </w:rPr>
        <w:t xml:space="preserve"> </w:t>
      </w:r>
      <w:r w:rsidR="004C3BA6" w:rsidRPr="002F2E9B">
        <w:rPr>
          <w:lang w:val="en-US"/>
        </w:rPr>
        <w:t xml:space="preserve">to support the implementation of the </w:t>
      </w:r>
      <w:r w:rsidR="004A09AC" w:rsidRPr="002F2E9B">
        <w:rPr>
          <w:lang w:val="en-US"/>
        </w:rPr>
        <w:t>ind</w:t>
      </w:r>
      <w:r w:rsidR="002E2FE6">
        <w:rPr>
          <w:lang w:val="en-US"/>
        </w:rPr>
        <w:t>ex</w:t>
      </w:r>
      <w:r w:rsidR="00AF1498" w:rsidRPr="002F2E9B">
        <w:rPr>
          <w:lang w:val="en-US"/>
        </w:rPr>
        <w:t>.</w:t>
      </w:r>
      <w:r w:rsidR="004A09AC" w:rsidRPr="002F2E9B">
        <w:rPr>
          <w:lang w:val="en-US"/>
        </w:rPr>
        <w:t xml:space="preserve"> Unless funding is identified, IOC</w:t>
      </w:r>
      <w:r w:rsidR="00BD287A" w:rsidRPr="002F2E9B">
        <w:rPr>
          <w:lang w:val="en-US"/>
        </w:rPr>
        <w:t>-</w:t>
      </w:r>
      <w:r w:rsidR="004A09AC" w:rsidRPr="002F2E9B">
        <w:rPr>
          <w:lang w:val="en-US"/>
        </w:rPr>
        <w:t xml:space="preserve">UNESCO will not be </w:t>
      </w:r>
      <w:proofErr w:type="gramStart"/>
      <w:r w:rsidR="004A09AC" w:rsidRPr="002F2E9B">
        <w:rPr>
          <w:lang w:val="en-US"/>
        </w:rPr>
        <w:t>in a position</w:t>
      </w:r>
      <w:proofErr w:type="gramEnd"/>
      <w:r w:rsidR="004A09AC" w:rsidRPr="002F2E9B">
        <w:rPr>
          <w:lang w:val="en-US"/>
        </w:rPr>
        <w:t xml:space="preserve"> to develop ICEP for global application for national reporting on SDG 14.</w:t>
      </w:r>
    </w:p>
    <w:p w14:paraId="7687AB8F" w14:textId="79393A2B" w:rsidR="00D11DE2" w:rsidRPr="00FE2B4A" w:rsidRDefault="004F5861" w:rsidP="00FE2B4A">
      <w:pPr>
        <w:pStyle w:val="Style2"/>
        <w:tabs>
          <w:tab w:val="clear" w:pos="1400"/>
          <w:tab w:val="left" w:pos="812"/>
        </w:tabs>
        <w:ind w:left="851"/>
        <w:rPr>
          <w:rFonts w:cs="Arial"/>
          <w:i/>
          <w:lang w:val="en-US"/>
        </w:rPr>
      </w:pPr>
      <w:r w:rsidRPr="00FE2B4A">
        <w:rPr>
          <w:rFonts w:cs="Arial"/>
          <w:b/>
          <w:bCs/>
          <w:i/>
          <w:lang w:val="en-US"/>
        </w:rPr>
        <w:t>Indicator 14.2.1</w:t>
      </w:r>
      <w:r w:rsidRPr="00FE2B4A">
        <w:rPr>
          <w:rFonts w:cs="Arial"/>
          <w:i/>
          <w:lang w:val="en-US"/>
        </w:rPr>
        <w:t>:</w:t>
      </w:r>
      <w:r w:rsidR="00D11DE2" w:rsidRPr="00FE2B4A">
        <w:rPr>
          <w:rFonts w:cs="Arial"/>
          <w:i/>
          <w:lang w:val="en-US"/>
        </w:rPr>
        <w:t xml:space="preserve"> Proportion of national exclusive economic zones managed using ecosystem-based approaches</w:t>
      </w:r>
    </w:p>
    <w:p w14:paraId="1833CA6F" w14:textId="467354B6" w:rsidR="007D588B" w:rsidRPr="002F2E9B" w:rsidRDefault="007D588B" w:rsidP="001B3E12">
      <w:pPr>
        <w:spacing w:after="240"/>
        <w:jc w:val="both"/>
        <w:rPr>
          <w:rFonts w:ascii="Arial" w:eastAsia="Times New Roman" w:hAnsi="Arial" w:cs="Arial"/>
          <w:color w:val="000000" w:themeColor="text1"/>
          <w:sz w:val="22"/>
          <w:szCs w:val="22"/>
          <w:shd w:val="clear" w:color="auto" w:fill="FFFFFF"/>
          <w:lang w:eastAsia="en-GB"/>
        </w:rPr>
      </w:pPr>
      <w:r w:rsidRPr="002F2E9B">
        <w:rPr>
          <w:rFonts w:ascii="Arial" w:eastAsia="Times New Roman" w:hAnsi="Arial" w:cs="Arial"/>
          <w:color w:val="000000" w:themeColor="text1"/>
          <w:sz w:val="22"/>
          <w:szCs w:val="22"/>
          <w:shd w:val="clear" w:color="auto" w:fill="FFFFFF"/>
          <w:lang w:eastAsia="en-GB"/>
        </w:rPr>
        <w:t xml:space="preserve">Annual refinements of indicators are included in the indicator framework as they occur. In line with the mandate of the group, the IAEG-SDGs proposed 36 major changes to the framework in the form of replacements, revisions, additions and deletions as part of the 2020 Comprehensive Review, which were approved by the </w:t>
      </w:r>
      <w:hyperlink r:id="rId54" w:history="1">
        <w:r w:rsidRPr="002F2E9B">
          <w:rPr>
            <w:rStyle w:val="Hyperlink"/>
            <w:rFonts w:asciiTheme="minorBidi" w:hAnsiTheme="minorBidi"/>
            <w:sz w:val="22"/>
            <w:szCs w:val="22"/>
          </w:rPr>
          <w:t xml:space="preserve">Statistical Commission </w:t>
        </w:r>
        <w:r w:rsidR="00BD287A" w:rsidRPr="002F2E9B">
          <w:rPr>
            <w:rStyle w:val="Hyperlink"/>
            <w:rFonts w:asciiTheme="minorBidi" w:hAnsiTheme="minorBidi"/>
          </w:rPr>
          <w:t>at its 51st se</w:t>
        </w:r>
        <w:r w:rsidR="00BD287A" w:rsidRPr="002F2E9B">
          <w:rPr>
            <w:rStyle w:val="Hyperlink"/>
            <w:rFonts w:asciiTheme="minorBidi" w:eastAsia="Times New Roman" w:hAnsiTheme="minorBidi"/>
            <w:sz w:val="22"/>
            <w:szCs w:val="22"/>
            <w:shd w:val="clear" w:color="auto" w:fill="FFFFFF"/>
            <w:lang w:eastAsia="en-GB"/>
          </w:rPr>
          <w:t>s</w:t>
        </w:r>
        <w:r w:rsidR="00BD287A" w:rsidRPr="002F2E9B">
          <w:rPr>
            <w:rStyle w:val="Hyperlink"/>
            <w:rFonts w:asciiTheme="minorBidi" w:hAnsiTheme="minorBidi"/>
          </w:rPr>
          <w:t>sion</w:t>
        </w:r>
      </w:hyperlink>
      <w:r w:rsidR="00BD287A" w:rsidRPr="002F2E9B">
        <w:rPr>
          <w:rFonts w:ascii="Arial" w:eastAsia="Times New Roman" w:hAnsi="Arial" w:cs="Arial"/>
          <w:color w:val="000000" w:themeColor="text1"/>
          <w:sz w:val="22"/>
          <w:szCs w:val="22"/>
          <w:shd w:val="clear" w:color="auto" w:fill="FFFFFF"/>
          <w:lang w:eastAsia="en-GB"/>
        </w:rPr>
        <w:t xml:space="preserve"> held </w:t>
      </w:r>
      <w:r w:rsidRPr="002F2E9B">
        <w:rPr>
          <w:rFonts w:ascii="Arial" w:eastAsia="Times New Roman" w:hAnsi="Arial" w:cs="Arial"/>
          <w:color w:val="000000" w:themeColor="text1"/>
          <w:sz w:val="22"/>
          <w:szCs w:val="22"/>
          <w:shd w:val="clear" w:color="auto" w:fill="FFFFFF"/>
          <w:lang w:eastAsia="en-GB"/>
        </w:rPr>
        <w:t>in March 2020.</w:t>
      </w:r>
    </w:p>
    <w:p w14:paraId="15596278" w14:textId="0C325F3C" w:rsidR="00EE35B4" w:rsidRPr="002F2E9B" w:rsidRDefault="007D588B" w:rsidP="001B3E12">
      <w:pPr>
        <w:spacing w:after="240"/>
        <w:jc w:val="both"/>
        <w:rPr>
          <w:rFonts w:eastAsia="Times New Roman"/>
          <w:i/>
          <w:iCs/>
          <w:color w:val="4A4A4A"/>
          <w:sz w:val="21"/>
          <w:szCs w:val="21"/>
          <w:shd w:val="clear" w:color="auto" w:fill="FFFFFF"/>
          <w:lang w:eastAsia="en-GB"/>
        </w:rPr>
      </w:pPr>
      <w:r w:rsidRPr="002F2E9B">
        <w:rPr>
          <w:rFonts w:ascii="Arial" w:eastAsia="Times New Roman" w:hAnsi="Arial" w:cs="Arial"/>
          <w:color w:val="000000" w:themeColor="text1"/>
          <w:sz w:val="22"/>
          <w:szCs w:val="22"/>
          <w:shd w:val="clear" w:color="auto" w:fill="FFFFFF"/>
          <w:lang w:eastAsia="en-GB"/>
        </w:rPr>
        <w:t>With regards to Indicator 14.2.1, the indicator was changed to:</w:t>
      </w:r>
      <w:r w:rsidR="00BD287A" w:rsidRPr="002F2E9B">
        <w:rPr>
          <w:rFonts w:ascii="Arial" w:hAnsi="Arial" w:cs="Arial"/>
          <w:i/>
          <w:iCs/>
          <w:color w:val="000000" w:themeColor="text1"/>
          <w:sz w:val="22"/>
          <w:szCs w:val="22"/>
        </w:rPr>
        <w:t xml:space="preserve"> </w:t>
      </w:r>
      <w:r w:rsidR="00EE35B4" w:rsidRPr="002F2E9B">
        <w:rPr>
          <w:rFonts w:ascii="Arial" w:hAnsi="Arial" w:cs="Arial"/>
          <w:i/>
          <w:iCs/>
          <w:color w:val="000000" w:themeColor="text1"/>
          <w:sz w:val="22"/>
          <w:szCs w:val="22"/>
        </w:rPr>
        <w:t>Number of countries using ecosystem-based approaches to managing marine areas</w:t>
      </w:r>
      <w:r w:rsidR="00BD287A" w:rsidRPr="002F2E9B">
        <w:rPr>
          <w:rFonts w:ascii="Arial" w:hAnsi="Arial" w:cs="Arial"/>
          <w:i/>
          <w:iCs/>
          <w:color w:val="000000" w:themeColor="text1"/>
          <w:sz w:val="22"/>
          <w:szCs w:val="22"/>
        </w:rPr>
        <w:t>.</w:t>
      </w:r>
      <w:r w:rsidR="00EE35B4" w:rsidRPr="002F2E9B">
        <w:rPr>
          <w:rFonts w:ascii="Arial" w:hAnsi="Arial" w:cs="Arial"/>
          <w:i/>
          <w:iCs/>
          <w:color w:val="000000" w:themeColor="text1"/>
          <w:sz w:val="22"/>
          <w:szCs w:val="22"/>
        </w:rPr>
        <w:t xml:space="preserve"> </w:t>
      </w:r>
    </w:p>
    <w:p w14:paraId="25A4188B" w14:textId="45F3F021" w:rsidR="004F5861" w:rsidRPr="002F2E9B" w:rsidRDefault="004F5861">
      <w:pPr>
        <w:pStyle w:val="ListParagraph"/>
        <w:widowControl w:val="0"/>
        <w:autoSpaceDE w:val="0"/>
        <w:autoSpaceDN w:val="0"/>
        <w:adjustRightInd w:val="0"/>
        <w:spacing w:after="240" w:line="240" w:lineRule="auto"/>
        <w:ind w:left="0"/>
        <w:contextualSpacing w:val="0"/>
        <w:jc w:val="both"/>
        <w:rPr>
          <w:lang w:val="en-US"/>
        </w:rPr>
      </w:pPr>
      <w:r w:rsidRPr="002F2E9B">
        <w:rPr>
          <w:lang w:val="en-US"/>
        </w:rPr>
        <w:t>UN</w:t>
      </w:r>
      <w:r w:rsidR="002E2FE6">
        <w:rPr>
          <w:lang w:val="en-US"/>
        </w:rPr>
        <w:t>EP</w:t>
      </w:r>
      <w:r w:rsidRPr="002F2E9B">
        <w:rPr>
          <w:lang w:val="en-US"/>
        </w:rPr>
        <w:t xml:space="preserve"> is the custodian agency of this indicator and works in close collaboration with </w:t>
      </w:r>
      <w:r w:rsidR="0061273C" w:rsidRPr="002F2E9B">
        <w:rPr>
          <w:lang w:val="en-US"/>
        </w:rPr>
        <w:t xml:space="preserve">its </w:t>
      </w:r>
      <w:r w:rsidRPr="002F2E9B">
        <w:rPr>
          <w:lang w:val="en-US"/>
        </w:rPr>
        <w:t xml:space="preserve">Regional Seas Conventions and </w:t>
      </w:r>
      <w:r w:rsidR="0061273C" w:rsidRPr="002F2E9B">
        <w:rPr>
          <w:lang w:val="en-US"/>
        </w:rPr>
        <w:t>IOC</w:t>
      </w:r>
      <w:r w:rsidR="00F04E8C" w:rsidRPr="002F2E9B">
        <w:rPr>
          <w:lang w:val="en-US"/>
        </w:rPr>
        <w:t>-UNESCO</w:t>
      </w:r>
      <w:r w:rsidRPr="002F2E9B">
        <w:rPr>
          <w:lang w:val="en-US"/>
        </w:rPr>
        <w:t>, the technical support agency for this Indicator.</w:t>
      </w:r>
    </w:p>
    <w:p w14:paraId="692FBE08" w14:textId="27DED850" w:rsidR="004F5861" w:rsidRPr="002F2E9B" w:rsidRDefault="004F5861">
      <w:pPr>
        <w:pStyle w:val="ListParagraph"/>
        <w:widowControl w:val="0"/>
        <w:autoSpaceDE w:val="0"/>
        <w:autoSpaceDN w:val="0"/>
        <w:adjustRightInd w:val="0"/>
        <w:spacing w:after="240" w:line="240" w:lineRule="auto"/>
        <w:ind w:left="0"/>
        <w:contextualSpacing w:val="0"/>
        <w:jc w:val="both"/>
        <w:rPr>
          <w:lang w:val="en-US"/>
        </w:rPr>
      </w:pPr>
      <w:r w:rsidRPr="002F2E9B">
        <w:rPr>
          <w:lang w:val="en-US"/>
        </w:rPr>
        <w:t>The development of the methodology for the SDG 14.2</w:t>
      </w:r>
      <w:r w:rsidR="002C2834" w:rsidRPr="002F2E9B">
        <w:rPr>
          <w:lang w:val="en-US"/>
        </w:rPr>
        <w:t>.1</w:t>
      </w:r>
      <w:r w:rsidRPr="002F2E9B">
        <w:rPr>
          <w:lang w:val="en-US"/>
        </w:rPr>
        <w:t xml:space="preserve"> Indicator started with a review of existing indicators and methodologies currently used by Regional Seas Programmes and other key intergovernmental, international and regional bodies that </w:t>
      </w:r>
      <w:r w:rsidR="002E2FE6">
        <w:rPr>
          <w:lang w:val="en-US"/>
        </w:rPr>
        <w:t>provide for</w:t>
      </w:r>
      <w:r w:rsidRPr="002F2E9B">
        <w:rPr>
          <w:lang w:val="en-US"/>
        </w:rPr>
        <w:t xml:space="preserve"> a number of existing indicators for integrated management and planning strategies for socio-ecological systems. </w:t>
      </w:r>
      <w:r w:rsidR="002E2FE6">
        <w:rPr>
          <w:lang w:val="en-US"/>
        </w:rPr>
        <w:t>The methodology</w:t>
      </w:r>
      <w:r w:rsidRPr="002F2E9B">
        <w:rPr>
          <w:lang w:val="en-US"/>
        </w:rPr>
        <w:t xml:space="preserve"> also includes indicators based on the implementation status of </w:t>
      </w:r>
      <w:proofErr w:type="gramStart"/>
      <w:r w:rsidRPr="002F2E9B">
        <w:rPr>
          <w:lang w:val="en-US"/>
        </w:rPr>
        <w:t>marine-area</w:t>
      </w:r>
      <w:proofErr w:type="gramEnd"/>
      <w:r w:rsidRPr="002F2E9B">
        <w:rPr>
          <w:lang w:val="en-US"/>
        </w:rPr>
        <w:t xml:space="preserve"> based, integrated planning and management approaches, such as marine spatial planning or integrated coastal zone management.</w:t>
      </w:r>
      <w:r w:rsidR="00EE35B4" w:rsidRPr="002F2E9B">
        <w:rPr>
          <w:lang w:val="en-US"/>
        </w:rPr>
        <w:t xml:space="preserve"> This indicator is currently in Tier II status.</w:t>
      </w:r>
    </w:p>
    <w:p w14:paraId="5EBCF239" w14:textId="2B1D3A13" w:rsidR="0018493C" w:rsidRPr="002F2E9B" w:rsidRDefault="00461A5B">
      <w:pPr>
        <w:pStyle w:val="ListParagraph"/>
        <w:widowControl w:val="0"/>
        <w:autoSpaceDE w:val="0"/>
        <w:autoSpaceDN w:val="0"/>
        <w:adjustRightInd w:val="0"/>
        <w:spacing w:after="240" w:line="240" w:lineRule="auto"/>
        <w:ind w:left="0"/>
        <w:contextualSpacing w:val="0"/>
        <w:jc w:val="both"/>
        <w:rPr>
          <w:lang w:val="en-US"/>
        </w:rPr>
      </w:pPr>
      <w:r w:rsidRPr="002F2E9B">
        <w:rPr>
          <w:lang w:val="en-US"/>
        </w:rPr>
        <w:t>Contributing to</w:t>
      </w:r>
      <w:r w:rsidR="0018493C" w:rsidRPr="002F2E9B">
        <w:rPr>
          <w:lang w:val="en-US"/>
        </w:rPr>
        <w:t xml:space="preserve"> these methodological developments, </w:t>
      </w:r>
      <w:r w:rsidR="0061273C" w:rsidRPr="002F2E9B">
        <w:rPr>
          <w:lang w:val="en-US"/>
        </w:rPr>
        <w:t>IOC</w:t>
      </w:r>
      <w:r w:rsidR="00F04E8C" w:rsidRPr="002F2E9B">
        <w:rPr>
          <w:lang w:val="en-US"/>
        </w:rPr>
        <w:t>-UNESCO</w:t>
      </w:r>
      <w:r w:rsidR="0061273C" w:rsidRPr="002F2E9B">
        <w:rPr>
          <w:lang w:val="en-US"/>
        </w:rPr>
        <w:t xml:space="preserve"> </w:t>
      </w:r>
      <w:r w:rsidR="0018493C" w:rsidRPr="002F2E9B">
        <w:rPr>
          <w:lang w:val="en-US"/>
        </w:rPr>
        <w:t xml:space="preserve">and the European Commission </w:t>
      </w:r>
      <w:r w:rsidRPr="002F2E9B">
        <w:rPr>
          <w:lang w:val="en-US"/>
        </w:rPr>
        <w:t>launched in</w:t>
      </w:r>
      <w:r w:rsidR="0018493C" w:rsidRPr="002F2E9B">
        <w:rPr>
          <w:lang w:val="en-US"/>
        </w:rPr>
        <w:t xml:space="preserve"> 2017 a "</w:t>
      </w:r>
      <w:hyperlink r:id="rId55" w:history="1">
        <w:r w:rsidR="0018493C" w:rsidRPr="002F2E9B">
          <w:rPr>
            <w:rStyle w:val="Hyperlink"/>
            <w:lang w:val="en-US"/>
          </w:rPr>
          <w:t>Joint Roadmap to accelerate Maritime/Marine Spatial Planning (MSP) processes worldwide</w:t>
        </w:r>
      </w:hyperlink>
      <w:r w:rsidR="0018493C" w:rsidRPr="002F2E9B">
        <w:rPr>
          <w:lang w:val="en-US"/>
        </w:rPr>
        <w:t xml:space="preserve">". This </w:t>
      </w:r>
      <w:r w:rsidRPr="002F2E9B">
        <w:rPr>
          <w:lang w:val="en-US"/>
        </w:rPr>
        <w:t>initiative</w:t>
      </w:r>
      <w:r w:rsidR="00B175F0" w:rsidRPr="002F2E9B">
        <w:rPr>
          <w:lang w:val="en-US"/>
        </w:rPr>
        <w:t xml:space="preserve"> </w:t>
      </w:r>
      <w:r w:rsidR="0018493C" w:rsidRPr="002F2E9B">
        <w:rPr>
          <w:lang w:val="en-US"/>
        </w:rPr>
        <w:t>contribute</w:t>
      </w:r>
      <w:r w:rsidR="00B175F0" w:rsidRPr="002F2E9B">
        <w:rPr>
          <w:lang w:val="en-US"/>
        </w:rPr>
        <w:t>s</w:t>
      </w:r>
      <w:r w:rsidR="0018493C" w:rsidRPr="002F2E9B">
        <w:rPr>
          <w:lang w:val="en-US"/>
        </w:rPr>
        <w:t xml:space="preserve"> to sketching out a vision and a role for </w:t>
      </w:r>
      <w:r w:rsidRPr="002F2E9B">
        <w:rPr>
          <w:lang w:val="en-US"/>
        </w:rPr>
        <w:t xml:space="preserve">ecosystem-based </w:t>
      </w:r>
      <w:r w:rsidR="0018493C" w:rsidRPr="002F2E9B">
        <w:rPr>
          <w:lang w:val="en-US"/>
        </w:rPr>
        <w:t xml:space="preserve">MSP in implementing </w:t>
      </w:r>
      <w:r w:rsidR="0061273C" w:rsidRPr="002F2E9B">
        <w:rPr>
          <w:lang w:val="en-US"/>
        </w:rPr>
        <w:t>2030</w:t>
      </w:r>
      <w:r w:rsidR="002C2834" w:rsidRPr="002F2E9B">
        <w:rPr>
          <w:lang w:val="en-US"/>
        </w:rPr>
        <w:t> </w:t>
      </w:r>
      <w:r w:rsidR="0018493C" w:rsidRPr="002F2E9B">
        <w:rPr>
          <w:lang w:val="en-US"/>
        </w:rPr>
        <w:t>Agenda for Sustainable Development</w:t>
      </w:r>
      <w:r w:rsidR="00A03ADF" w:rsidRPr="002F2E9B">
        <w:rPr>
          <w:lang w:val="en-US"/>
        </w:rPr>
        <w:t xml:space="preserve"> </w:t>
      </w:r>
      <w:r w:rsidR="0018493C" w:rsidRPr="002F2E9B">
        <w:rPr>
          <w:lang w:val="en-US"/>
        </w:rPr>
        <w:t>and</w:t>
      </w:r>
      <w:r w:rsidR="00A03ADF" w:rsidRPr="002F2E9B">
        <w:rPr>
          <w:lang w:val="en-US"/>
        </w:rPr>
        <w:t xml:space="preserve">, </w:t>
      </w:r>
      <w:r w:rsidR="0018493C" w:rsidRPr="002F2E9B">
        <w:rPr>
          <w:lang w:val="en-US"/>
        </w:rPr>
        <w:t>in particular</w:t>
      </w:r>
      <w:r w:rsidR="00A03ADF" w:rsidRPr="002F2E9B">
        <w:rPr>
          <w:lang w:val="en-US"/>
        </w:rPr>
        <w:t>,</w:t>
      </w:r>
      <w:r w:rsidR="0018493C" w:rsidRPr="002F2E9B">
        <w:rPr>
          <w:lang w:val="en-US"/>
        </w:rPr>
        <w:t xml:space="preserve"> the dedicated SDG</w:t>
      </w:r>
      <w:r w:rsidR="00A03ADF" w:rsidRPr="002F2E9B">
        <w:rPr>
          <w:lang w:val="en-US"/>
        </w:rPr>
        <w:t> </w:t>
      </w:r>
      <w:r w:rsidR="0018493C" w:rsidRPr="002F2E9B">
        <w:rPr>
          <w:lang w:val="en-US"/>
        </w:rPr>
        <w:t>14, in a comprehensive, consistent and holistic way, both within the European Union and beyond at the international level with the objective to triple the area of territorial waters benefiting from marine spatial planning by 2030.</w:t>
      </w:r>
      <w:r w:rsidR="007D588B" w:rsidRPr="002F2E9B">
        <w:rPr>
          <w:lang w:val="en-US"/>
        </w:rPr>
        <w:t xml:space="preserve"> In 2020, IOC conducted a survey with its Member States to document progress in the national implementation of MSP. The results are available at </w:t>
      </w:r>
      <w:hyperlink r:id="rId56" w:history="1">
        <w:r w:rsidR="00B175F0" w:rsidRPr="002F2E9B">
          <w:rPr>
            <w:rStyle w:val="Hyperlink"/>
            <w:lang w:val="en-US"/>
          </w:rPr>
          <w:t>http://www.mspglobal2030.org/msp-roadmap/msp-around-the-world/</w:t>
        </w:r>
      </w:hyperlink>
      <w:r w:rsidR="002E2FE6">
        <w:rPr>
          <w:rStyle w:val="Hyperlink"/>
          <w:lang w:val="en-US"/>
        </w:rPr>
        <w:t>.</w:t>
      </w:r>
    </w:p>
    <w:p w14:paraId="6586A7DD" w14:textId="77777777" w:rsidR="000D153A" w:rsidRPr="002F2E9B" w:rsidRDefault="000D153A">
      <w:pPr>
        <w:spacing w:after="160" w:line="259" w:lineRule="auto"/>
        <w:rPr>
          <w:rFonts w:ascii="Arial" w:hAnsi="Arial" w:cs="Arial"/>
          <w:b/>
          <w:sz w:val="18"/>
          <w:szCs w:val="18"/>
        </w:rPr>
      </w:pPr>
      <w:r w:rsidRPr="002F2E9B">
        <w:rPr>
          <w:rFonts w:ascii="Arial" w:hAnsi="Arial" w:cs="Arial"/>
          <w:b/>
          <w:sz w:val="18"/>
          <w:szCs w:val="18"/>
        </w:rPr>
        <w:br w:type="page"/>
      </w:r>
    </w:p>
    <w:p w14:paraId="069E940B" w14:textId="77777777" w:rsidR="000D153A" w:rsidRPr="002F2E9B" w:rsidRDefault="000D153A" w:rsidP="0061273C">
      <w:pPr>
        <w:jc w:val="center"/>
        <w:rPr>
          <w:rFonts w:ascii="Arial" w:hAnsi="Arial" w:cs="Arial"/>
          <w:b/>
          <w:sz w:val="18"/>
          <w:szCs w:val="18"/>
        </w:rPr>
      </w:pPr>
    </w:p>
    <w:p w14:paraId="41040BA2" w14:textId="77777777" w:rsidR="000D153A" w:rsidRPr="002F2E9B" w:rsidRDefault="000D153A" w:rsidP="0061273C">
      <w:pPr>
        <w:jc w:val="center"/>
        <w:rPr>
          <w:rFonts w:ascii="Arial" w:hAnsi="Arial" w:cs="Arial"/>
          <w:b/>
          <w:sz w:val="18"/>
          <w:szCs w:val="18"/>
        </w:rPr>
      </w:pPr>
    </w:p>
    <w:p w14:paraId="3484FF72" w14:textId="77777777" w:rsidR="000D153A" w:rsidRPr="002F2E9B" w:rsidRDefault="000D153A" w:rsidP="0061273C">
      <w:pPr>
        <w:jc w:val="center"/>
        <w:rPr>
          <w:rFonts w:ascii="Arial" w:hAnsi="Arial" w:cs="Arial"/>
          <w:b/>
          <w:sz w:val="18"/>
          <w:szCs w:val="18"/>
        </w:rPr>
      </w:pPr>
    </w:p>
    <w:p w14:paraId="0FFDC8E1" w14:textId="77777777" w:rsidR="000D153A" w:rsidRPr="002F2E9B" w:rsidRDefault="000D153A" w:rsidP="0061273C">
      <w:pPr>
        <w:jc w:val="center"/>
        <w:rPr>
          <w:rFonts w:ascii="Arial" w:hAnsi="Arial" w:cs="Arial"/>
          <w:b/>
          <w:sz w:val="18"/>
          <w:szCs w:val="18"/>
        </w:rPr>
      </w:pPr>
    </w:p>
    <w:p w14:paraId="04C053FF" w14:textId="77777777" w:rsidR="000D153A" w:rsidRPr="002F2E9B" w:rsidRDefault="000D153A" w:rsidP="0061273C">
      <w:pPr>
        <w:jc w:val="center"/>
        <w:rPr>
          <w:rFonts w:ascii="Arial" w:hAnsi="Arial" w:cs="Arial"/>
          <w:b/>
          <w:sz w:val="18"/>
          <w:szCs w:val="18"/>
        </w:rPr>
      </w:pPr>
    </w:p>
    <w:p w14:paraId="31B98A04" w14:textId="77777777" w:rsidR="000D153A" w:rsidRPr="002F2E9B" w:rsidRDefault="000D153A" w:rsidP="0061273C">
      <w:pPr>
        <w:jc w:val="center"/>
        <w:rPr>
          <w:rFonts w:ascii="Arial" w:hAnsi="Arial" w:cs="Arial"/>
          <w:b/>
          <w:sz w:val="18"/>
          <w:szCs w:val="18"/>
        </w:rPr>
      </w:pPr>
    </w:p>
    <w:p w14:paraId="69CA2DD9" w14:textId="77777777" w:rsidR="000D153A" w:rsidRPr="002F2E9B" w:rsidRDefault="000D153A" w:rsidP="0061273C">
      <w:pPr>
        <w:jc w:val="center"/>
        <w:rPr>
          <w:rFonts w:ascii="Arial" w:hAnsi="Arial" w:cs="Arial"/>
          <w:b/>
          <w:sz w:val="18"/>
          <w:szCs w:val="18"/>
        </w:rPr>
      </w:pPr>
    </w:p>
    <w:p w14:paraId="1E18C150" w14:textId="77777777" w:rsidR="000D153A" w:rsidRPr="002F2E9B" w:rsidRDefault="000D153A" w:rsidP="0061273C">
      <w:pPr>
        <w:jc w:val="center"/>
        <w:rPr>
          <w:rFonts w:ascii="Arial" w:hAnsi="Arial" w:cs="Arial"/>
          <w:b/>
          <w:sz w:val="18"/>
          <w:szCs w:val="18"/>
        </w:rPr>
      </w:pPr>
    </w:p>
    <w:p w14:paraId="05176DF2" w14:textId="77777777" w:rsidR="000D153A" w:rsidRPr="002F2E9B" w:rsidRDefault="000D153A" w:rsidP="0061273C">
      <w:pPr>
        <w:jc w:val="center"/>
        <w:rPr>
          <w:rFonts w:ascii="Arial" w:hAnsi="Arial" w:cs="Arial"/>
          <w:b/>
          <w:sz w:val="18"/>
          <w:szCs w:val="18"/>
        </w:rPr>
      </w:pPr>
    </w:p>
    <w:p w14:paraId="5E396054" w14:textId="77777777" w:rsidR="000D153A" w:rsidRPr="002F2E9B" w:rsidRDefault="000D153A" w:rsidP="0061273C">
      <w:pPr>
        <w:jc w:val="center"/>
        <w:rPr>
          <w:rFonts w:ascii="Arial" w:hAnsi="Arial" w:cs="Arial"/>
          <w:b/>
          <w:sz w:val="18"/>
          <w:szCs w:val="18"/>
        </w:rPr>
      </w:pPr>
    </w:p>
    <w:p w14:paraId="307189E8" w14:textId="77777777" w:rsidR="000D153A" w:rsidRPr="002F2E9B" w:rsidRDefault="000D153A" w:rsidP="0061273C">
      <w:pPr>
        <w:jc w:val="center"/>
        <w:rPr>
          <w:rFonts w:ascii="Arial" w:hAnsi="Arial" w:cs="Arial"/>
          <w:b/>
          <w:sz w:val="18"/>
          <w:szCs w:val="18"/>
        </w:rPr>
      </w:pPr>
    </w:p>
    <w:p w14:paraId="1AFF5D45" w14:textId="77777777" w:rsidR="000D153A" w:rsidRPr="002F2E9B" w:rsidRDefault="000D153A" w:rsidP="0061273C">
      <w:pPr>
        <w:jc w:val="center"/>
        <w:rPr>
          <w:rFonts w:ascii="Arial" w:hAnsi="Arial" w:cs="Arial"/>
          <w:b/>
          <w:sz w:val="18"/>
          <w:szCs w:val="18"/>
        </w:rPr>
      </w:pPr>
    </w:p>
    <w:p w14:paraId="7CE5B8FD" w14:textId="77777777" w:rsidR="000D153A" w:rsidRPr="002F2E9B" w:rsidRDefault="000D153A" w:rsidP="0061273C">
      <w:pPr>
        <w:jc w:val="center"/>
        <w:rPr>
          <w:rFonts w:ascii="Arial" w:hAnsi="Arial" w:cs="Arial"/>
          <w:b/>
          <w:sz w:val="18"/>
          <w:szCs w:val="18"/>
        </w:rPr>
      </w:pPr>
    </w:p>
    <w:p w14:paraId="7DD4D505" w14:textId="77777777" w:rsidR="000D153A" w:rsidRPr="002F2E9B" w:rsidRDefault="000D153A" w:rsidP="0061273C">
      <w:pPr>
        <w:jc w:val="center"/>
        <w:rPr>
          <w:rFonts w:ascii="Arial" w:hAnsi="Arial" w:cs="Arial"/>
          <w:b/>
          <w:sz w:val="18"/>
          <w:szCs w:val="18"/>
        </w:rPr>
      </w:pPr>
    </w:p>
    <w:p w14:paraId="4F000FFC" w14:textId="77777777" w:rsidR="000D153A" w:rsidRPr="002F2E9B" w:rsidRDefault="000D153A" w:rsidP="0061273C">
      <w:pPr>
        <w:jc w:val="center"/>
        <w:rPr>
          <w:rFonts w:ascii="Arial" w:hAnsi="Arial" w:cs="Arial"/>
          <w:b/>
          <w:sz w:val="18"/>
          <w:szCs w:val="18"/>
        </w:rPr>
      </w:pPr>
    </w:p>
    <w:p w14:paraId="41D4A42E" w14:textId="77777777" w:rsidR="000D153A" w:rsidRPr="002F2E9B" w:rsidRDefault="000D153A" w:rsidP="0061273C">
      <w:pPr>
        <w:jc w:val="center"/>
        <w:rPr>
          <w:rFonts w:ascii="Arial" w:hAnsi="Arial" w:cs="Arial"/>
          <w:b/>
          <w:sz w:val="18"/>
          <w:szCs w:val="18"/>
        </w:rPr>
      </w:pPr>
    </w:p>
    <w:p w14:paraId="6AE381DD" w14:textId="77777777" w:rsidR="000D153A" w:rsidRPr="002F2E9B" w:rsidRDefault="000D153A" w:rsidP="0061273C">
      <w:pPr>
        <w:jc w:val="center"/>
        <w:rPr>
          <w:rFonts w:ascii="Arial" w:hAnsi="Arial" w:cs="Arial"/>
          <w:b/>
          <w:sz w:val="18"/>
          <w:szCs w:val="18"/>
        </w:rPr>
      </w:pPr>
    </w:p>
    <w:p w14:paraId="72887AE1" w14:textId="77777777" w:rsidR="000D153A" w:rsidRPr="002F2E9B" w:rsidRDefault="000D153A" w:rsidP="0061273C">
      <w:pPr>
        <w:jc w:val="center"/>
        <w:rPr>
          <w:rFonts w:ascii="Arial" w:hAnsi="Arial" w:cs="Arial"/>
          <w:b/>
          <w:sz w:val="18"/>
          <w:szCs w:val="18"/>
        </w:rPr>
      </w:pPr>
    </w:p>
    <w:p w14:paraId="1E7660EB" w14:textId="77777777" w:rsidR="000D153A" w:rsidRPr="002F2E9B" w:rsidRDefault="000D153A" w:rsidP="0061273C">
      <w:pPr>
        <w:jc w:val="center"/>
        <w:rPr>
          <w:rFonts w:ascii="Arial" w:hAnsi="Arial" w:cs="Arial"/>
          <w:b/>
          <w:sz w:val="18"/>
          <w:szCs w:val="18"/>
        </w:rPr>
      </w:pPr>
    </w:p>
    <w:p w14:paraId="0C95054B" w14:textId="77777777" w:rsidR="000D153A" w:rsidRPr="002F2E9B" w:rsidRDefault="000D153A" w:rsidP="0061273C">
      <w:pPr>
        <w:jc w:val="center"/>
        <w:rPr>
          <w:rFonts w:ascii="Arial" w:hAnsi="Arial" w:cs="Arial"/>
          <w:b/>
          <w:sz w:val="18"/>
          <w:szCs w:val="18"/>
        </w:rPr>
      </w:pPr>
    </w:p>
    <w:p w14:paraId="23C1CA23" w14:textId="77777777" w:rsidR="000D153A" w:rsidRPr="002F2E9B" w:rsidRDefault="000D153A" w:rsidP="0061273C">
      <w:pPr>
        <w:jc w:val="center"/>
        <w:rPr>
          <w:rFonts w:ascii="Arial" w:hAnsi="Arial" w:cs="Arial"/>
          <w:b/>
          <w:sz w:val="18"/>
          <w:szCs w:val="18"/>
        </w:rPr>
      </w:pPr>
    </w:p>
    <w:p w14:paraId="776C9AD9" w14:textId="77777777" w:rsidR="000D153A" w:rsidRPr="002F2E9B" w:rsidRDefault="000D153A" w:rsidP="0061273C">
      <w:pPr>
        <w:jc w:val="center"/>
        <w:rPr>
          <w:rFonts w:ascii="Arial" w:hAnsi="Arial" w:cs="Arial"/>
          <w:b/>
          <w:sz w:val="18"/>
          <w:szCs w:val="18"/>
        </w:rPr>
      </w:pPr>
    </w:p>
    <w:p w14:paraId="118945D5" w14:textId="77777777" w:rsidR="000D153A" w:rsidRPr="002F2E9B" w:rsidRDefault="000D153A" w:rsidP="0061273C">
      <w:pPr>
        <w:jc w:val="center"/>
        <w:rPr>
          <w:rFonts w:ascii="Arial" w:hAnsi="Arial" w:cs="Arial"/>
          <w:b/>
          <w:sz w:val="18"/>
          <w:szCs w:val="18"/>
        </w:rPr>
      </w:pPr>
    </w:p>
    <w:p w14:paraId="34FBEEC9" w14:textId="77777777" w:rsidR="000D153A" w:rsidRPr="002F2E9B" w:rsidRDefault="000D153A" w:rsidP="0061273C">
      <w:pPr>
        <w:jc w:val="center"/>
        <w:rPr>
          <w:rFonts w:ascii="Arial" w:hAnsi="Arial" w:cs="Arial"/>
          <w:b/>
          <w:sz w:val="18"/>
          <w:szCs w:val="18"/>
        </w:rPr>
      </w:pPr>
    </w:p>
    <w:p w14:paraId="066850BA" w14:textId="77777777" w:rsidR="000D153A" w:rsidRPr="002F2E9B" w:rsidRDefault="000D153A" w:rsidP="0061273C">
      <w:pPr>
        <w:jc w:val="center"/>
        <w:rPr>
          <w:rFonts w:ascii="Arial" w:hAnsi="Arial" w:cs="Arial"/>
          <w:b/>
          <w:sz w:val="18"/>
          <w:szCs w:val="18"/>
        </w:rPr>
      </w:pPr>
    </w:p>
    <w:p w14:paraId="377B4D37" w14:textId="77777777" w:rsidR="000D153A" w:rsidRPr="002F2E9B" w:rsidRDefault="000D153A" w:rsidP="0061273C">
      <w:pPr>
        <w:jc w:val="center"/>
        <w:rPr>
          <w:rFonts w:ascii="Arial" w:hAnsi="Arial" w:cs="Arial"/>
          <w:b/>
          <w:sz w:val="18"/>
          <w:szCs w:val="18"/>
        </w:rPr>
      </w:pPr>
    </w:p>
    <w:p w14:paraId="1E5B14CA" w14:textId="77777777" w:rsidR="000D153A" w:rsidRPr="002F2E9B" w:rsidRDefault="000D153A" w:rsidP="0061273C">
      <w:pPr>
        <w:jc w:val="center"/>
        <w:rPr>
          <w:rFonts w:ascii="Arial" w:hAnsi="Arial" w:cs="Arial"/>
          <w:b/>
          <w:sz w:val="18"/>
          <w:szCs w:val="18"/>
        </w:rPr>
      </w:pPr>
    </w:p>
    <w:p w14:paraId="5DDA27D0" w14:textId="77777777" w:rsidR="000D153A" w:rsidRPr="002F2E9B" w:rsidRDefault="000D153A" w:rsidP="0061273C">
      <w:pPr>
        <w:jc w:val="center"/>
        <w:rPr>
          <w:rFonts w:ascii="Arial" w:hAnsi="Arial" w:cs="Arial"/>
          <w:b/>
          <w:sz w:val="18"/>
          <w:szCs w:val="18"/>
        </w:rPr>
      </w:pPr>
    </w:p>
    <w:p w14:paraId="5AB233AD" w14:textId="77777777" w:rsidR="000D153A" w:rsidRPr="002F2E9B" w:rsidRDefault="000D153A" w:rsidP="0061273C">
      <w:pPr>
        <w:jc w:val="center"/>
        <w:rPr>
          <w:rFonts w:ascii="Arial" w:hAnsi="Arial" w:cs="Arial"/>
          <w:b/>
          <w:sz w:val="18"/>
          <w:szCs w:val="18"/>
        </w:rPr>
      </w:pPr>
    </w:p>
    <w:p w14:paraId="0CFB618F" w14:textId="77777777" w:rsidR="000D153A" w:rsidRPr="002F2E9B" w:rsidRDefault="000D153A" w:rsidP="0061273C">
      <w:pPr>
        <w:jc w:val="center"/>
        <w:rPr>
          <w:rFonts w:ascii="Arial" w:hAnsi="Arial" w:cs="Arial"/>
          <w:b/>
          <w:sz w:val="18"/>
          <w:szCs w:val="18"/>
        </w:rPr>
      </w:pPr>
    </w:p>
    <w:p w14:paraId="311739BC" w14:textId="77777777" w:rsidR="000D153A" w:rsidRPr="002F2E9B" w:rsidRDefault="000D153A" w:rsidP="0061273C">
      <w:pPr>
        <w:jc w:val="center"/>
        <w:rPr>
          <w:rFonts w:ascii="Arial" w:hAnsi="Arial" w:cs="Arial"/>
          <w:b/>
          <w:sz w:val="18"/>
          <w:szCs w:val="18"/>
        </w:rPr>
      </w:pPr>
    </w:p>
    <w:p w14:paraId="44D0EA9C" w14:textId="77777777" w:rsidR="000D153A" w:rsidRPr="002F2E9B" w:rsidRDefault="000D153A" w:rsidP="0061273C">
      <w:pPr>
        <w:jc w:val="center"/>
        <w:rPr>
          <w:rFonts w:ascii="Arial" w:hAnsi="Arial" w:cs="Arial"/>
          <w:b/>
          <w:sz w:val="18"/>
          <w:szCs w:val="18"/>
        </w:rPr>
      </w:pPr>
    </w:p>
    <w:p w14:paraId="3341D8AB" w14:textId="77777777" w:rsidR="000D153A" w:rsidRPr="002F2E9B" w:rsidRDefault="000D153A" w:rsidP="0061273C">
      <w:pPr>
        <w:jc w:val="center"/>
        <w:rPr>
          <w:rFonts w:ascii="Arial" w:hAnsi="Arial" w:cs="Arial"/>
          <w:b/>
          <w:sz w:val="18"/>
          <w:szCs w:val="18"/>
        </w:rPr>
      </w:pPr>
    </w:p>
    <w:p w14:paraId="2E7ABC80" w14:textId="77777777" w:rsidR="000D153A" w:rsidRPr="002F2E9B" w:rsidRDefault="000D153A" w:rsidP="0061273C">
      <w:pPr>
        <w:jc w:val="center"/>
        <w:rPr>
          <w:rFonts w:ascii="Arial" w:hAnsi="Arial" w:cs="Arial"/>
          <w:b/>
          <w:sz w:val="18"/>
          <w:szCs w:val="18"/>
        </w:rPr>
      </w:pPr>
    </w:p>
    <w:p w14:paraId="15CE90E6" w14:textId="77777777" w:rsidR="000D153A" w:rsidRPr="002F2E9B" w:rsidRDefault="000D153A" w:rsidP="0061273C">
      <w:pPr>
        <w:jc w:val="center"/>
        <w:rPr>
          <w:rFonts w:ascii="Arial" w:hAnsi="Arial" w:cs="Arial"/>
          <w:b/>
          <w:sz w:val="18"/>
          <w:szCs w:val="18"/>
        </w:rPr>
      </w:pPr>
    </w:p>
    <w:p w14:paraId="0E396F3E" w14:textId="77777777" w:rsidR="000D153A" w:rsidRPr="002F2E9B" w:rsidRDefault="000D153A" w:rsidP="0061273C">
      <w:pPr>
        <w:jc w:val="center"/>
        <w:rPr>
          <w:rFonts w:ascii="Arial" w:hAnsi="Arial" w:cs="Arial"/>
          <w:b/>
          <w:sz w:val="18"/>
          <w:szCs w:val="18"/>
        </w:rPr>
      </w:pPr>
    </w:p>
    <w:p w14:paraId="17A6EBBD" w14:textId="77777777" w:rsidR="000D153A" w:rsidRPr="002F2E9B" w:rsidRDefault="000D153A" w:rsidP="0061273C">
      <w:pPr>
        <w:jc w:val="center"/>
        <w:rPr>
          <w:rFonts w:ascii="Arial" w:hAnsi="Arial" w:cs="Arial"/>
          <w:b/>
          <w:sz w:val="18"/>
          <w:szCs w:val="18"/>
        </w:rPr>
      </w:pPr>
    </w:p>
    <w:p w14:paraId="317C2C1F" w14:textId="77777777" w:rsidR="000D153A" w:rsidRPr="002F2E9B" w:rsidRDefault="000D153A" w:rsidP="0061273C">
      <w:pPr>
        <w:jc w:val="center"/>
        <w:rPr>
          <w:rFonts w:ascii="Arial" w:hAnsi="Arial" w:cs="Arial"/>
          <w:b/>
          <w:sz w:val="18"/>
          <w:szCs w:val="18"/>
        </w:rPr>
      </w:pPr>
    </w:p>
    <w:p w14:paraId="63B66C53" w14:textId="77777777" w:rsidR="000D153A" w:rsidRPr="002F2E9B" w:rsidRDefault="000D153A" w:rsidP="0061273C">
      <w:pPr>
        <w:jc w:val="center"/>
        <w:rPr>
          <w:rFonts w:ascii="Arial" w:hAnsi="Arial" w:cs="Arial"/>
          <w:b/>
          <w:sz w:val="18"/>
          <w:szCs w:val="18"/>
        </w:rPr>
      </w:pPr>
    </w:p>
    <w:p w14:paraId="4103E960" w14:textId="77777777" w:rsidR="000D153A" w:rsidRPr="002F2E9B" w:rsidRDefault="000D153A" w:rsidP="0061273C">
      <w:pPr>
        <w:jc w:val="center"/>
        <w:rPr>
          <w:rFonts w:ascii="Arial" w:hAnsi="Arial" w:cs="Arial"/>
          <w:b/>
          <w:sz w:val="18"/>
          <w:szCs w:val="18"/>
        </w:rPr>
      </w:pPr>
    </w:p>
    <w:p w14:paraId="45457891" w14:textId="77777777" w:rsidR="000D153A" w:rsidRPr="002F2E9B" w:rsidRDefault="000D153A" w:rsidP="0061273C">
      <w:pPr>
        <w:jc w:val="center"/>
        <w:rPr>
          <w:rFonts w:ascii="Arial" w:hAnsi="Arial" w:cs="Arial"/>
          <w:b/>
          <w:sz w:val="18"/>
          <w:szCs w:val="18"/>
        </w:rPr>
      </w:pPr>
    </w:p>
    <w:p w14:paraId="4CDFE03B" w14:textId="77777777" w:rsidR="000D153A" w:rsidRPr="002F2E9B" w:rsidRDefault="000D153A" w:rsidP="0061273C">
      <w:pPr>
        <w:jc w:val="center"/>
        <w:rPr>
          <w:rFonts w:ascii="Arial" w:hAnsi="Arial" w:cs="Arial"/>
          <w:b/>
          <w:sz w:val="18"/>
          <w:szCs w:val="18"/>
        </w:rPr>
      </w:pPr>
    </w:p>
    <w:p w14:paraId="6D3A898D" w14:textId="77777777" w:rsidR="000D153A" w:rsidRPr="002F2E9B" w:rsidRDefault="000D153A" w:rsidP="0061273C">
      <w:pPr>
        <w:jc w:val="center"/>
        <w:rPr>
          <w:rFonts w:ascii="Arial" w:hAnsi="Arial" w:cs="Arial"/>
          <w:b/>
          <w:sz w:val="18"/>
          <w:szCs w:val="18"/>
        </w:rPr>
      </w:pPr>
    </w:p>
    <w:p w14:paraId="33AFACF5" w14:textId="77777777" w:rsidR="000D153A" w:rsidRPr="002F2E9B" w:rsidRDefault="000D153A" w:rsidP="0061273C">
      <w:pPr>
        <w:jc w:val="center"/>
        <w:rPr>
          <w:rFonts w:ascii="Arial" w:hAnsi="Arial" w:cs="Arial"/>
          <w:b/>
          <w:sz w:val="18"/>
          <w:szCs w:val="18"/>
        </w:rPr>
      </w:pPr>
    </w:p>
    <w:p w14:paraId="6ECF764C" w14:textId="77777777" w:rsidR="000D153A" w:rsidRPr="002F2E9B" w:rsidRDefault="000D153A" w:rsidP="0061273C">
      <w:pPr>
        <w:jc w:val="center"/>
        <w:rPr>
          <w:rFonts w:ascii="Arial" w:hAnsi="Arial" w:cs="Arial"/>
          <w:b/>
          <w:sz w:val="18"/>
          <w:szCs w:val="18"/>
        </w:rPr>
      </w:pPr>
    </w:p>
    <w:p w14:paraId="46C719CB" w14:textId="77777777" w:rsidR="000D153A" w:rsidRPr="002F2E9B" w:rsidRDefault="000D153A" w:rsidP="0061273C">
      <w:pPr>
        <w:jc w:val="center"/>
        <w:rPr>
          <w:rFonts w:ascii="Arial" w:hAnsi="Arial" w:cs="Arial"/>
          <w:b/>
          <w:sz w:val="18"/>
          <w:szCs w:val="18"/>
        </w:rPr>
      </w:pPr>
    </w:p>
    <w:p w14:paraId="1B62AF5E" w14:textId="77777777" w:rsidR="000D153A" w:rsidRPr="002F2E9B" w:rsidRDefault="000D153A" w:rsidP="0061273C">
      <w:pPr>
        <w:jc w:val="center"/>
        <w:rPr>
          <w:rFonts w:ascii="Arial" w:hAnsi="Arial" w:cs="Arial"/>
          <w:b/>
          <w:sz w:val="18"/>
          <w:szCs w:val="18"/>
        </w:rPr>
      </w:pPr>
    </w:p>
    <w:p w14:paraId="5BF9858F" w14:textId="77777777" w:rsidR="000D153A" w:rsidRPr="002F2E9B" w:rsidRDefault="000D153A" w:rsidP="0061273C">
      <w:pPr>
        <w:jc w:val="center"/>
        <w:rPr>
          <w:rFonts w:ascii="Arial" w:hAnsi="Arial" w:cs="Arial"/>
          <w:b/>
          <w:sz w:val="18"/>
          <w:szCs w:val="18"/>
        </w:rPr>
      </w:pPr>
    </w:p>
    <w:p w14:paraId="3B1A3751" w14:textId="77777777" w:rsidR="000D153A" w:rsidRPr="002F2E9B" w:rsidRDefault="000D153A" w:rsidP="0061273C">
      <w:pPr>
        <w:jc w:val="center"/>
        <w:rPr>
          <w:rFonts w:ascii="Arial" w:hAnsi="Arial" w:cs="Arial"/>
          <w:b/>
          <w:sz w:val="18"/>
          <w:szCs w:val="18"/>
        </w:rPr>
      </w:pPr>
    </w:p>
    <w:p w14:paraId="72200EEF" w14:textId="77777777" w:rsidR="000D153A" w:rsidRPr="002F2E9B" w:rsidRDefault="000D153A" w:rsidP="0061273C">
      <w:pPr>
        <w:jc w:val="center"/>
        <w:rPr>
          <w:rFonts w:ascii="Arial" w:hAnsi="Arial" w:cs="Arial"/>
          <w:b/>
          <w:sz w:val="18"/>
          <w:szCs w:val="18"/>
        </w:rPr>
      </w:pPr>
    </w:p>
    <w:p w14:paraId="72B844A2" w14:textId="77777777" w:rsidR="000D153A" w:rsidRPr="002F2E9B" w:rsidRDefault="000D153A" w:rsidP="0061273C">
      <w:pPr>
        <w:jc w:val="center"/>
        <w:rPr>
          <w:rFonts w:ascii="Arial" w:hAnsi="Arial" w:cs="Arial"/>
          <w:b/>
          <w:sz w:val="18"/>
          <w:szCs w:val="18"/>
        </w:rPr>
      </w:pPr>
    </w:p>
    <w:p w14:paraId="5502E813" w14:textId="77777777" w:rsidR="000D153A" w:rsidRPr="002F2E9B" w:rsidRDefault="000D153A" w:rsidP="0061273C">
      <w:pPr>
        <w:jc w:val="center"/>
        <w:rPr>
          <w:rFonts w:ascii="Arial" w:hAnsi="Arial" w:cs="Arial"/>
          <w:b/>
          <w:sz w:val="18"/>
          <w:szCs w:val="18"/>
        </w:rPr>
      </w:pPr>
    </w:p>
    <w:p w14:paraId="44E10E44" w14:textId="77777777" w:rsidR="000D153A" w:rsidRPr="002F2E9B" w:rsidRDefault="000D153A" w:rsidP="0061273C">
      <w:pPr>
        <w:jc w:val="center"/>
        <w:rPr>
          <w:rFonts w:ascii="Arial" w:hAnsi="Arial" w:cs="Arial"/>
          <w:b/>
          <w:sz w:val="18"/>
          <w:szCs w:val="18"/>
        </w:rPr>
      </w:pPr>
    </w:p>
    <w:p w14:paraId="0E78E9FA" w14:textId="77777777" w:rsidR="000D153A" w:rsidRPr="002F2E9B" w:rsidRDefault="000D153A" w:rsidP="0061273C">
      <w:pPr>
        <w:jc w:val="center"/>
        <w:rPr>
          <w:rFonts w:ascii="Arial" w:hAnsi="Arial" w:cs="Arial"/>
          <w:b/>
          <w:sz w:val="18"/>
          <w:szCs w:val="18"/>
        </w:rPr>
      </w:pPr>
    </w:p>
    <w:p w14:paraId="19AAB501" w14:textId="08ED30E1" w:rsidR="0061273C" w:rsidRPr="002F2E9B" w:rsidRDefault="0061273C" w:rsidP="0061273C">
      <w:pPr>
        <w:jc w:val="center"/>
        <w:rPr>
          <w:rFonts w:ascii="Arial" w:hAnsi="Arial" w:cs="Arial"/>
          <w:b/>
          <w:sz w:val="18"/>
          <w:szCs w:val="18"/>
        </w:rPr>
      </w:pPr>
      <w:r w:rsidRPr="002F2E9B">
        <w:rPr>
          <w:rFonts w:ascii="Arial" w:hAnsi="Arial" w:cs="Arial"/>
          <w:b/>
          <w:sz w:val="18"/>
          <w:szCs w:val="18"/>
        </w:rPr>
        <w:t>Intergovernmental Oceanographic Commission (IOC)</w:t>
      </w:r>
    </w:p>
    <w:p w14:paraId="44EEB4D7" w14:textId="77777777" w:rsidR="0061273C" w:rsidRPr="002F2E9B" w:rsidRDefault="0061273C" w:rsidP="0061273C">
      <w:pPr>
        <w:jc w:val="center"/>
        <w:rPr>
          <w:rFonts w:ascii="Arial" w:hAnsi="Arial" w:cs="Arial"/>
          <w:sz w:val="18"/>
          <w:szCs w:val="18"/>
        </w:rPr>
      </w:pPr>
      <w:r w:rsidRPr="002F2E9B">
        <w:rPr>
          <w:rFonts w:ascii="Arial" w:hAnsi="Arial" w:cs="Arial"/>
          <w:sz w:val="18"/>
          <w:szCs w:val="18"/>
        </w:rPr>
        <w:t>United Nations Educational, Scientific and Cultural Organization</w:t>
      </w:r>
    </w:p>
    <w:p w14:paraId="149C7CBA" w14:textId="77777777" w:rsidR="0061273C" w:rsidRPr="00AC3115" w:rsidRDefault="0061273C" w:rsidP="0061273C">
      <w:pPr>
        <w:jc w:val="center"/>
        <w:rPr>
          <w:rFonts w:ascii="Arial" w:hAnsi="Arial" w:cs="Arial"/>
          <w:sz w:val="18"/>
          <w:szCs w:val="18"/>
          <w:lang w:val="fr-FR"/>
        </w:rPr>
      </w:pPr>
      <w:r w:rsidRPr="00AC3115">
        <w:rPr>
          <w:rFonts w:ascii="Arial" w:hAnsi="Arial" w:cs="Arial"/>
          <w:sz w:val="18"/>
          <w:szCs w:val="18"/>
          <w:lang w:val="fr-FR"/>
        </w:rPr>
        <w:t>7 Place de Fontenoy</w:t>
      </w:r>
    </w:p>
    <w:p w14:paraId="5269BAD8" w14:textId="77777777" w:rsidR="0061273C" w:rsidRPr="00AC3115" w:rsidRDefault="0061273C" w:rsidP="0061273C">
      <w:pPr>
        <w:jc w:val="center"/>
        <w:rPr>
          <w:rFonts w:ascii="Arial" w:hAnsi="Arial" w:cs="Arial"/>
          <w:sz w:val="18"/>
          <w:szCs w:val="18"/>
          <w:lang w:val="fr-FR"/>
        </w:rPr>
      </w:pPr>
      <w:r w:rsidRPr="00AC3115">
        <w:rPr>
          <w:rFonts w:ascii="Arial" w:hAnsi="Arial" w:cs="Arial"/>
          <w:sz w:val="18"/>
          <w:szCs w:val="18"/>
          <w:lang w:val="fr-FR"/>
        </w:rPr>
        <w:t>75 732 Paris Cedex 07, France</w:t>
      </w:r>
    </w:p>
    <w:p w14:paraId="3D31D10D" w14:textId="77777777" w:rsidR="0061273C" w:rsidRPr="002F2E9B" w:rsidRDefault="0061273C" w:rsidP="0061273C">
      <w:pPr>
        <w:jc w:val="center"/>
        <w:rPr>
          <w:rFonts w:ascii="Arial" w:hAnsi="Arial" w:cs="Arial"/>
          <w:sz w:val="18"/>
          <w:szCs w:val="18"/>
        </w:rPr>
      </w:pPr>
      <w:r w:rsidRPr="002F2E9B">
        <w:rPr>
          <w:rFonts w:ascii="Arial" w:hAnsi="Arial" w:cs="Arial"/>
          <w:sz w:val="18"/>
          <w:szCs w:val="18"/>
        </w:rPr>
        <w:t>Tel.: +33 1 45 68 10 10</w:t>
      </w:r>
    </w:p>
    <w:p w14:paraId="3B2DBEBB" w14:textId="77777777" w:rsidR="0061273C" w:rsidRPr="002F2E9B" w:rsidRDefault="00FE2B4A" w:rsidP="0061273C">
      <w:pPr>
        <w:jc w:val="center"/>
        <w:rPr>
          <w:rFonts w:ascii="Arial" w:hAnsi="Arial" w:cs="Arial"/>
          <w:sz w:val="18"/>
          <w:szCs w:val="18"/>
        </w:rPr>
      </w:pPr>
      <w:hyperlink r:id="rId57" w:history="1">
        <w:r w:rsidR="0061273C" w:rsidRPr="002F2E9B">
          <w:rPr>
            <w:rStyle w:val="Hyperlink"/>
            <w:rFonts w:ascii="Arial" w:hAnsi="Arial" w:cs="Arial"/>
            <w:sz w:val="18"/>
            <w:szCs w:val="18"/>
          </w:rPr>
          <w:t>http://ioc.une</w:t>
        </w:r>
        <w:r w:rsidR="0061273C" w:rsidRPr="002F2E9B">
          <w:rPr>
            <w:rStyle w:val="Hyperlink"/>
            <w:rFonts w:ascii="Arial" w:hAnsi="Arial" w:cs="Arial"/>
            <w:sz w:val="18"/>
            <w:szCs w:val="18"/>
          </w:rPr>
          <w:t>s</w:t>
        </w:r>
        <w:r w:rsidR="0061273C" w:rsidRPr="002F2E9B">
          <w:rPr>
            <w:rStyle w:val="Hyperlink"/>
            <w:rFonts w:ascii="Arial" w:hAnsi="Arial" w:cs="Arial"/>
            <w:sz w:val="18"/>
            <w:szCs w:val="18"/>
          </w:rPr>
          <w:t>co.org</w:t>
        </w:r>
      </w:hyperlink>
    </w:p>
    <w:p w14:paraId="6F0CE4BA" w14:textId="77777777" w:rsidR="004649EA" w:rsidRPr="002F2E9B" w:rsidRDefault="004649EA" w:rsidP="00370302">
      <w:pPr>
        <w:rPr>
          <w:rFonts w:ascii="Arial" w:hAnsi="Arial" w:cs="Arial"/>
        </w:rPr>
      </w:pPr>
    </w:p>
    <w:sectPr w:rsidR="004649EA" w:rsidRPr="002F2E9B" w:rsidSect="003A7106">
      <w:headerReference w:type="even" r:id="rId58"/>
      <w:headerReference w:type="default" r:id="rId59"/>
      <w:headerReference w:type="first" r:id="rId60"/>
      <w:pgSz w:w="11900" w:h="16840"/>
      <w:pgMar w:top="1417" w:right="1135" w:bottom="1417" w:left="1148"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F3EB5" w14:textId="77777777" w:rsidR="000140F1" w:rsidRDefault="000140F1" w:rsidP="004649EA">
      <w:r>
        <w:separator/>
      </w:r>
    </w:p>
  </w:endnote>
  <w:endnote w:type="continuationSeparator" w:id="0">
    <w:p w14:paraId="38DB7CAB" w14:textId="77777777" w:rsidR="000140F1" w:rsidRDefault="000140F1" w:rsidP="0046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pitch w:val="variable"/>
    <w:sig w:usb0="00000000"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942DB" w14:textId="01F859CA" w:rsidR="00A47370" w:rsidRDefault="00A47370" w:rsidP="00A47370">
    <w:pPr>
      <w:pStyle w:val="Footer"/>
      <w:tabs>
        <w:tab w:val="clear" w:pos="4536"/>
        <w:tab w:val="clear" w:pos="9072"/>
        <w:tab w:val="left" w:pos="5320"/>
        <w:tab w:val="left" w:pos="771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8B99C" w14:textId="77777777" w:rsidR="000140F1" w:rsidRDefault="000140F1" w:rsidP="004649EA">
      <w:r>
        <w:separator/>
      </w:r>
    </w:p>
  </w:footnote>
  <w:footnote w:type="continuationSeparator" w:id="0">
    <w:p w14:paraId="1B6E3208" w14:textId="77777777" w:rsidR="000140F1" w:rsidRDefault="000140F1" w:rsidP="00464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8759125"/>
      <w:docPartObj>
        <w:docPartGallery w:val="Page Numbers (Top of Page)"/>
        <w:docPartUnique/>
      </w:docPartObj>
    </w:sdtPr>
    <w:sdtEndPr>
      <w:rPr>
        <w:rStyle w:val="PageNumber"/>
      </w:rPr>
    </w:sdtEndPr>
    <w:sdtContent>
      <w:p w14:paraId="1387F6A2" w14:textId="34AC21D0" w:rsidR="004649EA" w:rsidRDefault="004649EA" w:rsidP="00A866E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55CFD">
          <w:rPr>
            <w:rStyle w:val="PageNumber"/>
            <w:noProof/>
          </w:rPr>
          <w:t>3</w:t>
        </w:r>
        <w:r>
          <w:rPr>
            <w:rStyle w:val="PageNumber"/>
          </w:rPr>
          <w:fldChar w:fldCharType="end"/>
        </w:r>
      </w:p>
    </w:sdtContent>
  </w:sdt>
  <w:p w14:paraId="620D6776" w14:textId="77777777" w:rsidR="004649EA" w:rsidRPr="00633A73" w:rsidRDefault="004649EA" w:rsidP="00633A73">
    <w:pPr>
      <w:pStyle w:val="Header"/>
      <w:ind w:right="360"/>
      <w:rPr>
        <w:rFonts w:ascii="Arial" w:hAnsi="Arial" w:cs="Arial"/>
        <w:i/>
        <w:sz w:val="22"/>
      </w:rPr>
    </w:pPr>
    <w:r w:rsidRPr="00633A73">
      <w:rPr>
        <w:rFonts w:ascii="Arial" w:hAnsi="Arial" w:cs="Arial"/>
        <w:i/>
        <w:sz w:val="22"/>
      </w:rPr>
      <w:t xml:space="preserve">IOC CL-XXXX Annex 1 </w:t>
    </w:r>
    <w:r w:rsidRPr="00633A73">
      <w:rPr>
        <w:rFonts w:ascii="Arial" w:hAnsi="Arial" w:cs="Arial"/>
        <w:i/>
        <w:sz w:val="22"/>
      </w:rPr>
      <w:tab/>
    </w:r>
    <w:r w:rsidRPr="00633A73">
      <w:rPr>
        <w:rFonts w:ascii="Arial" w:hAnsi="Arial" w:cs="Arial"/>
        <w:i/>
        <w:sz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A0FAA" w14:textId="5CF51967" w:rsidR="008F0AA4" w:rsidRDefault="008F0AA4" w:rsidP="00370302">
    <w:pPr>
      <w:pStyle w:val="Marge"/>
      <w:spacing w:after="0"/>
      <w:ind w:firstLine="7088"/>
      <w:jc w:val="left"/>
      <w:rPr>
        <w:rFonts w:cs="Arial"/>
        <w:szCs w:val="22"/>
        <w:lang w:val="en-GB"/>
      </w:rPr>
    </w:pPr>
    <w:r w:rsidRPr="00370302">
      <w:rPr>
        <w:rFonts w:cs="Arial"/>
        <w:noProof/>
        <w:szCs w:val="22"/>
        <w:lang w:val="en-US"/>
      </w:rPr>
      <w:drawing>
        <wp:anchor distT="0" distB="0" distL="114300" distR="114300" simplePos="0" relativeHeight="251659264" behindDoc="1" locked="0" layoutInCell="1" allowOverlap="1" wp14:anchorId="60D7A84E" wp14:editId="762111D6">
          <wp:simplePos x="0" y="0"/>
          <wp:positionH relativeFrom="column">
            <wp:posOffset>3302</wp:posOffset>
          </wp:positionH>
          <wp:positionV relativeFrom="paragraph">
            <wp:posOffset>108483</wp:posOffset>
          </wp:positionV>
          <wp:extent cx="1807193" cy="929031"/>
          <wp:effectExtent l="0" t="0" r="3175" b="4445"/>
          <wp:wrapNone/>
          <wp:docPr id="2" name="Image 2"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193" cy="929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4DE34" w14:textId="1FC095F2" w:rsidR="004649EA" w:rsidRPr="001B3E12" w:rsidRDefault="004649EA" w:rsidP="00FE2B4A">
    <w:pPr>
      <w:pStyle w:val="Marge"/>
      <w:spacing w:after="0"/>
      <w:ind w:firstLine="7230"/>
      <w:jc w:val="left"/>
      <w:rPr>
        <w:rFonts w:cs="Arial"/>
        <w:b/>
        <w:sz w:val="24"/>
        <w:lang w:val="en-GB"/>
      </w:rPr>
    </w:pPr>
    <w:r w:rsidRPr="00D51349">
      <w:rPr>
        <w:rFonts w:cs="Arial"/>
        <w:b/>
        <w:sz w:val="24"/>
        <w:lang w:val="en-GB"/>
      </w:rPr>
      <w:t>IOC</w:t>
    </w:r>
    <w:r w:rsidR="00954BDD" w:rsidRPr="001B3E12">
      <w:rPr>
        <w:rFonts w:cs="Arial"/>
        <w:b/>
        <w:sz w:val="24"/>
        <w:lang w:val="en-GB"/>
      </w:rPr>
      <w:t>/INF</w:t>
    </w:r>
    <w:r w:rsidR="00E4266A" w:rsidRPr="001B3E12">
      <w:rPr>
        <w:rFonts w:cs="Arial"/>
        <w:b/>
        <w:sz w:val="24"/>
        <w:lang w:val="en-GB"/>
      </w:rPr>
      <w:t>-</w:t>
    </w:r>
    <w:r w:rsidR="007056A1" w:rsidRPr="007056A1">
      <w:rPr>
        <w:rFonts w:cs="Arial"/>
        <w:b/>
        <w:sz w:val="24"/>
        <w:lang w:val="en-GB"/>
      </w:rPr>
      <w:t>1401</w:t>
    </w:r>
  </w:p>
  <w:p w14:paraId="5B2D27D0" w14:textId="4EEFC28C" w:rsidR="004649EA" w:rsidRPr="001B3E12" w:rsidRDefault="004649EA" w:rsidP="00FE2B4A">
    <w:pPr>
      <w:tabs>
        <w:tab w:val="left" w:pos="7088"/>
      </w:tabs>
      <w:snapToGrid w:val="0"/>
      <w:ind w:firstLine="7230"/>
      <w:jc w:val="both"/>
      <w:rPr>
        <w:rFonts w:ascii="Arial" w:eastAsia="Times New Roman" w:hAnsi="Arial" w:cs="Arial"/>
        <w:snapToGrid w:val="0"/>
        <w:color w:val="FF0000"/>
        <w:lang w:val="en-GB"/>
      </w:rPr>
    </w:pPr>
    <w:r w:rsidRPr="001B3E12">
      <w:rPr>
        <w:rFonts w:ascii="Arial" w:eastAsia="Times New Roman" w:hAnsi="Arial" w:cs="Arial"/>
        <w:snapToGrid w:val="0"/>
        <w:lang w:val="en-GB"/>
      </w:rPr>
      <w:t xml:space="preserve">Paris, </w:t>
    </w:r>
    <w:r w:rsidR="00485885">
      <w:rPr>
        <w:rFonts w:ascii="Arial" w:eastAsia="Times New Roman" w:hAnsi="Arial" w:cs="Arial"/>
        <w:snapToGrid w:val="0"/>
        <w:lang w:val="en-GB"/>
      </w:rPr>
      <w:t>30</w:t>
    </w:r>
    <w:r w:rsidR="00485885">
      <w:rPr>
        <w:rFonts w:ascii="Arial" w:eastAsia="Times New Roman" w:hAnsi="Arial" w:cs="Arial"/>
        <w:snapToGrid w:val="0"/>
        <w:lang w:val="en-GB"/>
      </w:rPr>
      <w:t xml:space="preserve"> </w:t>
    </w:r>
    <w:r w:rsidR="00624208">
      <w:rPr>
        <w:rFonts w:ascii="Arial" w:eastAsia="Times New Roman" w:hAnsi="Arial" w:cs="Arial"/>
        <w:snapToGrid w:val="0"/>
        <w:lang w:val="en-GB"/>
      </w:rPr>
      <w:t xml:space="preserve">April </w:t>
    </w:r>
    <w:r w:rsidRPr="001B3E12">
      <w:rPr>
        <w:rFonts w:ascii="Arial" w:eastAsia="Times New Roman" w:hAnsi="Arial" w:cs="Arial"/>
        <w:snapToGrid w:val="0"/>
        <w:lang w:val="en-GB"/>
      </w:rPr>
      <w:t>20</w:t>
    </w:r>
    <w:r w:rsidR="00001657" w:rsidRPr="001B3E12">
      <w:rPr>
        <w:rFonts w:ascii="Arial" w:eastAsia="Times New Roman" w:hAnsi="Arial" w:cs="Arial"/>
        <w:snapToGrid w:val="0"/>
        <w:lang w:val="en-GB"/>
      </w:rPr>
      <w:t>2</w:t>
    </w:r>
    <w:r w:rsidR="008A6C4B">
      <w:rPr>
        <w:rFonts w:ascii="Arial" w:eastAsia="Times New Roman" w:hAnsi="Arial" w:cs="Arial"/>
        <w:snapToGrid w:val="0"/>
        <w:lang w:val="en-GB"/>
      </w:rPr>
      <w:t>1</w:t>
    </w:r>
  </w:p>
  <w:p w14:paraId="6E5D35DE" w14:textId="18E9566F" w:rsidR="004649EA" w:rsidRDefault="004649EA" w:rsidP="00FE2B4A">
    <w:pPr>
      <w:tabs>
        <w:tab w:val="left" w:pos="7088"/>
      </w:tabs>
      <w:snapToGrid w:val="0"/>
      <w:ind w:firstLine="7230"/>
      <w:jc w:val="both"/>
      <w:rPr>
        <w:rFonts w:ascii="Arial" w:eastAsia="Times New Roman" w:hAnsi="Arial" w:cs="Arial"/>
        <w:snapToGrid w:val="0"/>
        <w:sz w:val="22"/>
        <w:szCs w:val="22"/>
        <w:lang w:val="en-GB"/>
      </w:rPr>
    </w:pPr>
    <w:r w:rsidRPr="001B3E12">
      <w:rPr>
        <w:rFonts w:ascii="Arial" w:eastAsia="Times New Roman" w:hAnsi="Arial" w:cs="Arial"/>
        <w:snapToGrid w:val="0"/>
        <w:lang w:val="en-GB"/>
      </w:rPr>
      <w:t>English</w:t>
    </w:r>
    <w:r w:rsidR="00E4266A" w:rsidRPr="001B3E12">
      <w:rPr>
        <w:rFonts w:ascii="Arial" w:eastAsia="Times New Roman" w:hAnsi="Arial" w:cs="Arial"/>
        <w:snapToGrid w:val="0"/>
        <w:lang w:val="en-GB"/>
      </w:rPr>
      <w:t xml:space="preserve"> only</w:t>
    </w:r>
  </w:p>
  <w:p w14:paraId="24AC13BB" w14:textId="5E9AC570" w:rsidR="008F0AA4" w:rsidRDefault="008F0AA4" w:rsidP="00370302">
    <w:pPr>
      <w:tabs>
        <w:tab w:val="left" w:pos="7088"/>
      </w:tabs>
      <w:snapToGrid w:val="0"/>
      <w:jc w:val="both"/>
      <w:rPr>
        <w:rFonts w:ascii="Arial" w:eastAsia="Times New Roman" w:hAnsi="Arial" w:cs="Arial"/>
        <w:snapToGrid w:val="0"/>
        <w:sz w:val="22"/>
        <w:szCs w:val="22"/>
        <w:lang w:val="en-GB"/>
      </w:rPr>
    </w:pPr>
  </w:p>
  <w:p w14:paraId="72953DCA" w14:textId="1E4DBFA7" w:rsidR="008F0AA4" w:rsidRDefault="008F0AA4" w:rsidP="00370302">
    <w:pPr>
      <w:tabs>
        <w:tab w:val="left" w:pos="7088"/>
      </w:tabs>
      <w:snapToGrid w:val="0"/>
      <w:jc w:val="both"/>
      <w:rPr>
        <w:rFonts w:ascii="Arial" w:eastAsia="Times New Roman" w:hAnsi="Arial" w:cs="Arial"/>
        <w:snapToGrid w:val="0"/>
        <w:sz w:val="22"/>
        <w:szCs w:val="22"/>
        <w:lang w:val="en-GB"/>
      </w:rPr>
    </w:pPr>
  </w:p>
  <w:p w14:paraId="27BE19D9" w14:textId="77777777" w:rsidR="008F0AA4" w:rsidRPr="007C6CB2" w:rsidRDefault="008F0AA4" w:rsidP="00370302">
    <w:pPr>
      <w:tabs>
        <w:tab w:val="left" w:pos="7088"/>
      </w:tabs>
      <w:snapToGrid w:val="0"/>
      <w:jc w:val="both"/>
      <w:rPr>
        <w:rFonts w:ascii="Arial" w:eastAsia="Times New Roman" w:hAnsi="Arial" w:cs="Arial"/>
        <w:snapToGrid w:val="0"/>
        <w:sz w:val="22"/>
        <w:szCs w:val="22"/>
        <w:lang w:val="en-GB"/>
      </w:rPr>
    </w:pPr>
  </w:p>
  <w:p w14:paraId="08E887A7" w14:textId="1B2500D4" w:rsidR="004649EA" w:rsidRPr="007C6CB2" w:rsidRDefault="004649EA" w:rsidP="00671147">
    <w:pPr>
      <w:tabs>
        <w:tab w:val="left" w:pos="-1440"/>
        <w:tab w:val="left" w:pos="-720"/>
        <w:tab w:val="left" w:pos="0"/>
        <w:tab w:val="left" w:pos="720"/>
        <w:tab w:val="left" w:pos="1440"/>
        <w:tab w:val="left" w:pos="2160"/>
        <w:tab w:val="left" w:pos="2880"/>
        <w:tab w:val="left" w:pos="3600"/>
        <w:tab w:val="left" w:pos="4320"/>
        <w:tab w:val="left" w:pos="5040"/>
        <w:tab w:val="left" w:pos="5523"/>
        <w:tab w:val="left" w:pos="5670"/>
        <w:tab w:val="left" w:pos="5760"/>
        <w:tab w:val="left" w:pos="6480"/>
        <w:tab w:val="left" w:pos="6660"/>
        <w:tab w:val="left" w:pos="7020"/>
      </w:tabs>
      <w:jc w:val="both"/>
      <w:rPr>
        <w:rFonts w:cs="Arial"/>
        <w:b/>
        <w:szCs w:val="22"/>
      </w:rPr>
    </w:pPr>
  </w:p>
  <w:p w14:paraId="5BA8CAD6" w14:textId="0D0F88FE" w:rsidR="004649EA" w:rsidRPr="007C6CB2" w:rsidRDefault="004649EA" w:rsidP="00370302">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cs="Arial"/>
        <w:b/>
        <w:szCs w:val="22"/>
      </w:rPr>
    </w:pPr>
  </w:p>
  <w:p w14:paraId="757A6448" w14:textId="7CD8F256" w:rsidR="004649EA" w:rsidRPr="007C6CB2" w:rsidRDefault="004649EA" w:rsidP="00370302">
    <w:pPr>
      <w:tabs>
        <w:tab w:val="left" w:pos="-1440"/>
        <w:tab w:val="left" w:pos="-720"/>
        <w:tab w:val="left" w:pos="0"/>
        <w:tab w:val="left" w:pos="567"/>
        <w:tab w:val="left" w:pos="720"/>
        <w:tab w:val="left" w:pos="2160"/>
        <w:tab w:val="left" w:pos="3600"/>
        <w:tab w:val="left" w:pos="4320"/>
        <w:tab w:val="left" w:pos="5040"/>
        <w:tab w:val="left" w:pos="5523"/>
        <w:tab w:val="left" w:pos="6480"/>
      </w:tabs>
      <w:snapToGrid w:val="0"/>
      <w:jc w:val="center"/>
      <w:rPr>
        <w:rFonts w:ascii="Arial" w:eastAsia="Times New Roman" w:hAnsi="Arial" w:cs="Arial"/>
        <w:b/>
        <w:snapToGrid w:val="0"/>
        <w:lang w:val="en-GB"/>
      </w:rPr>
    </w:pPr>
    <w:r w:rsidRPr="007C6CB2">
      <w:rPr>
        <w:rFonts w:ascii="Arial" w:eastAsia="Times New Roman" w:hAnsi="Arial" w:cs="Arial"/>
        <w:b/>
        <w:snapToGrid w:val="0"/>
        <w:lang w:val="en-GB"/>
      </w:rPr>
      <w:t>INTERGOVERNMENTAL OCEANOGRAPHIC COMMISSION</w:t>
    </w:r>
  </w:p>
  <w:p w14:paraId="7366179D" w14:textId="77777777" w:rsidR="004649EA" w:rsidRPr="007C6CB2" w:rsidRDefault="004649EA" w:rsidP="00370302">
    <w:pPr>
      <w:tabs>
        <w:tab w:val="left" w:pos="-1440"/>
        <w:tab w:val="left" w:pos="-720"/>
        <w:tab w:val="left" w:pos="0"/>
        <w:tab w:val="left" w:pos="720"/>
        <w:tab w:val="left" w:pos="2160"/>
        <w:tab w:val="left" w:pos="3600"/>
        <w:tab w:val="left" w:pos="4320"/>
        <w:tab w:val="left" w:pos="5040"/>
        <w:tab w:val="left" w:pos="5523"/>
        <w:tab w:val="left" w:pos="6480"/>
      </w:tabs>
      <w:jc w:val="center"/>
      <w:rPr>
        <w:rFonts w:ascii="Arial" w:eastAsia="Times New Roman" w:hAnsi="Arial" w:cs="Arial"/>
        <w:bCs/>
        <w:snapToGrid w:val="0"/>
        <w:lang w:val="en-GB"/>
      </w:rPr>
    </w:pPr>
    <w:r w:rsidRPr="007C6CB2">
      <w:rPr>
        <w:rFonts w:ascii="Arial" w:eastAsia="Times New Roman" w:hAnsi="Arial" w:cs="Arial"/>
        <w:bCs/>
        <w:snapToGrid w:val="0"/>
        <w:lang w:val="en-GB"/>
      </w:rPr>
      <w:t>(of UNESCO)</w:t>
    </w:r>
  </w:p>
  <w:p w14:paraId="2EA4CCCF" w14:textId="77777777" w:rsidR="004649EA" w:rsidRPr="007C6CB2" w:rsidRDefault="004649EA" w:rsidP="00370302">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ind w:left="2772"/>
      <w:jc w:val="center"/>
      <w:rPr>
        <w:rFonts w:cs="Arial"/>
        <w:b/>
        <w:szCs w:val="22"/>
      </w:rPr>
    </w:pPr>
  </w:p>
  <w:p w14:paraId="23711EB2" w14:textId="77777777" w:rsidR="004649EA" w:rsidRPr="007C6CB2" w:rsidRDefault="004649EA" w:rsidP="00671147">
    <w:pPr>
      <w:tabs>
        <w:tab w:val="left" w:pos="-1440"/>
        <w:tab w:val="left" w:pos="-720"/>
        <w:tab w:val="left" w:pos="720"/>
        <w:tab w:val="left" w:pos="1440"/>
        <w:tab w:val="left" w:pos="2160"/>
        <w:tab w:val="left" w:pos="3600"/>
        <w:tab w:val="left" w:pos="4320"/>
        <w:tab w:val="left" w:pos="5040"/>
        <w:tab w:val="left" w:pos="5523"/>
        <w:tab w:val="left" w:pos="6480"/>
      </w:tabs>
      <w:ind w:left="2772"/>
      <w:rPr>
        <w:rFonts w:cs="Arial"/>
        <w:bCs/>
        <w:szCs w:val="22"/>
      </w:rPr>
    </w:pPr>
  </w:p>
  <w:p w14:paraId="45B3592C" w14:textId="77777777" w:rsidR="004649EA" w:rsidRPr="007C6CB2" w:rsidRDefault="004649EA" w:rsidP="00671147">
    <w:pPr>
      <w:jc w:val="center"/>
      <w:rPr>
        <w:rFonts w:cs="Arial"/>
        <w:szCs w:val="22"/>
      </w:rPr>
    </w:pPr>
  </w:p>
  <w:p w14:paraId="5D18435E" w14:textId="77777777" w:rsidR="004649EA" w:rsidRPr="007C6CB2" w:rsidRDefault="004649EA" w:rsidP="00671147">
    <w:pPr>
      <w:jc w:val="center"/>
      <w:rPr>
        <w:rFonts w:cs="Arial"/>
        <w:szCs w:val="22"/>
      </w:rPr>
    </w:pPr>
  </w:p>
  <w:p w14:paraId="06DD4DCF" w14:textId="77777777" w:rsidR="004649EA" w:rsidRPr="007C6CB2" w:rsidRDefault="004649EA" w:rsidP="00671147">
    <w:pPr>
      <w:jc w:val="center"/>
      <w:rPr>
        <w:rFonts w:cs="Arial"/>
        <w:szCs w:val="22"/>
      </w:rPr>
    </w:pPr>
  </w:p>
  <w:p w14:paraId="72FEBDD0" w14:textId="29C133A7" w:rsidR="004649EA" w:rsidRPr="007C6CB2" w:rsidRDefault="00E4266A" w:rsidP="00671147">
    <w:pPr>
      <w:jc w:val="center"/>
      <w:rPr>
        <w:rFonts w:cs="Arial"/>
        <w:szCs w:val="22"/>
      </w:rPr>
    </w:pPr>
    <w:r>
      <w:rPr>
        <w:noProof/>
      </w:rPr>
      <mc:AlternateContent>
        <mc:Choice Requires="wps">
          <w:drawing>
            <wp:anchor distT="0" distB="0" distL="114300" distR="114300" simplePos="0" relativeHeight="251661312" behindDoc="1" locked="0" layoutInCell="1" allowOverlap="1" wp14:anchorId="3EA42E93" wp14:editId="4CC41264">
              <wp:simplePos x="0" y="0"/>
              <wp:positionH relativeFrom="margin">
                <wp:align>center</wp:align>
              </wp:positionH>
              <wp:positionV relativeFrom="paragraph">
                <wp:posOffset>76743</wp:posOffset>
              </wp:positionV>
              <wp:extent cx="2523490" cy="509905"/>
              <wp:effectExtent l="0" t="0" r="10795" b="19050"/>
              <wp:wrapTight wrapText="bothSides">
                <wp:wrapPolygon edited="0">
                  <wp:start x="0" y="0"/>
                  <wp:lineTo x="0" y="21600"/>
                  <wp:lineTo x="21529" y="21600"/>
                  <wp:lineTo x="21529" y="0"/>
                  <wp:lineTo x="0" y="0"/>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3490" cy="509905"/>
                      </a:xfrm>
                      <a:prstGeom prst="rect">
                        <a:avLst/>
                      </a:prstGeom>
                      <a:solidFill>
                        <a:srgbClr val="FFFFFF"/>
                      </a:solidFill>
                      <a:ln w="9525">
                        <a:solidFill>
                          <a:srgbClr val="000000"/>
                        </a:solidFill>
                        <a:miter lim="800000"/>
                        <a:headEnd/>
                        <a:tailEnd/>
                      </a:ln>
                    </wps:spPr>
                    <wps:txbx>
                      <w:txbxContent>
                        <w:p w14:paraId="5A82ABF9" w14:textId="77777777" w:rsidR="00E4266A" w:rsidRPr="0079450F" w:rsidRDefault="00E4266A" w:rsidP="00370302">
                          <w:pPr>
                            <w:spacing w:before="120" w:after="120"/>
                            <w:rPr>
                              <w:rFonts w:ascii="Arial" w:hAnsi="Arial" w:cs="Arial"/>
                              <w:b/>
                              <w:sz w:val="28"/>
                              <w:szCs w:val="28"/>
                            </w:rPr>
                          </w:pPr>
                          <w:r w:rsidRPr="0079450F">
                            <w:rPr>
                              <w:rFonts w:ascii="Arial" w:hAnsi="Arial" w:cs="Arial"/>
                              <w:b/>
                              <w:sz w:val="28"/>
                              <w:szCs w:val="28"/>
                            </w:rPr>
                            <w:t>INFORMATION DOCUMENT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A42E93" id="_x0000_t202" coordsize="21600,21600" o:spt="202" path="m,l,21600r21600,l21600,xe">
              <v:stroke joinstyle="miter"/>
              <v:path gradientshapeok="t" o:connecttype="rect"/>
            </v:shapetype>
            <v:shape id="Text Box 10" o:spid="_x0000_s1026" type="#_x0000_t202" style="position:absolute;left:0;text-align:left;margin-left:0;margin-top:6.05pt;width:198.7pt;height:40.15pt;z-index:-2516551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3FFwIAADgEAAAOAAAAZHJzL2Uyb0RvYy54bWysU9uO2yAQfa/Uf0C8N3bcuN1YcVbtblNV&#10;2l6k3X4AxjhGBQYBiZ1+fQecZK22T1V5QAxzOMycmdncjlqRo3BegqnpcpFTIgyHVpp9Tb8/7V7d&#10;UOIDMy1TYERNT8LT2+3LF5vBVqKAHlQrHEES46vB1rQPwVZZ5nkvNPMLsMKgswOnWUDT7bPWsQHZ&#10;tcqKPH+TDeBa64AL7/H2fnLSbeLvOsHD167zIhBVU4wtpN2lvYl7tt2wau+Y7SU/h8H+IQrNpMFP&#10;r1T3LDBycPIPKi25Aw9dWHDQGXSd5CLlgNks89+yeeyZFSkXFMfbq0z+/9HyL8dvjsgWa0eJYRpL&#10;9CTGQN7DSJZJnsH6ClGPFnFhxPsIjal6+wD8h0cFsxkmKu/Rh+hm+AwtErJDgPRi7JyOLzFtgjRY&#10;j9O1BvFTjpdFWbxerdHF0Vfm63VexiJlrLq8ts6HjwI0iYeaOqxxYmfHBx8m6AWSwgQl251UKhlu&#10;39wpR44M+2GX1pndz2HKkKGm67Iop0znPj+nyNP6G4WWARtbSV3TmyuIVb1g7QfTprYLTKrpjNkp&#10;c9YxSjeJGMZmRGDUs4H2hIo6mBoYBw4PPbiflAzYvDU1OF2UqE8Ge2O9XK1irydjVb4t0HBzTzP3&#10;MMORqKaBkul4F6b5OFgn9z3+cyn3O6zjTiaJn2M6R43tmYp0HqXY/3M7oZ4HfvsLAAD//wMAUEsD&#10;BBQABgAIAAAAIQDTebSx3AAAAAYBAAAPAAAAZHJzL2Rvd25yZXYueG1sTI/BTsMwEETvSPyDtUhc&#10;EHUaKqAhTgWIcqTC7YHjNtkmgXgdxU4b/p7lBMedGc28zVeT69SRhtB6NjCfJaCIS1+1XBvYbdfX&#10;96BCRK6w80wGvinAqjg/yzGr/Inf6WhjraSEQ4YGmhj7TOtQNuQwzHxPLN7BDw6jnEOtqwFPUu46&#10;nSbJrXbYsiw02NNzQ+WXHZ0B+4Tl+nDlNu3n68uHtaPfvKE35vJienwAFWmKf2H4xRd0KIRp70eu&#10;guoMyCNR1HQOStyb5d0C1N7AMl2ALnL9H7/4AQAA//8DAFBLAQItABQABgAIAAAAIQC2gziS/gAA&#10;AOEBAAATAAAAAAAAAAAAAAAAAAAAAABbQ29udGVudF9UeXBlc10ueG1sUEsBAi0AFAAGAAgAAAAh&#10;ADj9If/WAAAAlAEAAAsAAAAAAAAAAAAAAAAALwEAAF9yZWxzLy5yZWxzUEsBAi0AFAAGAAgAAAAh&#10;AIaTfcUXAgAAOAQAAA4AAAAAAAAAAAAAAAAALgIAAGRycy9lMm9Eb2MueG1sUEsBAi0AFAAGAAgA&#10;AAAhANN5tLHcAAAABgEAAA8AAAAAAAAAAAAAAAAAcQQAAGRycy9kb3ducmV2LnhtbFBLBQYAAAAA&#10;BAAEAPMAAAB6BQAAAAA=&#10;">
              <v:path arrowok="t"/>
              <v:textbox style="mso-fit-shape-to-text:t">
                <w:txbxContent>
                  <w:p w14:paraId="5A82ABF9" w14:textId="77777777" w:rsidR="00E4266A" w:rsidRPr="0079450F" w:rsidRDefault="00E4266A" w:rsidP="00370302">
                    <w:pPr>
                      <w:spacing w:before="120" w:after="120"/>
                      <w:rPr>
                        <w:rFonts w:ascii="Arial" w:hAnsi="Arial" w:cs="Arial"/>
                        <w:b/>
                        <w:sz w:val="28"/>
                        <w:szCs w:val="28"/>
                      </w:rPr>
                    </w:pPr>
                    <w:r w:rsidRPr="0079450F">
                      <w:rPr>
                        <w:rFonts w:ascii="Arial" w:hAnsi="Arial" w:cs="Arial"/>
                        <w:b/>
                        <w:sz w:val="28"/>
                        <w:szCs w:val="28"/>
                      </w:rPr>
                      <w:t>INFORMATION DOCUMENT</w:t>
                    </w:r>
                  </w:p>
                </w:txbxContent>
              </v:textbox>
              <w10:wrap type="tight" anchorx="margin"/>
            </v:shape>
          </w:pict>
        </mc:Fallback>
      </mc:AlternateContent>
    </w:r>
  </w:p>
  <w:p w14:paraId="3D0D47F6" w14:textId="77777777" w:rsidR="00E4266A" w:rsidRDefault="00E4266A" w:rsidP="00671147">
    <w:pPr>
      <w:rPr>
        <w:rFonts w:ascii="Arial" w:eastAsia="Times New Roman" w:hAnsi="Arial" w:cs="Arial"/>
        <w:snapToGrid w:val="0"/>
        <w:u w:val="single"/>
        <w:lang w:val="en-GB"/>
      </w:rPr>
    </w:pPr>
  </w:p>
  <w:p w14:paraId="629CC8FE" w14:textId="77777777" w:rsidR="004649EA" w:rsidRPr="007C6CB2" w:rsidRDefault="004649EA" w:rsidP="00671147">
    <w:pPr>
      <w:rPr>
        <w:rFonts w:cs="Arial"/>
        <w:szCs w:val="22"/>
      </w:rPr>
    </w:pPr>
  </w:p>
  <w:p w14:paraId="33D79CD4" w14:textId="77777777" w:rsidR="004649EA" w:rsidRPr="007C6CB2" w:rsidRDefault="004649EA" w:rsidP="00671147">
    <w:pPr>
      <w:rPr>
        <w:rFonts w:cs="Arial"/>
        <w:szCs w:val="22"/>
      </w:rPr>
    </w:pPr>
  </w:p>
  <w:p w14:paraId="71A841B6" w14:textId="03FAE245" w:rsidR="004649EA" w:rsidRPr="009C15B1" w:rsidRDefault="004649EA" w:rsidP="00671147">
    <w:pPr>
      <w:pStyle w:val="Docheading"/>
    </w:pPr>
    <w:r w:rsidRPr="007C6CB2">
      <w:t xml:space="preserve">UPDATE ON IOC CUSTODIANSHIP ROLE </w:t>
    </w:r>
    <w:r w:rsidR="00E4266A">
      <w:br/>
    </w:r>
    <w:r w:rsidRPr="007C6CB2">
      <w:t>IN RELATION TO SDG 14 INDICATORS</w:t>
    </w:r>
    <w:r w:rsidR="00044FA9" w:rsidRPr="007C6CB2">
      <w:t>, 20</w:t>
    </w:r>
    <w:r w:rsidR="00001657">
      <w:t>2</w:t>
    </w:r>
    <w:r w:rsidR="00624208">
      <w:t>1</w:t>
    </w:r>
  </w:p>
  <w:p w14:paraId="5EEDD502" w14:textId="77777777" w:rsidR="004649EA" w:rsidRDefault="004649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0E579" w14:textId="7C995641" w:rsidR="00A90C3B" w:rsidRPr="00784CE4" w:rsidRDefault="0061273C">
    <w:pPr>
      <w:pStyle w:val="Header"/>
      <w:rPr>
        <w:rFonts w:ascii="Arial" w:hAnsi="Arial" w:cs="Arial"/>
        <w:sz w:val="20"/>
      </w:rPr>
    </w:pPr>
    <w:r w:rsidRPr="0061273C">
      <w:rPr>
        <w:rFonts w:ascii="Arial" w:hAnsi="Arial" w:cs="Arial"/>
        <w:sz w:val="20"/>
      </w:rPr>
      <w:t>IOC/INF-</w:t>
    </w:r>
    <w:r w:rsidR="00A47370">
      <w:rPr>
        <w:rFonts w:ascii="Arial" w:hAnsi="Arial" w:cs="Arial"/>
        <w:sz w:val="20"/>
      </w:rPr>
      <w:t xml:space="preserve">1401 </w:t>
    </w:r>
    <w:r>
      <w:rPr>
        <w:rFonts w:ascii="Arial" w:hAnsi="Arial" w:cs="Arial"/>
        <w:sz w:val="20"/>
      </w:rPr>
      <w:t xml:space="preserve">– </w:t>
    </w:r>
    <w:r w:rsidR="00825F57">
      <w:rPr>
        <w:rFonts w:ascii="Arial" w:hAnsi="Arial" w:cs="Arial"/>
        <w:sz w:val="20"/>
      </w:rPr>
      <w:t xml:space="preserve">page </w:t>
    </w:r>
    <w:r w:rsidR="00825F57" w:rsidRPr="00AF119E">
      <w:rPr>
        <w:rFonts w:ascii="Arial" w:hAnsi="Arial" w:cs="Arial"/>
        <w:sz w:val="20"/>
      </w:rPr>
      <w:fldChar w:fldCharType="begin"/>
    </w:r>
    <w:r w:rsidR="00825F57" w:rsidRPr="00AF119E">
      <w:rPr>
        <w:rFonts w:ascii="Arial" w:hAnsi="Arial" w:cs="Arial"/>
        <w:sz w:val="20"/>
      </w:rPr>
      <w:instrText>PAGE   \* MERGEFORMAT</w:instrText>
    </w:r>
    <w:r w:rsidR="00825F57" w:rsidRPr="00AF119E">
      <w:rPr>
        <w:rFonts w:ascii="Arial" w:hAnsi="Arial" w:cs="Arial"/>
        <w:sz w:val="20"/>
      </w:rPr>
      <w:fldChar w:fldCharType="separate"/>
    </w:r>
    <w:r w:rsidR="006477CD" w:rsidRPr="006477CD">
      <w:rPr>
        <w:rFonts w:ascii="Arial" w:hAnsi="Arial" w:cs="Arial"/>
        <w:noProof/>
        <w:sz w:val="20"/>
        <w:lang w:val="fr-FR"/>
      </w:rPr>
      <w:t>8</w:t>
    </w:r>
    <w:r w:rsidR="00825F57" w:rsidRPr="00AF119E">
      <w:rPr>
        <w:rFonts w:ascii="Arial" w:hAnsi="Arial" w:cs="Arial"/>
        <w:sz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5E7A5" w14:textId="0E28112D" w:rsidR="00A90C3B" w:rsidRPr="00784CE4" w:rsidRDefault="006C32DA" w:rsidP="00370302">
    <w:pPr>
      <w:pStyle w:val="Marge"/>
      <w:tabs>
        <w:tab w:val="left" w:pos="5670"/>
      </w:tabs>
      <w:spacing w:after="0"/>
      <w:ind w:left="7513"/>
      <w:jc w:val="left"/>
      <w:rPr>
        <w:rFonts w:cs="Arial"/>
        <w:i/>
        <w:sz w:val="20"/>
      </w:rPr>
    </w:pPr>
    <w:r w:rsidRPr="005D5B4D">
      <w:rPr>
        <w:rFonts w:cs="Arial"/>
        <w:sz w:val="20"/>
        <w:szCs w:val="20"/>
        <w:lang w:val="en-US"/>
      </w:rPr>
      <w:t>IOC/INF-</w:t>
    </w:r>
    <w:r w:rsidR="00A47370">
      <w:rPr>
        <w:rFonts w:cs="Arial"/>
        <w:sz w:val="20"/>
        <w:szCs w:val="20"/>
        <w:lang w:val="en-US"/>
      </w:rPr>
      <w:t xml:space="preserve">1401 </w:t>
    </w:r>
    <w:r w:rsidR="0061273C">
      <w:rPr>
        <w:rFonts w:cs="Arial"/>
        <w:sz w:val="20"/>
        <w:szCs w:val="20"/>
        <w:lang w:val="en-US"/>
      </w:rPr>
      <w:t xml:space="preserve">– </w:t>
    </w:r>
    <w:r w:rsidR="00825F57">
      <w:rPr>
        <w:rFonts w:cs="Arial"/>
        <w:sz w:val="20"/>
      </w:rPr>
      <w:t xml:space="preserve">page </w:t>
    </w:r>
    <w:r w:rsidR="00825F57" w:rsidRPr="00AF119E">
      <w:rPr>
        <w:rFonts w:cs="Arial"/>
        <w:sz w:val="20"/>
      </w:rPr>
      <w:fldChar w:fldCharType="begin"/>
    </w:r>
    <w:r w:rsidR="00825F57" w:rsidRPr="00AF119E">
      <w:rPr>
        <w:rFonts w:cs="Arial"/>
        <w:sz w:val="20"/>
      </w:rPr>
      <w:instrText>PAGE   \* MERGEFORMAT</w:instrText>
    </w:r>
    <w:r w:rsidR="00825F57" w:rsidRPr="00AF119E">
      <w:rPr>
        <w:rFonts w:cs="Arial"/>
        <w:sz w:val="20"/>
      </w:rPr>
      <w:fldChar w:fldCharType="separate"/>
    </w:r>
    <w:r w:rsidR="006477CD">
      <w:rPr>
        <w:rFonts w:cs="Arial"/>
        <w:noProof/>
        <w:sz w:val="20"/>
      </w:rPr>
      <w:t>7</w:t>
    </w:r>
    <w:r w:rsidR="00825F57" w:rsidRPr="00AF119E">
      <w:rPr>
        <w:rFonts w:cs="Arial"/>
        <w:sz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DB7D1" w14:textId="089100E3" w:rsidR="00A90C3B" w:rsidRPr="00784CE4" w:rsidRDefault="00954BDD" w:rsidP="00370302">
    <w:pPr>
      <w:pStyle w:val="Marge"/>
      <w:tabs>
        <w:tab w:val="left" w:pos="5670"/>
      </w:tabs>
      <w:spacing w:after="0"/>
      <w:jc w:val="left"/>
      <w:rPr>
        <w:rFonts w:cs="Arial"/>
        <w:sz w:val="20"/>
        <w:szCs w:val="20"/>
      </w:rPr>
    </w:pPr>
    <w:r w:rsidRPr="008457A1">
      <w:rPr>
        <w:rFonts w:cs="Arial"/>
        <w:sz w:val="20"/>
        <w:szCs w:val="20"/>
        <w:lang w:val="en-US"/>
      </w:rPr>
      <w:t>IOC/INF-</w:t>
    </w:r>
    <w:r w:rsidR="00A47370">
      <w:rPr>
        <w:rFonts w:cs="Arial"/>
        <w:sz w:val="20"/>
        <w:szCs w:val="20"/>
        <w:lang w:val="en-US"/>
      </w:rPr>
      <w:t>1401</w:t>
    </w:r>
    <w:r w:rsidR="0061273C">
      <w:rPr>
        <w:rFonts w:cs="Arial"/>
        <w:sz w:val="20"/>
        <w:szCs w:val="20"/>
        <w:lang w:val="en-US"/>
      </w:rPr>
      <w:t xml:space="preserve"> – </w:t>
    </w:r>
    <w:r w:rsidR="00825F57" w:rsidRPr="00784CE4">
      <w:rPr>
        <w:rFonts w:cs="Arial"/>
        <w:sz w:val="20"/>
        <w:szCs w:val="20"/>
      </w:rPr>
      <w:t xml:space="preserve">page </w:t>
    </w:r>
    <w:r w:rsidR="00825F57" w:rsidRPr="00784CE4">
      <w:rPr>
        <w:rFonts w:cs="Arial"/>
        <w:sz w:val="20"/>
        <w:szCs w:val="20"/>
      </w:rPr>
      <w:fldChar w:fldCharType="begin"/>
    </w:r>
    <w:r w:rsidR="00825F57" w:rsidRPr="00784CE4">
      <w:rPr>
        <w:rFonts w:cs="Arial"/>
        <w:sz w:val="20"/>
        <w:szCs w:val="20"/>
      </w:rPr>
      <w:instrText>PAGE   \* MERGEFORMAT</w:instrText>
    </w:r>
    <w:r w:rsidR="00825F57" w:rsidRPr="00784CE4">
      <w:rPr>
        <w:rFonts w:cs="Arial"/>
        <w:sz w:val="20"/>
        <w:szCs w:val="20"/>
      </w:rPr>
      <w:fldChar w:fldCharType="separate"/>
    </w:r>
    <w:r w:rsidR="006477CD">
      <w:rPr>
        <w:rFonts w:cs="Arial"/>
        <w:noProof/>
        <w:sz w:val="20"/>
        <w:szCs w:val="20"/>
      </w:rPr>
      <w:t>2</w:t>
    </w:r>
    <w:r w:rsidR="00825F57" w:rsidRPr="00784CE4">
      <w:rPr>
        <w:rFonts w:cs="Arial"/>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A7A67"/>
    <w:multiLevelType w:val="hybridMultilevel"/>
    <w:tmpl w:val="6EE0E5D6"/>
    <w:lvl w:ilvl="0" w:tplc="D9D41F64">
      <w:start w:val="1"/>
      <w:numFmt w:val="lowerRoman"/>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2C7085"/>
    <w:multiLevelType w:val="hybridMultilevel"/>
    <w:tmpl w:val="A8E046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F907EA"/>
    <w:multiLevelType w:val="hybridMultilevel"/>
    <w:tmpl w:val="B0EAAEC4"/>
    <w:lvl w:ilvl="0" w:tplc="ADA66414">
      <w:start w:val="23"/>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2452ED"/>
    <w:multiLevelType w:val="hybridMultilevel"/>
    <w:tmpl w:val="D9E0F7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8D7BFA"/>
    <w:multiLevelType w:val="multilevel"/>
    <w:tmpl w:val="F5985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B54B43"/>
    <w:multiLevelType w:val="multilevel"/>
    <w:tmpl w:val="F6C46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A54D77"/>
    <w:multiLevelType w:val="multilevel"/>
    <w:tmpl w:val="16EA5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820E4D"/>
    <w:multiLevelType w:val="hybridMultilevel"/>
    <w:tmpl w:val="84982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577569"/>
    <w:multiLevelType w:val="multilevel"/>
    <w:tmpl w:val="F83E2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1816AA"/>
    <w:multiLevelType w:val="hybridMultilevel"/>
    <w:tmpl w:val="6EE0E5D6"/>
    <w:lvl w:ilvl="0" w:tplc="D9D41F64">
      <w:start w:val="1"/>
      <w:numFmt w:val="lowerRoman"/>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316D30"/>
    <w:multiLevelType w:val="multilevel"/>
    <w:tmpl w:val="33EEB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D73A3C"/>
    <w:multiLevelType w:val="hybridMultilevel"/>
    <w:tmpl w:val="974A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50784F"/>
    <w:multiLevelType w:val="multilevel"/>
    <w:tmpl w:val="8B62A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21655F"/>
    <w:multiLevelType w:val="hybridMultilevel"/>
    <w:tmpl w:val="56B013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CF55FDF"/>
    <w:multiLevelType w:val="hybridMultilevel"/>
    <w:tmpl w:val="7284983A"/>
    <w:lvl w:ilvl="0" w:tplc="ADA66414">
      <w:start w:val="23"/>
      <w:numFmt w:val="decimal"/>
      <w:lvlText w:val="%1."/>
      <w:lvlJc w:val="left"/>
      <w:pPr>
        <w:ind w:left="502"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912719"/>
    <w:multiLevelType w:val="multilevel"/>
    <w:tmpl w:val="23969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5719AB"/>
    <w:multiLevelType w:val="hybridMultilevel"/>
    <w:tmpl w:val="D4AEA920"/>
    <w:lvl w:ilvl="0" w:tplc="A1EC7170">
      <w:start w:val="1"/>
      <w:numFmt w:val="decimal"/>
      <w:lvlText w:val="%1."/>
      <w:lvlJc w:val="left"/>
      <w:pPr>
        <w:ind w:left="1080" w:hanging="360"/>
      </w:pPr>
      <w:rPr>
        <w:lang w:val="en-U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2671799"/>
    <w:multiLevelType w:val="hybridMultilevel"/>
    <w:tmpl w:val="2EDC2E5A"/>
    <w:lvl w:ilvl="0" w:tplc="D9D41F64">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A9736F"/>
    <w:multiLevelType w:val="hybridMultilevel"/>
    <w:tmpl w:val="98EAE282"/>
    <w:lvl w:ilvl="0" w:tplc="0809000F">
      <w:start w:val="1"/>
      <w:numFmt w:val="decimal"/>
      <w:lvlText w:val="%1."/>
      <w:lvlJc w:val="left"/>
      <w:pPr>
        <w:ind w:left="502" w:hanging="360"/>
      </w:pPr>
      <w:rPr>
        <w:rFonts w:hint="default"/>
      </w:rPr>
    </w:lvl>
    <w:lvl w:ilvl="1" w:tplc="040C001B">
      <w:start w:val="1"/>
      <w:numFmt w:val="lowerRoman"/>
      <w:lvlText w:val="%2."/>
      <w:lvlJc w:val="righ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86E59EC"/>
    <w:multiLevelType w:val="hybridMultilevel"/>
    <w:tmpl w:val="F8FA3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B2F1721"/>
    <w:multiLevelType w:val="hybridMultilevel"/>
    <w:tmpl w:val="A76AFF72"/>
    <w:lvl w:ilvl="0" w:tplc="ADA66414">
      <w:start w:val="23"/>
      <w:numFmt w:val="decimal"/>
      <w:lvlText w:val="%1."/>
      <w:lvlJc w:val="left"/>
      <w:pPr>
        <w:ind w:left="1068" w:hanging="360"/>
      </w:pPr>
      <w:rPr>
        <w:rFonts w:ascii="Arial" w:hAnsi="Arial" w:cs="Aria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1" w15:restartNumberingAfterBreak="0">
    <w:nsid w:val="7E263AF5"/>
    <w:multiLevelType w:val="multilevel"/>
    <w:tmpl w:val="F512428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E8918D8"/>
    <w:multiLevelType w:val="multilevel"/>
    <w:tmpl w:val="8F22B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F97161E"/>
    <w:multiLevelType w:val="hybridMultilevel"/>
    <w:tmpl w:val="8170405E"/>
    <w:lvl w:ilvl="0" w:tplc="ADA66414">
      <w:start w:val="23"/>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E00C89"/>
    <w:multiLevelType w:val="multilevel"/>
    <w:tmpl w:val="0870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2"/>
  </w:num>
  <w:num w:numId="3">
    <w:abstractNumId w:val="22"/>
  </w:num>
  <w:num w:numId="4">
    <w:abstractNumId w:val="6"/>
  </w:num>
  <w:num w:numId="5">
    <w:abstractNumId w:val="21"/>
  </w:num>
  <w:num w:numId="6">
    <w:abstractNumId w:val="15"/>
  </w:num>
  <w:num w:numId="7">
    <w:abstractNumId w:val="8"/>
  </w:num>
  <w:num w:numId="8">
    <w:abstractNumId w:val="5"/>
  </w:num>
  <w:num w:numId="9">
    <w:abstractNumId w:val="4"/>
  </w:num>
  <w:num w:numId="10">
    <w:abstractNumId w:val="3"/>
  </w:num>
  <w:num w:numId="11">
    <w:abstractNumId w:val="7"/>
  </w:num>
  <w:num w:numId="12">
    <w:abstractNumId w:val="11"/>
  </w:num>
  <w:num w:numId="13">
    <w:abstractNumId w:val="18"/>
  </w:num>
  <w:num w:numId="14">
    <w:abstractNumId w:val="0"/>
  </w:num>
  <w:num w:numId="15">
    <w:abstractNumId w:val="17"/>
  </w:num>
  <w:num w:numId="16">
    <w:abstractNumId w:val="9"/>
  </w:num>
  <w:num w:numId="17">
    <w:abstractNumId w:val="13"/>
  </w:num>
  <w:num w:numId="18">
    <w:abstractNumId w:val="14"/>
  </w:num>
  <w:num w:numId="19">
    <w:abstractNumId w:val="23"/>
  </w:num>
  <w:num w:numId="20">
    <w:abstractNumId w:val="24"/>
  </w:num>
  <w:num w:numId="21">
    <w:abstractNumId w:val="20"/>
  </w:num>
  <w:num w:numId="22">
    <w:abstractNumId w:val="2"/>
  </w:num>
  <w:num w:numId="23">
    <w:abstractNumId w:val="1"/>
  </w:num>
  <w:num w:numId="24">
    <w:abstractNumId w:val="1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revisionView w:markup="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9EA"/>
    <w:rsid w:val="00001657"/>
    <w:rsid w:val="00004CFA"/>
    <w:rsid w:val="0000706D"/>
    <w:rsid w:val="0001119F"/>
    <w:rsid w:val="000140F1"/>
    <w:rsid w:val="0002369A"/>
    <w:rsid w:val="0002762D"/>
    <w:rsid w:val="0003379E"/>
    <w:rsid w:val="00034296"/>
    <w:rsid w:val="00044FA9"/>
    <w:rsid w:val="00064002"/>
    <w:rsid w:val="00084BCB"/>
    <w:rsid w:val="00084EF6"/>
    <w:rsid w:val="00092049"/>
    <w:rsid w:val="000B596F"/>
    <w:rsid w:val="000C097D"/>
    <w:rsid w:val="000C2D1B"/>
    <w:rsid w:val="000C7822"/>
    <w:rsid w:val="000C7F05"/>
    <w:rsid w:val="000D153A"/>
    <w:rsid w:val="000E2144"/>
    <w:rsid w:val="000E5C08"/>
    <w:rsid w:val="000F3D64"/>
    <w:rsid w:val="00125040"/>
    <w:rsid w:val="00146EB0"/>
    <w:rsid w:val="0018210A"/>
    <w:rsid w:val="0018493C"/>
    <w:rsid w:val="00197DD5"/>
    <w:rsid w:val="001B29AB"/>
    <w:rsid w:val="001B3E12"/>
    <w:rsid w:val="001F7C5D"/>
    <w:rsid w:val="002125F1"/>
    <w:rsid w:val="00220846"/>
    <w:rsid w:val="00230506"/>
    <w:rsid w:val="00241384"/>
    <w:rsid w:val="0024379A"/>
    <w:rsid w:val="00277309"/>
    <w:rsid w:val="00280759"/>
    <w:rsid w:val="00282535"/>
    <w:rsid w:val="00284AC8"/>
    <w:rsid w:val="0029000C"/>
    <w:rsid w:val="002C099F"/>
    <w:rsid w:val="002C2834"/>
    <w:rsid w:val="002D052D"/>
    <w:rsid w:val="002D2A13"/>
    <w:rsid w:val="002E003B"/>
    <w:rsid w:val="002E2FE6"/>
    <w:rsid w:val="002F11D3"/>
    <w:rsid w:val="002F2E9B"/>
    <w:rsid w:val="002F5A78"/>
    <w:rsid w:val="00324FFB"/>
    <w:rsid w:val="003262EB"/>
    <w:rsid w:val="00370302"/>
    <w:rsid w:val="0037461F"/>
    <w:rsid w:val="003801E7"/>
    <w:rsid w:val="00395B25"/>
    <w:rsid w:val="003A505E"/>
    <w:rsid w:val="003A6B36"/>
    <w:rsid w:val="003A7106"/>
    <w:rsid w:val="003D420C"/>
    <w:rsid w:val="00400BED"/>
    <w:rsid w:val="00425EF7"/>
    <w:rsid w:val="00441CFC"/>
    <w:rsid w:val="00452511"/>
    <w:rsid w:val="00453DDB"/>
    <w:rsid w:val="00461A5B"/>
    <w:rsid w:val="004649EA"/>
    <w:rsid w:val="00466DEB"/>
    <w:rsid w:val="00474DDB"/>
    <w:rsid w:val="00476272"/>
    <w:rsid w:val="00480F7C"/>
    <w:rsid w:val="00484674"/>
    <w:rsid w:val="004857D2"/>
    <w:rsid w:val="00485885"/>
    <w:rsid w:val="004A09AC"/>
    <w:rsid w:val="004C3BA6"/>
    <w:rsid w:val="004F5861"/>
    <w:rsid w:val="00520DD3"/>
    <w:rsid w:val="00571307"/>
    <w:rsid w:val="00590A8E"/>
    <w:rsid w:val="005925CC"/>
    <w:rsid w:val="00596223"/>
    <w:rsid w:val="0059736E"/>
    <w:rsid w:val="005D0EDD"/>
    <w:rsid w:val="005D5B4D"/>
    <w:rsid w:val="0061273C"/>
    <w:rsid w:val="00624208"/>
    <w:rsid w:val="006359B9"/>
    <w:rsid w:val="006477CD"/>
    <w:rsid w:val="00666F64"/>
    <w:rsid w:val="00674557"/>
    <w:rsid w:val="00675BEE"/>
    <w:rsid w:val="00676581"/>
    <w:rsid w:val="006977D1"/>
    <w:rsid w:val="006B0016"/>
    <w:rsid w:val="006B38AE"/>
    <w:rsid w:val="006B4503"/>
    <w:rsid w:val="006B7748"/>
    <w:rsid w:val="006C32DA"/>
    <w:rsid w:val="006C6109"/>
    <w:rsid w:val="006D3BB6"/>
    <w:rsid w:val="006F09C7"/>
    <w:rsid w:val="006F5BD2"/>
    <w:rsid w:val="006F7C9D"/>
    <w:rsid w:val="0070118D"/>
    <w:rsid w:val="00704563"/>
    <w:rsid w:val="00704EA5"/>
    <w:rsid w:val="007056A1"/>
    <w:rsid w:val="00724C56"/>
    <w:rsid w:val="00724D2E"/>
    <w:rsid w:val="0073031E"/>
    <w:rsid w:val="00736789"/>
    <w:rsid w:val="00751C2F"/>
    <w:rsid w:val="00755CFD"/>
    <w:rsid w:val="0076223C"/>
    <w:rsid w:val="0076361D"/>
    <w:rsid w:val="007720BA"/>
    <w:rsid w:val="00793615"/>
    <w:rsid w:val="007B39D3"/>
    <w:rsid w:val="007B5195"/>
    <w:rsid w:val="007B6AE6"/>
    <w:rsid w:val="007C6CB2"/>
    <w:rsid w:val="007D588B"/>
    <w:rsid w:val="00802FB7"/>
    <w:rsid w:val="00820897"/>
    <w:rsid w:val="00825F57"/>
    <w:rsid w:val="008457A1"/>
    <w:rsid w:val="00845EB5"/>
    <w:rsid w:val="00850FFF"/>
    <w:rsid w:val="00867638"/>
    <w:rsid w:val="00870104"/>
    <w:rsid w:val="00881C32"/>
    <w:rsid w:val="00883710"/>
    <w:rsid w:val="008906E6"/>
    <w:rsid w:val="008922A7"/>
    <w:rsid w:val="008A5F2E"/>
    <w:rsid w:val="008A6C4B"/>
    <w:rsid w:val="008A6CB9"/>
    <w:rsid w:val="008C2509"/>
    <w:rsid w:val="008C70FB"/>
    <w:rsid w:val="008F0AA4"/>
    <w:rsid w:val="008F4EE5"/>
    <w:rsid w:val="008F550B"/>
    <w:rsid w:val="00931FAC"/>
    <w:rsid w:val="00945265"/>
    <w:rsid w:val="00954BDD"/>
    <w:rsid w:val="009B0306"/>
    <w:rsid w:val="009C20C7"/>
    <w:rsid w:val="00A03ADF"/>
    <w:rsid w:val="00A06400"/>
    <w:rsid w:val="00A13997"/>
    <w:rsid w:val="00A30C1D"/>
    <w:rsid w:val="00A47370"/>
    <w:rsid w:val="00A54EAC"/>
    <w:rsid w:val="00A56081"/>
    <w:rsid w:val="00A7654A"/>
    <w:rsid w:val="00A84906"/>
    <w:rsid w:val="00A84CAD"/>
    <w:rsid w:val="00AA0592"/>
    <w:rsid w:val="00AC3115"/>
    <w:rsid w:val="00AC4E19"/>
    <w:rsid w:val="00AD0003"/>
    <w:rsid w:val="00AF1498"/>
    <w:rsid w:val="00AF39F4"/>
    <w:rsid w:val="00B175F0"/>
    <w:rsid w:val="00B37CFC"/>
    <w:rsid w:val="00B54FAC"/>
    <w:rsid w:val="00B61C03"/>
    <w:rsid w:val="00B65AB1"/>
    <w:rsid w:val="00BA5BC7"/>
    <w:rsid w:val="00BA691D"/>
    <w:rsid w:val="00BB4BD7"/>
    <w:rsid w:val="00BC0F8C"/>
    <w:rsid w:val="00BC68B9"/>
    <w:rsid w:val="00BD287A"/>
    <w:rsid w:val="00BE02CD"/>
    <w:rsid w:val="00BF04CD"/>
    <w:rsid w:val="00BF1CDF"/>
    <w:rsid w:val="00BF2D5A"/>
    <w:rsid w:val="00C03B45"/>
    <w:rsid w:val="00C143A7"/>
    <w:rsid w:val="00C25345"/>
    <w:rsid w:val="00C844F8"/>
    <w:rsid w:val="00CA6BB1"/>
    <w:rsid w:val="00CB208A"/>
    <w:rsid w:val="00CC3FC5"/>
    <w:rsid w:val="00CD49C6"/>
    <w:rsid w:val="00CD6AB9"/>
    <w:rsid w:val="00D02281"/>
    <w:rsid w:val="00D053C5"/>
    <w:rsid w:val="00D11DE2"/>
    <w:rsid w:val="00D243FB"/>
    <w:rsid w:val="00D24EFC"/>
    <w:rsid w:val="00D33415"/>
    <w:rsid w:val="00D353D7"/>
    <w:rsid w:val="00D51349"/>
    <w:rsid w:val="00D56E4F"/>
    <w:rsid w:val="00D621F1"/>
    <w:rsid w:val="00D7580A"/>
    <w:rsid w:val="00D938D6"/>
    <w:rsid w:val="00D95732"/>
    <w:rsid w:val="00DA1355"/>
    <w:rsid w:val="00DA2E28"/>
    <w:rsid w:val="00DA5C37"/>
    <w:rsid w:val="00DA6C94"/>
    <w:rsid w:val="00DB2701"/>
    <w:rsid w:val="00DB585D"/>
    <w:rsid w:val="00DC1F36"/>
    <w:rsid w:val="00DD1604"/>
    <w:rsid w:val="00DE2D32"/>
    <w:rsid w:val="00DF4461"/>
    <w:rsid w:val="00E23D72"/>
    <w:rsid w:val="00E4266A"/>
    <w:rsid w:val="00E55AEF"/>
    <w:rsid w:val="00E576B1"/>
    <w:rsid w:val="00E777BC"/>
    <w:rsid w:val="00E838A2"/>
    <w:rsid w:val="00EB420C"/>
    <w:rsid w:val="00EB7590"/>
    <w:rsid w:val="00ED7C86"/>
    <w:rsid w:val="00EE35B4"/>
    <w:rsid w:val="00EF1F04"/>
    <w:rsid w:val="00F04E8C"/>
    <w:rsid w:val="00F10FE9"/>
    <w:rsid w:val="00F16C2C"/>
    <w:rsid w:val="00F244CE"/>
    <w:rsid w:val="00F26900"/>
    <w:rsid w:val="00F308D8"/>
    <w:rsid w:val="00F46588"/>
    <w:rsid w:val="00F75001"/>
    <w:rsid w:val="00F948B4"/>
    <w:rsid w:val="00FA26A8"/>
    <w:rsid w:val="00FE2B4A"/>
    <w:rsid w:val="00FF5FFB"/>
    <w:rsid w:val="00FF6CA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FAEFB7"/>
  <w15:chartTrackingRefBased/>
  <w15:docId w15:val="{B36E6C17-4C76-49BC-BCA6-32631DD9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EA"/>
    <w:pPr>
      <w:spacing w:after="0" w:line="240" w:lineRule="auto"/>
    </w:pPr>
    <w:rPr>
      <w:sz w:val="24"/>
      <w:szCs w:val="24"/>
      <w:lang w:val="en-US"/>
    </w:rPr>
  </w:style>
  <w:style w:type="paragraph" w:styleId="Heading3">
    <w:name w:val="heading 3"/>
    <w:basedOn w:val="Normal"/>
    <w:next w:val="Normal"/>
    <w:link w:val="Heading3Char"/>
    <w:qFormat/>
    <w:rsid w:val="004649EA"/>
    <w:pPr>
      <w:keepNext/>
      <w:keepLines/>
      <w:tabs>
        <w:tab w:val="left" w:pos="567"/>
      </w:tabs>
      <w:snapToGrid w:val="0"/>
      <w:spacing w:after="240"/>
      <w:ind w:left="567" w:hanging="567"/>
      <w:outlineLvl w:val="2"/>
    </w:pPr>
    <w:rPr>
      <w:rFonts w:ascii="Arial Unicode MS" w:eastAsia="Arial Unicode MS" w:hAnsi="Times New Roman Bold" w:cs="Times New Roman"/>
      <w:b/>
      <w:bCs/>
      <w:noProof/>
      <w:snapToGrid w:val="0"/>
      <w:sz w:val="22"/>
      <w:szCs w:val="22"/>
    </w:rPr>
  </w:style>
  <w:style w:type="paragraph" w:styleId="Heading7">
    <w:name w:val="heading 7"/>
    <w:basedOn w:val="Normal"/>
    <w:next w:val="Normal"/>
    <w:link w:val="Heading7Char"/>
    <w:unhideWhenUsed/>
    <w:qFormat/>
    <w:rsid w:val="004649E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649EA"/>
    <w:rPr>
      <w:rFonts w:ascii="Arial Unicode MS" w:eastAsia="Arial Unicode MS" w:hAnsi="Times New Roman Bold" w:cs="Times New Roman"/>
      <w:b/>
      <w:bCs/>
      <w:noProof/>
      <w:snapToGrid w:val="0"/>
      <w:lang w:val="en-US"/>
    </w:rPr>
  </w:style>
  <w:style w:type="character" w:customStyle="1" w:styleId="Heading7Char">
    <w:name w:val="Heading 7 Char"/>
    <w:basedOn w:val="DefaultParagraphFont"/>
    <w:link w:val="Heading7"/>
    <w:rsid w:val="004649EA"/>
    <w:rPr>
      <w:rFonts w:asciiTheme="majorHAnsi" w:eastAsiaTheme="majorEastAsia" w:hAnsiTheme="majorHAnsi" w:cstheme="majorBidi"/>
      <w:i/>
      <w:iCs/>
      <w:color w:val="1F4D78" w:themeColor="accent1" w:themeShade="7F"/>
      <w:sz w:val="24"/>
      <w:szCs w:val="24"/>
      <w:lang w:val="en-US"/>
    </w:rPr>
  </w:style>
  <w:style w:type="character" w:styleId="FootnoteReference">
    <w:name w:val="footnote reference"/>
    <w:uiPriority w:val="99"/>
    <w:semiHidden/>
    <w:rsid w:val="004649EA"/>
    <w:rPr>
      <w:vertAlign w:val="superscript"/>
    </w:rPr>
  </w:style>
  <w:style w:type="paragraph" w:styleId="FootnoteText">
    <w:name w:val="footnote text"/>
    <w:basedOn w:val="Normal"/>
    <w:link w:val="FootnoteTextChar"/>
    <w:uiPriority w:val="99"/>
    <w:semiHidden/>
    <w:rsid w:val="004649EA"/>
    <w:pPr>
      <w:tabs>
        <w:tab w:val="left" w:pos="567"/>
      </w:tabs>
      <w:snapToGrid w:val="0"/>
      <w:ind w:left="567" w:hanging="567"/>
    </w:pPr>
    <w:rPr>
      <w:rFonts w:ascii="Arial" w:eastAsia="Times New Roman" w:hAnsi="Arial" w:cs="Times New Roman"/>
      <w:noProof/>
      <w:snapToGrid w:val="0"/>
      <w:sz w:val="20"/>
      <w:szCs w:val="20"/>
    </w:rPr>
  </w:style>
  <w:style w:type="character" w:customStyle="1" w:styleId="FootnoteTextChar">
    <w:name w:val="Footnote Text Char"/>
    <w:basedOn w:val="DefaultParagraphFont"/>
    <w:link w:val="FootnoteText"/>
    <w:uiPriority w:val="99"/>
    <w:semiHidden/>
    <w:rsid w:val="004649EA"/>
    <w:rPr>
      <w:rFonts w:ascii="Arial" w:eastAsia="Times New Roman" w:hAnsi="Arial" w:cs="Times New Roman"/>
      <w:noProof/>
      <w:snapToGrid w:val="0"/>
      <w:sz w:val="20"/>
      <w:szCs w:val="20"/>
      <w:lang w:val="en-US"/>
    </w:rPr>
  </w:style>
  <w:style w:type="character" w:styleId="Hyperlink">
    <w:name w:val="Hyperlink"/>
    <w:basedOn w:val="DefaultParagraphFont"/>
    <w:uiPriority w:val="99"/>
    <w:rsid w:val="004649EA"/>
    <w:rPr>
      <w:color w:val="0563C1" w:themeColor="hyperlink"/>
      <w:u w:val="single"/>
    </w:rPr>
  </w:style>
  <w:style w:type="paragraph" w:customStyle="1" w:styleId="Docheading">
    <w:name w:val="Doc. heading"/>
    <w:basedOn w:val="Header"/>
    <w:rsid w:val="004649EA"/>
    <w:pPr>
      <w:tabs>
        <w:tab w:val="clear" w:pos="4536"/>
        <w:tab w:val="clear" w:pos="9072"/>
        <w:tab w:val="left" w:pos="567"/>
        <w:tab w:val="center" w:pos="4153"/>
        <w:tab w:val="right" w:pos="8306"/>
      </w:tabs>
      <w:snapToGrid w:val="0"/>
      <w:spacing w:after="480"/>
      <w:jc w:val="center"/>
    </w:pPr>
    <w:rPr>
      <w:rFonts w:ascii="Arial" w:eastAsia="Times New Roman" w:hAnsi="Arial" w:cs="Arial"/>
      <w:b/>
      <w:bCs/>
      <w:caps/>
      <w:noProof/>
      <w:snapToGrid w:val="0"/>
    </w:rPr>
  </w:style>
  <w:style w:type="paragraph" w:styleId="Header">
    <w:name w:val="header"/>
    <w:basedOn w:val="Normal"/>
    <w:link w:val="HeaderChar"/>
    <w:unhideWhenUsed/>
    <w:rsid w:val="004649EA"/>
    <w:pPr>
      <w:tabs>
        <w:tab w:val="center" w:pos="4536"/>
        <w:tab w:val="right" w:pos="9072"/>
      </w:tabs>
    </w:pPr>
  </w:style>
  <w:style w:type="character" w:customStyle="1" w:styleId="HeaderChar">
    <w:name w:val="Header Char"/>
    <w:basedOn w:val="DefaultParagraphFont"/>
    <w:link w:val="Header"/>
    <w:rsid w:val="004649EA"/>
    <w:rPr>
      <w:sz w:val="24"/>
      <w:szCs w:val="24"/>
      <w:lang w:val="en-US"/>
    </w:rPr>
  </w:style>
  <w:style w:type="character" w:styleId="PageNumber">
    <w:name w:val="page number"/>
    <w:basedOn w:val="DefaultParagraphFont"/>
    <w:uiPriority w:val="99"/>
    <w:semiHidden/>
    <w:unhideWhenUsed/>
    <w:rsid w:val="004649EA"/>
  </w:style>
  <w:style w:type="paragraph" w:customStyle="1" w:styleId="Marge">
    <w:name w:val="Marge"/>
    <w:basedOn w:val="Normal"/>
    <w:link w:val="MargeChar"/>
    <w:rsid w:val="004649EA"/>
    <w:pPr>
      <w:tabs>
        <w:tab w:val="left" w:pos="567"/>
      </w:tabs>
      <w:snapToGrid w:val="0"/>
      <w:spacing w:after="240"/>
      <w:jc w:val="both"/>
    </w:pPr>
    <w:rPr>
      <w:rFonts w:ascii="Arial" w:eastAsia="Times New Roman" w:hAnsi="Arial" w:cs="Times New Roman"/>
      <w:snapToGrid w:val="0"/>
      <w:sz w:val="22"/>
      <w:lang w:val="fr-FR"/>
    </w:rPr>
  </w:style>
  <w:style w:type="character" w:customStyle="1" w:styleId="MargeChar">
    <w:name w:val="Marge Char"/>
    <w:basedOn w:val="DefaultParagraphFont"/>
    <w:link w:val="Marge"/>
    <w:rsid w:val="004649EA"/>
    <w:rPr>
      <w:rFonts w:ascii="Arial" w:eastAsia="Times New Roman" w:hAnsi="Arial" w:cs="Times New Roman"/>
      <w:snapToGrid w:val="0"/>
      <w:szCs w:val="24"/>
    </w:rPr>
  </w:style>
  <w:style w:type="paragraph" w:customStyle="1" w:styleId="Style2">
    <w:name w:val="Style2"/>
    <w:basedOn w:val="Normal"/>
    <w:link w:val="Style2Car"/>
    <w:qFormat/>
    <w:rsid w:val="004649EA"/>
    <w:pPr>
      <w:shd w:val="clear" w:color="auto" w:fill="FFFFFF"/>
      <w:tabs>
        <w:tab w:val="num" w:pos="1400"/>
      </w:tabs>
      <w:spacing w:after="240"/>
      <w:ind w:left="720"/>
      <w:jc w:val="both"/>
    </w:pPr>
    <w:rPr>
      <w:rFonts w:ascii="Arial" w:eastAsia="Times New Roman" w:hAnsi="Arial" w:cs="Times New Roman"/>
      <w:iCs/>
      <w:snapToGrid w:val="0"/>
      <w:sz w:val="22"/>
      <w:szCs w:val="22"/>
      <w:lang w:val="en-GB"/>
    </w:rPr>
  </w:style>
  <w:style w:type="character" w:customStyle="1" w:styleId="Style2Car">
    <w:name w:val="Style2 Car"/>
    <w:basedOn w:val="DefaultParagraphFont"/>
    <w:link w:val="Style2"/>
    <w:rsid w:val="004649EA"/>
    <w:rPr>
      <w:rFonts w:ascii="Arial" w:eastAsia="Times New Roman" w:hAnsi="Arial" w:cs="Times New Roman"/>
      <w:iCs/>
      <w:snapToGrid w:val="0"/>
      <w:shd w:val="clear" w:color="auto" w:fill="FFFFFF"/>
      <w:lang w:val="en-GB"/>
    </w:rPr>
  </w:style>
  <w:style w:type="paragraph" w:styleId="ListParagraph">
    <w:name w:val="List Paragraph"/>
    <w:basedOn w:val="Normal"/>
    <w:uiPriority w:val="34"/>
    <w:qFormat/>
    <w:rsid w:val="004649EA"/>
    <w:pPr>
      <w:spacing w:line="276" w:lineRule="auto"/>
      <w:ind w:left="720"/>
      <w:contextualSpacing/>
    </w:pPr>
    <w:rPr>
      <w:rFonts w:ascii="Arial" w:eastAsia="Arial" w:hAnsi="Arial" w:cs="Arial"/>
      <w:sz w:val="22"/>
      <w:szCs w:val="22"/>
      <w:lang w:val="en-GB" w:eastAsia="fr-FR"/>
    </w:rPr>
  </w:style>
  <w:style w:type="character" w:styleId="Emphasis">
    <w:name w:val="Emphasis"/>
    <w:basedOn w:val="DefaultParagraphFont"/>
    <w:uiPriority w:val="20"/>
    <w:qFormat/>
    <w:rsid w:val="004649EA"/>
    <w:rPr>
      <w:i/>
      <w:iCs/>
    </w:rPr>
  </w:style>
  <w:style w:type="paragraph" w:customStyle="1" w:styleId="Bibliography1">
    <w:name w:val="Bibliography1"/>
    <w:basedOn w:val="Normal"/>
    <w:next w:val="Normal"/>
    <w:uiPriority w:val="37"/>
    <w:unhideWhenUsed/>
    <w:rsid w:val="004649EA"/>
    <w:pPr>
      <w:spacing w:after="160" w:line="259" w:lineRule="auto"/>
    </w:pPr>
    <w:rPr>
      <w:sz w:val="22"/>
      <w:szCs w:val="22"/>
      <w:lang w:val="fr-FR"/>
    </w:rPr>
  </w:style>
  <w:style w:type="table" w:customStyle="1" w:styleId="TableGrid1">
    <w:name w:val="Table Grid1"/>
    <w:basedOn w:val="TableNormal"/>
    <w:next w:val="TableGrid"/>
    <w:uiPriority w:val="39"/>
    <w:rsid w:val="004649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6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649EA"/>
    <w:pPr>
      <w:tabs>
        <w:tab w:val="center" w:pos="4536"/>
        <w:tab w:val="right" w:pos="9072"/>
      </w:tabs>
    </w:pPr>
  </w:style>
  <w:style w:type="character" w:customStyle="1" w:styleId="FooterChar">
    <w:name w:val="Footer Char"/>
    <w:basedOn w:val="DefaultParagraphFont"/>
    <w:link w:val="Footer"/>
    <w:uiPriority w:val="99"/>
    <w:rsid w:val="004649EA"/>
    <w:rPr>
      <w:sz w:val="24"/>
      <w:szCs w:val="24"/>
      <w:lang w:val="en-US"/>
    </w:rPr>
  </w:style>
  <w:style w:type="paragraph" w:styleId="BalloonText">
    <w:name w:val="Balloon Text"/>
    <w:basedOn w:val="Normal"/>
    <w:link w:val="BalloonTextChar"/>
    <w:uiPriority w:val="99"/>
    <w:semiHidden/>
    <w:unhideWhenUsed/>
    <w:rsid w:val="0046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9EA"/>
    <w:rPr>
      <w:rFonts w:ascii="Segoe UI" w:hAnsi="Segoe UI" w:cs="Segoe UI"/>
      <w:sz w:val="18"/>
      <w:szCs w:val="18"/>
      <w:lang w:val="en-US"/>
    </w:rPr>
  </w:style>
  <w:style w:type="character" w:styleId="CommentReference">
    <w:name w:val="annotation reference"/>
    <w:basedOn w:val="DefaultParagraphFont"/>
    <w:uiPriority w:val="99"/>
    <w:semiHidden/>
    <w:unhideWhenUsed/>
    <w:rsid w:val="004649EA"/>
    <w:rPr>
      <w:sz w:val="16"/>
      <w:szCs w:val="16"/>
    </w:rPr>
  </w:style>
  <w:style w:type="paragraph" w:styleId="CommentText">
    <w:name w:val="annotation text"/>
    <w:basedOn w:val="Normal"/>
    <w:link w:val="CommentTextChar"/>
    <w:uiPriority w:val="99"/>
    <w:semiHidden/>
    <w:unhideWhenUsed/>
    <w:rsid w:val="004649EA"/>
    <w:rPr>
      <w:sz w:val="20"/>
      <w:szCs w:val="20"/>
    </w:rPr>
  </w:style>
  <w:style w:type="character" w:customStyle="1" w:styleId="CommentTextChar">
    <w:name w:val="Comment Text Char"/>
    <w:basedOn w:val="DefaultParagraphFont"/>
    <w:link w:val="CommentText"/>
    <w:uiPriority w:val="99"/>
    <w:semiHidden/>
    <w:rsid w:val="004649EA"/>
    <w:rPr>
      <w:sz w:val="20"/>
      <w:szCs w:val="20"/>
      <w:lang w:val="en-US"/>
    </w:rPr>
  </w:style>
  <w:style w:type="paragraph" w:styleId="CommentSubject">
    <w:name w:val="annotation subject"/>
    <w:basedOn w:val="CommentText"/>
    <w:next w:val="CommentText"/>
    <w:link w:val="CommentSubjectChar"/>
    <w:uiPriority w:val="99"/>
    <w:semiHidden/>
    <w:unhideWhenUsed/>
    <w:rsid w:val="004649EA"/>
    <w:rPr>
      <w:b/>
      <w:bCs/>
    </w:rPr>
  </w:style>
  <w:style w:type="character" w:customStyle="1" w:styleId="CommentSubjectChar">
    <w:name w:val="Comment Subject Char"/>
    <w:basedOn w:val="CommentTextChar"/>
    <w:link w:val="CommentSubject"/>
    <w:uiPriority w:val="99"/>
    <w:semiHidden/>
    <w:rsid w:val="004649EA"/>
    <w:rPr>
      <w:b/>
      <w:bCs/>
      <w:sz w:val="20"/>
      <w:szCs w:val="20"/>
      <w:lang w:val="en-US"/>
    </w:rPr>
  </w:style>
  <w:style w:type="paragraph" w:styleId="Revision">
    <w:name w:val="Revision"/>
    <w:hidden/>
    <w:uiPriority w:val="99"/>
    <w:semiHidden/>
    <w:rsid w:val="00BF04CD"/>
    <w:pPr>
      <w:spacing w:after="0" w:line="240" w:lineRule="auto"/>
    </w:pPr>
    <w:rPr>
      <w:sz w:val="24"/>
      <w:szCs w:val="24"/>
      <w:lang w:val="en-US"/>
    </w:rPr>
  </w:style>
  <w:style w:type="character" w:styleId="FollowedHyperlink">
    <w:name w:val="FollowedHyperlink"/>
    <w:basedOn w:val="DefaultParagraphFont"/>
    <w:uiPriority w:val="99"/>
    <w:semiHidden/>
    <w:unhideWhenUsed/>
    <w:rsid w:val="00AF1498"/>
    <w:rPr>
      <w:color w:val="954F72" w:themeColor="followedHyperlink"/>
      <w:u w:val="single"/>
    </w:rPr>
  </w:style>
  <w:style w:type="character" w:customStyle="1" w:styleId="UnresolvedMention1">
    <w:name w:val="Unresolved Mention1"/>
    <w:basedOn w:val="DefaultParagraphFont"/>
    <w:uiPriority w:val="99"/>
    <w:semiHidden/>
    <w:unhideWhenUsed/>
    <w:rsid w:val="00850FFF"/>
    <w:rPr>
      <w:color w:val="605E5C"/>
      <w:shd w:val="clear" w:color="auto" w:fill="E1DFDD"/>
    </w:rPr>
  </w:style>
  <w:style w:type="character" w:customStyle="1" w:styleId="apple-converted-space">
    <w:name w:val="apple-converted-space"/>
    <w:basedOn w:val="DefaultParagraphFont"/>
    <w:rsid w:val="007D588B"/>
  </w:style>
  <w:style w:type="paragraph" w:styleId="NormalWeb">
    <w:name w:val="Normal (Web)"/>
    <w:basedOn w:val="Normal"/>
    <w:uiPriority w:val="99"/>
    <w:semiHidden/>
    <w:unhideWhenUsed/>
    <w:rsid w:val="00EE35B4"/>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B175F0"/>
    <w:rPr>
      <w:color w:val="605E5C"/>
      <w:shd w:val="clear" w:color="auto" w:fill="E1DFDD"/>
    </w:rPr>
  </w:style>
  <w:style w:type="character" w:customStyle="1" w:styleId="UnresolvedMention3">
    <w:name w:val="Unresolved Mention3"/>
    <w:basedOn w:val="DefaultParagraphFont"/>
    <w:uiPriority w:val="99"/>
    <w:semiHidden/>
    <w:unhideWhenUsed/>
    <w:rsid w:val="00230506"/>
    <w:rPr>
      <w:color w:val="605E5C"/>
      <w:shd w:val="clear" w:color="auto" w:fill="E1DFDD"/>
    </w:rPr>
  </w:style>
  <w:style w:type="character" w:styleId="UnresolvedMention">
    <w:name w:val="Unresolved Mention"/>
    <w:basedOn w:val="DefaultParagraphFont"/>
    <w:uiPriority w:val="99"/>
    <w:semiHidden/>
    <w:unhideWhenUsed/>
    <w:rsid w:val="00FA2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83506">
      <w:bodyDiv w:val="1"/>
      <w:marLeft w:val="0"/>
      <w:marRight w:val="0"/>
      <w:marTop w:val="0"/>
      <w:marBottom w:val="0"/>
      <w:divBdr>
        <w:top w:val="none" w:sz="0" w:space="0" w:color="auto"/>
        <w:left w:val="none" w:sz="0" w:space="0" w:color="auto"/>
        <w:bottom w:val="none" w:sz="0" w:space="0" w:color="auto"/>
        <w:right w:val="none" w:sz="0" w:space="0" w:color="auto"/>
      </w:divBdr>
      <w:divsChild>
        <w:div w:id="92215187">
          <w:marLeft w:val="0"/>
          <w:marRight w:val="0"/>
          <w:marTop w:val="0"/>
          <w:marBottom w:val="0"/>
          <w:divBdr>
            <w:top w:val="none" w:sz="0" w:space="0" w:color="auto"/>
            <w:left w:val="none" w:sz="0" w:space="0" w:color="auto"/>
            <w:bottom w:val="none" w:sz="0" w:space="0" w:color="auto"/>
            <w:right w:val="none" w:sz="0" w:space="0" w:color="auto"/>
          </w:divBdr>
          <w:divsChild>
            <w:div w:id="15415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35775">
      <w:bodyDiv w:val="1"/>
      <w:marLeft w:val="0"/>
      <w:marRight w:val="0"/>
      <w:marTop w:val="0"/>
      <w:marBottom w:val="0"/>
      <w:divBdr>
        <w:top w:val="none" w:sz="0" w:space="0" w:color="auto"/>
        <w:left w:val="none" w:sz="0" w:space="0" w:color="auto"/>
        <w:bottom w:val="none" w:sz="0" w:space="0" w:color="auto"/>
        <w:right w:val="none" w:sz="0" w:space="0" w:color="auto"/>
      </w:divBdr>
    </w:div>
    <w:div w:id="539126070">
      <w:bodyDiv w:val="1"/>
      <w:marLeft w:val="0"/>
      <w:marRight w:val="0"/>
      <w:marTop w:val="0"/>
      <w:marBottom w:val="0"/>
      <w:divBdr>
        <w:top w:val="none" w:sz="0" w:space="0" w:color="auto"/>
        <w:left w:val="none" w:sz="0" w:space="0" w:color="auto"/>
        <w:bottom w:val="none" w:sz="0" w:space="0" w:color="auto"/>
        <w:right w:val="none" w:sz="0" w:space="0" w:color="auto"/>
      </w:divBdr>
    </w:div>
    <w:div w:id="873813090">
      <w:bodyDiv w:val="1"/>
      <w:marLeft w:val="0"/>
      <w:marRight w:val="0"/>
      <w:marTop w:val="0"/>
      <w:marBottom w:val="0"/>
      <w:divBdr>
        <w:top w:val="none" w:sz="0" w:space="0" w:color="auto"/>
        <w:left w:val="none" w:sz="0" w:space="0" w:color="auto"/>
        <w:bottom w:val="none" w:sz="0" w:space="0" w:color="auto"/>
        <w:right w:val="none" w:sz="0" w:space="0" w:color="auto"/>
      </w:divBdr>
    </w:div>
    <w:div w:id="915479966">
      <w:bodyDiv w:val="1"/>
      <w:marLeft w:val="0"/>
      <w:marRight w:val="0"/>
      <w:marTop w:val="0"/>
      <w:marBottom w:val="0"/>
      <w:divBdr>
        <w:top w:val="none" w:sz="0" w:space="0" w:color="auto"/>
        <w:left w:val="none" w:sz="0" w:space="0" w:color="auto"/>
        <w:bottom w:val="none" w:sz="0" w:space="0" w:color="auto"/>
        <w:right w:val="none" w:sz="0" w:space="0" w:color="auto"/>
      </w:divBdr>
    </w:div>
    <w:div w:id="1253860310">
      <w:bodyDiv w:val="1"/>
      <w:marLeft w:val="0"/>
      <w:marRight w:val="0"/>
      <w:marTop w:val="0"/>
      <w:marBottom w:val="0"/>
      <w:divBdr>
        <w:top w:val="none" w:sz="0" w:space="0" w:color="auto"/>
        <w:left w:val="none" w:sz="0" w:space="0" w:color="auto"/>
        <w:bottom w:val="none" w:sz="0" w:space="0" w:color="auto"/>
        <w:right w:val="none" w:sz="0" w:space="0" w:color="auto"/>
      </w:divBdr>
    </w:div>
    <w:div w:id="1357536445">
      <w:bodyDiv w:val="1"/>
      <w:marLeft w:val="0"/>
      <w:marRight w:val="0"/>
      <w:marTop w:val="0"/>
      <w:marBottom w:val="0"/>
      <w:divBdr>
        <w:top w:val="none" w:sz="0" w:space="0" w:color="auto"/>
        <w:left w:val="none" w:sz="0" w:space="0" w:color="auto"/>
        <w:bottom w:val="none" w:sz="0" w:space="0" w:color="auto"/>
        <w:right w:val="none" w:sz="0" w:space="0" w:color="auto"/>
      </w:divBdr>
    </w:div>
    <w:div w:id="1427188018">
      <w:bodyDiv w:val="1"/>
      <w:marLeft w:val="0"/>
      <w:marRight w:val="0"/>
      <w:marTop w:val="0"/>
      <w:marBottom w:val="0"/>
      <w:divBdr>
        <w:top w:val="none" w:sz="0" w:space="0" w:color="auto"/>
        <w:left w:val="none" w:sz="0" w:space="0" w:color="auto"/>
        <w:bottom w:val="none" w:sz="0" w:space="0" w:color="auto"/>
        <w:right w:val="none" w:sz="0" w:space="0" w:color="auto"/>
      </w:divBdr>
      <w:divsChild>
        <w:div w:id="392437027">
          <w:marLeft w:val="0"/>
          <w:marRight w:val="0"/>
          <w:marTop w:val="0"/>
          <w:marBottom w:val="0"/>
          <w:divBdr>
            <w:top w:val="none" w:sz="0" w:space="0" w:color="auto"/>
            <w:left w:val="none" w:sz="0" w:space="0" w:color="auto"/>
            <w:bottom w:val="none" w:sz="0" w:space="0" w:color="auto"/>
            <w:right w:val="none" w:sz="0" w:space="0" w:color="auto"/>
          </w:divBdr>
          <w:divsChild>
            <w:div w:id="515582249">
              <w:marLeft w:val="0"/>
              <w:marRight w:val="0"/>
              <w:marTop w:val="0"/>
              <w:marBottom w:val="0"/>
              <w:divBdr>
                <w:top w:val="none" w:sz="0" w:space="0" w:color="auto"/>
                <w:left w:val="none" w:sz="0" w:space="0" w:color="auto"/>
                <w:bottom w:val="none" w:sz="0" w:space="0" w:color="auto"/>
                <w:right w:val="none" w:sz="0" w:space="0" w:color="auto"/>
              </w:divBdr>
              <w:divsChild>
                <w:div w:id="8993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9894">
      <w:bodyDiv w:val="1"/>
      <w:marLeft w:val="0"/>
      <w:marRight w:val="0"/>
      <w:marTop w:val="0"/>
      <w:marBottom w:val="0"/>
      <w:divBdr>
        <w:top w:val="none" w:sz="0" w:space="0" w:color="auto"/>
        <w:left w:val="none" w:sz="0" w:space="0" w:color="auto"/>
        <w:bottom w:val="none" w:sz="0" w:space="0" w:color="auto"/>
        <w:right w:val="none" w:sz="0" w:space="0" w:color="auto"/>
      </w:divBdr>
    </w:div>
    <w:div w:id="1585383820">
      <w:bodyDiv w:val="1"/>
      <w:marLeft w:val="0"/>
      <w:marRight w:val="0"/>
      <w:marTop w:val="0"/>
      <w:marBottom w:val="0"/>
      <w:divBdr>
        <w:top w:val="none" w:sz="0" w:space="0" w:color="auto"/>
        <w:left w:val="none" w:sz="0" w:space="0" w:color="auto"/>
        <w:bottom w:val="none" w:sz="0" w:space="0" w:color="auto"/>
        <w:right w:val="none" w:sz="0" w:space="0" w:color="auto"/>
      </w:divBdr>
    </w:div>
    <w:div w:id="198450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acy.ioc-unesco.org/index.php?option=com_oe&amp;task=viewDocumentRecord&amp;docID=19589" TargetMode="External"/><Relationship Id="rId18" Type="http://schemas.openxmlformats.org/officeDocument/2006/relationships/hyperlink" Target="https://sustainabledevelopment.un.org/sdg14" TargetMode="External"/><Relationship Id="rId26" Type="http://schemas.openxmlformats.org/officeDocument/2006/relationships/hyperlink" Target="https://oceanexpert.org/document/22577" TargetMode="External"/><Relationship Id="rId39" Type="http://schemas.openxmlformats.org/officeDocument/2006/relationships/hyperlink" Target="https://oa.iode.org/" TargetMode="External"/><Relationship Id="rId21" Type="http://schemas.openxmlformats.org/officeDocument/2006/relationships/hyperlink" Target="https://unesdoc.unesco.org/ark:/48223/pf0000250428.locale=en" TargetMode="External"/><Relationship Id="rId34" Type="http://schemas.openxmlformats.org/officeDocument/2006/relationships/hyperlink" Target="https://sdgs.un.org/goals/goal14" TargetMode="External"/><Relationship Id="rId42" Type="http://schemas.openxmlformats.org/officeDocument/2006/relationships/hyperlink" Target="mailto:k.schoo@unesco.org" TargetMode="External"/><Relationship Id="rId47" Type="http://schemas.openxmlformats.org/officeDocument/2006/relationships/image" Target="media/image3.tiff"/><Relationship Id="rId50" Type="http://schemas.openxmlformats.org/officeDocument/2006/relationships/image" Target="media/image5.png"/><Relationship Id="rId55" Type="http://schemas.openxmlformats.org/officeDocument/2006/relationships/hyperlink" Target="http://www.unesco.org/new/fileadmin/MULTIMEDIA/HQ/SC/pdf/Joint_Roadmap_MSP_v5.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unstats.un.org/sdgs/iaeg-sdgs/tier-classification/" TargetMode="External"/><Relationship Id="rId29" Type="http://schemas.openxmlformats.org/officeDocument/2006/relationships/hyperlink" Target="https://gosr.ioc-unesco.org/en/survey" TargetMode="External"/><Relationship Id="rId41" Type="http://schemas.openxmlformats.org/officeDocument/2006/relationships/hyperlink" Target="mailto:k.isensee@unesco.org" TargetMode="External"/><Relationship Id="rId54" Type="http://schemas.openxmlformats.org/officeDocument/2006/relationships/hyperlink" Target="https://unstats.un.org/unsd/statcom/51st-sessio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acy.ioc-unesco.org/index.php?option=com_oe&amp;task=viewDocumentRecord&amp;docID=24776" TargetMode="External"/><Relationship Id="rId24" Type="http://schemas.openxmlformats.org/officeDocument/2006/relationships/hyperlink" Target="https://unesdoc.unesco.org/ark:/48223/pf0000372521.page=89" TargetMode="External"/><Relationship Id="rId32" Type="http://schemas.openxmlformats.org/officeDocument/2006/relationships/hyperlink" Target="https://sdgs.un.org/goals/goal14" TargetMode="External"/><Relationship Id="rId37" Type="http://schemas.openxmlformats.org/officeDocument/2006/relationships/hyperlink" Target="https://unstats.un.org/sdgs/iaeg-sdgs/" TargetMode="External"/><Relationship Id="rId40" Type="http://schemas.openxmlformats.org/officeDocument/2006/relationships/hyperlink" Target="https://oa.iode.org/" TargetMode="External"/><Relationship Id="rId45" Type="http://schemas.openxmlformats.org/officeDocument/2006/relationships/hyperlink" Target="https://oa.iode.org/" TargetMode="External"/><Relationship Id="rId53" Type="http://schemas.openxmlformats.org/officeDocument/2006/relationships/hyperlink" Target="https://www.youtube.com/watch?v=qW2nV2bsyCs&amp;feature=youtu.be"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ioc-unesco.org/index.php?option=com_oe&amp;task=viewDocumentRecord&amp;docID=19589" TargetMode="External"/><Relationship Id="rId28" Type="http://schemas.openxmlformats.org/officeDocument/2006/relationships/hyperlink" Target="http://ioc-unesco.gosr.org" TargetMode="External"/><Relationship Id="rId36" Type="http://schemas.openxmlformats.org/officeDocument/2006/relationships/hyperlink" Target="http://legacy.ioc-unesco.org/index.php?option=com_oe&amp;task=viewDocumentRecord&amp;docID=21938" TargetMode="External"/><Relationship Id="rId49" Type="http://schemas.openxmlformats.org/officeDocument/2006/relationships/image" Target="media/image4.png"/><Relationship Id="rId57" Type="http://schemas.openxmlformats.org/officeDocument/2006/relationships/hyperlink" Target="http://ioc.unesco.org" TargetMode="External"/><Relationship Id="rId61" Type="http://schemas.openxmlformats.org/officeDocument/2006/relationships/fontTable" Target="fontTable.xml"/><Relationship Id="rId10" Type="http://schemas.openxmlformats.org/officeDocument/2006/relationships/hyperlink" Target="http://www.unesco.org/ulis/cgi-bin/ulis.pl?catno=265127&amp;set=005B72999C_2_273&amp;gp=1&amp;lin=1&amp;ll=1" TargetMode="External"/><Relationship Id="rId19" Type="http://schemas.openxmlformats.org/officeDocument/2006/relationships/hyperlink" Target="https://sustainabledevelopment.un.org/sdg14" TargetMode="External"/><Relationship Id="rId31" Type="http://schemas.openxmlformats.org/officeDocument/2006/relationships/image" Target="media/image2.tiff"/><Relationship Id="rId44" Type="http://schemas.openxmlformats.org/officeDocument/2006/relationships/hyperlink" Target="https://oceanexpert.org/document/27502" TargetMode="External"/><Relationship Id="rId52" Type="http://schemas.openxmlformats.org/officeDocument/2006/relationships/hyperlink" Target="https://unstats.un.org/sdgs/tierIII-indicators/files/Tier3-14-01-01.pdf"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unesdoc.unesco.org/ark:/48223/pf0000372521.page=89" TargetMode="External"/><Relationship Id="rId14" Type="http://schemas.openxmlformats.org/officeDocument/2006/relationships/header" Target="header1.xml"/><Relationship Id="rId22" Type="http://schemas.openxmlformats.org/officeDocument/2006/relationships/hyperlink" Target="https://unesdoc.unesco.org/ark:/48223/pf0000367678.page=121" TargetMode="External"/><Relationship Id="rId27" Type="http://schemas.openxmlformats.org/officeDocument/2006/relationships/hyperlink" Target="https://oceanexpert.org/document/23135" TargetMode="External"/><Relationship Id="rId30" Type="http://schemas.openxmlformats.org/officeDocument/2006/relationships/hyperlink" Target="https://sdgs.un.org/goals/goal14" TargetMode="External"/><Relationship Id="rId35" Type="http://schemas.openxmlformats.org/officeDocument/2006/relationships/hyperlink" Target="http://goa-on.org/" TargetMode="External"/><Relationship Id="rId43" Type="http://schemas.openxmlformats.org/officeDocument/2006/relationships/hyperlink" Target="https://oceanexpert.org/document/26312" TargetMode="External"/><Relationship Id="rId48" Type="http://schemas.openxmlformats.org/officeDocument/2006/relationships/hyperlink" Target="http://oa.iode.org" TargetMode="External"/><Relationship Id="rId56" Type="http://schemas.openxmlformats.org/officeDocument/2006/relationships/hyperlink" Target="http://www.mspglobal2030.org/msp-roadmap/msp-around-the-world/" TargetMode="External"/><Relationship Id="rId8" Type="http://schemas.openxmlformats.org/officeDocument/2006/relationships/hyperlink" Target="https://unesdoc.unesco.org/ark:/48223/pf0000372521.page=89" TargetMode="External"/><Relationship Id="rId51" Type="http://schemas.openxmlformats.org/officeDocument/2006/relationships/hyperlink" Target="https://sdgs.un.org/goals/goal14" TargetMode="External"/><Relationship Id="rId3" Type="http://schemas.openxmlformats.org/officeDocument/2006/relationships/styles" Target="styles.xml"/><Relationship Id="rId12" Type="http://schemas.openxmlformats.org/officeDocument/2006/relationships/hyperlink" Target="http://legacy.ioc-unesco.org/index.php?option=com_oe&amp;task=viewDocumentRecord&amp;docID=21938" TargetMode="External"/><Relationship Id="rId17" Type="http://schemas.openxmlformats.org/officeDocument/2006/relationships/hyperlink" Target="http://www.ioc-unesco.org/index.php?option=com_oe&amp;task=viewDocumentRecord&amp;docID=17443" TargetMode="External"/><Relationship Id="rId25" Type="http://schemas.openxmlformats.org/officeDocument/2006/relationships/hyperlink" Target="http://www.unesco.org/new/en/natural-sciences/ioc-oceans/single-view-oceans/news/experts_kick_off_production_of_the_second_global_ocean_scien/" TargetMode="External"/><Relationship Id="rId33" Type="http://schemas.openxmlformats.org/officeDocument/2006/relationships/hyperlink" Target="https://sdgs.un.org/goals/goal5" TargetMode="External"/><Relationship Id="rId38" Type="http://schemas.openxmlformats.org/officeDocument/2006/relationships/hyperlink" Target="http://legacy.ioc-unesco.org/index.php?option=com_oe&amp;task=viewDocumentRecord&amp;docID=21938" TargetMode="External"/><Relationship Id="rId46" Type="http://schemas.openxmlformats.org/officeDocument/2006/relationships/hyperlink" Target="https://oa.iode.org/" TargetMode="External"/><Relationship Id="rId59"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02249BFF-FFCE-9E45-8D36-A12BAD099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3963</Words>
  <Characters>22592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26502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 Katherina</dc:creator>
  <cp:keywords/>
  <dc:description/>
  <cp:lastModifiedBy>Boned, Patrice</cp:lastModifiedBy>
  <cp:revision>3</cp:revision>
  <cp:lastPrinted>2019-05-28T10:22:00Z</cp:lastPrinted>
  <dcterms:created xsi:type="dcterms:W3CDTF">2021-05-26T14:43:00Z</dcterms:created>
  <dcterms:modified xsi:type="dcterms:W3CDTF">2021-05-26T14:43:00Z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