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7001"/>
        <w:tblW w:w="0" w:type="auto"/>
        <w:tblLook w:val="04A0" w:firstRow="1" w:lastRow="0" w:firstColumn="1" w:lastColumn="0" w:noHBand="0" w:noVBand="1"/>
      </w:tblPr>
      <w:tblGrid>
        <w:gridCol w:w="7371"/>
      </w:tblGrid>
      <w:tr w:rsidR="005A69BB" w:rsidRPr="00CF79D2" w14:paraId="1D5C8E67" w14:textId="77777777" w:rsidTr="005A69BB">
        <w:tc>
          <w:tcPr>
            <w:tcW w:w="7371" w:type="dxa"/>
          </w:tcPr>
          <w:p w14:paraId="6414A53D" w14:textId="77777777" w:rsidR="005A69BB" w:rsidRPr="00415394" w:rsidRDefault="005A69BB" w:rsidP="005A69BB">
            <w:pPr>
              <w:widowControl/>
              <w:tabs>
                <w:tab w:val="clear" w:pos="567"/>
              </w:tabs>
              <w:adjustRightInd/>
              <w:snapToGrid/>
              <w:spacing w:line="240" w:lineRule="auto"/>
              <w:jc w:val="center"/>
              <w:textAlignment w:val="auto"/>
              <w:rPr>
                <w:rFonts w:cs="Arial"/>
                <w:szCs w:val="22"/>
                <w:u w:val="single"/>
              </w:rPr>
            </w:pPr>
            <w:r w:rsidRPr="00CF79D2">
              <w:rPr>
                <w:rFonts w:cs="Arial"/>
                <w:szCs w:val="22"/>
                <w:u w:val="single"/>
              </w:rPr>
              <w:t>Summary</w:t>
            </w:r>
          </w:p>
          <w:p w14:paraId="07140F72" w14:textId="77777777" w:rsidR="005A69BB" w:rsidRPr="00F471FD" w:rsidRDefault="005A69BB" w:rsidP="005A69BB">
            <w:pPr>
              <w:widowControl/>
              <w:tabs>
                <w:tab w:val="clear" w:pos="567"/>
              </w:tabs>
              <w:adjustRightInd/>
              <w:snapToGrid/>
              <w:spacing w:line="240" w:lineRule="auto"/>
              <w:jc w:val="left"/>
              <w:textAlignment w:val="auto"/>
              <w:rPr>
                <w:rFonts w:cs="Arial"/>
                <w:szCs w:val="22"/>
                <w:u w:val="single"/>
                <w:lang w:val="en-GB"/>
              </w:rPr>
            </w:pPr>
          </w:p>
          <w:p w14:paraId="27A14CAD" w14:textId="083FD039" w:rsidR="005A69BB" w:rsidRPr="00F471FD" w:rsidRDefault="005A69BB" w:rsidP="005A69BB">
            <w:pPr>
              <w:pStyle w:val="Marge"/>
              <w:shd w:val="clear" w:color="auto" w:fill="FFFFFF"/>
              <w:spacing w:line="240" w:lineRule="auto"/>
              <w:ind w:right="284"/>
              <w:rPr>
                <w:rFonts w:cs="Arial"/>
                <w:szCs w:val="22"/>
                <w:lang w:val="en-GB"/>
              </w:rPr>
            </w:pPr>
            <w:r w:rsidRPr="00415394">
              <w:rPr>
                <w:rFonts w:cs="Arial"/>
                <w:szCs w:val="22"/>
              </w:rPr>
              <w:t xml:space="preserve">This document </w:t>
            </w:r>
            <w:r>
              <w:rPr>
                <w:rFonts w:cs="Arial"/>
                <w:szCs w:val="22"/>
              </w:rPr>
              <w:t xml:space="preserve">presents </w:t>
            </w:r>
            <w:r w:rsidRPr="00415394">
              <w:rPr>
                <w:rFonts w:cs="Arial"/>
                <w:szCs w:val="22"/>
              </w:rPr>
              <w:t xml:space="preserve">the Secretariat’s </w:t>
            </w:r>
            <w:r>
              <w:rPr>
                <w:rFonts w:cs="Arial"/>
                <w:szCs w:val="22"/>
              </w:rPr>
              <w:t>draft of the 2022–2025</w:t>
            </w:r>
            <w:r w:rsidRPr="00415394">
              <w:rPr>
                <w:rFonts w:cs="Arial"/>
                <w:szCs w:val="22"/>
              </w:rPr>
              <w:t xml:space="preserve"> </w:t>
            </w:r>
            <w:proofErr w:type="spellStart"/>
            <w:r w:rsidRPr="00415394">
              <w:rPr>
                <w:rFonts w:cs="Arial"/>
                <w:szCs w:val="22"/>
              </w:rPr>
              <w:t>Programme</w:t>
            </w:r>
            <w:proofErr w:type="spellEnd"/>
            <w:r w:rsidRPr="00415394">
              <w:rPr>
                <w:rFonts w:cs="Arial"/>
                <w:szCs w:val="22"/>
              </w:rPr>
              <w:t xml:space="preserve"> and Budget </w:t>
            </w:r>
            <w:r>
              <w:rPr>
                <w:rFonts w:cs="Arial"/>
                <w:szCs w:val="22"/>
              </w:rPr>
              <w:t>(first biennium 2022</w:t>
            </w:r>
            <w:r w:rsidR="00D47B80">
              <w:rPr>
                <w:rFonts w:cs="Arial"/>
                <w:szCs w:val="22"/>
              </w:rPr>
              <w:t>–</w:t>
            </w:r>
            <w:r>
              <w:rPr>
                <w:rFonts w:cs="Arial"/>
                <w:szCs w:val="22"/>
              </w:rPr>
              <w:t>2023)</w:t>
            </w:r>
            <w:r w:rsidRPr="00415394">
              <w:rPr>
                <w:rFonts w:cs="Arial"/>
                <w:szCs w:val="22"/>
              </w:rPr>
              <w:t>,</w:t>
            </w:r>
            <w:r>
              <w:rPr>
                <w:rFonts w:cs="Arial"/>
                <w:szCs w:val="22"/>
              </w:rPr>
              <w:t xml:space="preserve"> </w:t>
            </w:r>
            <w:r w:rsidRPr="00415394">
              <w:rPr>
                <w:rFonts w:cs="Arial"/>
                <w:szCs w:val="22"/>
              </w:rPr>
              <w:t xml:space="preserve">the first quadrennium of the new IOC Medium-Term Strategy for 2022–2029 </w:t>
            </w:r>
            <w:r w:rsidRPr="00F471FD">
              <w:rPr>
                <w:rFonts w:cs="Arial"/>
                <w:szCs w:val="22"/>
              </w:rPr>
              <w:t xml:space="preserve">(document </w:t>
            </w:r>
            <w:r w:rsidRPr="0099241C">
              <w:rPr>
                <w:rFonts w:cs="Arial"/>
                <w:bCs/>
                <w:color w:val="000000"/>
                <w:szCs w:val="22"/>
              </w:rPr>
              <w:t>IOC</w:t>
            </w:r>
            <w:r w:rsidR="00F50CD1">
              <w:rPr>
                <w:rFonts w:cs="Arial"/>
                <w:bCs/>
                <w:color w:val="000000"/>
                <w:szCs w:val="22"/>
              </w:rPr>
              <w:t>/A</w:t>
            </w:r>
            <w:r w:rsidRPr="0099241C">
              <w:rPr>
                <w:rFonts w:cs="Arial"/>
                <w:bCs/>
                <w:color w:val="000000"/>
                <w:szCs w:val="22"/>
              </w:rPr>
              <w:t>-31/4.1.Doc(1))</w:t>
            </w:r>
            <w:r>
              <w:rPr>
                <w:rFonts w:cs="Arial"/>
                <w:bCs/>
                <w:color w:val="000000"/>
                <w:szCs w:val="22"/>
              </w:rPr>
              <w:t xml:space="preserve">, prepared based on the guidance received from the IOC Executive Council through </w:t>
            </w:r>
            <w:r w:rsidRPr="0099241C">
              <w:rPr>
                <w:rFonts w:cs="Arial"/>
                <w:bCs/>
                <w:color w:val="000000"/>
                <w:szCs w:val="22"/>
              </w:rPr>
              <w:t xml:space="preserve">IOC Resolution </w:t>
            </w:r>
            <w:hyperlink r:id="rId13" w:history="1">
              <w:r w:rsidRPr="0099241C">
                <w:rPr>
                  <w:rStyle w:val="Hyperlink"/>
                  <w:rFonts w:cs="Arial"/>
                  <w:bCs/>
                  <w:szCs w:val="22"/>
                </w:rPr>
                <w:t>EC-53/2</w:t>
              </w:r>
            </w:hyperlink>
            <w:r w:rsidRPr="00CF79D2">
              <w:rPr>
                <w:rFonts w:cs="Arial"/>
                <w:snapToGrid/>
                <w:szCs w:val="22"/>
                <w:lang w:eastAsia="fr-FR"/>
              </w:rPr>
              <w:t>.</w:t>
            </w:r>
          </w:p>
          <w:p w14:paraId="72074E87" w14:textId="3BD05887" w:rsidR="005A69BB" w:rsidRPr="00F471FD" w:rsidRDefault="005A69BB" w:rsidP="005A69BB">
            <w:pPr>
              <w:widowControl/>
              <w:tabs>
                <w:tab w:val="clear" w:pos="567"/>
              </w:tabs>
              <w:adjustRightInd/>
              <w:snapToGrid/>
              <w:spacing w:after="240" w:line="240" w:lineRule="auto"/>
              <w:ind w:left="28"/>
              <w:textAlignment w:val="auto"/>
              <w:rPr>
                <w:lang w:val="en-GB"/>
              </w:rPr>
            </w:pPr>
            <w:r w:rsidRPr="00CF79D2">
              <w:rPr>
                <w:rFonts w:cs="Arial"/>
                <w:szCs w:val="22"/>
                <w:u w:val="single"/>
              </w:rPr>
              <w:t>Decision proposed</w:t>
            </w:r>
            <w:r w:rsidRPr="00CF79D2">
              <w:rPr>
                <w:rFonts w:cs="Arial"/>
                <w:szCs w:val="22"/>
              </w:rPr>
              <w:t xml:space="preserve">: After a brief introduction and discussion in plenary under item </w:t>
            </w:r>
            <w:r>
              <w:rPr>
                <w:rFonts w:cs="Arial"/>
                <w:szCs w:val="22"/>
              </w:rPr>
              <w:t>4</w:t>
            </w:r>
            <w:r w:rsidRPr="00CF79D2">
              <w:rPr>
                <w:rFonts w:cs="Arial"/>
                <w:szCs w:val="22"/>
              </w:rPr>
              <w:t>.</w:t>
            </w:r>
            <w:r>
              <w:rPr>
                <w:rFonts w:cs="Arial"/>
                <w:szCs w:val="22"/>
              </w:rPr>
              <w:t>2</w:t>
            </w:r>
            <w:r w:rsidRPr="00CF79D2">
              <w:rPr>
                <w:rFonts w:cs="Arial"/>
                <w:szCs w:val="22"/>
              </w:rPr>
              <w:t xml:space="preserve">, the </w:t>
            </w:r>
            <w:r>
              <w:rPr>
                <w:rFonts w:cs="Arial"/>
                <w:szCs w:val="22"/>
              </w:rPr>
              <w:t>Assembly</w:t>
            </w:r>
            <w:r w:rsidRPr="00CF79D2">
              <w:rPr>
                <w:rFonts w:cs="Arial"/>
                <w:szCs w:val="22"/>
              </w:rPr>
              <w:t xml:space="preserve"> is invited to take note of this report and consider the draft decision referenced as IOC</w:t>
            </w:r>
            <w:r w:rsidR="00F50CD1">
              <w:rPr>
                <w:rFonts w:cs="Arial"/>
                <w:szCs w:val="22"/>
              </w:rPr>
              <w:t>/A</w:t>
            </w:r>
            <w:r>
              <w:rPr>
                <w:rFonts w:cs="Arial"/>
                <w:szCs w:val="22"/>
              </w:rPr>
              <w:t>-31/4.2</w:t>
            </w:r>
            <w:r w:rsidRPr="00CF79D2">
              <w:rPr>
                <w:rFonts w:cs="Arial"/>
                <w:szCs w:val="22"/>
              </w:rPr>
              <w:t xml:space="preserve"> in the Provisional Action Paper (document IOC</w:t>
            </w:r>
            <w:r w:rsidR="00F50CD1">
              <w:rPr>
                <w:rFonts w:cs="Arial"/>
                <w:szCs w:val="22"/>
              </w:rPr>
              <w:t>/A</w:t>
            </w:r>
            <w:r w:rsidRPr="00CF79D2">
              <w:rPr>
                <w:rFonts w:cs="Arial"/>
                <w:szCs w:val="22"/>
              </w:rPr>
              <w:t>-</w:t>
            </w:r>
            <w:r>
              <w:rPr>
                <w:rFonts w:cs="Arial"/>
                <w:szCs w:val="22"/>
              </w:rPr>
              <w:t>31</w:t>
            </w:r>
            <w:r w:rsidRPr="00CF79D2">
              <w:rPr>
                <w:rFonts w:cs="Arial"/>
                <w:szCs w:val="22"/>
              </w:rPr>
              <w:t>/AP). T</w:t>
            </w:r>
            <w:r w:rsidRPr="00CF79D2">
              <w:rPr>
                <w:rFonts w:cs="Arial"/>
                <w:szCs w:val="22"/>
                <w:lang w:bidi="en-US"/>
              </w:rPr>
              <w:t xml:space="preserve">he document will then be subject to an in-depth review by the sessional statutory open-ended Financial Committee and the decision reflected in the Draft Resolution that the Financial Committee will be submitting to the </w:t>
            </w:r>
            <w:r>
              <w:rPr>
                <w:rFonts w:cs="Arial"/>
                <w:szCs w:val="22"/>
                <w:lang w:bidi="en-US"/>
              </w:rPr>
              <w:t>Assembly</w:t>
            </w:r>
            <w:r w:rsidRPr="00CF79D2">
              <w:rPr>
                <w:rFonts w:cs="Arial"/>
                <w:szCs w:val="22"/>
                <w:lang w:bidi="en-US"/>
              </w:rPr>
              <w:t xml:space="preserve"> for adoption under item </w:t>
            </w:r>
            <w:r>
              <w:rPr>
                <w:rFonts w:cs="Arial"/>
                <w:szCs w:val="22"/>
                <w:lang w:bidi="en-US"/>
              </w:rPr>
              <w:t>4.4</w:t>
            </w:r>
            <w:r w:rsidRPr="00CF79D2">
              <w:rPr>
                <w:rFonts w:cs="Arial"/>
                <w:szCs w:val="22"/>
                <w:lang w:bidi="en-US"/>
              </w:rPr>
              <w:t xml:space="preserve"> in accordance with paragraph 15 of the </w:t>
            </w:r>
            <w:r w:rsidRPr="0099241C">
              <w:rPr>
                <w:rFonts w:cs="Arial"/>
                <w:szCs w:val="22"/>
                <w:lang w:bidi="en-US"/>
              </w:rPr>
              <w:t>Draft Revised Guidelines for the Preparation and Consideration of Draft Resolutions</w:t>
            </w:r>
            <w:r w:rsidRPr="00CF79D2">
              <w:rPr>
                <w:rFonts w:cs="Arial"/>
                <w:szCs w:val="22"/>
                <w:lang w:bidi="en-US"/>
              </w:rPr>
              <w:t xml:space="preserve"> (</w:t>
            </w:r>
            <w:hyperlink r:id="rId14" w:history="1">
              <w:r w:rsidRPr="0099241C">
                <w:rPr>
                  <w:rStyle w:val="Hyperlink"/>
                  <w:rFonts w:cs="Arial"/>
                  <w:szCs w:val="22"/>
                  <w:lang w:bidi="en-US"/>
                </w:rPr>
                <w:t>IOC/INF-1315</w:t>
              </w:r>
            </w:hyperlink>
            <w:r w:rsidRPr="00CF79D2">
              <w:rPr>
                <w:rFonts w:cs="Arial"/>
                <w:szCs w:val="22"/>
                <w:lang w:bidi="en-US"/>
              </w:rPr>
              <w:t>).</w:t>
            </w:r>
          </w:p>
        </w:tc>
      </w:tr>
    </w:tbl>
    <w:p w14:paraId="17EAF2BA" w14:textId="77777777" w:rsidR="005A69BB" w:rsidRDefault="0031076A">
      <w:pPr>
        <w:widowControl/>
        <w:tabs>
          <w:tab w:val="clear" w:pos="567"/>
        </w:tabs>
        <w:adjustRightInd/>
        <w:snapToGrid/>
        <w:spacing w:line="240" w:lineRule="auto"/>
        <w:jc w:val="left"/>
        <w:textAlignment w:val="auto"/>
        <w:sectPr w:rsidR="005A69BB" w:rsidSect="005A69BB">
          <w:headerReference w:type="even" r:id="rId15"/>
          <w:headerReference w:type="default" r:id="rId16"/>
          <w:headerReference w:type="first" r:id="rId17"/>
          <w:pgSz w:w="11906" w:h="16838" w:code="9"/>
          <w:pgMar w:top="-1398" w:right="1155" w:bottom="1134" w:left="1134" w:header="709" w:footer="680" w:gutter="0"/>
          <w:pgNumType w:start="1"/>
          <w:cols w:space="708"/>
          <w:titlePg/>
          <w:docGrid w:linePitch="360"/>
        </w:sectPr>
      </w:pPr>
      <w:r w:rsidRPr="00F471FD">
        <w:br w:type="page"/>
      </w:r>
    </w:p>
    <w:p w14:paraId="5E03E01D" w14:textId="77777777" w:rsidR="001255D9" w:rsidRPr="00F471FD" w:rsidRDefault="001255D9" w:rsidP="00921D65">
      <w:pPr>
        <w:pStyle w:val="Heading2"/>
        <w:spacing w:before="0" w:after="0" w:line="240" w:lineRule="auto"/>
        <w:rPr>
          <w:rFonts w:cs="Arial"/>
          <w:szCs w:val="22"/>
        </w:rPr>
      </w:pPr>
      <w:r w:rsidRPr="00F471FD">
        <w:rPr>
          <w:rFonts w:cs="Arial"/>
          <w:szCs w:val="22"/>
        </w:rPr>
        <w:lastRenderedPageBreak/>
        <w:t xml:space="preserve">INTRODUCTION BY THE </w:t>
      </w:r>
      <w:r w:rsidR="008E7D58" w:rsidRPr="00F471FD">
        <w:rPr>
          <w:rFonts w:cs="Arial"/>
          <w:szCs w:val="22"/>
        </w:rPr>
        <w:t xml:space="preserve">IOC </w:t>
      </w:r>
      <w:r w:rsidRPr="00F471FD">
        <w:rPr>
          <w:rFonts w:cs="Arial"/>
          <w:szCs w:val="22"/>
        </w:rPr>
        <w:t>EXECUTIVE SECRETARY</w:t>
      </w:r>
    </w:p>
    <w:p w14:paraId="55B9AB40" w14:textId="77777777" w:rsidR="001255D9" w:rsidRPr="00F471FD" w:rsidRDefault="00DB250E" w:rsidP="006001A0">
      <w:pPr>
        <w:pStyle w:val="Marge"/>
        <w:spacing w:after="0" w:line="240" w:lineRule="auto"/>
      </w:pPr>
      <w:r w:rsidRPr="00415394">
        <w:rPr>
          <w:noProof/>
          <w:snapToGrid/>
          <w:lang w:val="fr-FR" w:eastAsia="fr-FR"/>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30CCFDDD" w14:textId="77777777" w:rsidR="00AC5857" w:rsidRDefault="00AC5857" w:rsidP="00AC5857">
      <w:pPr>
        <w:pStyle w:val="ParaCOI"/>
        <w:numPr>
          <w:ilvl w:val="0"/>
          <w:numId w:val="23"/>
        </w:numPr>
        <w:shd w:val="clear" w:color="auto" w:fill="FFFFFF"/>
        <w:ind w:left="0" w:firstLine="0"/>
        <w:rPr>
          <w:lang w:val="en-US"/>
        </w:rPr>
      </w:pPr>
      <w:r w:rsidRPr="00D01CB8">
        <w:rPr>
          <w:lang w:val="en-US"/>
        </w:rPr>
        <w:t>The key role of the ocean in many aspects of sustainable development translates into the importance of maintaining and further developing IOC</w:t>
      </w:r>
      <w:r>
        <w:rPr>
          <w:lang w:val="en-US"/>
        </w:rPr>
        <w:t>’s</w:t>
      </w:r>
      <w:r w:rsidRPr="00D01CB8">
        <w:rPr>
          <w:lang w:val="en-US"/>
        </w:rPr>
        <w:t xml:space="preserve"> means of delivery. We live now in a period when the value of </w:t>
      </w:r>
      <w:r>
        <w:rPr>
          <w:lang w:val="en-US"/>
        </w:rPr>
        <w:t xml:space="preserve">the </w:t>
      </w:r>
      <w:r w:rsidRPr="00D01CB8">
        <w:rPr>
          <w:lang w:val="en-US"/>
        </w:rPr>
        <w:t xml:space="preserve">ocean for </w:t>
      </w:r>
      <w:r>
        <w:rPr>
          <w:lang w:val="en-US"/>
        </w:rPr>
        <w:t xml:space="preserve">our </w:t>
      </w:r>
      <w:r w:rsidRPr="00D01CB8">
        <w:rPr>
          <w:lang w:val="en-US"/>
        </w:rPr>
        <w:t>civilization is becoming better understood. There is a</w:t>
      </w:r>
      <w:r>
        <w:rPr>
          <w:lang w:val="en-US"/>
        </w:rPr>
        <w:t>n emerging</w:t>
      </w:r>
      <w:r w:rsidRPr="00D01CB8">
        <w:rPr>
          <w:lang w:val="en-US"/>
        </w:rPr>
        <w:t xml:space="preserve"> possibility that science-based ocean planning will lead to the reverse in the decline of </w:t>
      </w:r>
      <w:r>
        <w:rPr>
          <w:lang w:val="en-US"/>
        </w:rPr>
        <w:t xml:space="preserve">the </w:t>
      </w:r>
      <w:r w:rsidRPr="00D01CB8">
        <w:rPr>
          <w:lang w:val="en-US"/>
        </w:rPr>
        <w:t>ocean</w:t>
      </w:r>
      <w:r>
        <w:rPr>
          <w:lang w:val="en-US"/>
        </w:rPr>
        <w:t>’s</w:t>
      </w:r>
      <w:r w:rsidRPr="00D01CB8">
        <w:rPr>
          <w:lang w:val="en-US"/>
        </w:rPr>
        <w:t xml:space="preserve"> health and </w:t>
      </w:r>
      <w:r>
        <w:rPr>
          <w:lang w:val="en-US"/>
        </w:rPr>
        <w:t>will</w:t>
      </w:r>
      <w:r w:rsidRPr="00D01CB8">
        <w:rPr>
          <w:lang w:val="en-US"/>
        </w:rPr>
        <w:t xml:space="preserve"> increase benefits for humankind originating from the ocean. However, historically, the value of ocean science and the need for coordinated action have not been reflected adequately in national and international governance, nor are they reflected in the </w:t>
      </w:r>
      <w:r>
        <w:rPr>
          <w:lang w:val="en-US"/>
        </w:rPr>
        <w:t xml:space="preserve">past or </w:t>
      </w:r>
      <w:r w:rsidRPr="00D01CB8">
        <w:rPr>
          <w:lang w:val="en-US"/>
        </w:rPr>
        <w:t xml:space="preserve">current resources available to </w:t>
      </w:r>
      <w:r>
        <w:rPr>
          <w:lang w:val="en-US"/>
        </w:rPr>
        <w:t xml:space="preserve">the </w:t>
      </w:r>
      <w:r w:rsidRPr="00D01CB8">
        <w:rPr>
          <w:lang w:val="en-US"/>
        </w:rPr>
        <w:t xml:space="preserve">IOC. </w:t>
      </w:r>
    </w:p>
    <w:p w14:paraId="4333E64B" w14:textId="4BBAC7B6" w:rsidR="00AC5857" w:rsidRPr="00D01CB8" w:rsidRDefault="00AC5857" w:rsidP="00AC5857">
      <w:pPr>
        <w:pStyle w:val="ParaCOI"/>
        <w:numPr>
          <w:ilvl w:val="0"/>
          <w:numId w:val="23"/>
        </w:numPr>
        <w:shd w:val="clear" w:color="auto" w:fill="FFFFFF"/>
        <w:ind w:left="0" w:firstLine="0"/>
        <w:rPr>
          <w:lang w:val="en-US"/>
        </w:rPr>
      </w:pPr>
      <w:r w:rsidRPr="00D01CB8">
        <w:rPr>
          <w:lang w:val="en-US"/>
        </w:rPr>
        <w:t xml:space="preserve">The UN Decade of Ocean Science </w:t>
      </w:r>
      <w:r>
        <w:rPr>
          <w:lang w:val="en-US"/>
        </w:rPr>
        <w:t>f</w:t>
      </w:r>
      <w:r w:rsidRPr="00D01CB8">
        <w:rPr>
          <w:lang w:val="en-US"/>
        </w:rPr>
        <w:t>or Sustainable Development 2021</w:t>
      </w:r>
      <w:r w:rsidR="00D47B80">
        <w:rPr>
          <w:lang w:val="en-US"/>
        </w:rPr>
        <w:t>–</w:t>
      </w:r>
      <w:r w:rsidRPr="00D01CB8">
        <w:rPr>
          <w:lang w:val="en-US"/>
        </w:rPr>
        <w:t xml:space="preserve">2030 (the </w:t>
      </w:r>
      <w:r w:rsidR="00D47B80">
        <w:rPr>
          <w:lang w:val="en-US"/>
        </w:rPr>
        <w:t xml:space="preserve">Ocean </w:t>
      </w:r>
      <w:r w:rsidRPr="00D01CB8">
        <w:rPr>
          <w:lang w:val="en-US"/>
        </w:rPr>
        <w:t>Decade) intends to change this situation, engage multiple stakeholders into capacitating ocean science and directing it towards delivering on grand challenges of our time. In addition, there are high expectations o</w:t>
      </w:r>
      <w:r>
        <w:rPr>
          <w:lang w:val="en-US"/>
        </w:rPr>
        <w:t>f</w:t>
      </w:r>
      <w:r w:rsidRPr="00D01CB8">
        <w:rPr>
          <w:lang w:val="en-US"/>
        </w:rPr>
        <w:t xml:space="preserve"> IOC’s input into two key UN processes, namely the adaptation to and mitigation of climate change under the UNFCCC and the new International Legally Binding Instrument (ILBI) under the UN Convention on the Law of the Sea</w:t>
      </w:r>
      <w:r>
        <w:rPr>
          <w:lang w:val="en-US"/>
        </w:rPr>
        <w:t xml:space="preserve"> </w:t>
      </w:r>
      <w:r w:rsidRPr="00D01CB8">
        <w:rPr>
          <w:lang w:val="en-US"/>
        </w:rPr>
        <w:t>(UNCLOS) on the conservation and sustainable use of marine biological diversity of areas beyond national jurisdiction (BBNJ). These four broad areas of delivery (</w:t>
      </w:r>
      <w:r>
        <w:rPr>
          <w:lang w:val="en-US"/>
        </w:rPr>
        <w:t xml:space="preserve">the </w:t>
      </w:r>
      <w:r w:rsidRPr="00D01CB8">
        <w:rPr>
          <w:lang w:val="en-US"/>
        </w:rPr>
        <w:t xml:space="preserve">IOC </w:t>
      </w:r>
      <w:r>
        <w:rPr>
          <w:lang w:val="en-US"/>
        </w:rPr>
        <w:t xml:space="preserve">core </w:t>
      </w:r>
      <w:r w:rsidRPr="00D01CB8">
        <w:rPr>
          <w:lang w:val="en-US"/>
        </w:rPr>
        <w:t xml:space="preserve">Functions, Decade, UNFCCC, and BBNJ) will be the main factors shaping the new IOC Medium Term Strategy (MTS) </w:t>
      </w:r>
      <w:r w:rsidR="00D47B80">
        <w:rPr>
          <w:lang w:val="en-US"/>
        </w:rPr>
        <w:t xml:space="preserve">for </w:t>
      </w:r>
      <w:r w:rsidRPr="00D01CB8">
        <w:rPr>
          <w:lang w:val="en-US"/>
        </w:rPr>
        <w:t>2022</w:t>
      </w:r>
      <w:r w:rsidR="00D47B80">
        <w:rPr>
          <w:lang w:val="en-US"/>
        </w:rPr>
        <w:t>–</w:t>
      </w:r>
      <w:r w:rsidRPr="00D01CB8">
        <w:rPr>
          <w:lang w:val="en-US"/>
        </w:rPr>
        <w:t>2029</w:t>
      </w:r>
      <w:r>
        <w:rPr>
          <w:lang w:val="en-US"/>
        </w:rPr>
        <w:t xml:space="preserve"> and IOC’s </w:t>
      </w:r>
      <w:proofErr w:type="spellStart"/>
      <w:r>
        <w:rPr>
          <w:lang w:val="en-US"/>
        </w:rPr>
        <w:t>programme</w:t>
      </w:r>
      <w:proofErr w:type="spellEnd"/>
      <w:r>
        <w:rPr>
          <w:lang w:val="en-US"/>
        </w:rPr>
        <w:t xml:space="preserve"> of work for 2022</w:t>
      </w:r>
      <w:r w:rsidR="00D47B80">
        <w:rPr>
          <w:lang w:val="en-US"/>
        </w:rPr>
        <w:t>–</w:t>
      </w:r>
      <w:r>
        <w:rPr>
          <w:lang w:val="en-US"/>
        </w:rPr>
        <w:t>2025</w:t>
      </w:r>
      <w:r w:rsidRPr="00D01CB8">
        <w:rPr>
          <w:lang w:val="en-US"/>
        </w:rPr>
        <w:t xml:space="preserve">. </w:t>
      </w:r>
      <w:r>
        <w:rPr>
          <w:lang w:val="en-US"/>
        </w:rPr>
        <w:t>The</w:t>
      </w:r>
      <w:r w:rsidRPr="00D01CB8">
        <w:rPr>
          <w:lang w:val="en-US"/>
        </w:rPr>
        <w:t xml:space="preserve"> IOC has been working on its</w:t>
      </w:r>
      <w:r>
        <w:rPr>
          <w:lang w:val="en-US"/>
        </w:rPr>
        <w:t xml:space="preserve"> new MTS since 2018, however, a</w:t>
      </w:r>
      <w:r w:rsidRPr="00D01CB8">
        <w:rPr>
          <w:lang w:val="en-US"/>
        </w:rPr>
        <w:t xml:space="preserve">t the time of writing this introduction, the </w:t>
      </w:r>
      <w:r w:rsidR="00D47B80">
        <w:rPr>
          <w:lang w:val="en-US"/>
        </w:rPr>
        <w:t>COVID-19</w:t>
      </w:r>
      <w:r w:rsidRPr="00D01CB8">
        <w:rPr>
          <w:lang w:val="en-US"/>
        </w:rPr>
        <w:t xml:space="preserve"> pandemic </w:t>
      </w:r>
      <w:r>
        <w:rPr>
          <w:lang w:val="en-US"/>
        </w:rPr>
        <w:t xml:space="preserve">has become </w:t>
      </w:r>
      <w:r w:rsidRPr="00D01CB8">
        <w:rPr>
          <w:lang w:val="en-US"/>
        </w:rPr>
        <w:t xml:space="preserve">the main concern of the world. Like the dramatic pandemics of other centuries, it will affect the economies of countries and </w:t>
      </w:r>
      <w:r>
        <w:rPr>
          <w:lang w:val="en-US"/>
        </w:rPr>
        <w:t xml:space="preserve">the </w:t>
      </w:r>
      <w:r w:rsidRPr="00D01CB8">
        <w:rPr>
          <w:lang w:val="en-US"/>
        </w:rPr>
        <w:t>thinking of societ</w:t>
      </w:r>
      <w:r>
        <w:rPr>
          <w:lang w:val="en-US"/>
        </w:rPr>
        <w:t>ies</w:t>
      </w:r>
      <w:r w:rsidRPr="00D01CB8">
        <w:rPr>
          <w:lang w:val="en-US"/>
        </w:rPr>
        <w:t xml:space="preserve"> and decision</w:t>
      </w:r>
      <w:r w:rsidR="00D47B80">
        <w:rPr>
          <w:lang w:val="en-US"/>
        </w:rPr>
        <w:t>-</w:t>
      </w:r>
      <w:r w:rsidRPr="00D01CB8">
        <w:rPr>
          <w:lang w:val="en-US"/>
        </w:rPr>
        <w:t xml:space="preserve">makers. The role of </w:t>
      </w:r>
      <w:r>
        <w:rPr>
          <w:lang w:val="en-US"/>
        </w:rPr>
        <w:t xml:space="preserve">the </w:t>
      </w:r>
      <w:r w:rsidRPr="00D01CB8">
        <w:rPr>
          <w:lang w:val="en-US"/>
        </w:rPr>
        <w:t xml:space="preserve">ocean in human health, the opportunity for the humankind to start acting in a much more sustainable way after the slowdown of economy caused by the pandemic, and </w:t>
      </w:r>
      <w:r>
        <w:rPr>
          <w:lang w:val="en-US"/>
        </w:rPr>
        <w:t xml:space="preserve">the </w:t>
      </w:r>
      <w:r w:rsidRPr="00D01CB8">
        <w:rPr>
          <w:lang w:val="en-US"/>
        </w:rPr>
        <w:t xml:space="preserve">impacts of the lockdown on </w:t>
      </w:r>
      <w:r>
        <w:rPr>
          <w:lang w:val="en-US"/>
        </w:rPr>
        <w:t xml:space="preserve">the </w:t>
      </w:r>
      <w:r w:rsidRPr="00D01CB8">
        <w:rPr>
          <w:lang w:val="en-US"/>
        </w:rPr>
        <w:t xml:space="preserve">marine environment and </w:t>
      </w:r>
      <w:r>
        <w:rPr>
          <w:lang w:val="en-US"/>
        </w:rPr>
        <w:t xml:space="preserve">human </w:t>
      </w:r>
      <w:r w:rsidRPr="00D01CB8">
        <w:rPr>
          <w:lang w:val="en-US"/>
        </w:rPr>
        <w:t xml:space="preserve">operations in the ocean and at the coast will </w:t>
      </w:r>
      <w:r>
        <w:rPr>
          <w:lang w:val="en-US"/>
        </w:rPr>
        <w:t xml:space="preserve">all </w:t>
      </w:r>
      <w:r w:rsidRPr="00D01CB8">
        <w:rPr>
          <w:lang w:val="en-US"/>
        </w:rPr>
        <w:t xml:space="preserve">need to be given </w:t>
      </w:r>
      <w:r>
        <w:rPr>
          <w:lang w:val="en-US"/>
        </w:rPr>
        <w:t xml:space="preserve">a </w:t>
      </w:r>
      <w:r w:rsidRPr="00D01CB8">
        <w:rPr>
          <w:lang w:val="en-US"/>
        </w:rPr>
        <w:t>serious consideration.</w:t>
      </w:r>
    </w:p>
    <w:p w14:paraId="3916B160" w14:textId="3109F5F2" w:rsidR="00AC5857" w:rsidRDefault="00AC5857" w:rsidP="00AC5857">
      <w:pPr>
        <w:pStyle w:val="ParaCOI"/>
        <w:numPr>
          <w:ilvl w:val="0"/>
          <w:numId w:val="23"/>
        </w:numPr>
        <w:shd w:val="clear" w:color="auto" w:fill="FFFFFF"/>
        <w:ind w:left="0" w:firstLine="0"/>
        <w:rPr>
          <w:lang w:val="en-US"/>
        </w:rPr>
      </w:pPr>
      <w:r w:rsidRPr="00D01CB8">
        <w:rPr>
          <w:lang w:val="en-US"/>
        </w:rPr>
        <w:t>Before the pandemic, the UNESCO 40</w:t>
      </w:r>
      <w:r w:rsidRPr="00D01CB8">
        <w:rPr>
          <w:vertAlign w:val="superscript"/>
          <w:lang w:val="en-US"/>
        </w:rPr>
        <w:t>th</w:t>
      </w:r>
      <w:r w:rsidRPr="00D01CB8">
        <w:rPr>
          <w:lang w:val="en-US"/>
        </w:rPr>
        <w:t xml:space="preserve"> General Conference agreed to the budget scenario for 2020</w:t>
      </w:r>
      <w:r w:rsidR="00D47B80">
        <w:rPr>
          <w:lang w:val="en-US"/>
        </w:rPr>
        <w:t>–</w:t>
      </w:r>
      <w:r w:rsidRPr="00D01CB8">
        <w:rPr>
          <w:lang w:val="en-US"/>
        </w:rPr>
        <w:t>2021 (40</w:t>
      </w:r>
      <w:r w:rsidR="00D47B80">
        <w:rPr>
          <w:lang w:val="en-US"/>
        </w:rPr>
        <w:t> </w:t>
      </w:r>
      <w:r w:rsidRPr="00D01CB8">
        <w:rPr>
          <w:lang w:val="en-US"/>
        </w:rPr>
        <w:t>C/5) based on the appropriated regular budget</w:t>
      </w:r>
      <w:r>
        <w:rPr>
          <w:lang w:val="en-US"/>
        </w:rPr>
        <w:t xml:space="preserve"> (Member States’ assessed contributions)</w:t>
      </w:r>
      <w:r w:rsidRPr="00D01CB8">
        <w:rPr>
          <w:lang w:val="en-US"/>
        </w:rPr>
        <w:t xml:space="preserve"> of US$ 534.6</w:t>
      </w:r>
      <w:r w:rsidR="00D47B80">
        <w:rPr>
          <w:lang w:val="en-US"/>
        </w:rPr>
        <w:t xml:space="preserve"> million</w:t>
      </w:r>
      <w:r w:rsidRPr="00D01CB8">
        <w:rPr>
          <w:lang w:val="en-US"/>
        </w:rPr>
        <w:t xml:space="preserve"> ($11</w:t>
      </w:r>
      <w:r w:rsidR="000A273F">
        <w:rPr>
          <w:lang w:val="en-US"/>
        </w:rPr>
        <w:t>.</w:t>
      </w:r>
      <w:r>
        <w:rPr>
          <w:lang w:val="en-US"/>
        </w:rPr>
        <w:t>1</w:t>
      </w:r>
      <w:r w:rsidR="00D47B80">
        <w:rPr>
          <w:lang w:val="en-US"/>
        </w:rPr>
        <w:t xml:space="preserve"> million</w:t>
      </w:r>
      <w:r w:rsidRPr="00D01CB8">
        <w:rPr>
          <w:lang w:val="en-US"/>
        </w:rPr>
        <w:t xml:space="preserve"> for the IOC</w:t>
      </w:r>
      <w:r>
        <w:rPr>
          <w:lang w:val="en-US"/>
        </w:rPr>
        <w:t>, or, without contribution to common charges, $10</w:t>
      </w:r>
      <w:r w:rsidR="000A273F">
        <w:rPr>
          <w:lang w:val="en-US"/>
        </w:rPr>
        <w:t>.</w:t>
      </w:r>
      <w:r>
        <w:rPr>
          <w:lang w:val="en-US"/>
        </w:rPr>
        <w:t>9</w:t>
      </w:r>
      <w:r w:rsidR="00D47B80">
        <w:rPr>
          <w:lang w:val="en-US"/>
        </w:rPr>
        <w:t xml:space="preserve"> million</w:t>
      </w:r>
      <w:r w:rsidRPr="00D01CB8">
        <w:rPr>
          <w:lang w:val="en-US"/>
        </w:rPr>
        <w:t>). This budget offer</w:t>
      </w:r>
      <w:r>
        <w:rPr>
          <w:lang w:val="en-US"/>
        </w:rPr>
        <w:t>ed</w:t>
      </w:r>
      <w:r w:rsidRPr="00D01CB8">
        <w:rPr>
          <w:lang w:val="en-US"/>
        </w:rPr>
        <w:t xml:space="preserve"> to </w:t>
      </w:r>
      <w:r>
        <w:rPr>
          <w:lang w:val="en-US"/>
        </w:rPr>
        <w:t xml:space="preserve">the </w:t>
      </w:r>
      <w:r w:rsidRPr="00D01CB8">
        <w:rPr>
          <w:lang w:val="en-US"/>
        </w:rPr>
        <w:t xml:space="preserve">IOC </w:t>
      </w:r>
      <w:r>
        <w:rPr>
          <w:lang w:val="en-US"/>
        </w:rPr>
        <w:t xml:space="preserve">Secretariat </w:t>
      </w:r>
      <w:r w:rsidRPr="00D01CB8">
        <w:rPr>
          <w:lang w:val="en-US"/>
        </w:rPr>
        <w:t xml:space="preserve">a possibility to continue the work similarly to the previous biennium and to allocate some very modest seed money to the </w:t>
      </w:r>
      <w:r w:rsidR="00987DD4">
        <w:rPr>
          <w:lang w:val="en-US"/>
        </w:rPr>
        <w:t xml:space="preserve">Ocean </w:t>
      </w:r>
      <w:r w:rsidRPr="00D01CB8">
        <w:rPr>
          <w:lang w:val="en-US"/>
        </w:rPr>
        <w:t>Decade. The IOC</w:t>
      </w:r>
      <w:r>
        <w:rPr>
          <w:lang w:val="en-US"/>
        </w:rPr>
        <w:t>’s</w:t>
      </w:r>
      <w:r w:rsidRPr="00D01CB8">
        <w:rPr>
          <w:lang w:val="en-US"/>
        </w:rPr>
        <w:t xml:space="preserve"> </w:t>
      </w:r>
      <w:r>
        <w:rPr>
          <w:lang w:val="en-US"/>
        </w:rPr>
        <w:t xml:space="preserve">integrated budget </w:t>
      </w:r>
      <w:r w:rsidRPr="00D01CB8">
        <w:rPr>
          <w:lang w:val="en-US"/>
        </w:rPr>
        <w:t>for 2020</w:t>
      </w:r>
      <w:r w:rsidR="00987DD4">
        <w:rPr>
          <w:lang w:val="en-US"/>
        </w:rPr>
        <w:t>–</w:t>
      </w:r>
      <w:r w:rsidRPr="00D01CB8">
        <w:rPr>
          <w:lang w:val="en-US"/>
        </w:rPr>
        <w:t xml:space="preserve">2021, of the order of </w:t>
      </w:r>
      <w:r>
        <w:rPr>
          <w:lang w:val="en-US"/>
        </w:rPr>
        <w:t>$</w:t>
      </w:r>
      <w:r w:rsidRPr="00D01CB8">
        <w:rPr>
          <w:lang w:val="en-US"/>
        </w:rPr>
        <w:t>26.9</w:t>
      </w:r>
      <w:r w:rsidR="00987DD4">
        <w:rPr>
          <w:lang w:val="en-US"/>
        </w:rPr>
        <w:t xml:space="preserve"> million</w:t>
      </w:r>
      <w:r w:rsidRPr="00D01CB8">
        <w:rPr>
          <w:lang w:val="en-US"/>
        </w:rPr>
        <w:t xml:space="preserve">, </w:t>
      </w:r>
      <w:r>
        <w:rPr>
          <w:lang w:val="en-US"/>
        </w:rPr>
        <w:t xml:space="preserve">was </w:t>
      </w:r>
      <w:r w:rsidRPr="00D01CB8">
        <w:rPr>
          <w:lang w:val="en-US"/>
        </w:rPr>
        <w:t xml:space="preserve">a sum of </w:t>
      </w:r>
      <w:r>
        <w:rPr>
          <w:lang w:val="en-US"/>
        </w:rPr>
        <w:t>assessed</w:t>
      </w:r>
      <w:r w:rsidRPr="00D01CB8">
        <w:rPr>
          <w:lang w:val="en-US"/>
        </w:rPr>
        <w:t xml:space="preserve"> and anticipated </w:t>
      </w:r>
      <w:r>
        <w:rPr>
          <w:lang w:val="en-US"/>
        </w:rPr>
        <w:t>voluntary (</w:t>
      </w:r>
      <w:r w:rsidRPr="00D01CB8">
        <w:rPr>
          <w:lang w:val="en-US"/>
        </w:rPr>
        <w:t>extrabudgetary</w:t>
      </w:r>
      <w:r>
        <w:rPr>
          <w:lang w:val="en-US"/>
        </w:rPr>
        <w:t>)</w:t>
      </w:r>
      <w:r w:rsidRPr="00D01CB8">
        <w:rPr>
          <w:lang w:val="en-US"/>
        </w:rPr>
        <w:t xml:space="preserve"> contributions</w:t>
      </w:r>
      <w:r>
        <w:rPr>
          <w:lang w:val="en-US"/>
        </w:rPr>
        <w:t>:</w:t>
      </w:r>
      <w:r w:rsidRPr="00D01CB8">
        <w:rPr>
          <w:lang w:val="en-US"/>
        </w:rPr>
        <w:t xml:space="preserve"> </w:t>
      </w:r>
      <w:r>
        <w:rPr>
          <w:lang w:val="en-US"/>
        </w:rPr>
        <w:t>$10.9</w:t>
      </w:r>
      <w:r w:rsidR="00987DD4">
        <w:rPr>
          <w:lang w:val="en-US"/>
        </w:rPr>
        <w:t xml:space="preserve"> million</w:t>
      </w:r>
      <w:r>
        <w:rPr>
          <w:lang w:val="en-US"/>
        </w:rPr>
        <w:t xml:space="preserve"> under regular budget (of which $</w:t>
      </w:r>
      <w:r w:rsidRPr="00D01CB8">
        <w:rPr>
          <w:lang w:val="en-US"/>
        </w:rPr>
        <w:t>8.3</w:t>
      </w:r>
      <w:r w:rsidR="00987DD4">
        <w:rPr>
          <w:lang w:val="en-US"/>
        </w:rPr>
        <w:t xml:space="preserve"> million</w:t>
      </w:r>
      <w:r w:rsidRPr="00D01CB8">
        <w:rPr>
          <w:lang w:val="en-US"/>
        </w:rPr>
        <w:t xml:space="preserve"> </w:t>
      </w:r>
      <w:r>
        <w:rPr>
          <w:lang w:val="en-US"/>
        </w:rPr>
        <w:t>is for</w:t>
      </w:r>
      <w:r w:rsidRPr="00D01CB8">
        <w:rPr>
          <w:lang w:val="en-US"/>
        </w:rPr>
        <w:t xml:space="preserve"> staff costs</w:t>
      </w:r>
      <w:r>
        <w:rPr>
          <w:lang w:val="en-US"/>
        </w:rPr>
        <w:t xml:space="preserve"> and</w:t>
      </w:r>
      <w:r w:rsidRPr="00D01CB8">
        <w:rPr>
          <w:lang w:val="en-US"/>
        </w:rPr>
        <w:t xml:space="preserve"> </w:t>
      </w:r>
      <w:r w:rsidR="00987DD4">
        <w:rPr>
          <w:lang w:val="en-US"/>
        </w:rPr>
        <w:t>$</w:t>
      </w:r>
      <w:r w:rsidRPr="00D01CB8">
        <w:rPr>
          <w:lang w:val="en-US"/>
        </w:rPr>
        <w:t>2.</w:t>
      </w:r>
      <w:r>
        <w:rPr>
          <w:lang w:val="en-US"/>
        </w:rPr>
        <w:t>6</w:t>
      </w:r>
      <w:r w:rsidR="00987DD4">
        <w:rPr>
          <w:lang w:val="en-US"/>
        </w:rPr>
        <w:t xml:space="preserve"> million</w:t>
      </w:r>
      <w:r w:rsidRPr="00D01CB8">
        <w:rPr>
          <w:lang w:val="en-US"/>
        </w:rPr>
        <w:t xml:space="preserve"> </w:t>
      </w:r>
      <w:r>
        <w:rPr>
          <w:lang w:val="en-US"/>
        </w:rPr>
        <w:t xml:space="preserve">is </w:t>
      </w:r>
      <w:r w:rsidRPr="00D01CB8">
        <w:rPr>
          <w:lang w:val="en-US"/>
        </w:rPr>
        <w:t>for operations</w:t>
      </w:r>
      <w:r>
        <w:rPr>
          <w:lang w:val="en-US"/>
        </w:rPr>
        <w:t>), $2.6</w:t>
      </w:r>
      <w:r w:rsidR="00987DD4">
        <w:rPr>
          <w:lang w:val="en-US"/>
        </w:rPr>
        <w:t xml:space="preserve"> million</w:t>
      </w:r>
      <w:r>
        <w:rPr>
          <w:lang w:val="en-US"/>
        </w:rPr>
        <w:t xml:space="preserve"> of voluntary contributions already in hand at the moment of the 40</w:t>
      </w:r>
      <w:r w:rsidR="00987DD4">
        <w:rPr>
          <w:lang w:val="en-US"/>
        </w:rPr>
        <w:t> </w:t>
      </w:r>
      <w:r>
        <w:rPr>
          <w:lang w:val="en-US"/>
        </w:rPr>
        <w:t>C/5 preparation and a resource mobilization target of $</w:t>
      </w:r>
      <w:r w:rsidRPr="00D01CB8">
        <w:rPr>
          <w:lang w:val="en-US"/>
        </w:rPr>
        <w:t>1</w:t>
      </w:r>
      <w:r>
        <w:rPr>
          <w:lang w:val="en-US"/>
        </w:rPr>
        <w:t>3</w:t>
      </w:r>
      <w:r w:rsidRPr="00D01CB8">
        <w:rPr>
          <w:lang w:val="en-US"/>
        </w:rPr>
        <w:t>.2</w:t>
      </w:r>
      <w:r w:rsidR="00987DD4">
        <w:rPr>
          <w:lang w:val="en-US"/>
        </w:rPr>
        <w:t xml:space="preserve"> million</w:t>
      </w:r>
      <w:r w:rsidRPr="00D01CB8">
        <w:rPr>
          <w:lang w:val="en-US"/>
        </w:rPr>
        <w:t>. Th</w:t>
      </w:r>
      <w:r>
        <w:rPr>
          <w:lang w:val="en-US"/>
        </w:rPr>
        <w:t xml:space="preserve">is formed </w:t>
      </w:r>
      <w:r w:rsidRPr="00D01CB8">
        <w:rPr>
          <w:lang w:val="en-US"/>
        </w:rPr>
        <w:t xml:space="preserve">the </w:t>
      </w:r>
      <w:r>
        <w:rPr>
          <w:lang w:val="en-US"/>
        </w:rPr>
        <w:t>baseline</w:t>
      </w:r>
      <w:r w:rsidRPr="00D01CB8">
        <w:rPr>
          <w:lang w:val="en-US"/>
        </w:rPr>
        <w:t xml:space="preserve"> conditions for the planning of the </w:t>
      </w:r>
      <w:proofErr w:type="spellStart"/>
      <w:r w:rsidRPr="00D01CB8">
        <w:rPr>
          <w:lang w:val="en-US"/>
        </w:rPr>
        <w:t>programme</w:t>
      </w:r>
      <w:proofErr w:type="spellEnd"/>
      <w:r w:rsidRPr="00D01CB8">
        <w:rPr>
          <w:lang w:val="en-US"/>
        </w:rPr>
        <w:t xml:space="preserve"> and budget for the </w:t>
      </w:r>
      <w:r>
        <w:rPr>
          <w:lang w:val="en-US"/>
        </w:rPr>
        <w:t>first biennium 2022</w:t>
      </w:r>
      <w:r w:rsidR="00987DD4">
        <w:rPr>
          <w:lang w:val="en-US"/>
        </w:rPr>
        <w:t>–</w:t>
      </w:r>
      <w:r>
        <w:rPr>
          <w:lang w:val="en-US"/>
        </w:rPr>
        <w:t>2023</w:t>
      </w:r>
      <w:r w:rsidRPr="00D01CB8">
        <w:rPr>
          <w:lang w:val="en-US"/>
        </w:rPr>
        <w:t xml:space="preserve">. </w:t>
      </w:r>
    </w:p>
    <w:p w14:paraId="369F7975" w14:textId="6DD15ED5" w:rsidR="00AC5857" w:rsidRPr="004D7F25" w:rsidRDefault="00AC5857" w:rsidP="00AC5857">
      <w:pPr>
        <w:pStyle w:val="ParaCOI"/>
        <w:numPr>
          <w:ilvl w:val="0"/>
          <w:numId w:val="23"/>
        </w:numPr>
        <w:shd w:val="clear" w:color="auto" w:fill="FFFFFF"/>
        <w:ind w:left="0" w:firstLine="0"/>
        <w:rPr>
          <w:lang w:val="en-US"/>
        </w:rPr>
      </w:pPr>
      <w:r w:rsidRPr="00D01CB8">
        <w:rPr>
          <w:lang w:val="en-US"/>
        </w:rPr>
        <w:t>IOC</w:t>
      </w:r>
      <w:r>
        <w:rPr>
          <w:lang w:val="en-US"/>
        </w:rPr>
        <w:t xml:space="preserve"> celebrated its 60</w:t>
      </w:r>
      <w:r w:rsidRPr="00026482">
        <w:rPr>
          <w:vertAlign w:val="superscript"/>
          <w:lang w:val="en-US"/>
        </w:rPr>
        <w:t>th</w:t>
      </w:r>
      <w:r>
        <w:rPr>
          <w:lang w:val="en-US"/>
        </w:rPr>
        <w:t xml:space="preserve"> anniversary in 2020. Its </w:t>
      </w:r>
      <w:r w:rsidRPr="00D01CB8">
        <w:rPr>
          <w:lang w:val="en-US"/>
        </w:rPr>
        <w:t xml:space="preserve">services are increasingly required for the world. </w:t>
      </w:r>
      <w:r>
        <w:rPr>
          <w:lang w:val="en-US"/>
        </w:rPr>
        <w:t>However, c</w:t>
      </w:r>
      <w:r w:rsidRPr="00D01CB8">
        <w:rPr>
          <w:lang w:val="en-US"/>
        </w:rPr>
        <w:t xml:space="preserve">urrently, the IOC can be characterized as an intergovernmental </w:t>
      </w:r>
      <w:r>
        <w:rPr>
          <w:lang w:val="en-US"/>
        </w:rPr>
        <w:t>commission</w:t>
      </w:r>
      <w:r w:rsidRPr="00D01CB8">
        <w:rPr>
          <w:lang w:val="en-US"/>
        </w:rPr>
        <w:t xml:space="preserve"> with very strong </w:t>
      </w:r>
      <w:proofErr w:type="spellStart"/>
      <w:r w:rsidRPr="00D01CB8">
        <w:rPr>
          <w:lang w:val="en-US"/>
        </w:rPr>
        <w:t>programmes</w:t>
      </w:r>
      <w:proofErr w:type="spellEnd"/>
      <w:r w:rsidRPr="00D01CB8">
        <w:rPr>
          <w:lang w:val="en-US"/>
        </w:rPr>
        <w:t xml:space="preserve"> but in an unstable financial situation. The crucial need of humankind in ocean science clearly manifested itself in the </w:t>
      </w:r>
      <w:r>
        <w:rPr>
          <w:lang w:val="en-US"/>
        </w:rPr>
        <w:t>proclam</w:t>
      </w:r>
      <w:r w:rsidRPr="00D01CB8">
        <w:rPr>
          <w:lang w:val="en-US"/>
        </w:rPr>
        <w:t>ation of the Decade in 2017 by 193 UN Member States and observers to the UN General Assembly. Realizing th</w:t>
      </w:r>
      <w:r>
        <w:rPr>
          <w:lang w:val="en-US"/>
        </w:rPr>
        <w:t>ese</w:t>
      </w:r>
      <w:r w:rsidRPr="00D01CB8">
        <w:rPr>
          <w:lang w:val="en-US"/>
        </w:rPr>
        <w:t xml:space="preserve"> need</w:t>
      </w:r>
      <w:r>
        <w:rPr>
          <w:lang w:val="en-US"/>
        </w:rPr>
        <w:t>s</w:t>
      </w:r>
      <w:r w:rsidRPr="00D01CB8">
        <w:rPr>
          <w:lang w:val="en-US"/>
        </w:rPr>
        <w:t>, IOC Member States at the 30</w:t>
      </w:r>
      <w:r w:rsidRPr="00D01CB8">
        <w:rPr>
          <w:vertAlign w:val="superscript"/>
          <w:lang w:val="en-US"/>
        </w:rPr>
        <w:t>th</w:t>
      </w:r>
      <w:r w:rsidRPr="00D01CB8">
        <w:rPr>
          <w:lang w:val="en-US"/>
        </w:rPr>
        <w:t xml:space="preserve"> Session of IOC Assembly adopted </w:t>
      </w:r>
      <w:hyperlink r:id="rId18" w:history="1">
        <w:r w:rsidRPr="00987DD4">
          <w:rPr>
            <w:rStyle w:val="Hyperlink"/>
            <w:lang w:val="en-US"/>
          </w:rPr>
          <w:t>Resolution XXX-3</w:t>
        </w:r>
      </w:hyperlink>
      <w:r w:rsidRPr="00D01CB8">
        <w:rPr>
          <w:lang w:val="en-US"/>
        </w:rPr>
        <w:t xml:space="preserve">, in which they requested the Executive Secretary to produce </w:t>
      </w:r>
      <w:r w:rsidRPr="00D01CB8">
        <w:rPr>
          <w:rFonts w:cs="Arial"/>
          <w:iCs/>
          <w:lang w:val="en-US"/>
        </w:rPr>
        <w:t>an “</w:t>
      </w:r>
      <w:r w:rsidRPr="00D01CB8">
        <w:rPr>
          <w:rFonts w:cs="Arial"/>
          <w:i/>
          <w:iCs/>
          <w:lang w:val="en-US"/>
        </w:rPr>
        <w:t>estimate of the necessary budget to effectively operate the IOC at an optimum level, to help identify how and what additional resources might be secured”</w:t>
      </w:r>
      <w:r w:rsidRPr="00D01CB8">
        <w:rPr>
          <w:rFonts w:cs="Arial"/>
          <w:iCs/>
          <w:lang w:val="en-US"/>
        </w:rPr>
        <w:t>. This work has started</w:t>
      </w:r>
      <w:r>
        <w:rPr>
          <w:rFonts w:cs="Arial"/>
          <w:iCs/>
          <w:lang w:val="en-US"/>
        </w:rPr>
        <w:t xml:space="preserve">. </w:t>
      </w:r>
    </w:p>
    <w:p w14:paraId="1F033F38" w14:textId="79EB839F" w:rsidR="00AC5857" w:rsidRDefault="00AC5857" w:rsidP="00AC5857">
      <w:pPr>
        <w:pStyle w:val="ParaCOI"/>
        <w:numPr>
          <w:ilvl w:val="0"/>
          <w:numId w:val="23"/>
        </w:numPr>
        <w:shd w:val="clear" w:color="auto" w:fill="FFFFFF"/>
        <w:ind w:left="0" w:firstLine="0"/>
        <w:rPr>
          <w:lang w:val="en-US"/>
        </w:rPr>
      </w:pPr>
      <w:r>
        <w:rPr>
          <w:rFonts w:cs="Arial"/>
          <w:iCs/>
          <w:lang w:val="en-US"/>
        </w:rPr>
        <w:t xml:space="preserve">During the intersessional period, it was difficult to evaluate what IOC would truly need because it was not guaranteed that IOC would be given the responsibility to coordinate the implementation of the Decade. In parallel, significant developments were taking place in the domain of ocean management, particularly due to the deliberations by the High-Level Panel for a Sustainable Ocean Economy. The UN Ocean Conference of 2020 was postponed, and so was the UNFCCC CoP 26, which was intended to become the first “Blue CoP”. The UN Intergovernmental </w:t>
      </w:r>
      <w:r>
        <w:rPr>
          <w:rFonts w:cs="Arial"/>
          <w:iCs/>
          <w:lang w:val="en-US"/>
        </w:rPr>
        <w:lastRenderedPageBreak/>
        <w:t xml:space="preserve">Conference on </w:t>
      </w:r>
      <w:r w:rsidR="00987DD4">
        <w:rPr>
          <w:rFonts w:cs="Arial"/>
          <w:iCs/>
          <w:lang w:val="en-US"/>
        </w:rPr>
        <w:t xml:space="preserve">Marine Biodiversity of Areas Beyond National </w:t>
      </w:r>
      <w:proofErr w:type="spellStart"/>
      <w:r w:rsidR="00987DD4">
        <w:rPr>
          <w:rFonts w:cs="Arial"/>
          <w:iCs/>
          <w:lang w:val="en-US"/>
        </w:rPr>
        <w:t>Jusisdiction</w:t>
      </w:r>
      <w:proofErr w:type="spellEnd"/>
      <w:r w:rsidR="00987DD4">
        <w:rPr>
          <w:rFonts w:cs="Arial"/>
          <w:iCs/>
          <w:lang w:val="en-US"/>
        </w:rPr>
        <w:t xml:space="preserve"> (</w:t>
      </w:r>
      <w:hyperlink r:id="rId19" w:history="1">
        <w:r w:rsidRPr="00987DD4">
          <w:rPr>
            <w:rStyle w:val="Hyperlink"/>
            <w:rFonts w:cs="Arial"/>
            <w:iCs/>
            <w:lang w:val="en-US"/>
          </w:rPr>
          <w:t>BBNJ</w:t>
        </w:r>
      </w:hyperlink>
      <w:r w:rsidR="00987DD4">
        <w:rPr>
          <w:rFonts w:cs="Arial"/>
          <w:iCs/>
          <w:lang w:val="en-US"/>
        </w:rPr>
        <w:t>)</w:t>
      </w:r>
      <w:r>
        <w:rPr>
          <w:rFonts w:cs="Arial"/>
          <w:iCs/>
          <w:lang w:val="en-US"/>
        </w:rPr>
        <w:t xml:space="preserve"> was also significantly delayed while it was considering to request IOC’s expanded service with regard to the scientific capacity and transfer of marine technology. With that, it is still difficult to anticipate the full potential future scope of needed activities. This uncertainty may also impact the discussions on the IOC M</w:t>
      </w:r>
      <w:r w:rsidR="00987DD4">
        <w:rPr>
          <w:rFonts w:cs="Arial"/>
          <w:iCs/>
          <w:lang w:val="en-US"/>
        </w:rPr>
        <w:t>edium-</w:t>
      </w:r>
      <w:r>
        <w:rPr>
          <w:rFonts w:cs="Arial"/>
          <w:iCs/>
          <w:lang w:val="en-US"/>
        </w:rPr>
        <w:t>T</w:t>
      </w:r>
      <w:r w:rsidR="00987DD4">
        <w:rPr>
          <w:rFonts w:cs="Arial"/>
          <w:iCs/>
          <w:lang w:val="en-US"/>
        </w:rPr>
        <w:t xml:space="preserve">erm </w:t>
      </w:r>
      <w:r>
        <w:rPr>
          <w:rFonts w:cs="Arial"/>
          <w:iCs/>
          <w:lang w:val="en-US"/>
        </w:rPr>
        <w:t>S</w:t>
      </w:r>
      <w:r w:rsidR="00987DD4">
        <w:rPr>
          <w:rFonts w:cs="Arial"/>
          <w:iCs/>
          <w:lang w:val="en-US"/>
        </w:rPr>
        <w:t>trategy for</w:t>
      </w:r>
      <w:r>
        <w:rPr>
          <w:rFonts w:cs="Arial"/>
          <w:iCs/>
          <w:lang w:val="en-US"/>
        </w:rPr>
        <w:t xml:space="preserve"> 2022</w:t>
      </w:r>
      <w:r w:rsidR="00987DD4">
        <w:rPr>
          <w:rFonts w:cs="Arial"/>
          <w:iCs/>
          <w:lang w:val="en-US"/>
        </w:rPr>
        <w:t>–</w:t>
      </w:r>
      <w:r>
        <w:rPr>
          <w:rFonts w:cs="Arial"/>
          <w:iCs/>
          <w:lang w:val="en-US"/>
        </w:rPr>
        <w:t xml:space="preserve">2029. The Secretariat’s initial considerations focused on two options: </w:t>
      </w:r>
    </w:p>
    <w:p w14:paraId="5A9D0648" w14:textId="32FC5E0E" w:rsidR="00AC5857" w:rsidRDefault="00AC5857" w:rsidP="00AC5857">
      <w:pPr>
        <w:pStyle w:val="ParaCOI"/>
        <w:numPr>
          <w:ilvl w:val="0"/>
          <w:numId w:val="41"/>
        </w:numPr>
        <w:shd w:val="clear" w:color="auto" w:fill="FFFFFF"/>
        <w:rPr>
          <w:lang w:val="en-US"/>
        </w:rPr>
      </w:pPr>
      <w:r>
        <w:rPr>
          <w:lang w:val="en-US"/>
        </w:rPr>
        <w:t>t</w:t>
      </w:r>
      <w:r w:rsidRPr="00C3495B">
        <w:rPr>
          <w:rFonts w:cs="Arial"/>
          <w:iCs/>
          <w:lang w:val="en-US"/>
        </w:rPr>
        <w:t xml:space="preserve">he “healthy IOC” scenario ensuring the ability of the Secretariat to support the current portfolio of activities (now including coordination of the </w:t>
      </w:r>
      <w:r w:rsidR="00987DD4">
        <w:rPr>
          <w:rFonts w:cs="Arial"/>
          <w:iCs/>
          <w:lang w:val="en-US"/>
        </w:rPr>
        <w:t xml:space="preserve">Ocean </w:t>
      </w:r>
      <w:r w:rsidRPr="00C3495B">
        <w:rPr>
          <w:rFonts w:cs="Arial"/>
          <w:iCs/>
          <w:lang w:val="en-US"/>
        </w:rPr>
        <w:t>Decade, pursuit of IOC work on ocean planning, including maritime spatial planning, more resourceful work in the regions and activities in the areas of ocean literacy and communication)</w:t>
      </w:r>
      <w:r>
        <w:rPr>
          <w:rFonts w:cs="Arial"/>
          <w:iCs/>
          <w:lang w:val="en-US"/>
        </w:rPr>
        <w:t>;</w:t>
      </w:r>
    </w:p>
    <w:p w14:paraId="5506E82C" w14:textId="77777777" w:rsidR="00AC5857" w:rsidRPr="00C3495B" w:rsidRDefault="00AC5857" w:rsidP="00AC5857">
      <w:pPr>
        <w:pStyle w:val="ParaCOI"/>
        <w:numPr>
          <w:ilvl w:val="0"/>
          <w:numId w:val="41"/>
        </w:numPr>
        <w:shd w:val="clear" w:color="auto" w:fill="FFFFFF"/>
        <w:rPr>
          <w:lang w:val="en-US"/>
        </w:rPr>
      </w:pPr>
      <w:r w:rsidRPr="00C3495B">
        <w:rPr>
          <w:rFonts w:cs="Arial"/>
          <w:iCs/>
          <w:lang w:val="en-US"/>
        </w:rPr>
        <w:t>And a hypothetic sketch of “</w:t>
      </w:r>
      <w:r>
        <w:rPr>
          <w:rFonts w:cs="Arial"/>
          <w:iCs/>
          <w:lang w:val="en-US"/>
        </w:rPr>
        <w:t>o</w:t>
      </w:r>
      <w:r w:rsidRPr="00C3495B">
        <w:rPr>
          <w:rFonts w:cs="Arial"/>
          <w:iCs/>
          <w:lang w:val="en-US"/>
        </w:rPr>
        <w:t xml:space="preserve">ptimal IOC” that would be able to support the emerging alliance of ocean science and management. This configuration is still not clear due to emerging negotiations at the United Nations and evolving developments in ocean governance. Consultations with Member States will be needed to complete this crucial strategic planning exercise. </w:t>
      </w:r>
    </w:p>
    <w:p w14:paraId="0505CF08" w14:textId="32B8FDC1" w:rsidR="00AC5857" w:rsidRDefault="00AC5857" w:rsidP="00AC5857">
      <w:pPr>
        <w:pStyle w:val="ParaCOI"/>
        <w:numPr>
          <w:ilvl w:val="0"/>
          <w:numId w:val="23"/>
        </w:numPr>
        <w:shd w:val="clear" w:color="auto" w:fill="FFFFFF"/>
        <w:ind w:left="0" w:firstLine="0"/>
        <w:rPr>
          <w:lang w:val="en-US"/>
        </w:rPr>
      </w:pPr>
      <w:r w:rsidRPr="00B81E9E">
        <w:rPr>
          <w:rFonts w:cs="Arial"/>
          <w:iCs/>
          <w:lang w:val="en-US"/>
        </w:rPr>
        <w:t xml:space="preserve">More immediate budget and staffing requirements will be determined by the strategic directions of </w:t>
      </w:r>
      <w:r w:rsidRPr="00B81E9E">
        <w:rPr>
          <w:lang w:val="en-US"/>
        </w:rPr>
        <w:t>the IOC M</w:t>
      </w:r>
      <w:r w:rsidR="00C76716">
        <w:rPr>
          <w:lang w:val="en-US"/>
        </w:rPr>
        <w:t>edium-</w:t>
      </w:r>
      <w:r w:rsidRPr="00B81E9E">
        <w:rPr>
          <w:lang w:val="en-US"/>
        </w:rPr>
        <w:t>T</w:t>
      </w:r>
      <w:r w:rsidR="00C76716">
        <w:rPr>
          <w:lang w:val="en-US"/>
        </w:rPr>
        <w:t xml:space="preserve">erm </w:t>
      </w:r>
      <w:r w:rsidRPr="00B81E9E">
        <w:rPr>
          <w:lang w:val="en-US"/>
        </w:rPr>
        <w:t>S</w:t>
      </w:r>
      <w:r w:rsidR="00C76716">
        <w:rPr>
          <w:lang w:val="en-US"/>
        </w:rPr>
        <w:t>trategy for</w:t>
      </w:r>
      <w:r w:rsidRPr="00B81E9E">
        <w:rPr>
          <w:lang w:val="en-US"/>
        </w:rPr>
        <w:t xml:space="preserve"> 2022</w:t>
      </w:r>
      <w:r w:rsidR="00C76716">
        <w:rPr>
          <w:lang w:val="en-US"/>
        </w:rPr>
        <w:t>–</w:t>
      </w:r>
      <w:r w:rsidRPr="00B81E9E">
        <w:rPr>
          <w:lang w:val="en-US"/>
        </w:rPr>
        <w:t>2029 and the expectations from the IOC during that term. In 2022</w:t>
      </w:r>
      <w:r w:rsidR="00C76716">
        <w:rPr>
          <w:lang w:val="en-US"/>
        </w:rPr>
        <w:t>–</w:t>
      </w:r>
      <w:r w:rsidRPr="00B81E9E">
        <w:rPr>
          <w:lang w:val="en-US"/>
        </w:rPr>
        <w:t>2025</w:t>
      </w:r>
      <w:r w:rsidR="00C76716">
        <w:rPr>
          <w:lang w:val="en-US"/>
        </w:rPr>
        <w:t>,</w:t>
      </w:r>
      <w:r>
        <w:rPr>
          <w:lang w:val="en-US"/>
        </w:rPr>
        <w:t xml:space="preserve"> the</w:t>
      </w:r>
      <w:r w:rsidRPr="00B81E9E">
        <w:rPr>
          <w:lang w:val="en-US"/>
        </w:rPr>
        <w:t xml:space="preserve"> IOC will continue to seek </w:t>
      </w:r>
      <w:r>
        <w:rPr>
          <w:lang w:val="en-US"/>
        </w:rPr>
        <w:t xml:space="preserve">an </w:t>
      </w:r>
      <w:r w:rsidRPr="00B81E9E">
        <w:rPr>
          <w:lang w:val="en-US"/>
        </w:rPr>
        <w:t xml:space="preserve">alignment between the objectives of the </w:t>
      </w:r>
      <w:r w:rsidR="00C76716">
        <w:rPr>
          <w:lang w:val="en-US"/>
        </w:rPr>
        <w:t xml:space="preserve">Ocean </w:t>
      </w:r>
      <w:r w:rsidRPr="00B81E9E">
        <w:rPr>
          <w:lang w:val="en-US"/>
        </w:rPr>
        <w:t>Decade and IOC</w:t>
      </w:r>
      <w:r>
        <w:rPr>
          <w:lang w:val="en-US"/>
        </w:rPr>
        <w:t>’s</w:t>
      </w:r>
      <w:r w:rsidRPr="00B81E9E">
        <w:rPr>
          <w:lang w:val="en-US"/>
        </w:rPr>
        <w:t xml:space="preserve"> </w:t>
      </w:r>
      <w:proofErr w:type="spellStart"/>
      <w:r w:rsidRPr="00B81E9E">
        <w:rPr>
          <w:lang w:val="en-US"/>
        </w:rPr>
        <w:t>programmes</w:t>
      </w:r>
      <w:proofErr w:type="spellEnd"/>
      <w:r w:rsidRPr="00B81E9E">
        <w:rPr>
          <w:lang w:val="en-US"/>
        </w:rPr>
        <w:t xml:space="preserve"> and activities, with a special focus on those that deal with critical gaps in scientific knowledge, such as understanding of multiple ocean stressors of relevance to ecosystem-based management, prediction of the ocean state, adaptation to climate change, development of solutions for ocean health and the protection of the marine environment, warning of ocean hazards threatening lives, </w:t>
      </w:r>
      <w:r w:rsidR="00C76716">
        <w:rPr>
          <w:lang w:val="en-US"/>
        </w:rPr>
        <w:t>ocean</w:t>
      </w:r>
      <w:r>
        <w:rPr>
          <w:lang w:val="en-US"/>
        </w:rPr>
        <w:t xml:space="preserve"> management approaches, </w:t>
      </w:r>
      <w:r w:rsidRPr="00B81E9E">
        <w:rPr>
          <w:lang w:val="en-US"/>
        </w:rPr>
        <w:t xml:space="preserve">as well as </w:t>
      </w:r>
      <w:r>
        <w:rPr>
          <w:lang w:val="en-US"/>
        </w:rPr>
        <w:t xml:space="preserve">Member States’ </w:t>
      </w:r>
      <w:r w:rsidRPr="00B81E9E">
        <w:rPr>
          <w:lang w:val="en-US"/>
        </w:rPr>
        <w:t>capacity development.</w:t>
      </w:r>
      <w:r>
        <w:rPr>
          <w:lang w:val="en-US"/>
        </w:rPr>
        <w:t xml:space="preserve"> </w:t>
      </w:r>
      <w:r w:rsidRPr="00D01CB8">
        <w:rPr>
          <w:lang w:val="en-US"/>
        </w:rPr>
        <w:t xml:space="preserve">The emerging vision for </w:t>
      </w:r>
      <w:r>
        <w:rPr>
          <w:lang w:val="en-US"/>
        </w:rPr>
        <w:t xml:space="preserve">the </w:t>
      </w:r>
      <w:r w:rsidRPr="00D01CB8">
        <w:rPr>
          <w:lang w:val="en-US"/>
        </w:rPr>
        <w:t xml:space="preserve">IOC future resources and staffing </w:t>
      </w:r>
      <w:proofErr w:type="gramStart"/>
      <w:r w:rsidRPr="00D01CB8">
        <w:rPr>
          <w:lang w:val="en-US"/>
        </w:rPr>
        <w:t>has to</w:t>
      </w:r>
      <w:proofErr w:type="gramEnd"/>
      <w:r w:rsidRPr="00D01CB8">
        <w:rPr>
          <w:lang w:val="en-US"/>
        </w:rPr>
        <w:t xml:space="preserve"> reflect the new economic, political and societal realities of the p</w:t>
      </w:r>
      <w:r w:rsidR="00C76716">
        <w:rPr>
          <w:lang w:val="en-US"/>
        </w:rPr>
        <w:t>o</w:t>
      </w:r>
      <w:r w:rsidRPr="00D01CB8">
        <w:rPr>
          <w:lang w:val="en-US"/>
        </w:rPr>
        <w:t xml:space="preserve">st </w:t>
      </w:r>
      <w:r w:rsidR="00C76716">
        <w:rPr>
          <w:lang w:val="en-US"/>
        </w:rPr>
        <w:t>COVID-19</w:t>
      </w:r>
      <w:r w:rsidRPr="00D01CB8">
        <w:rPr>
          <w:lang w:val="en-US"/>
        </w:rPr>
        <w:t xml:space="preserve"> pandemic world and also the future expected budget of UNESCO. </w:t>
      </w:r>
    </w:p>
    <w:p w14:paraId="4AE420BA" w14:textId="24D84085" w:rsidR="00AC5857" w:rsidRPr="00DE709A" w:rsidRDefault="00AC5857" w:rsidP="00AC5857">
      <w:pPr>
        <w:pStyle w:val="ParaCOI"/>
        <w:numPr>
          <w:ilvl w:val="0"/>
          <w:numId w:val="23"/>
        </w:numPr>
        <w:shd w:val="clear" w:color="auto" w:fill="FFFFFF"/>
        <w:ind w:left="0" w:firstLine="0"/>
        <w:rPr>
          <w:lang w:val="en-US"/>
        </w:rPr>
      </w:pPr>
      <w:r w:rsidRPr="00E659DB">
        <w:rPr>
          <w:rFonts w:cs="Arial"/>
          <w:iCs/>
          <w:lang w:val="en-US"/>
        </w:rPr>
        <w:t xml:space="preserve">Member States will recall that while the </w:t>
      </w:r>
      <w:proofErr w:type="spellStart"/>
      <w:r w:rsidRPr="00E659DB">
        <w:rPr>
          <w:rFonts w:cs="Arial"/>
          <w:iCs/>
          <w:lang w:val="en-US"/>
        </w:rPr>
        <w:t>programme</w:t>
      </w:r>
      <w:proofErr w:type="spellEnd"/>
      <w:r w:rsidRPr="00E659DB">
        <w:rPr>
          <w:rFonts w:cs="Arial"/>
          <w:iCs/>
          <w:lang w:val="en-US"/>
        </w:rPr>
        <w:t xml:space="preserve"> of UNESCO is defined for the quadrennial period 2022</w:t>
      </w:r>
      <w:r w:rsidR="00C76716">
        <w:rPr>
          <w:rFonts w:cs="Arial"/>
          <w:iCs/>
          <w:lang w:val="en-US"/>
        </w:rPr>
        <w:t>–</w:t>
      </w:r>
      <w:r w:rsidRPr="00E659DB">
        <w:rPr>
          <w:rFonts w:cs="Arial"/>
          <w:iCs/>
          <w:lang w:val="en-US"/>
        </w:rPr>
        <w:t>2025, the General Conference of UNESCO decided to maintain the biennial cycle for the appropriation of the budget.</w:t>
      </w:r>
      <w:r>
        <w:rPr>
          <w:rFonts w:cs="Arial"/>
          <w:iCs/>
          <w:lang w:val="en-US"/>
        </w:rPr>
        <w:t xml:space="preserve"> </w:t>
      </w:r>
      <w:r w:rsidRPr="00E659DB">
        <w:rPr>
          <w:rFonts w:cs="Arial"/>
          <w:iCs/>
          <w:lang w:val="en-US"/>
        </w:rPr>
        <w:t>In the 2022</w:t>
      </w:r>
      <w:r w:rsidR="00C76716">
        <w:rPr>
          <w:rFonts w:cs="Arial"/>
          <w:iCs/>
          <w:lang w:val="en-US"/>
        </w:rPr>
        <w:t>–</w:t>
      </w:r>
      <w:r w:rsidRPr="00E659DB">
        <w:rPr>
          <w:rFonts w:cs="Arial"/>
          <w:iCs/>
          <w:lang w:val="en-US"/>
        </w:rPr>
        <w:t xml:space="preserve">2023 </w:t>
      </w:r>
      <w:r w:rsidRPr="00DE709A">
        <w:rPr>
          <w:lang w:val="en-US"/>
        </w:rPr>
        <w:t>biennium, provided the overall UNESCO envelop remains the same (</w:t>
      </w:r>
      <w:r w:rsidR="00C76716">
        <w:rPr>
          <w:lang w:val="en-US"/>
        </w:rPr>
        <w:t>$</w:t>
      </w:r>
      <w:r w:rsidRPr="00DE709A">
        <w:rPr>
          <w:lang w:val="en-US"/>
        </w:rPr>
        <w:t xml:space="preserve">534.6 </w:t>
      </w:r>
      <w:r w:rsidR="00C76716">
        <w:rPr>
          <w:lang w:val="en-US"/>
        </w:rPr>
        <w:t>million</w:t>
      </w:r>
      <w:r w:rsidRPr="00DE709A">
        <w:rPr>
          <w:lang w:val="en-US"/>
        </w:rPr>
        <w:t>), the IOC</w:t>
      </w:r>
      <w:r>
        <w:rPr>
          <w:lang w:val="en-US"/>
        </w:rPr>
        <w:t>’s</w:t>
      </w:r>
      <w:r w:rsidRPr="00DE709A">
        <w:rPr>
          <w:lang w:val="en-US"/>
        </w:rPr>
        <w:t xml:space="preserve"> net allocation from the assessed contributions of UNESCO Member States, as suggested to the 211</w:t>
      </w:r>
      <w:r w:rsidRPr="00DE709A">
        <w:rPr>
          <w:vertAlign w:val="superscript"/>
          <w:lang w:val="en-US"/>
        </w:rPr>
        <w:t>th</w:t>
      </w:r>
      <w:r w:rsidRPr="00DE709A">
        <w:rPr>
          <w:lang w:val="en-US"/>
        </w:rPr>
        <w:t xml:space="preserve"> session of UNESCO Executive Board, would be $11</w:t>
      </w:r>
      <w:r w:rsidR="000A273F">
        <w:rPr>
          <w:lang w:val="en-US"/>
        </w:rPr>
        <w:t>.</w:t>
      </w:r>
      <w:r w:rsidRPr="00DE709A">
        <w:rPr>
          <w:lang w:val="en-US"/>
        </w:rPr>
        <w:t>2</w:t>
      </w:r>
      <w:r w:rsidR="00C76716">
        <w:rPr>
          <w:lang w:val="en-US"/>
        </w:rPr>
        <w:t xml:space="preserve"> million</w:t>
      </w:r>
      <w:r w:rsidRPr="00DE709A">
        <w:rPr>
          <w:lang w:val="en-US"/>
        </w:rPr>
        <w:t xml:space="preserve">. There is an expectation and ambition for </w:t>
      </w:r>
      <w:r>
        <w:rPr>
          <w:lang w:val="en-US"/>
        </w:rPr>
        <w:t xml:space="preserve">the </w:t>
      </w:r>
      <w:r w:rsidRPr="00DE709A">
        <w:rPr>
          <w:lang w:val="en-US"/>
        </w:rPr>
        <w:t>IOC to raise $</w:t>
      </w:r>
      <w:r>
        <w:rPr>
          <w:lang w:val="en-US"/>
        </w:rPr>
        <w:t>16</w:t>
      </w:r>
      <w:r w:rsidR="000A273F">
        <w:rPr>
          <w:lang w:val="en-US"/>
        </w:rPr>
        <w:t>.</w:t>
      </w:r>
      <w:r>
        <w:rPr>
          <w:lang w:val="en-US"/>
        </w:rPr>
        <w:t>2</w:t>
      </w:r>
      <w:r w:rsidR="00C76716">
        <w:rPr>
          <w:lang w:val="en-US"/>
        </w:rPr>
        <w:t xml:space="preserve"> million</w:t>
      </w:r>
      <w:r w:rsidRPr="00DE709A">
        <w:rPr>
          <w:lang w:val="en-US"/>
        </w:rPr>
        <w:t xml:space="preserve"> in voluntary co</w:t>
      </w:r>
      <w:r>
        <w:rPr>
          <w:lang w:val="en-US"/>
        </w:rPr>
        <w:t>ntributions</w:t>
      </w:r>
      <w:r w:rsidRPr="00DE709A">
        <w:rPr>
          <w:lang w:val="en-US"/>
        </w:rPr>
        <w:t xml:space="preserve">, </w:t>
      </w:r>
      <w:r>
        <w:rPr>
          <w:lang w:val="en-US"/>
        </w:rPr>
        <w:t>in addition to</w:t>
      </w:r>
      <w:r w:rsidRPr="00DE709A">
        <w:rPr>
          <w:lang w:val="en-US"/>
        </w:rPr>
        <w:t xml:space="preserve"> $4</w:t>
      </w:r>
      <w:r w:rsidR="000A273F">
        <w:rPr>
          <w:lang w:val="en-US"/>
        </w:rPr>
        <w:t>.</w:t>
      </w:r>
      <w:r w:rsidRPr="00DE709A">
        <w:rPr>
          <w:lang w:val="en-US"/>
        </w:rPr>
        <w:t>4</w:t>
      </w:r>
      <w:r w:rsidR="00C76716">
        <w:rPr>
          <w:lang w:val="en-US"/>
        </w:rPr>
        <w:t xml:space="preserve"> million</w:t>
      </w:r>
      <w:r w:rsidRPr="00DE709A">
        <w:rPr>
          <w:lang w:val="en-US"/>
        </w:rPr>
        <w:t xml:space="preserve"> already in hand. Despite the fact that the overall regular budget for the biennium is nominally a little higher than the figures for 2020</w:t>
      </w:r>
      <w:r w:rsidR="00C76716">
        <w:rPr>
          <w:lang w:val="en-US"/>
        </w:rPr>
        <w:t>–</w:t>
      </w:r>
      <w:r w:rsidRPr="00DE709A">
        <w:rPr>
          <w:lang w:val="en-US"/>
        </w:rPr>
        <w:t>2021 (</w:t>
      </w:r>
      <w:r>
        <w:rPr>
          <w:lang w:val="en-US"/>
        </w:rPr>
        <w:t>$11.2</w:t>
      </w:r>
      <w:r w:rsidR="00C76716">
        <w:rPr>
          <w:lang w:val="en-US"/>
        </w:rPr>
        <w:t> million</w:t>
      </w:r>
      <w:r>
        <w:rPr>
          <w:lang w:val="en-US"/>
        </w:rPr>
        <w:t xml:space="preserve"> vs </w:t>
      </w:r>
      <w:r w:rsidRPr="00DE709A">
        <w:rPr>
          <w:lang w:val="en-US"/>
        </w:rPr>
        <w:t>$10.9</w:t>
      </w:r>
      <w:r w:rsidR="00C76716">
        <w:rPr>
          <w:lang w:val="en-US"/>
        </w:rPr>
        <w:t xml:space="preserve"> million</w:t>
      </w:r>
      <w:r w:rsidRPr="00DE709A">
        <w:rPr>
          <w:lang w:val="en-US"/>
        </w:rPr>
        <w:t xml:space="preserve">), the budget available for operations </w:t>
      </w:r>
      <w:r>
        <w:rPr>
          <w:lang w:val="en-US"/>
        </w:rPr>
        <w:t xml:space="preserve">in the new biennium is expected to </w:t>
      </w:r>
      <w:r w:rsidRPr="00DE709A">
        <w:rPr>
          <w:lang w:val="en-US"/>
        </w:rPr>
        <w:t xml:space="preserve">be considerably lower due to an increase in </w:t>
      </w:r>
      <w:r>
        <w:rPr>
          <w:lang w:val="en-US"/>
        </w:rPr>
        <w:t xml:space="preserve">standard </w:t>
      </w:r>
      <w:r w:rsidRPr="00DE709A">
        <w:rPr>
          <w:lang w:val="en-US"/>
        </w:rPr>
        <w:t xml:space="preserve">staff costs. With the new comprehensive </w:t>
      </w:r>
      <w:r>
        <w:rPr>
          <w:lang w:val="en-US"/>
        </w:rPr>
        <w:t xml:space="preserve">and transparent </w:t>
      </w:r>
      <w:r w:rsidRPr="00DE709A">
        <w:rPr>
          <w:lang w:val="en-US"/>
        </w:rPr>
        <w:t>approach to presenting staff costs</w:t>
      </w:r>
      <w:r>
        <w:rPr>
          <w:lang w:val="en-US"/>
        </w:rPr>
        <w:t xml:space="preserve"> in the UNESCO budget</w:t>
      </w:r>
      <w:r w:rsidRPr="00DE709A">
        <w:rPr>
          <w:lang w:val="en-US"/>
        </w:rPr>
        <w:t>, the full anticipated cost of staff are now reflected under the Sectors/</w:t>
      </w:r>
      <w:proofErr w:type="spellStart"/>
      <w:r w:rsidRPr="00DE709A">
        <w:rPr>
          <w:lang w:val="en-US"/>
        </w:rPr>
        <w:t>Bureaux</w:t>
      </w:r>
      <w:proofErr w:type="spellEnd"/>
      <w:r w:rsidRPr="00DE709A">
        <w:rPr>
          <w:lang w:val="en-US"/>
        </w:rPr>
        <w:t xml:space="preserve"> where they are working and delivering results. This is expected to support more flexibility in the ability of Sectors/</w:t>
      </w:r>
      <w:proofErr w:type="spellStart"/>
      <w:r w:rsidRPr="00DE709A">
        <w:rPr>
          <w:lang w:val="en-US"/>
        </w:rPr>
        <w:t>Bureaux</w:t>
      </w:r>
      <w:proofErr w:type="spellEnd"/>
      <w:r w:rsidRPr="00DE709A">
        <w:rPr>
          <w:lang w:val="en-US"/>
        </w:rPr>
        <w:t xml:space="preserve"> to manage their staff costs as needed throughout the biennium.</w:t>
      </w:r>
      <w:r>
        <w:rPr>
          <w:lang w:val="en-US"/>
        </w:rPr>
        <w:t xml:space="preserve"> </w:t>
      </w:r>
    </w:p>
    <w:p w14:paraId="2CC8499A" w14:textId="12AF34CB" w:rsidR="00AC5857" w:rsidRPr="00D01CB8" w:rsidRDefault="00AC5857" w:rsidP="00AC5857">
      <w:pPr>
        <w:pStyle w:val="ParaCOI"/>
        <w:numPr>
          <w:ilvl w:val="0"/>
          <w:numId w:val="23"/>
        </w:numPr>
        <w:shd w:val="clear" w:color="auto" w:fill="FFFFFF"/>
        <w:ind w:left="0" w:firstLine="0"/>
        <w:rPr>
          <w:lang w:val="en-US"/>
        </w:rPr>
      </w:pPr>
      <w:r>
        <w:rPr>
          <w:lang w:val="en-US"/>
        </w:rPr>
        <w:t xml:space="preserve">The opportunity and the responsibility presented to IOC by the </w:t>
      </w:r>
      <w:r w:rsidR="00C76716">
        <w:rPr>
          <w:lang w:val="en-US"/>
        </w:rPr>
        <w:t xml:space="preserve">Ocean </w:t>
      </w:r>
      <w:r>
        <w:rPr>
          <w:lang w:val="en-US"/>
        </w:rPr>
        <w:t xml:space="preserve">Decade requires a strategic assessment and a decision on where to invest. The volume of work for the IOC Secretariat is increasing. The resources for activities originating from assessed contributions of UNESCO Member States are decreasing. The only rationale for adequate delivery is to reinforce the Commission’s capacity to </w:t>
      </w:r>
      <w:proofErr w:type="spellStart"/>
      <w:r>
        <w:rPr>
          <w:lang w:val="en-US"/>
        </w:rPr>
        <w:t>mobilise</w:t>
      </w:r>
      <w:proofErr w:type="spellEnd"/>
      <w:r>
        <w:rPr>
          <w:lang w:val="en-US"/>
        </w:rPr>
        <w:t xml:space="preserve"> additional resources. In this context, the Executive Secretary’s choice is to invest in the human resources of the IOC, its greatest asset, in anticipation that a stronger team will be able to adequately respond to a higher demand on IOC’s critical work in enabling science-based ocean management. A corporate investment in IOC staffing, elevating its profile to the level commensurate with our vision for a truly transformative </w:t>
      </w:r>
      <w:r w:rsidR="00C76716">
        <w:rPr>
          <w:lang w:val="en-US"/>
        </w:rPr>
        <w:t xml:space="preserve">Ocean </w:t>
      </w:r>
      <w:r>
        <w:rPr>
          <w:lang w:val="en-US"/>
        </w:rPr>
        <w:t xml:space="preserve">Decade, is required in order to raise more resources for an effective and efficient Decade Coordination Unit and for all </w:t>
      </w:r>
      <w:r>
        <w:rPr>
          <w:lang w:val="en-US"/>
        </w:rPr>
        <w:lastRenderedPageBreak/>
        <w:t xml:space="preserve">IOC </w:t>
      </w:r>
      <w:proofErr w:type="spellStart"/>
      <w:r>
        <w:rPr>
          <w:lang w:val="en-US"/>
        </w:rPr>
        <w:t>programme</w:t>
      </w:r>
      <w:proofErr w:type="spellEnd"/>
      <w:r>
        <w:rPr>
          <w:lang w:val="en-US"/>
        </w:rPr>
        <w:t xml:space="preserve"> activities. It is this vision that enables the increased projections for voluntary contributions. </w:t>
      </w:r>
    </w:p>
    <w:p w14:paraId="1ABC5E1B" w14:textId="33F9FA31" w:rsidR="00AC5857" w:rsidRPr="00D01CB8" w:rsidRDefault="00AC5857" w:rsidP="00AC5857">
      <w:pPr>
        <w:pStyle w:val="ParaCOI"/>
        <w:numPr>
          <w:ilvl w:val="0"/>
          <w:numId w:val="23"/>
        </w:numPr>
        <w:shd w:val="clear" w:color="auto" w:fill="FFFFFF"/>
        <w:ind w:left="0" w:firstLine="0"/>
        <w:rPr>
          <w:lang w:val="en-US"/>
        </w:rPr>
      </w:pPr>
      <w:r w:rsidRPr="00D01CB8">
        <w:rPr>
          <w:lang w:val="en-US"/>
        </w:rPr>
        <w:t xml:space="preserve">The IOC </w:t>
      </w:r>
      <w:proofErr w:type="spellStart"/>
      <w:r w:rsidRPr="00D01CB8">
        <w:rPr>
          <w:lang w:val="en-US"/>
        </w:rPr>
        <w:t>programme</w:t>
      </w:r>
      <w:proofErr w:type="spellEnd"/>
      <w:r w:rsidRPr="00D01CB8">
        <w:rPr>
          <w:lang w:val="en-US"/>
        </w:rPr>
        <w:t xml:space="preserve"> and budget for 2022</w:t>
      </w:r>
      <w:r w:rsidR="00C76716">
        <w:rPr>
          <w:lang w:val="en-US"/>
        </w:rPr>
        <w:t>–</w:t>
      </w:r>
      <w:r w:rsidRPr="00D01CB8">
        <w:rPr>
          <w:lang w:val="en-US"/>
        </w:rPr>
        <w:t>202</w:t>
      </w:r>
      <w:r>
        <w:rPr>
          <w:lang w:val="en-US"/>
        </w:rPr>
        <w:t>3</w:t>
      </w:r>
      <w:r w:rsidRPr="00D01CB8">
        <w:rPr>
          <w:lang w:val="en-US"/>
        </w:rPr>
        <w:t xml:space="preserve">, the starting </w:t>
      </w:r>
      <w:r>
        <w:rPr>
          <w:lang w:val="en-US"/>
        </w:rPr>
        <w:t>biennium</w:t>
      </w:r>
      <w:r w:rsidRPr="00D01CB8">
        <w:rPr>
          <w:lang w:val="en-US"/>
        </w:rPr>
        <w:t xml:space="preserve"> of the strategic term 2022</w:t>
      </w:r>
      <w:r w:rsidR="000A273F">
        <w:rPr>
          <w:lang w:val="en-US"/>
        </w:rPr>
        <w:t>–</w:t>
      </w:r>
      <w:r w:rsidRPr="00D01CB8">
        <w:rPr>
          <w:lang w:val="en-US"/>
        </w:rPr>
        <w:t>2029, require</w:t>
      </w:r>
      <w:r>
        <w:rPr>
          <w:lang w:val="en-US"/>
        </w:rPr>
        <w:t>s a</w:t>
      </w:r>
      <w:r w:rsidRPr="00D01CB8">
        <w:rPr>
          <w:lang w:val="en-US"/>
        </w:rPr>
        <w:t xml:space="preserve"> deep reflection of </w:t>
      </w:r>
      <w:r>
        <w:rPr>
          <w:lang w:val="en-US"/>
        </w:rPr>
        <w:t xml:space="preserve">its </w:t>
      </w:r>
      <w:r w:rsidRPr="00D01CB8">
        <w:rPr>
          <w:lang w:val="en-US"/>
        </w:rPr>
        <w:t>Member States. Once again, Member States are referred to the IOC Statutes</w:t>
      </w:r>
      <w:r>
        <w:rPr>
          <w:lang w:val="en-US"/>
        </w:rPr>
        <w:t>’</w:t>
      </w:r>
      <w:r w:rsidRPr="00D01CB8">
        <w:rPr>
          <w:lang w:val="en-US"/>
        </w:rPr>
        <w:t xml:space="preserve"> Article 11.3 outlining the possibility for </w:t>
      </w:r>
      <w:r>
        <w:rPr>
          <w:lang w:val="en-US"/>
        </w:rPr>
        <w:t xml:space="preserve">the </w:t>
      </w:r>
      <w:r w:rsidRPr="00D01CB8">
        <w:rPr>
          <w:lang w:val="en-US"/>
        </w:rPr>
        <w:t xml:space="preserve">IOC to act as a joint specialized mechanism in the UN system and to Article 10.4 allowing </w:t>
      </w:r>
      <w:r>
        <w:rPr>
          <w:lang w:val="en-US"/>
        </w:rPr>
        <w:t>the Commission</w:t>
      </w:r>
      <w:r w:rsidRPr="00D01CB8">
        <w:rPr>
          <w:lang w:val="en-US"/>
        </w:rPr>
        <w:t xml:space="preserve"> to establish additional financial arrangements for </w:t>
      </w:r>
      <w:r>
        <w:rPr>
          <w:lang w:val="en-US"/>
        </w:rPr>
        <w:t xml:space="preserve">the </w:t>
      </w:r>
      <w:r w:rsidRPr="00D01CB8">
        <w:rPr>
          <w:lang w:val="en-US"/>
        </w:rPr>
        <w:t xml:space="preserve">implementation of its </w:t>
      </w:r>
      <w:proofErr w:type="spellStart"/>
      <w:r w:rsidRPr="00D01CB8">
        <w:rPr>
          <w:lang w:val="en-US"/>
        </w:rPr>
        <w:t>programme</w:t>
      </w:r>
      <w:proofErr w:type="spellEnd"/>
      <w:r w:rsidRPr="00D01CB8">
        <w:rPr>
          <w:lang w:val="en-US"/>
        </w:rPr>
        <w:t xml:space="preserve"> of work. Modern leadership can only be achieved through partnership. Seeking adequate strategic partnerships seems to be the way for </w:t>
      </w:r>
      <w:r>
        <w:rPr>
          <w:lang w:val="en-US"/>
        </w:rPr>
        <w:t xml:space="preserve">the </w:t>
      </w:r>
      <w:r w:rsidRPr="00D01CB8">
        <w:rPr>
          <w:lang w:val="en-US"/>
        </w:rPr>
        <w:t xml:space="preserve">IOC to keep and strengthen its role </w:t>
      </w:r>
      <w:r>
        <w:rPr>
          <w:lang w:val="en-US"/>
        </w:rPr>
        <w:t>as a</w:t>
      </w:r>
      <w:r w:rsidRPr="00D01CB8">
        <w:rPr>
          <w:lang w:val="en-US"/>
        </w:rPr>
        <w:t xml:space="preserve"> coordinator and facilitator of ocean science </w:t>
      </w:r>
      <w:r>
        <w:rPr>
          <w:lang w:val="en-US"/>
        </w:rPr>
        <w:t>at the</w:t>
      </w:r>
      <w:r w:rsidRPr="00D01CB8">
        <w:rPr>
          <w:lang w:val="en-US"/>
        </w:rPr>
        <w:t xml:space="preserve"> service </w:t>
      </w:r>
      <w:r>
        <w:rPr>
          <w:lang w:val="en-US"/>
        </w:rPr>
        <w:t>of</w:t>
      </w:r>
      <w:r w:rsidRPr="00D01CB8">
        <w:rPr>
          <w:lang w:val="en-US"/>
        </w:rPr>
        <w:t xml:space="preserve"> sustainable development. </w:t>
      </w:r>
    </w:p>
    <w:p w14:paraId="267F71AF" w14:textId="77777777" w:rsidR="000A273F" w:rsidRDefault="000A273F" w:rsidP="00415394">
      <w:pPr>
        <w:widowControl/>
        <w:tabs>
          <w:tab w:val="clear" w:pos="567"/>
        </w:tabs>
        <w:adjustRightInd/>
        <w:snapToGrid/>
        <w:spacing w:line="240" w:lineRule="auto"/>
        <w:jc w:val="center"/>
        <w:textAlignment w:val="auto"/>
        <w:rPr>
          <w:b/>
        </w:rPr>
      </w:pPr>
    </w:p>
    <w:p w14:paraId="5FBAEC6F" w14:textId="77777777" w:rsidR="000A273F" w:rsidRPr="000A273F" w:rsidRDefault="000A273F" w:rsidP="000A273F"/>
    <w:p w14:paraId="174F7C79" w14:textId="77777777" w:rsidR="000A273F" w:rsidRDefault="000A273F" w:rsidP="00415394">
      <w:pPr>
        <w:widowControl/>
        <w:tabs>
          <w:tab w:val="clear" w:pos="567"/>
        </w:tabs>
        <w:adjustRightInd/>
        <w:snapToGrid/>
        <w:spacing w:line="240" w:lineRule="auto"/>
        <w:jc w:val="center"/>
        <w:textAlignment w:val="auto"/>
        <w:rPr>
          <w:b/>
        </w:rPr>
      </w:pPr>
    </w:p>
    <w:p w14:paraId="0AC61B46" w14:textId="77777777" w:rsidR="000A273F" w:rsidRDefault="000A273F" w:rsidP="00415394">
      <w:pPr>
        <w:widowControl/>
        <w:tabs>
          <w:tab w:val="clear" w:pos="567"/>
        </w:tabs>
        <w:adjustRightInd/>
        <w:snapToGrid/>
        <w:spacing w:line="240" w:lineRule="auto"/>
        <w:jc w:val="center"/>
        <w:textAlignment w:val="auto"/>
        <w:rPr>
          <w:b/>
        </w:rPr>
      </w:pPr>
    </w:p>
    <w:p w14:paraId="3FDFFCD5" w14:textId="77777777" w:rsidR="000A273F" w:rsidRDefault="000A273F" w:rsidP="00415394">
      <w:pPr>
        <w:widowControl/>
        <w:tabs>
          <w:tab w:val="clear" w:pos="567"/>
        </w:tabs>
        <w:adjustRightInd/>
        <w:snapToGrid/>
        <w:spacing w:line="240" w:lineRule="auto"/>
        <w:jc w:val="center"/>
        <w:textAlignment w:val="auto"/>
        <w:rPr>
          <w:b/>
        </w:rPr>
      </w:pPr>
    </w:p>
    <w:p w14:paraId="0EA911C1" w14:textId="6D10FDA8" w:rsidR="00B71183" w:rsidRPr="00415394" w:rsidRDefault="00D61AF0" w:rsidP="00415394">
      <w:pPr>
        <w:widowControl/>
        <w:tabs>
          <w:tab w:val="clear" w:pos="567"/>
        </w:tabs>
        <w:adjustRightInd/>
        <w:snapToGrid/>
        <w:spacing w:line="240" w:lineRule="auto"/>
        <w:jc w:val="center"/>
        <w:textAlignment w:val="auto"/>
        <w:rPr>
          <w:b/>
          <w:lang w:val="en-US"/>
        </w:rPr>
      </w:pPr>
      <w:r w:rsidRPr="000A273F">
        <w:br w:type="page"/>
      </w:r>
      <w:r w:rsidR="002E3D9D">
        <w:rPr>
          <w:b/>
          <w:lang w:val="en-US"/>
        </w:rPr>
        <w:lastRenderedPageBreak/>
        <w:t>2022-2025 DRAFT PROGRAMME AND BUDGET – FIRST BIENNIUM 2022-2023</w:t>
      </w:r>
      <w:r w:rsidR="007A2D89" w:rsidRPr="00415394">
        <w:rPr>
          <w:noProof/>
          <w:lang w:val="fr-FR" w:eastAsia="fr-FR"/>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4A0426A5" w:rsidR="00936F2C" w:rsidRDefault="00936F2C">
      <w:pPr>
        <w:widowControl/>
        <w:tabs>
          <w:tab w:val="clear" w:pos="567"/>
        </w:tabs>
        <w:adjustRightInd/>
        <w:snapToGrid/>
        <w:spacing w:line="240" w:lineRule="auto"/>
        <w:jc w:val="left"/>
        <w:textAlignment w:val="auto"/>
        <w:rPr>
          <w:i/>
          <w:lang w:val="en-US"/>
        </w:rPr>
      </w:pPr>
    </w:p>
    <w:p w14:paraId="1C4B55DF" w14:textId="071249C7" w:rsidR="002E3D9D" w:rsidRDefault="002D1F1D">
      <w:pPr>
        <w:widowControl/>
        <w:tabs>
          <w:tab w:val="clear" w:pos="567"/>
        </w:tabs>
        <w:adjustRightInd/>
        <w:snapToGrid/>
        <w:spacing w:line="240" w:lineRule="auto"/>
        <w:jc w:val="left"/>
        <w:textAlignment w:val="auto"/>
        <w:rPr>
          <w:i/>
          <w:lang w:val="en-US"/>
        </w:rPr>
      </w:pPr>
      <w:r>
        <w:rPr>
          <w:i/>
        </w:rPr>
        <w:t>[</w:t>
      </w:r>
      <w:r w:rsidRPr="00BE096C">
        <w:rPr>
          <w:i/>
        </w:rPr>
        <w:t xml:space="preserve">abstract from </w:t>
      </w:r>
      <w:r>
        <w:rPr>
          <w:i/>
        </w:rPr>
        <w:t xml:space="preserve">document </w:t>
      </w:r>
      <w:hyperlink r:id="rId21" w:history="1">
        <w:r w:rsidRPr="002D1F1D">
          <w:rPr>
            <w:rStyle w:val="Hyperlink"/>
            <w:i/>
          </w:rPr>
          <w:t>41 C/5 Draft</w:t>
        </w:r>
      </w:hyperlink>
      <w:r>
        <w:rPr>
          <w:i/>
        </w:rPr>
        <w:t xml:space="preserve">, Vol.2: </w:t>
      </w:r>
      <w:r>
        <w:rPr>
          <w:rFonts w:ascii="Helvetica" w:hAnsi="Helvetica"/>
          <w:b/>
          <w:bCs/>
          <w:color w:val="333333"/>
          <w:shd w:val="clear" w:color="auto" w:fill="FFFFFF"/>
        </w:rPr>
        <w:t>Draft Programme and budget, First biennium: 2022-2023</w:t>
      </w:r>
      <w:r>
        <w:rPr>
          <w:i/>
        </w:rPr>
        <w:t>.]</w:t>
      </w:r>
    </w:p>
    <w:p w14:paraId="1836950D" w14:textId="24F4B99E" w:rsidR="002E3D9D" w:rsidRDefault="002E3D9D">
      <w:pPr>
        <w:widowControl/>
        <w:tabs>
          <w:tab w:val="clear" w:pos="567"/>
        </w:tabs>
        <w:adjustRightInd/>
        <w:snapToGrid/>
        <w:spacing w:line="240" w:lineRule="auto"/>
        <w:jc w:val="left"/>
        <w:textAlignment w:val="auto"/>
        <w:rPr>
          <w:i/>
          <w:lang w:val="en-US"/>
        </w:rPr>
      </w:pPr>
    </w:p>
    <w:p w14:paraId="508B2D81" w14:textId="0D6607E3" w:rsidR="002E3D9D" w:rsidRPr="002D1F1D" w:rsidRDefault="002D1F1D">
      <w:pPr>
        <w:widowControl/>
        <w:tabs>
          <w:tab w:val="clear" w:pos="567"/>
        </w:tabs>
        <w:adjustRightInd/>
        <w:snapToGrid/>
        <w:spacing w:line="240" w:lineRule="auto"/>
        <w:jc w:val="left"/>
        <w:textAlignment w:val="auto"/>
        <w:rPr>
          <w:b/>
          <w:bCs/>
          <w:iCs/>
          <w:lang w:val="en-US"/>
        </w:rPr>
      </w:pPr>
      <w:r w:rsidRPr="002D1F1D">
        <w:rPr>
          <w:b/>
          <w:bCs/>
          <w:iCs/>
          <w:lang w:val="en-US"/>
        </w:rPr>
        <w:t>INTERGOVERNMENTAL OCEANOGRAPHIC COMMISSION</w:t>
      </w:r>
    </w:p>
    <w:p w14:paraId="12B9F4B8" w14:textId="41F08A1A" w:rsidR="002E3D9D" w:rsidRDefault="002E3D9D">
      <w:pPr>
        <w:widowControl/>
        <w:tabs>
          <w:tab w:val="clear" w:pos="567"/>
        </w:tabs>
        <w:adjustRightInd/>
        <w:snapToGrid/>
        <w:spacing w:line="240" w:lineRule="auto"/>
        <w:jc w:val="left"/>
        <w:textAlignment w:val="auto"/>
        <w:rPr>
          <w:i/>
          <w:lang w:val="en-US"/>
        </w:rPr>
      </w:pPr>
    </w:p>
    <w:p w14:paraId="43EEEBC6" w14:textId="3E63CAA9" w:rsidR="002D1F1D" w:rsidRPr="002D1F1D" w:rsidRDefault="002D1F1D" w:rsidP="002D1F1D">
      <w:pPr>
        <w:widowControl/>
        <w:tabs>
          <w:tab w:val="clear" w:pos="567"/>
          <w:tab w:val="left" w:pos="1134"/>
        </w:tabs>
        <w:adjustRightInd/>
        <w:snapToGrid/>
        <w:spacing w:after="240" w:line="240" w:lineRule="auto"/>
        <w:textAlignment w:val="auto"/>
        <w:rPr>
          <w:iCs/>
          <w:lang w:val="en-US"/>
        </w:rPr>
      </w:pPr>
      <w:r w:rsidRPr="002D1F1D">
        <w:rPr>
          <w:iCs/>
          <w:bdr w:val="single" w:sz="4" w:space="0" w:color="auto"/>
          <w:lang w:val="en-US"/>
        </w:rPr>
        <w:t>03001</w:t>
      </w:r>
      <w:r>
        <w:rPr>
          <w:iCs/>
          <w:lang w:val="en-US"/>
        </w:rPr>
        <w:tab/>
      </w:r>
      <w:r w:rsidRPr="002D1F1D">
        <w:rPr>
          <w:iCs/>
          <w:lang w:val="en-US"/>
        </w:rPr>
        <w:t>The years 2022-2025 may see an accelerated transition towards sustainable integrated ocean management</w:t>
      </w:r>
      <w:r>
        <w:rPr>
          <w:iCs/>
          <w:lang w:val="en-US"/>
        </w:rPr>
        <w:t xml:space="preserve"> </w:t>
      </w:r>
      <w:r w:rsidRPr="002D1F1D">
        <w:rPr>
          <w:iCs/>
          <w:lang w:val="en-US"/>
        </w:rPr>
        <w:t>potentially resulting in at least a partial reversal of the decline in ocean health. Guided</w:t>
      </w:r>
      <w:r>
        <w:rPr>
          <w:iCs/>
          <w:lang w:val="en-US"/>
        </w:rPr>
        <w:t xml:space="preserve"> </w:t>
      </w:r>
      <w:r w:rsidRPr="002D1F1D">
        <w:rPr>
          <w:iCs/>
          <w:lang w:val="en-US"/>
        </w:rPr>
        <w:t>by the High-Level Objectives of its Strategy for 2014-2021, the Intergovernmental Oceanographic</w:t>
      </w:r>
      <w:r>
        <w:rPr>
          <w:iCs/>
          <w:lang w:val="en-US"/>
        </w:rPr>
        <w:t xml:space="preserve"> </w:t>
      </w:r>
      <w:r w:rsidRPr="002D1F1D">
        <w:rPr>
          <w:iCs/>
          <w:lang w:val="en-US"/>
        </w:rPr>
        <w:t>Commission (IOC) was instrumental in seeding this emerging fundamental change, and the vision</w:t>
      </w:r>
      <w:r>
        <w:rPr>
          <w:iCs/>
          <w:lang w:val="en-US"/>
        </w:rPr>
        <w:t xml:space="preserve"> </w:t>
      </w:r>
      <w:r w:rsidRPr="002D1F1D">
        <w:rPr>
          <w:iCs/>
          <w:lang w:val="en-US"/>
        </w:rPr>
        <w:t>behind it. IOC coordinated a Global Ocean Observing System (GOOS), facilitated international data</w:t>
      </w:r>
      <w:r>
        <w:rPr>
          <w:iCs/>
          <w:lang w:val="en-US"/>
        </w:rPr>
        <w:t xml:space="preserve"> </w:t>
      </w:r>
      <w:r w:rsidRPr="002D1F1D">
        <w:rPr>
          <w:iCs/>
          <w:lang w:val="en-US"/>
        </w:rPr>
        <w:t>exchange and cutting-edge research, spearheaded ocean services and contributed to assessments,</w:t>
      </w:r>
      <w:r>
        <w:rPr>
          <w:iCs/>
          <w:lang w:val="en-US"/>
        </w:rPr>
        <w:t xml:space="preserve"> </w:t>
      </w:r>
      <w:r w:rsidRPr="002D1F1D">
        <w:rPr>
          <w:iCs/>
          <w:lang w:val="en-US"/>
        </w:rPr>
        <w:t>worked at the science – policy - society interface, supported capacity development in its 150 Member</w:t>
      </w:r>
      <w:r>
        <w:rPr>
          <w:iCs/>
          <w:lang w:val="en-US"/>
        </w:rPr>
        <w:t xml:space="preserve"> </w:t>
      </w:r>
      <w:r w:rsidRPr="002D1F1D">
        <w:rPr>
          <w:iCs/>
          <w:lang w:val="en-US"/>
        </w:rPr>
        <w:t xml:space="preserve">States, and undertook an unprecedented - in its inclusivity, ambition, scale, and intensity </w:t>
      </w:r>
      <w:r>
        <w:rPr>
          <w:iCs/>
          <w:lang w:val="en-US"/>
        </w:rPr>
        <w:t>–</w:t>
      </w:r>
      <w:r w:rsidRPr="002D1F1D">
        <w:rPr>
          <w:iCs/>
          <w:lang w:val="en-US"/>
        </w:rPr>
        <w:t xml:space="preserve"> effort</w:t>
      </w:r>
      <w:r>
        <w:rPr>
          <w:iCs/>
          <w:lang w:val="en-US"/>
        </w:rPr>
        <w:t xml:space="preserve"> </w:t>
      </w:r>
      <w:r w:rsidRPr="002D1F1D">
        <w:rPr>
          <w:iCs/>
          <w:lang w:val="en-US"/>
        </w:rPr>
        <w:t>in preparing the UN Decade of Ocean Science for Sustainable Development 2021-2030 (the Ocean</w:t>
      </w:r>
      <w:r>
        <w:rPr>
          <w:iCs/>
          <w:lang w:val="en-US"/>
        </w:rPr>
        <w:t xml:space="preserve"> </w:t>
      </w:r>
      <w:r w:rsidRPr="002D1F1D">
        <w:rPr>
          <w:iCs/>
          <w:lang w:val="en-US"/>
        </w:rPr>
        <w:t>Decade). The Ocean Decade will offer an exceptional opportunity for nations to work together to</w:t>
      </w:r>
      <w:r>
        <w:rPr>
          <w:iCs/>
          <w:lang w:val="en-US"/>
        </w:rPr>
        <w:t xml:space="preserve"> </w:t>
      </w:r>
      <w:r w:rsidRPr="002D1F1D">
        <w:rPr>
          <w:iCs/>
          <w:lang w:val="en-US"/>
        </w:rPr>
        <w:t>generate the global ocean science needed to support the sustainable development of our shared ocean,</w:t>
      </w:r>
      <w:r>
        <w:rPr>
          <w:iCs/>
          <w:lang w:val="en-US"/>
        </w:rPr>
        <w:t xml:space="preserve"> </w:t>
      </w:r>
      <w:r w:rsidRPr="002D1F1D">
        <w:rPr>
          <w:iCs/>
          <w:lang w:val="en-US"/>
        </w:rPr>
        <w:t xml:space="preserve">and will also highlight the societal benefits of IOC and its </w:t>
      </w:r>
      <w:proofErr w:type="spellStart"/>
      <w:r w:rsidRPr="002D1F1D">
        <w:rPr>
          <w:iCs/>
          <w:lang w:val="en-US"/>
        </w:rPr>
        <w:t>programmes</w:t>
      </w:r>
      <w:proofErr w:type="spellEnd"/>
      <w:r w:rsidRPr="002D1F1D">
        <w:rPr>
          <w:iCs/>
          <w:lang w:val="en-US"/>
        </w:rPr>
        <w:t>. Starting from 2021, a major</w:t>
      </w:r>
      <w:r>
        <w:rPr>
          <w:iCs/>
          <w:lang w:val="en-US"/>
        </w:rPr>
        <w:t xml:space="preserve"> </w:t>
      </w:r>
      <w:r w:rsidRPr="002D1F1D">
        <w:rPr>
          <w:iCs/>
          <w:lang w:val="en-US"/>
        </w:rPr>
        <w:t>responsibility of IOC is to support and facilitate the Ocean Decade implementation and to regularly</w:t>
      </w:r>
      <w:r>
        <w:rPr>
          <w:iCs/>
          <w:lang w:val="en-US"/>
        </w:rPr>
        <w:t xml:space="preserve"> </w:t>
      </w:r>
      <w:r w:rsidRPr="002D1F1D">
        <w:rPr>
          <w:iCs/>
          <w:lang w:val="en-US"/>
        </w:rPr>
        <w:t>report progress to the Member States and the United Nations, providing a powerful stimulus for</w:t>
      </w:r>
      <w:r>
        <w:rPr>
          <w:iCs/>
          <w:lang w:val="en-US"/>
        </w:rPr>
        <w:t xml:space="preserve"> </w:t>
      </w:r>
      <w:r w:rsidRPr="002D1F1D">
        <w:rPr>
          <w:iCs/>
          <w:lang w:val="en-US"/>
        </w:rPr>
        <w:t>implementing collectively-agreed global priorities.</w:t>
      </w:r>
    </w:p>
    <w:p w14:paraId="2A476EAA" w14:textId="4439CD20" w:rsidR="002E3D9D" w:rsidRPr="002D1F1D" w:rsidRDefault="002D1F1D" w:rsidP="002D1F1D">
      <w:pPr>
        <w:widowControl/>
        <w:tabs>
          <w:tab w:val="clear" w:pos="567"/>
          <w:tab w:val="left" w:pos="1134"/>
        </w:tabs>
        <w:adjustRightInd/>
        <w:snapToGrid/>
        <w:spacing w:after="240" w:line="240" w:lineRule="auto"/>
        <w:textAlignment w:val="auto"/>
        <w:rPr>
          <w:iCs/>
          <w:lang w:val="en-US"/>
        </w:rPr>
      </w:pPr>
      <w:r w:rsidRPr="002D1F1D">
        <w:rPr>
          <w:iCs/>
          <w:bdr w:val="single" w:sz="4" w:space="0" w:color="auto"/>
          <w:lang w:val="en-US"/>
        </w:rPr>
        <w:t>03002</w:t>
      </w:r>
      <w:r>
        <w:rPr>
          <w:iCs/>
          <w:lang w:val="en-US"/>
        </w:rPr>
        <w:tab/>
      </w:r>
      <w:r w:rsidRPr="002D1F1D">
        <w:rPr>
          <w:iCs/>
          <w:lang w:val="en-US"/>
        </w:rPr>
        <w:t>The Covid-19 pandemic affected the IOC and ocean activities, but IOC adjusted its work to mitigate the</w:t>
      </w:r>
      <w:r>
        <w:rPr>
          <w:iCs/>
          <w:lang w:val="en-US"/>
        </w:rPr>
        <w:t xml:space="preserve"> </w:t>
      </w:r>
      <w:r w:rsidRPr="002D1F1D">
        <w:rPr>
          <w:iCs/>
          <w:lang w:val="en-US"/>
        </w:rPr>
        <w:t>damage. The confinement created negative impact on ocean observations. The observing community</w:t>
      </w:r>
      <w:r>
        <w:rPr>
          <w:iCs/>
          <w:lang w:val="en-US"/>
        </w:rPr>
        <w:t xml:space="preserve"> </w:t>
      </w:r>
      <w:r w:rsidRPr="002D1F1D">
        <w:rPr>
          <w:iCs/>
          <w:lang w:val="en-US"/>
        </w:rPr>
        <w:t>was resilient and found solutions to keep the system running as much as possible, including through</w:t>
      </w:r>
      <w:r>
        <w:rPr>
          <w:iCs/>
          <w:lang w:val="en-US"/>
        </w:rPr>
        <w:t xml:space="preserve"> </w:t>
      </w:r>
      <w:r w:rsidRPr="002D1F1D">
        <w:rPr>
          <w:iCs/>
          <w:lang w:val="en-US"/>
        </w:rPr>
        <w:t>stepping up international collaboration. The need to keep physical distances altered the modalities</w:t>
      </w:r>
      <w:r>
        <w:rPr>
          <w:iCs/>
          <w:lang w:val="en-US"/>
        </w:rPr>
        <w:t xml:space="preserve"> </w:t>
      </w:r>
      <w:r w:rsidRPr="002D1F1D">
        <w:rPr>
          <w:iCs/>
          <w:lang w:val="en-US"/>
        </w:rPr>
        <w:t>of reacting to tsunami warnings. IOC issued updated guidelines for evacuation under confinement</w:t>
      </w:r>
      <w:r>
        <w:rPr>
          <w:iCs/>
          <w:lang w:val="en-US"/>
        </w:rPr>
        <w:t xml:space="preserve"> </w:t>
      </w:r>
      <w:r w:rsidRPr="002D1F1D">
        <w:rPr>
          <w:iCs/>
          <w:lang w:val="en-US"/>
        </w:rPr>
        <w:t>constraints. Post-crisis pressures may lead to a further reduction of the still very small overall budget</w:t>
      </w:r>
      <w:r>
        <w:rPr>
          <w:iCs/>
          <w:lang w:val="en-US"/>
        </w:rPr>
        <w:t xml:space="preserve"> </w:t>
      </w:r>
      <w:r w:rsidRPr="002D1F1D">
        <w:rPr>
          <w:iCs/>
          <w:lang w:val="en-US"/>
        </w:rPr>
        <w:t>that nations invest in ocean research. Through its Global Ocean Science Report, IOC will continue to</w:t>
      </w:r>
      <w:r>
        <w:rPr>
          <w:iCs/>
          <w:lang w:val="en-US"/>
        </w:rPr>
        <w:t xml:space="preserve"> </w:t>
      </w:r>
      <w:r w:rsidRPr="002D1F1D">
        <w:rPr>
          <w:iCs/>
          <w:lang w:val="en-US"/>
        </w:rPr>
        <w:t>monitor trends that could negatively affect our collective ability to mitigate and adapt to future ocean</w:t>
      </w:r>
      <w:r>
        <w:rPr>
          <w:iCs/>
          <w:lang w:val="en-US"/>
        </w:rPr>
        <w:t xml:space="preserve"> </w:t>
      </w:r>
      <w:r w:rsidRPr="002D1F1D">
        <w:rPr>
          <w:iCs/>
          <w:lang w:val="en-US"/>
        </w:rPr>
        <w:t>change and to “build back better”. As human populations continue to increase, society is turning to the</w:t>
      </w:r>
      <w:r>
        <w:rPr>
          <w:iCs/>
          <w:lang w:val="en-US"/>
        </w:rPr>
        <w:t xml:space="preserve"> </w:t>
      </w:r>
      <w:r w:rsidRPr="002D1F1D">
        <w:rPr>
          <w:iCs/>
          <w:lang w:val="en-US"/>
        </w:rPr>
        <w:t>ocean to provide increased amounts of food, resources and services to support economic development</w:t>
      </w:r>
      <w:r>
        <w:rPr>
          <w:iCs/>
          <w:lang w:val="en-US"/>
        </w:rPr>
        <w:t xml:space="preserve"> </w:t>
      </w:r>
      <w:r w:rsidRPr="002D1F1D">
        <w:rPr>
          <w:iCs/>
          <w:lang w:val="en-US"/>
        </w:rPr>
        <w:t>and social welfare, including human health. Developing and managing the sustainable ocean economy</w:t>
      </w:r>
      <w:r>
        <w:rPr>
          <w:iCs/>
          <w:lang w:val="en-US"/>
        </w:rPr>
        <w:t xml:space="preserve"> </w:t>
      </w:r>
      <w:r w:rsidRPr="002D1F1D">
        <w:rPr>
          <w:iCs/>
          <w:lang w:val="en-US"/>
        </w:rPr>
        <w:t>will require science, data and information, services, and decision support tools to guide the present and</w:t>
      </w:r>
      <w:r>
        <w:rPr>
          <w:iCs/>
          <w:lang w:val="en-US"/>
        </w:rPr>
        <w:t xml:space="preserve"> </w:t>
      </w:r>
      <w:r w:rsidRPr="002D1F1D">
        <w:rPr>
          <w:iCs/>
          <w:lang w:val="en-US"/>
        </w:rPr>
        <w:t>future investments whilst ensuring the resilience and long-term health of the ocean ecosystem.</w:t>
      </w:r>
    </w:p>
    <w:p w14:paraId="76CDC918" w14:textId="77777777" w:rsidR="00BC243D" w:rsidRDefault="002D1F1D" w:rsidP="00BC243D">
      <w:pPr>
        <w:widowControl/>
        <w:tabs>
          <w:tab w:val="clear" w:pos="567"/>
          <w:tab w:val="left" w:pos="1148"/>
        </w:tabs>
        <w:adjustRightInd/>
        <w:snapToGrid/>
        <w:spacing w:after="240" w:line="240" w:lineRule="auto"/>
        <w:textAlignment w:val="auto"/>
        <w:rPr>
          <w:iCs/>
          <w:lang w:val="en-US"/>
        </w:rPr>
      </w:pPr>
      <w:r w:rsidRPr="000E6523">
        <w:rPr>
          <w:iCs/>
          <w:bdr w:val="single" w:sz="4" w:space="0" w:color="auto"/>
          <w:lang w:val="en-US"/>
        </w:rPr>
        <w:t>03003</w:t>
      </w:r>
      <w:r>
        <w:rPr>
          <w:iCs/>
          <w:lang w:val="en-US"/>
        </w:rPr>
        <w:tab/>
      </w:r>
      <w:r w:rsidR="000E6523" w:rsidRPr="000E6523">
        <w:rPr>
          <w:iCs/>
          <w:lang w:val="en-US"/>
        </w:rPr>
        <w:t>In 2022-2025, the IOC will contribute to the achievement of the Strategic Objective 2 of the draft</w:t>
      </w:r>
      <w:r w:rsidR="000E6523">
        <w:rPr>
          <w:iCs/>
          <w:lang w:val="en-US"/>
        </w:rPr>
        <w:t xml:space="preserve"> </w:t>
      </w:r>
      <w:r w:rsidR="000E6523" w:rsidRPr="000E6523">
        <w:rPr>
          <w:iCs/>
          <w:lang w:val="en-US"/>
        </w:rPr>
        <w:t>Medium-Term Strategy Work towards sustainable societies and protecting the environment through</w:t>
      </w:r>
      <w:r w:rsidR="000E6523">
        <w:rPr>
          <w:iCs/>
          <w:lang w:val="en-US"/>
        </w:rPr>
        <w:t xml:space="preserve"> </w:t>
      </w:r>
      <w:r w:rsidR="000E6523" w:rsidRPr="000E6523">
        <w:rPr>
          <w:iCs/>
          <w:lang w:val="en-US"/>
        </w:rPr>
        <w:t>the promotion of science, technology and the natural heritage and to its Outcome 3 Enhance knowledge</w:t>
      </w:r>
      <w:r w:rsidR="000E6523">
        <w:rPr>
          <w:iCs/>
          <w:lang w:val="en-US"/>
        </w:rPr>
        <w:t xml:space="preserve"> </w:t>
      </w:r>
      <w:r w:rsidR="000E6523" w:rsidRPr="000E6523">
        <w:rPr>
          <w:iCs/>
          <w:lang w:val="en-US"/>
        </w:rPr>
        <w:t>for climate action, biodiversity, water and ocean management, and disaster risk reduction. IOC will</w:t>
      </w:r>
      <w:r w:rsidR="000E6523">
        <w:rPr>
          <w:iCs/>
          <w:lang w:val="en-US"/>
        </w:rPr>
        <w:t xml:space="preserve"> </w:t>
      </w:r>
      <w:r w:rsidR="000E6523" w:rsidRPr="000E6523">
        <w:rPr>
          <w:iCs/>
          <w:lang w:val="en-US"/>
        </w:rPr>
        <w:t xml:space="preserve">continue to strengthen cooperation with several UNESCO </w:t>
      </w:r>
      <w:proofErr w:type="spellStart"/>
      <w:r w:rsidR="000E6523" w:rsidRPr="000E6523">
        <w:rPr>
          <w:iCs/>
          <w:lang w:val="en-US"/>
        </w:rPr>
        <w:t>programmes</w:t>
      </w:r>
      <w:proofErr w:type="spellEnd"/>
      <w:r w:rsidR="000E6523" w:rsidRPr="000E6523">
        <w:rPr>
          <w:iCs/>
          <w:lang w:val="en-US"/>
        </w:rPr>
        <w:t xml:space="preserve"> and maximize the comparative</w:t>
      </w:r>
      <w:r w:rsidR="000E6523">
        <w:rPr>
          <w:iCs/>
          <w:lang w:val="en-US"/>
        </w:rPr>
        <w:t xml:space="preserve"> </w:t>
      </w:r>
      <w:r w:rsidR="000E6523" w:rsidRPr="000E6523">
        <w:rPr>
          <w:iCs/>
          <w:lang w:val="en-US"/>
        </w:rPr>
        <w:t>advantage of UNESCO’s multidisciplinary approach to key societal issues. Through its cooperation</w:t>
      </w:r>
      <w:r w:rsidR="000E6523">
        <w:rPr>
          <w:iCs/>
          <w:lang w:val="en-US"/>
        </w:rPr>
        <w:t xml:space="preserve"> </w:t>
      </w:r>
      <w:r w:rsidR="000E6523" w:rsidRPr="000E6523">
        <w:rPr>
          <w:iCs/>
          <w:lang w:val="en-US"/>
        </w:rPr>
        <w:t>with the Education Sector to more effectively mainstream ocean literacy in school curricula, IOC will</w:t>
      </w:r>
      <w:r w:rsidR="000E6523">
        <w:rPr>
          <w:iCs/>
          <w:lang w:val="en-US"/>
        </w:rPr>
        <w:t xml:space="preserve"> </w:t>
      </w:r>
      <w:r w:rsidR="000E6523" w:rsidRPr="000E6523">
        <w:rPr>
          <w:iCs/>
          <w:lang w:val="en-US"/>
        </w:rPr>
        <w:t>also contribute to the achievement of Outcome 1 Ensure inclusive and equitable quality education and</w:t>
      </w:r>
      <w:r w:rsidR="000E6523">
        <w:rPr>
          <w:iCs/>
          <w:lang w:val="en-US"/>
        </w:rPr>
        <w:t xml:space="preserve"> </w:t>
      </w:r>
      <w:r w:rsidR="000E6523" w:rsidRPr="000E6523">
        <w:rPr>
          <w:iCs/>
          <w:lang w:val="en-US"/>
        </w:rPr>
        <w:t xml:space="preserve">promote lifelong learning opportunities for all, as well as to the Intersectoral </w:t>
      </w:r>
      <w:proofErr w:type="spellStart"/>
      <w:r w:rsidR="000E6523" w:rsidRPr="000E6523">
        <w:rPr>
          <w:iCs/>
          <w:lang w:val="en-US"/>
        </w:rPr>
        <w:t>Programme</w:t>
      </w:r>
      <w:proofErr w:type="spellEnd"/>
      <w:r w:rsidR="000E6523" w:rsidRPr="000E6523">
        <w:rPr>
          <w:iCs/>
          <w:lang w:val="en-US"/>
        </w:rPr>
        <w:t xml:space="preserve"> on Environmental</w:t>
      </w:r>
      <w:r w:rsidR="000E6523">
        <w:rPr>
          <w:iCs/>
          <w:lang w:val="en-US"/>
        </w:rPr>
        <w:t xml:space="preserve"> </w:t>
      </w:r>
      <w:r w:rsidR="000E6523" w:rsidRPr="000E6523">
        <w:rPr>
          <w:iCs/>
          <w:lang w:val="en-US"/>
        </w:rPr>
        <w:t xml:space="preserve">education. IOC will continue its collaboration with the Intergovernmental Hydrological </w:t>
      </w:r>
      <w:proofErr w:type="spellStart"/>
      <w:r w:rsidR="000E6523" w:rsidRPr="000E6523">
        <w:rPr>
          <w:iCs/>
          <w:lang w:val="en-US"/>
        </w:rPr>
        <w:t>Programme</w:t>
      </w:r>
      <w:proofErr w:type="spellEnd"/>
      <w:r w:rsidR="000E6523">
        <w:rPr>
          <w:iCs/>
          <w:lang w:val="en-US"/>
        </w:rPr>
        <w:t xml:space="preserve"> </w:t>
      </w:r>
      <w:r w:rsidR="000E6523" w:rsidRPr="000E6523">
        <w:rPr>
          <w:iCs/>
          <w:lang w:val="en-US"/>
        </w:rPr>
        <w:t>on transboundary water management and freshwater/marine interactions. IOC will also continue to</w:t>
      </w:r>
      <w:r w:rsidR="000E6523">
        <w:rPr>
          <w:iCs/>
          <w:lang w:val="en-US"/>
        </w:rPr>
        <w:t xml:space="preserve"> </w:t>
      </w:r>
      <w:r w:rsidR="000E6523" w:rsidRPr="000E6523">
        <w:rPr>
          <w:iCs/>
          <w:lang w:val="en-US"/>
        </w:rPr>
        <w:t>contribute to UNESCO intersectoral activities in the area of climate change and loss of biodiversity,</w:t>
      </w:r>
      <w:r w:rsidR="000E6523">
        <w:rPr>
          <w:iCs/>
          <w:lang w:val="en-US"/>
        </w:rPr>
        <w:t xml:space="preserve"> </w:t>
      </w:r>
      <w:r w:rsidR="000E6523" w:rsidRPr="000E6523">
        <w:rPr>
          <w:iCs/>
          <w:lang w:val="en-US"/>
        </w:rPr>
        <w:t>focusing on their ocean dimension. IOC’s action as catalyzer for regional and international cooperation</w:t>
      </w:r>
      <w:r w:rsidR="000E6523">
        <w:rPr>
          <w:iCs/>
          <w:lang w:val="en-US"/>
        </w:rPr>
        <w:t xml:space="preserve"> </w:t>
      </w:r>
      <w:r w:rsidR="000E6523" w:rsidRPr="000E6523">
        <w:rPr>
          <w:iCs/>
          <w:lang w:val="en-US"/>
        </w:rPr>
        <w:t>in ocean science will indirectly contribute also to the achievement of Outcome 4 Advance international</w:t>
      </w:r>
      <w:r w:rsidR="000E6523">
        <w:rPr>
          <w:iCs/>
          <w:lang w:val="en-US"/>
        </w:rPr>
        <w:t xml:space="preserve"> </w:t>
      </w:r>
      <w:proofErr w:type="spellStart"/>
      <w:r w:rsidR="000E6523" w:rsidRPr="000E6523">
        <w:rPr>
          <w:iCs/>
          <w:lang w:val="en-US"/>
        </w:rPr>
        <w:t>cooperatioCultural</w:t>
      </w:r>
      <w:proofErr w:type="spellEnd"/>
      <w:r w:rsidR="000E6523" w:rsidRPr="000E6523">
        <w:rPr>
          <w:iCs/>
          <w:lang w:val="en-US"/>
        </w:rPr>
        <w:t xml:space="preserve"> Heritage and the World Heritage Centre (marine sites), which will be reinforced in the context</w:t>
      </w:r>
      <w:r w:rsidR="000E6523">
        <w:rPr>
          <w:iCs/>
          <w:lang w:val="en-US"/>
        </w:rPr>
        <w:t xml:space="preserve"> </w:t>
      </w:r>
      <w:r w:rsidR="000E6523" w:rsidRPr="000E6523">
        <w:rPr>
          <w:iCs/>
          <w:lang w:val="en-US"/>
        </w:rPr>
        <w:t>of the Ocean Decade, as well as its work on coastal megacities - the fastest growing segment of all</w:t>
      </w:r>
      <w:r w:rsidR="000E6523">
        <w:rPr>
          <w:iCs/>
          <w:lang w:val="en-US"/>
        </w:rPr>
        <w:t xml:space="preserve"> </w:t>
      </w:r>
      <w:r w:rsidR="000E6523" w:rsidRPr="000E6523">
        <w:rPr>
          <w:iCs/>
          <w:lang w:val="en-US"/>
        </w:rPr>
        <w:t xml:space="preserve">megacities -, </w:t>
      </w:r>
      <w:r w:rsidR="000E6523" w:rsidRPr="000E6523">
        <w:rPr>
          <w:iCs/>
          <w:lang w:val="en-US"/>
        </w:rPr>
        <w:lastRenderedPageBreak/>
        <w:t>will contribute to the achievement of Outcome 5. Moreover, IOC will participate in the</w:t>
      </w:r>
      <w:r w:rsidR="000E6523">
        <w:rPr>
          <w:iCs/>
          <w:lang w:val="en-US"/>
        </w:rPr>
        <w:t xml:space="preserve"> </w:t>
      </w:r>
      <w:r w:rsidR="000E6523" w:rsidRPr="000E6523">
        <w:rPr>
          <w:iCs/>
          <w:lang w:val="en-US"/>
        </w:rPr>
        <w:t xml:space="preserve">Intersectoral </w:t>
      </w:r>
      <w:proofErr w:type="spellStart"/>
      <w:r w:rsidR="000E6523" w:rsidRPr="000E6523">
        <w:rPr>
          <w:iCs/>
          <w:lang w:val="en-US"/>
        </w:rPr>
        <w:t>Programme</w:t>
      </w:r>
      <w:proofErr w:type="spellEnd"/>
      <w:r w:rsidR="000E6523" w:rsidRPr="000E6523">
        <w:rPr>
          <w:iCs/>
          <w:lang w:val="en-US"/>
        </w:rPr>
        <w:t xml:space="preserve"> on Environmental education contributing the ocean dimension of knowledge</w:t>
      </w:r>
      <w:r w:rsidR="000E6523">
        <w:rPr>
          <w:iCs/>
          <w:lang w:val="en-US"/>
        </w:rPr>
        <w:t xml:space="preserve"> </w:t>
      </w:r>
      <w:r w:rsidR="000E6523" w:rsidRPr="000E6523">
        <w:rPr>
          <w:iCs/>
          <w:lang w:val="en-US"/>
        </w:rPr>
        <w:t>systems used for addressing climate change and fostering sustainable management of ocean ecosystems.</w:t>
      </w:r>
    </w:p>
    <w:p w14:paraId="733BC909" w14:textId="4F4DD0C8" w:rsidR="002E3D9D" w:rsidRPr="002D1F1D" w:rsidRDefault="00BC243D" w:rsidP="00BC243D">
      <w:pPr>
        <w:widowControl/>
        <w:tabs>
          <w:tab w:val="clear" w:pos="567"/>
          <w:tab w:val="left" w:pos="1148"/>
        </w:tabs>
        <w:adjustRightInd/>
        <w:snapToGrid/>
        <w:spacing w:after="240" w:line="240" w:lineRule="auto"/>
        <w:textAlignment w:val="auto"/>
        <w:rPr>
          <w:iCs/>
          <w:lang w:val="en-US"/>
        </w:rPr>
      </w:pPr>
      <w:r w:rsidRPr="00A1295C">
        <w:rPr>
          <w:iCs/>
          <w:bdr w:val="single" w:sz="4" w:space="0" w:color="auto"/>
          <w:lang w:val="en-US"/>
        </w:rPr>
        <w:t>03004</w:t>
      </w:r>
      <w:r>
        <w:rPr>
          <w:iCs/>
          <w:lang w:val="en-US"/>
        </w:rPr>
        <w:tab/>
      </w:r>
      <w:r w:rsidRPr="00BC243D">
        <w:rPr>
          <w:iCs/>
          <w:lang w:val="en-US"/>
        </w:rPr>
        <w:t>The IOC Secretariat is the only intergovernmental mechanism in the UN system fully consecrated to</w:t>
      </w:r>
      <w:r>
        <w:rPr>
          <w:iCs/>
          <w:lang w:val="en-US"/>
        </w:rPr>
        <w:t xml:space="preserve"> </w:t>
      </w:r>
      <w:r w:rsidRPr="00BC243D">
        <w:rPr>
          <w:iCs/>
          <w:lang w:val="en-US"/>
        </w:rPr>
        <w:t>the development of ocean science. All recent audits and assessments of the IOC have indicated that</w:t>
      </w:r>
      <w:r>
        <w:rPr>
          <w:iCs/>
          <w:lang w:val="en-US"/>
        </w:rPr>
        <w:t xml:space="preserve"> </w:t>
      </w:r>
      <w:r w:rsidRPr="00BC243D">
        <w:rPr>
          <w:iCs/>
          <w:lang w:val="en-US"/>
        </w:rPr>
        <w:t>while IOC represents a most productive and highly-returning investment of Member States into the</w:t>
      </w:r>
      <w:r>
        <w:rPr>
          <w:iCs/>
          <w:lang w:val="en-US"/>
        </w:rPr>
        <w:t xml:space="preserve"> </w:t>
      </w:r>
      <w:r w:rsidRPr="00BC243D">
        <w:rPr>
          <w:iCs/>
          <w:lang w:val="en-US"/>
        </w:rPr>
        <w:t>future knowledge-based sustainable ocean services, this investment is drastically insufficient, and that</w:t>
      </w:r>
      <w:r>
        <w:rPr>
          <w:iCs/>
          <w:lang w:val="en-US"/>
        </w:rPr>
        <w:t xml:space="preserve"> </w:t>
      </w:r>
      <w:r w:rsidRPr="00BC243D">
        <w:rPr>
          <w:iCs/>
          <w:lang w:val="en-US"/>
        </w:rPr>
        <w:t>IOC is under-staffed and under-resourced to achieve its expanding mandate.</w:t>
      </w:r>
    </w:p>
    <w:p w14:paraId="0CB0AFAC" w14:textId="1BAA0F11" w:rsidR="004C110A" w:rsidRPr="00BC243D" w:rsidRDefault="00BC243D" w:rsidP="00BC243D">
      <w:pPr>
        <w:pStyle w:val="Marge"/>
        <w:tabs>
          <w:tab w:val="clear" w:pos="567"/>
          <w:tab w:val="left" w:pos="1162"/>
        </w:tabs>
        <w:spacing w:line="240" w:lineRule="auto"/>
        <w:rPr>
          <w:lang w:val="en-US"/>
        </w:rPr>
      </w:pPr>
      <w:r w:rsidRPr="00A1295C">
        <w:rPr>
          <w:iCs/>
          <w:bdr w:val="single" w:sz="4" w:space="0" w:color="auto"/>
          <w:lang w:val="en-US"/>
        </w:rPr>
        <w:t>03005</w:t>
      </w:r>
      <w:r>
        <w:rPr>
          <w:lang w:val="en-US"/>
        </w:rPr>
        <w:tab/>
      </w:r>
      <w:r w:rsidRPr="00BC243D">
        <w:rPr>
          <w:lang w:val="en-US"/>
        </w:rPr>
        <w:t xml:space="preserve">Despite limited regular </w:t>
      </w:r>
      <w:proofErr w:type="spellStart"/>
      <w:r w:rsidRPr="00BC243D">
        <w:rPr>
          <w:lang w:val="en-US"/>
        </w:rPr>
        <w:t>programme</w:t>
      </w:r>
      <w:proofErr w:type="spellEnd"/>
      <w:r w:rsidRPr="00BC243D">
        <w:rPr>
          <w:lang w:val="en-US"/>
        </w:rPr>
        <w:t xml:space="preserve"> budget, the scope of IOC work is continuously increasing.</w:t>
      </w:r>
      <w:r>
        <w:rPr>
          <w:lang w:val="en-US"/>
        </w:rPr>
        <w:t xml:space="preserve"> </w:t>
      </w:r>
      <w:r w:rsidRPr="00BC243D">
        <w:rPr>
          <w:lang w:val="en-US"/>
        </w:rPr>
        <w:t>Strategic developments are required for IOC to spearhead ocean research coordination on important</w:t>
      </w:r>
      <w:r>
        <w:rPr>
          <w:lang w:val="en-US"/>
        </w:rPr>
        <w:t xml:space="preserve"> </w:t>
      </w:r>
      <w:r w:rsidRPr="00BC243D">
        <w:rPr>
          <w:lang w:val="en-US"/>
        </w:rPr>
        <w:t>topics such as ocean acidification, de-oxygenation, the impacts of multiple stressors on marine</w:t>
      </w:r>
      <w:r>
        <w:rPr>
          <w:lang w:val="en-US"/>
        </w:rPr>
        <w:t xml:space="preserve"> </w:t>
      </w:r>
      <w:r w:rsidRPr="00BC243D">
        <w:rPr>
          <w:lang w:val="en-US"/>
        </w:rPr>
        <w:t>biodiversity, whilst continuing its efforts towards sustaining and augmenting global observations and</w:t>
      </w:r>
      <w:r>
        <w:rPr>
          <w:lang w:val="en-US"/>
        </w:rPr>
        <w:t xml:space="preserve"> </w:t>
      </w:r>
      <w:r w:rsidRPr="00BC243D">
        <w:rPr>
          <w:lang w:val="en-US"/>
        </w:rPr>
        <w:t>collection of data of societal relevance and necessity, as part of GOOS. The UN Intergovernmental</w:t>
      </w:r>
      <w:r>
        <w:rPr>
          <w:lang w:val="en-US"/>
        </w:rPr>
        <w:t xml:space="preserve"> </w:t>
      </w:r>
      <w:r w:rsidRPr="00BC243D">
        <w:rPr>
          <w:lang w:val="en-US"/>
        </w:rPr>
        <w:t>Conference on an international legally binding instrument under the United Nations Convention on</w:t>
      </w:r>
      <w:r>
        <w:rPr>
          <w:lang w:val="en-US"/>
        </w:rPr>
        <w:t xml:space="preserve"> </w:t>
      </w:r>
      <w:r w:rsidRPr="00BC243D">
        <w:rPr>
          <w:lang w:val="en-US"/>
        </w:rPr>
        <w:t>the Law of Sea on the conservation and sustainable use of marine biological diversity of areas beyond</w:t>
      </w:r>
      <w:r>
        <w:rPr>
          <w:lang w:val="en-US"/>
        </w:rPr>
        <w:t xml:space="preserve"> </w:t>
      </w:r>
      <w:r w:rsidRPr="00BC243D">
        <w:rPr>
          <w:lang w:val="en-US"/>
        </w:rPr>
        <w:t>national jurisdiction is considering the IOC Secretariat as a mechanism to coordinate the related</w:t>
      </w:r>
      <w:r>
        <w:rPr>
          <w:lang w:val="en-US"/>
        </w:rPr>
        <w:t xml:space="preserve"> </w:t>
      </w:r>
      <w:r w:rsidRPr="00BC243D">
        <w:rPr>
          <w:lang w:val="en-US"/>
        </w:rPr>
        <w:t>capacity development work. IOC is also increasingly seen as a key provider of the ocean knowledge</w:t>
      </w:r>
      <w:r>
        <w:rPr>
          <w:lang w:val="en-US"/>
        </w:rPr>
        <w:t xml:space="preserve"> </w:t>
      </w:r>
      <w:r w:rsidRPr="00BC243D">
        <w:rPr>
          <w:lang w:val="en-US"/>
        </w:rPr>
        <w:t>to UNFCCC and a contributor to the achievement of the marine biodiversity targets under the</w:t>
      </w:r>
      <w:r>
        <w:rPr>
          <w:lang w:val="en-US"/>
        </w:rPr>
        <w:t xml:space="preserve"> </w:t>
      </w:r>
      <w:r w:rsidRPr="00BC243D">
        <w:rPr>
          <w:lang w:val="en-US"/>
        </w:rPr>
        <w:t>Convention on Biological Diversity.</w:t>
      </w:r>
    </w:p>
    <w:p w14:paraId="71500B75" w14:textId="69D306F7" w:rsidR="004C110A" w:rsidRPr="00BC243D" w:rsidRDefault="00BC243D" w:rsidP="00BC243D">
      <w:pPr>
        <w:pStyle w:val="Marge"/>
        <w:tabs>
          <w:tab w:val="clear" w:pos="567"/>
          <w:tab w:val="left" w:pos="1162"/>
        </w:tabs>
        <w:spacing w:line="240" w:lineRule="auto"/>
        <w:rPr>
          <w:lang w:val="en-US"/>
        </w:rPr>
      </w:pPr>
      <w:r w:rsidRPr="00A1295C">
        <w:rPr>
          <w:iCs/>
          <w:bdr w:val="single" w:sz="4" w:space="0" w:color="auto"/>
          <w:lang w:val="en-US"/>
        </w:rPr>
        <w:t>03006</w:t>
      </w:r>
      <w:r>
        <w:rPr>
          <w:lang w:val="en-US"/>
        </w:rPr>
        <w:tab/>
      </w:r>
      <w:r w:rsidRPr="00BC243D">
        <w:rPr>
          <w:lang w:val="en-US"/>
        </w:rPr>
        <w:t>The 2030 Agenda is ocean science-intensive. The IOC-coordinated Ocean Decade will harness, stimulate</w:t>
      </w:r>
      <w:r>
        <w:rPr>
          <w:lang w:val="en-US"/>
        </w:rPr>
        <w:t xml:space="preserve"> </w:t>
      </w:r>
      <w:r w:rsidRPr="00BC243D">
        <w:rPr>
          <w:lang w:val="en-US"/>
        </w:rPr>
        <w:t>and coordinate research and knowledge-generation efforts at all levels, in order to support delivery of the</w:t>
      </w:r>
      <w:r>
        <w:rPr>
          <w:lang w:val="en-US"/>
        </w:rPr>
        <w:t xml:space="preserve"> </w:t>
      </w:r>
      <w:r w:rsidRPr="00BC243D">
        <w:rPr>
          <w:lang w:val="en-US"/>
        </w:rPr>
        <w:t>information, action and solutions needed to achieve its goals. Direct and indirect benefits for humanity</w:t>
      </w:r>
      <w:r>
        <w:rPr>
          <w:lang w:val="en-US"/>
        </w:rPr>
        <w:t xml:space="preserve"> </w:t>
      </w:r>
      <w:r w:rsidRPr="00BC243D">
        <w:rPr>
          <w:lang w:val="en-US"/>
        </w:rPr>
        <w:t>from the healthy ocean and the work of IOC will accrue in the many facets of Sustainable Development</w:t>
      </w:r>
      <w:r>
        <w:rPr>
          <w:lang w:val="en-US"/>
        </w:rPr>
        <w:t xml:space="preserve"> </w:t>
      </w:r>
      <w:r w:rsidRPr="00BC243D">
        <w:rPr>
          <w:lang w:val="en-US"/>
        </w:rPr>
        <w:t>(see the analysis of IOC’s contribution to the SDGs and related targets). For example, quantitative</w:t>
      </w:r>
      <w:r>
        <w:rPr>
          <w:lang w:val="en-US"/>
        </w:rPr>
        <w:t xml:space="preserve"> </w:t>
      </w:r>
      <w:r w:rsidRPr="00BC243D">
        <w:rPr>
          <w:lang w:val="en-US"/>
        </w:rPr>
        <w:t>knowledge about the ocean may make it possible to reduce the carbon gap, achieving the ambitious</w:t>
      </w:r>
      <w:r>
        <w:rPr>
          <w:lang w:val="en-US"/>
        </w:rPr>
        <w:t xml:space="preserve"> </w:t>
      </w:r>
      <w:r w:rsidRPr="00BC243D">
        <w:rPr>
          <w:lang w:val="en-US"/>
        </w:rPr>
        <w:t>goals of the UNFCCC Paris Agreement (SDG 13), to sustainably produce more food from the ocean</w:t>
      </w:r>
      <w:r>
        <w:rPr>
          <w:lang w:val="en-US"/>
        </w:rPr>
        <w:t xml:space="preserve"> </w:t>
      </w:r>
      <w:r w:rsidRPr="00BC243D">
        <w:rPr>
          <w:lang w:val="en-US"/>
        </w:rPr>
        <w:t>(SDG 2), to generate more renewable energy (SDG 7), and to stimulate new economic developments</w:t>
      </w:r>
      <w:r>
        <w:rPr>
          <w:lang w:val="en-US"/>
        </w:rPr>
        <w:t xml:space="preserve"> </w:t>
      </w:r>
      <w:r w:rsidRPr="00BC243D">
        <w:rPr>
          <w:lang w:val="en-US"/>
        </w:rPr>
        <w:t>(SDG 1 and 9). The Ocean Decade was designed to maximize this vital potential for humanity. IOC work</w:t>
      </w:r>
      <w:r>
        <w:rPr>
          <w:lang w:val="en-US"/>
        </w:rPr>
        <w:t xml:space="preserve"> </w:t>
      </w:r>
      <w:r w:rsidRPr="00BC243D">
        <w:rPr>
          <w:lang w:val="en-US"/>
        </w:rPr>
        <w:t>is essential to achieve the SDG 14 and its targets. IOC will continue to fulfill the UN custodian role for</w:t>
      </w:r>
      <w:r>
        <w:rPr>
          <w:lang w:val="en-US"/>
        </w:rPr>
        <w:t xml:space="preserve"> </w:t>
      </w:r>
      <w:r w:rsidRPr="00BC243D">
        <w:rPr>
          <w:lang w:val="en-US"/>
        </w:rPr>
        <w:t>reporting on two SDG targets, namely 14.3 and 14.a, and to support UNEP on the scientific aspects of</w:t>
      </w:r>
      <w:r>
        <w:rPr>
          <w:lang w:val="en-US"/>
        </w:rPr>
        <w:t xml:space="preserve"> </w:t>
      </w:r>
      <w:r w:rsidRPr="00BC243D">
        <w:rPr>
          <w:lang w:val="en-US"/>
        </w:rPr>
        <w:t>reporting on targets 14.1 and 14.2. It will also continue to lead the global coordination of research on</w:t>
      </w:r>
      <w:r>
        <w:rPr>
          <w:lang w:val="en-US"/>
        </w:rPr>
        <w:t xml:space="preserve"> </w:t>
      </w:r>
      <w:r w:rsidRPr="00BC243D">
        <w:rPr>
          <w:lang w:val="en-US"/>
        </w:rPr>
        <w:t>ocean acidification and deoxygenation, and will reinforce its pioneering work on interactions between</w:t>
      </w:r>
      <w:r>
        <w:rPr>
          <w:lang w:val="en-US"/>
        </w:rPr>
        <w:t xml:space="preserve"> </w:t>
      </w:r>
      <w:r w:rsidRPr="00BC243D">
        <w:rPr>
          <w:lang w:val="en-US"/>
        </w:rPr>
        <w:t>multiple ocean stressors - setting the stage for science-based ecosystem management. IOC is the flagship</w:t>
      </w:r>
      <w:r>
        <w:rPr>
          <w:lang w:val="en-US"/>
        </w:rPr>
        <w:t xml:space="preserve"> </w:t>
      </w:r>
      <w:r w:rsidRPr="00BC243D">
        <w:rPr>
          <w:lang w:val="en-US"/>
        </w:rPr>
        <w:t>of the new coordinated research on the future of the ocean carbon sink and an active participant in the</w:t>
      </w:r>
      <w:r>
        <w:rPr>
          <w:lang w:val="en-US"/>
        </w:rPr>
        <w:t xml:space="preserve"> </w:t>
      </w:r>
      <w:r w:rsidRPr="00BC243D">
        <w:rPr>
          <w:lang w:val="en-US"/>
        </w:rPr>
        <w:t>‘Blue Carbon’ initiative. It will continue to provide technical assistance to UN inter-agency expert work</w:t>
      </w:r>
      <w:r>
        <w:rPr>
          <w:lang w:val="en-US"/>
        </w:rPr>
        <w:t xml:space="preserve"> </w:t>
      </w:r>
      <w:r w:rsidRPr="00BC243D">
        <w:rPr>
          <w:lang w:val="en-US"/>
        </w:rPr>
        <w:t>on ocean solutions to climate change mitigation through carbon sequestration and to coordinate the</w:t>
      </w:r>
      <w:r>
        <w:rPr>
          <w:lang w:val="en-US"/>
        </w:rPr>
        <w:t xml:space="preserve"> </w:t>
      </w:r>
      <w:r w:rsidRPr="00BC243D">
        <w:rPr>
          <w:lang w:val="en-US"/>
        </w:rPr>
        <w:t>Global Ocean Observing System and the International Oceanographic Data and Information Exchange</w:t>
      </w:r>
      <w:r>
        <w:rPr>
          <w:lang w:val="en-US"/>
        </w:rPr>
        <w:t xml:space="preserve"> </w:t>
      </w:r>
      <w:proofErr w:type="spellStart"/>
      <w:r w:rsidRPr="00BC243D">
        <w:rPr>
          <w:lang w:val="en-US"/>
        </w:rPr>
        <w:t>programme</w:t>
      </w:r>
      <w:proofErr w:type="spellEnd"/>
      <w:r w:rsidRPr="00BC243D">
        <w:rPr>
          <w:lang w:val="en-US"/>
        </w:rPr>
        <w:t xml:space="preserve">, supported by a global system of national data </w:t>
      </w:r>
      <w:proofErr w:type="spellStart"/>
      <w:r w:rsidRPr="00BC243D">
        <w:rPr>
          <w:lang w:val="en-US"/>
        </w:rPr>
        <w:t>centres</w:t>
      </w:r>
      <w:proofErr w:type="spellEnd"/>
      <w:r w:rsidRPr="00BC243D">
        <w:rPr>
          <w:lang w:val="en-US"/>
        </w:rPr>
        <w:t xml:space="preserve"> and units and a variety of databases,</w:t>
      </w:r>
      <w:r>
        <w:rPr>
          <w:lang w:val="en-US"/>
        </w:rPr>
        <w:t xml:space="preserve"> </w:t>
      </w:r>
      <w:r w:rsidRPr="00BC243D">
        <w:rPr>
          <w:lang w:val="en-US"/>
        </w:rPr>
        <w:t>such as the Ocean Biodiversity Information System (OBIS) and the World Ocean Database (WOD).</w:t>
      </w:r>
    </w:p>
    <w:p w14:paraId="237B7AEF" w14:textId="3F1CA6A9" w:rsidR="007B71CA" w:rsidRDefault="00BC243D" w:rsidP="00BC243D">
      <w:pPr>
        <w:pStyle w:val="Marge"/>
        <w:tabs>
          <w:tab w:val="clear" w:pos="567"/>
          <w:tab w:val="left" w:pos="1162"/>
        </w:tabs>
        <w:spacing w:line="240" w:lineRule="auto"/>
        <w:rPr>
          <w:lang w:val="en-US"/>
        </w:rPr>
      </w:pPr>
      <w:r w:rsidRPr="00A1295C">
        <w:rPr>
          <w:iCs/>
          <w:bdr w:val="single" w:sz="4" w:space="0" w:color="auto"/>
          <w:lang w:val="en-US"/>
        </w:rPr>
        <w:t>03007</w:t>
      </w:r>
      <w:r>
        <w:rPr>
          <w:lang w:val="en-US"/>
        </w:rPr>
        <w:tab/>
      </w:r>
      <w:r w:rsidRPr="00BC243D">
        <w:rPr>
          <w:lang w:val="en-US"/>
        </w:rPr>
        <w:t>IOC will further advance the development of the global Ocean Data and Information System that will</w:t>
      </w:r>
      <w:r>
        <w:rPr>
          <w:lang w:val="en-US"/>
        </w:rPr>
        <w:t xml:space="preserve"> </w:t>
      </w:r>
      <w:r w:rsidRPr="00BC243D">
        <w:rPr>
          <w:lang w:val="en-US"/>
        </w:rPr>
        <w:t>greatly facilitate the sharing of ocean data and information with a large spectrum of stakeholders, in</w:t>
      </w:r>
      <w:r>
        <w:rPr>
          <w:lang w:val="en-US"/>
        </w:rPr>
        <w:t xml:space="preserve"> </w:t>
      </w:r>
      <w:r w:rsidRPr="00BC243D">
        <w:rPr>
          <w:lang w:val="en-US"/>
        </w:rPr>
        <w:t>line with the objectives of the Ocean Decade. IOC will also continue to provide a key direct contribution</w:t>
      </w:r>
      <w:r>
        <w:rPr>
          <w:lang w:val="en-US"/>
        </w:rPr>
        <w:t xml:space="preserve"> </w:t>
      </w:r>
      <w:r w:rsidRPr="00BC243D">
        <w:rPr>
          <w:lang w:val="en-US"/>
        </w:rPr>
        <w:t>to the implementation of the UN Sendai Framework for Disaster Risk Reduction by coordinating</w:t>
      </w:r>
      <w:r>
        <w:rPr>
          <w:lang w:val="en-US"/>
        </w:rPr>
        <w:t xml:space="preserve"> </w:t>
      </w:r>
      <w:r w:rsidRPr="00BC243D">
        <w:rPr>
          <w:lang w:val="en-US"/>
        </w:rPr>
        <w:t>the intergovernmental network of four regional tsunami warning and mitigation systems; acting as</w:t>
      </w:r>
      <w:r>
        <w:rPr>
          <w:lang w:val="en-US"/>
        </w:rPr>
        <w:t xml:space="preserve"> </w:t>
      </w:r>
      <w:r w:rsidRPr="00BC243D">
        <w:rPr>
          <w:lang w:val="en-US"/>
        </w:rPr>
        <w:t>global standard setter for global tsunami warning and mitigation, and; coordinating thirteen Tsunami</w:t>
      </w:r>
      <w:r>
        <w:rPr>
          <w:lang w:val="en-US"/>
        </w:rPr>
        <w:t xml:space="preserve"> </w:t>
      </w:r>
      <w:r w:rsidRPr="00BC243D">
        <w:rPr>
          <w:lang w:val="en-US"/>
        </w:rPr>
        <w:t>Service Providers (TSPs) running round-the-clock operational services. Going forward, IOC will</w:t>
      </w:r>
      <w:r>
        <w:rPr>
          <w:lang w:val="en-US"/>
        </w:rPr>
        <w:t xml:space="preserve"> </w:t>
      </w:r>
      <w:r w:rsidRPr="00BC243D">
        <w:rPr>
          <w:lang w:val="en-US"/>
        </w:rPr>
        <w:t xml:space="preserve">develop a 10-Year Research and Development Plan for a UN Decade Tsunami </w:t>
      </w:r>
      <w:proofErr w:type="spellStart"/>
      <w:r w:rsidRPr="00BC243D">
        <w:rPr>
          <w:lang w:val="en-US"/>
        </w:rPr>
        <w:t>Programme</w:t>
      </w:r>
      <w:proofErr w:type="spellEnd"/>
      <w:r w:rsidRPr="00BC243D">
        <w:rPr>
          <w:lang w:val="en-US"/>
        </w:rPr>
        <w:t>. IOC is also</w:t>
      </w:r>
      <w:r>
        <w:rPr>
          <w:lang w:val="en-US"/>
        </w:rPr>
        <w:t xml:space="preserve"> </w:t>
      </w:r>
      <w:r w:rsidRPr="00BC243D">
        <w:rPr>
          <w:lang w:val="en-US"/>
        </w:rPr>
        <w:t>operationalizing a range of new ocean services, e.g. warnings about harmful algal blooms. Building</w:t>
      </w:r>
      <w:r>
        <w:rPr>
          <w:lang w:val="en-US"/>
        </w:rPr>
        <w:t xml:space="preserve"> </w:t>
      </w:r>
      <w:r w:rsidRPr="00BC243D">
        <w:rPr>
          <w:lang w:val="en-US"/>
        </w:rPr>
        <w:t xml:space="preserve">on its </w:t>
      </w:r>
      <w:proofErr w:type="spellStart"/>
      <w:r w:rsidRPr="00BC243D">
        <w:rPr>
          <w:lang w:val="en-US"/>
        </w:rPr>
        <w:t>programme</w:t>
      </w:r>
      <w:proofErr w:type="spellEnd"/>
      <w:r w:rsidRPr="00BC243D">
        <w:rPr>
          <w:lang w:val="en-US"/>
        </w:rPr>
        <w:t xml:space="preserve"> on Marine Spatial Planning, </w:t>
      </w:r>
      <w:r w:rsidRPr="00BC243D">
        <w:rPr>
          <w:lang w:val="en-US"/>
        </w:rPr>
        <w:lastRenderedPageBreak/>
        <w:t>Integrated Coastal Area Management and the Large</w:t>
      </w:r>
      <w:r>
        <w:rPr>
          <w:lang w:val="en-US"/>
        </w:rPr>
        <w:t xml:space="preserve"> </w:t>
      </w:r>
      <w:r w:rsidRPr="00BC243D">
        <w:rPr>
          <w:lang w:val="en-US"/>
        </w:rPr>
        <w:t>Marine Ecosystems Global Partnerships, IOC will continue promoting novel means of managing the</w:t>
      </w:r>
      <w:r>
        <w:rPr>
          <w:lang w:val="en-US"/>
        </w:rPr>
        <w:t xml:space="preserve"> </w:t>
      </w:r>
      <w:r w:rsidRPr="00BC243D">
        <w:rPr>
          <w:lang w:val="en-US"/>
        </w:rPr>
        <w:t>ocean leading to the enhancement of community resilience, the deployment of nature-based solutions</w:t>
      </w:r>
      <w:r>
        <w:rPr>
          <w:lang w:val="en-US"/>
        </w:rPr>
        <w:t xml:space="preserve"> </w:t>
      </w:r>
      <w:r w:rsidRPr="00BC243D">
        <w:rPr>
          <w:lang w:val="en-US"/>
        </w:rPr>
        <w:t>for climate adaptation, the integration of ocean ecosystem services into national evaluation frameworks,</w:t>
      </w:r>
      <w:r>
        <w:rPr>
          <w:lang w:val="en-US"/>
        </w:rPr>
        <w:t xml:space="preserve"> </w:t>
      </w:r>
      <w:r w:rsidRPr="00BC243D">
        <w:rPr>
          <w:lang w:val="en-US"/>
        </w:rPr>
        <w:t>and the conservation of critical ecosystems and resources through marine protected areas.</w:t>
      </w:r>
      <w:r>
        <w:rPr>
          <w:lang w:val="en-US"/>
        </w:rPr>
        <w:t xml:space="preserve"> </w:t>
      </w:r>
      <w:r w:rsidRPr="00BC243D">
        <w:rPr>
          <w:lang w:val="en-US"/>
        </w:rPr>
        <w:t>With the multitude of its activities contributing to the Ocean Decade, IOC will be in a position to</w:t>
      </w:r>
      <w:r>
        <w:rPr>
          <w:lang w:val="en-US"/>
        </w:rPr>
        <w:t xml:space="preserve"> </w:t>
      </w:r>
      <w:r w:rsidRPr="00BC243D">
        <w:rPr>
          <w:lang w:val="en-US"/>
        </w:rPr>
        <w:t>inform its Member States and broad community of stakeholders about the state of the ocean and</w:t>
      </w:r>
      <w:r>
        <w:rPr>
          <w:lang w:val="en-US"/>
        </w:rPr>
        <w:t xml:space="preserve"> </w:t>
      </w:r>
      <w:r w:rsidRPr="00BC243D">
        <w:rPr>
          <w:lang w:val="en-US"/>
        </w:rPr>
        <w:t>monitor progress in the achievement of the Decade’s objectives through a new flagship publication</w:t>
      </w:r>
      <w:r>
        <w:rPr>
          <w:lang w:val="en-US"/>
        </w:rPr>
        <w:t xml:space="preserve"> </w:t>
      </w:r>
      <w:r w:rsidRPr="00BC243D">
        <w:rPr>
          <w:lang w:val="en-US"/>
        </w:rPr>
        <w:t>‘The State of the Ocean Report (</w:t>
      </w:r>
      <w:proofErr w:type="spellStart"/>
      <w:r w:rsidRPr="00BC243D">
        <w:rPr>
          <w:lang w:val="en-US"/>
        </w:rPr>
        <w:t>StOR</w:t>
      </w:r>
      <w:proofErr w:type="spellEnd"/>
      <w:r w:rsidRPr="00BC243D">
        <w:rPr>
          <w:lang w:val="en-US"/>
        </w:rPr>
        <w:t>)’.</w:t>
      </w:r>
    </w:p>
    <w:p w14:paraId="49328546" w14:textId="778B641F"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03008</w:t>
      </w:r>
      <w:r>
        <w:rPr>
          <w:lang w:val="en-US"/>
        </w:rPr>
        <w:tab/>
      </w:r>
      <w:r w:rsidRPr="00427F27">
        <w:rPr>
          <w:lang w:val="en-US"/>
        </w:rPr>
        <w:t>IOC will devote particular attention to the strengthening of its regional, national, and local impact.</w:t>
      </w:r>
      <w:r>
        <w:rPr>
          <w:lang w:val="en-US"/>
        </w:rPr>
        <w:t xml:space="preserve"> </w:t>
      </w:r>
      <w:r w:rsidRPr="00427F27">
        <w:rPr>
          <w:lang w:val="en-US"/>
        </w:rPr>
        <w:t>At regional level, IOC will continue the build-up of its regional subsidiary bodies, turning them into</w:t>
      </w:r>
      <w:r>
        <w:rPr>
          <w:lang w:val="en-US"/>
        </w:rPr>
        <w:t xml:space="preserve"> </w:t>
      </w:r>
      <w:r w:rsidRPr="00427F27">
        <w:rPr>
          <w:lang w:val="en-US"/>
        </w:rPr>
        <w:t>effective agents of promoting ocean science and sources of solutions for sustainability. Working with</w:t>
      </w:r>
      <w:r>
        <w:rPr>
          <w:lang w:val="en-US"/>
        </w:rPr>
        <w:t xml:space="preserve"> </w:t>
      </w:r>
      <w:r w:rsidRPr="00427F27">
        <w:rPr>
          <w:lang w:val="en-US"/>
        </w:rPr>
        <w:t>and through partners will make it possible to extend the coverage of IOC regional work to all ocean</w:t>
      </w:r>
      <w:r>
        <w:rPr>
          <w:lang w:val="en-US"/>
        </w:rPr>
        <w:t xml:space="preserve"> </w:t>
      </w:r>
      <w:r w:rsidRPr="00427F27">
        <w:rPr>
          <w:lang w:val="en-US"/>
        </w:rPr>
        <w:t>basins. Active engagement with regional organizations and subsidiary bodies of partner organizations,</w:t>
      </w:r>
      <w:r>
        <w:rPr>
          <w:lang w:val="en-US"/>
        </w:rPr>
        <w:t xml:space="preserve"> </w:t>
      </w:r>
      <w:r w:rsidRPr="00427F27">
        <w:rPr>
          <w:lang w:val="en-US"/>
        </w:rPr>
        <w:t>making ocean data and information more open and accessible, will help to support the ocean-related</w:t>
      </w:r>
      <w:r>
        <w:rPr>
          <w:lang w:val="en-US"/>
        </w:rPr>
        <w:t xml:space="preserve"> </w:t>
      </w:r>
      <w:r w:rsidRPr="00427F27">
        <w:rPr>
          <w:lang w:val="en-US"/>
        </w:rPr>
        <w:t>needs of nations and local communities.</w:t>
      </w:r>
    </w:p>
    <w:p w14:paraId="398D02AE" w14:textId="77B9D4C8"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03009</w:t>
      </w:r>
      <w:r>
        <w:rPr>
          <w:lang w:val="en-US"/>
        </w:rPr>
        <w:tab/>
      </w:r>
      <w:r w:rsidRPr="00427F27">
        <w:rPr>
          <w:lang w:val="en-US"/>
        </w:rPr>
        <w:t>Capacity development will remain a key activity of the IOC. In order to create conditions for more</w:t>
      </w:r>
      <w:r>
        <w:rPr>
          <w:lang w:val="en-US"/>
        </w:rPr>
        <w:t xml:space="preserve"> </w:t>
      </w:r>
      <w:r w:rsidRPr="00427F27">
        <w:rPr>
          <w:lang w:val="en-US"/>
        </w:rPr>
        <w:t>harmonious human relations with the ocean, IOC will continue to spearhead ocean literacy, expand</w:t>
      </w:r>
      <w:r>
        <w:rPr>
          <w:lang w:val="en-US"/>
        </w:rPr>
        <w:t xml:space="preserve"> </w:t>
      </w:r>
      <w:r w:rsidRPr="00427F27">
        <w:rPr>
          <w:lang w:val="en-US"/>
        </w:rPr>
        <w:t>its innovative communication activities targeting broad categories of stakeholders, enhance its dialogue</w:t>
      </w:r>
      <w:r>
        <w:rPr>
          <w:lang w:val="en-US"/>
        </w:rPr>
        <w:t xml:space="preserve"> </w:t>
      </w:r>
      <w:r w:rsidRPr="00427F27">
        <w:rPr>
          <w:lang w:val="en-US"/>
        </w:rPr>
        <w:t>with indigenous knowledge holders and strengthen youth engagement and participation.</w:t>
      </w:r>
    </w:p>
    <w:p w14:paraId="2F24F43E" w14:textId="66F21642"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03010</w:t>
      </w:r>
      <w:r>
        <w:rPr>
          <w:lang w:val="en-US"/>
        </w:rPr>
        <w:tab/>
      </w:r>
      <w:r w:rsidRPr="00427F27">
        <w:rPr>
          <w:lang w:val="en-US"/>
        </w:rPr>
        <w:t>Active mobilization of extrabudgetary resources (both financial and staffing) will be pursued and</w:t>
      </w:r>
      <w:r>
        <w:rPr>
          <w:lang w:val="en-US"/>
        </w:rPr>
        <w:t xml:space="preserve"> </w:t>
      </w:r>
      <w:r w:rsidRPr="00427F27">
        <w:rPr>
          <w:lang w:val="en-US"/>
        </w:rPr>
        <w:t>expanded. The achieved visibility and leadership of IOC in the ocean science-related aspects of</w:t>
      </w:r>
      <w:r>
        <w:rPr>
          <w:lang w:val="en-US"/>
        </w:rPr>
        <w:t xml:space="preserve"> </w:t>
      </w:r>
      <w:r w:rsidRPr="00427F27">
        <w:rPr>
          <w:lang w:val="en-US"/>
        </w:rPr>
        <w:t>the sustainable development agenda, multiplied</w:t>
      </w:r>
      <w:r>
        <w:rPr>
          <w:lang w:val="en-US"/>
        </w:rPr>
        <w:t xml:space="preserve"> </w:t>
      </w:r>
      <w:r w:rsidRPr="00427F27">
        <w:rPr>
          <w:lang w:val="en-US"/>
        </w:rPr>
        <w:t>by the professionalism and energy of its</w:t>
      </w:r>
      <w:r>
        <w:rPr>
          <w:lang w:val="en-US"/>
        </w:rPr>
        <w:t xml:space="preserve"> </w:t>
      </w:r>
      <w:r w:rsidRPr="00427F27">
        <w:rPr>
          <w:lang w:val="en-US"/>
        </w:rPr>
        <w:t>staff, offer increased potential for fundraising.</w:t>
      </w:r>
      <w:r>
        <w:rPr>
          <w:lang w:val="en-US"/>
        </w:rPr>
        <w:t xml:space="preserve"> </w:t>
      </w:r>
      <w:r w:rsidRPr="00427F27">
        <w:rPr>
          <w:lang w:val="en-US"/>
        </w:rPr>
        <w:t>While every effort will continue to be</w:t>
      </w:r>
      <w:r>
        <w:rPr>
          <w:lang w:val="en-US"/>
        </w:rPr>
        <w:t xml:space="preserve"> </w:t>
      </w:r>
      <w:r w:rsidRPr="00427F27">
        <w:rPr>
          <w:lang w:val="en-US"/>
        </w:rPr>
        <w:t>made to broaden outreach and partnerships,</w:t>
      </w:r>
      <w:r>
        <w:rPr>
          <w:lang w:val="en-US"/>
        </w:rPr>
        <w:t xml:space="preserve"> </w:t>
      </w:r>
      <w:r w:rsidRPr="00427F27">
        <w:rPr>
          <w:lang w:val="en-US"/>
        </w:rPr>
        <w:t>support of Member States will remain critical</w:t>
      </w:r>
      <w:r>
        <w:rPr>
          <w:lang w:val="en-US"/>
        </w:rPr>
        <w:t xml:space="preserve"> </w:t>
      </w:r>
      <w:r w:rsidRPr="00427F27">
        <w:rPr>
          <w:lang w:val="en-US"/>
        </w:rPr>
        <w:t>to secure the levels of resources needed</w:t>
      </w:r>
      <w:r>
        <w:rPr>
          <w:lang w:val="en-US"/>
        </w:rPr>
        <w:t xml:space="preserve"> </w:t>
      </w:r>
      <w:r w:rsidRPr="00427F27">
        <w:rPr>
          <w:lang w:val="en-US"/>
        </w:rPr>
        <w:t>to provide necessary ocean-science based</w:t>
      </w:r>
      <w:r>
        <w:rPr>
          <w:lang w:val="en-US"/>
        </w:rPr>
        <w:t xml:space="preserve"> </w:t>
      </w:r>
      <w:r w:rsidRPr="00427F27">
        <w:rPr>
          <w:lang w:val="en-US"/>
        </w:rPr>
        <w:t xml:space="preserve">solutions to sustainable develop- </w:t>
      </w:r>
      <w:proofErr w:type="spellStart"/>
      <w:r w:rsidRPr="00427F27">
        <w:rPr>
          <w:lang w:val="en-US"/>
        </w:rPr>
        <w:t>ment</w:t>
      </w:r>
      <w:proofErr w:type="spellEnd"/>
      <w:r w:rsidRPr="00427F27">
        <w:rPr>
          <w:lang w:val="en-US"/>
        </w:rPr>
        <w:t>. By codesign</w:t>
      </w:r>
      <w:r>
        <w:rPr>
          <w:lang w:val="en-US"/>
        </w:rPr>
        <w:t xml:space="preserve"> </w:t>
      </w:r>
      <w:r w:rsidRPr="00427F27">
        <w:rPr>
          <w:lang w:val="en-US"/>
        </w:rPr>
        <w:t>of various types of its activities, with</w:t>
      </w:r>
      <w:r>
        <w:rPr>
          <w:lang w:val="en-US"/>
        </w:rPr>
        <w:t xml:space="preserve"> </w:t>
      </w:r>
      <w:r w:rsidRPr="00427F27">
        <w:rPr>
          <w:lang w:val="en-US"/>
        </w:rPr>
        <w:t>a focus on their economic impact, leading to</w:t>
      </w:r>
      <w:r>
        <w:rPr>
          <w:lang w:val="en-US"/>
        </w:rPr>
        <w:t xml:space="preserve"> </w:t>
      </w:r>
      <w:r w:rsidRPr="00427F27">
        <w:rPr>
          <w:lang w:val="en-US"/>
        </w:rPr>
        <w:t>clearer valuation of its work, IOC will strive</w:t>
      </w:r>
      <w:r>
        <w:rPr>
          <w:lang w:val="en-US"/>
        </w:rPr>
        <w:t xml:space="preserve"> </w:t>
      </w:r>
      <w:r w:rsidRPr="00427F27">
        <w:rPr>
          <w:lang w:val="en-US"/>
        </w:rPr>
        <w:t>to create conditions for its further strengthening</w:t>
      </w:r>
      <w:r>
        <w:rPr>
          <w:lang w:val="en-US"/>
        </w:rPr>
        <w:t xml:space="preserve"> </w:t>
      </w:r>
      <w:r w:rsidRPr="00427F27">
        <w:rPr>
          <w:lang w:val="en-US"/>
        </w:rPr>
        <w:t>and increased delivery for the benefit of</w:t>
      </w:r>
      <w:r>
        <w:rPr>
          <w:lang w:val="en-US"/>
        </w:rPr>
        <w:t xml:space="preserve"> </w:t>
      </w:r>
      <w:r w:rsidRPr="00427F27">
        <w:rPr>
          <w:lang w:val="en-US"/>
        </w:rPr>
        <w:t>global sustainability</w:t>
      </w:r>
      <w:r>
        <w:rPr>
          <w:lang w:val="en-US"/>
        </w:rPr>
        <w:t xml:space="preserve"> […].</w:t>
      </w:r>
    </w:p>
    <w:p w14:paraId="704CC28E" w14:textId="0291ED70" w:rsidR="00427F27" w:rsidRPr="00427F27" w:rsidRDefault="00427F27" w:rsidP="00427F27">
      <w:pPr>
        <w:pStyle w:val="Marge"/>
        <w:tabs>
          <w:tab w:val="clear" w:pos="567"/>
          <w:tab w:val="left" w:pos="1162"/>
        </w:tabs>
        <w:spacing w:line="240" w:lineRule="auto"/>
        <w:rPr>
          <w:b/>
          <w:bCs/>
          <w:i/>
          <w:iCs/>
          <w:lang w:val="en-US"/>
        </w:rPr>
      </w:pPr>
      <w:r>
        <w:rPr>
          <w:b/>
          <w:bCs/>
          <w:i/>
          <w:iCs/>
          <w:lang w:val="en-US"/>
        </w:rPr>
        <w:t>Global Priority Africa</w:t>
      </w:r>
    </w:p>
    <w:p w14:paraId="0074FF4F" w14:textId="334E84AE"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03011</w:t>
      </w:r>
      <w:r>
        <w:rPr>
          <w:lang w:val="en-US"/>
        </w:rPr>
        <w:tab/>
      </w:r>
      <w:r w:rsidRPr="00427F27">
        <w:rPr>
          <w:lang w:val="en-US"/>
        </w:rPr>
        <w:t>Africa has a very high interest in the sustainable ocean economy. To enable the significant economic</w:t>
      </w:r>
      <w:r>
        <w:rPr>
          <w:lang w:val="en-US"/>
        </w:rPr>
        <w:t xml:space="preserve"> </w:t>
      </w:r>
      <w:r w:rsidRPr="00427F27">
        <w:rPr>
          <w:lang w:val="en-US"/>
        </w:rPr>
        <w:t>return downstream, IOC’ s underlying work to benefit Global Priority Africa will start upstream, with</w:t>
      </w:r>
      <w:r>
        <w:rPr>
          <w:lang w:val="en-US"/>
        </w:rPr>
        <w:t xml:space="preserve"> </w:t>
      </w:r>
      <w:r w:rsidRPr="00427F27">
        <w:rPr>
          <w:lang w:val="en-US"/>
        </w:rPr>
        <w:t>developing an effective African ocean observing system, expanding training activities, facilitating</w:t>
      </w:r>
      <w:r>
        <w:rPr>
          <w:lang w:val="en-US"/>
        </w:rPr>
        <w:t xml:space="preserve"> </w:t>
      </w:r>
      <w:r w:rsidRPr="00427F27">
        <w:rPr>
          <w:lang w:val="en-US"/>
        </w:rPr>
        <w:t>modern means of data management, and the use of knowledge and best practices in expanding coastal</w:t>
      </w:r>
      <w:r>
        <w:rPr>
          <w:lang w:val="en-US"/>
        </w:rPr>
        <w:t xml:space="preserve"> </w:t>
      </w:r>
      <w:r w:rsidRPr="00427F27">
        <w:rPr>
          <w:lang w:val="en-US"/>
        </w:rPr>
        <w:t>zone management, maritime spatial planning and management of marine ecosystems, towards generating</w:t>
      </w:r>
      <w:r>
        <w:rPr>
          <w:lang w:val="en-US"/>
        </w:rPr>
        <w:t xml:space="preserve"> </w:t>
      </w:r>
      <w:r w:rsidRPr="00427F27">
        <w:rPr>
          <w:lang w:val="en-US"/>
        </w:rPr>
        <w:t>more wealth, and assisting in coping with various manifestations of climate change. To achieve</w:t>
      </w:r>
      <w:r>
        <w:rPr>
          <w:lang w:val="en-US"/>
        </w:rPr>
        <w:t xml:space="preserve"> </w:t>
      </w:r>
      <w:r w:rsidRPr="00427F27">
        <w:rPr>
          <w:lang w:val="en-US"/>
        </w:rPr>
        <w:t>these ambitious goals, substantial resource mobilization will be needed and a coordinated approach</w:t>
      </w:r>
      <w:r>
        <w:rPr>
          <w:lang w:val="en-US"/>
        </w:rPr>
        <w:t xml:space="preserve"> </w:t>
      </w:r>
      <w:r w:rsidRPr="00427F27">
        <w:rPr>
          <w:lang w:val="en-US"/>
        </w:rPr>
        <w:t>will be required between national, bilateral and multilateral efforts. The Ocean Decade coordinated</w:t>
      </w:r>
      <w:r>
        <w:rPr>
          <w:lang w:val="en-US"/>
        </w:rPr>
        <w:t xml:space="preserve"> </w:t>
      </w:r>
      <w:r w:rsidRPr="00427F27">
        <w:rPr>
          <w:lang w:val="en-US"/>
        </w:rPr>
        <w:t>by IOC will continue the momentum of the Decade of African Seas and Oceans 2015-2025, and will</w:t>
      </w:r>
      <w:r>
        <w:rPr>
          <w:lang w:val="en-US"/>
        </w:rPr>
        <w:t xml:space="preserve"> </w:t>
      </w:r>
      <w:r w:rsidRPr="00427F27">
        <w:rPr>
          <w:lang w:val="en-US"/>
        </w:rPr>
        <w:t>build synergies with the African Union initiatives.</w:t>
      </w:r>
    </w:p>
    <w:p w14:paraId="6644DA62" w14:textId="5BD87397" w:rsidR="00427F27" w:rsidRPr="00427F27" w:rsidRDefault="00427F27" w:rsidP="00427F27">
      <w:pPr>
        <w:pStyle w:val="Marge"/>
        <w:tabs>
          <w:tab w:val="clear" w:pos="567"/>
          <w:tab w:val="left" w:pos="1162"/>
        </w:tabs>
        <w:spacing w:line="240" w:lineRule="auto"/>
        <w:rPr>
          <w:b/>
          <w:bCs/>
          <w:i/>
          <w:iCs/>
          <w:lang w:val="en-US"/>
        </w:rPr>
      </w:pPr>
      <w:r w:rsidRPr="00427F27">
        <w:rPr>
          <w:b/>
          <w:bCs/>
          <w:i/>
          <w:iCs/>
          <w:lang w:val="en-US"/>
        </w:rPr>
        <w:t>Global Priority Gender Equality</w:t>
      </w:r>
    </w:p>
    <w:p w14:paraId="52BA811C" w14:textId="1705FB2D"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03012</w:t>
      </w:r>
      <w:r>
        <w:rPr>
          <w:lang w:val="en-US"/>
        </w:rPr>
        <w:tab/>
      </w:r>
      <w:r w:rsidRPr="00427F27">
        <w:rPr>
          <w:lang w:val="en-US"/>
        </w:rPr>
        <w:t>The IOC contribution to Global Priority Gender Equality will focus on ensuring that international</w:t>
      </w:r>
      <w:r>
        <w:rPr>
          <w:lang w:val="en-US"/>
        </w:rPr>
        <w:t xml:space="preserve"> </w:t>
      </w:r>
      <w:r w:rsidRPr="00427F27">
        <w:rPr>
          <w:lang w:val="en-US"/>
        </w:rPr>
        <w:t>science cooperation for peace and sustainability promotes equal representation and voice for women</w:t>
      </w:r>
      <w:r>
        <w:rPr>
          <w:lang w:val="en-US"/>
        </w:rPr>
        <w:t xml:space="preserve"> </w:t>
      </w:r>
      <w:r w:rsidRPr="00427F27">
        <w:rPr>
          <w:lang w:val="en-US"/>
        </w:rPr>
        <w:t>and men and that conditions for both women and men to be agents of mitigation, adaptation, resilience</w:t>
      </w:r>
      <w:r>
        <w:rPr>
          <w:lang w:val="en-US"/>
        </w:rPr>
        <w:t xml:space="preserve"> </w:t>
      </w:r>
      <w:r w:rsidRPr="00427F27">
        <w:rPr>
          <w:lang w:val="en-US"/>
        </w:rPr>
        <w:t>and sustainability are equally enabled. IOC will continue monitoring the gender equality situation in</w:t>
      </w:r>
      <w:r>
        <w:rPr>
          <w:lang w:val="en-US"/>
        </w:rPr>
        <w:t xml:space="preserve"> </w:t>
      </w:r>
      <w:r w:rsidRPr="00427F27">
        <w:rPr>
          <w:lang w:val="en-US"/>
        </w:rPr>
        <w:t>ocean sciences. The Global Ocean Science Report portal will be receiving and making available to users</w:t>
      </w:r>
      <w:r>
        <w:rPr>
          <w:lang w:val="en-US"/>
        </w:rPr>
        <w:t xml:space="preserve"> </w:t>
      </w:r>
      <w:r w:rsidRPr="00427F27">
        <w:rPr>
          <w:lang w:val="en-US"/>
        </w:rPr>
        <w:t>key gender-disaggregated data, guiding investments and capacity development efforts. The Commission</w:t>
      </w:r>
      <w:r>
        <w:rPr>
          <w:lang w:val="en-US"/>
        </w:rPr>
        <w:t xml:space="preserve"> </w:t>
      </w:r>
      <w:r w:rsidRPr="00427F27">
        <w:rPr>
          <w:lang w:val="en-US"/>
        </w:rPr>
        <w:t xml:space="preserve">will also support the establishment of networks of early career </w:t>
      </w:r>
      <w:r w:rsidRPr="00427F27">
        <w:rPr>
          <w:lang w:val="en-US"/>
        </w:rPr>
        <w:lastRenderedPageBreak/>
        <w:t>professionals and will aim to support their</w:t>
      </w:r>
      <w:r>
        <w:rPr>
          <w:lang w:val="en-US"/>
        </w:rPr>
        <w:t xml:space="preserve"> </w:t>
      </w:r>
      <w:r w:rsidRPr="00427F27">
        <w:rPr>
          <w:lang w:val="en-US"/>
        </w:rPr>
        <w:t>professional development, and their equitable and gender-balanced engagement in ocean affairs.</w:t>
      </w:r>
    </w:p>
    <w:p w14:paraId="5B81B92C" w14:textId="4F6488F1" w:rsidR="00427F27" w:rsidRPr="00427F27" w:rsidRDefault="00427F27" w:rsidP="00427F27">
      <w:pPr>
        <w:pStyle w:val="Marge"/>
        <w:tabs>
          <w:tab w:val="clear" w:pos="567"/>
          <w:tab w:val="left" w:pos="1162"/>
        </w:tabs>
        <w:spacing w:line="240" w:lineRule="auto"/>
        <w:rPr>
          <w:b/>
          <w:bCs/>
          <w:i/>
          <w:iCs/>
          <w:lang w:val="en-US"/>
        </w:rPr>
      </w:pPr>
      <w:r w:rsidRPr="00427F27">
        <w:rPr>
          <w:b/>
          <w:bCs/>
          <w:i/>
          <w:iCs/>
          <w:lang w:val="en-US"/>
        </w:rPr>
        <w:t>Priority Groups</w:t>
      </w:r>
    </w:p>
    <w:p w14:paraId="32EEEAF6" w14:textId="1410313A" w:rsidR="00427F27" w:rsidRDefault="00427F27" w:rsidP="00427F27">
      <w:pPr>
        <w:pStyle w:val="Marge"/>
        <w:tabs>
          <w:tab w:val="clear" w:pos="567"/>
          <w:tab w:val="left" w:pos="1162"/>
        </w:tabs>
        <w:spacing w:line="240" w:lineRule="auto"/>
        <w:rPr>
          <w:lang w:val="en-US"/>
        </w:rPr>
      </w:pPr>
      <w:r w:rsidRPr="00A1295C">
        <w:rPr>
          <w:iCs/>
          <w:bdr w:val="single" w:sz="4" w:space="0" w:color="auto"/>
          <w:lang w:val="en-US"/>
        </w:rPr>
        <w:t>03013</w:t>
      </w:r>
      <w:r>
        <w:rPr>
          <w:lang w:val="en-US"/>
        </w:rPr>
        <w:tab/>
      </w:r>
      <w:r w:rsidRPr="00427F27">
        <w:rPr>
          <w:lang w:val="en-US"/>
        </w:rPr>
        <w:t>Guided by the SIDS Accelerated Modalities of Action (SAMOA) Pathway and the UNESCO SIDS Action</w:t>
      </w:r>
      <w:r>
        <w:rPr>
          <w:lang w:val="en-US"/>
        </w:rPr>
        <w:t xml:space="preserve"> </w:t>
      </w:r>
      <w:r w:rsidRPr="00427F27">
        <w:rPr>
          <w:lang w:val="en-US"/>
        </w:rPr>
        <w:t>Plan, in increased dialogue with SIDS, taking into account the recent IOC survey on capacity development</w:t>
      </w:r>
      <w:r>
        <w:rPr>
          <w:lang w:val="en-US"/>
        </w:rPr>
        <w:t xml:space="preserve"> </w:t>
      </w:r>
      <w:r w:rsidRPr="00427F27">
        <w:rPr>
          <w:lang w:val="en-US"/>
        </w:rPr>
        <w:t>requirements, which depicted specific interests of island nations, IOC will act as a strong supporter</w:t>
      </w:r>
      <w:r>
        <w:rPr>
          <w:lang w:val="en-US"/>
        </w:rPr>
        <w:t xml:space="preserve"> </w:t>
      </w:r>
      <w:r w:rsidRPr="00427F27">
        <w:rPr>
          <w:lang w:val="en-US"/>
        </w:rPr>
        <w:t>of SIDS. It will continue its tsunami warning services focusing particularly on countries’ preparedness</w:t>
      </w:r>
      <w:r>
        <w:rPr>
          <w:lang w:val="en-US"/>
        </w:rPr>
        <w:t xml:space="preserve"> </w:t>
      </w:r>
      <w:r w:rsidRPr="00427F27">
        <w:rPr>
          <w:lang w:val="en-US"/>
        </w:rPr>
        <w:t xml:space="preserve">through the IOC Tsunami Ready pilot </w:t>
      </w:r>
      <w:proofErr w:type="spellStart"/>
      <w:r w:rsidRPr="00427F27">
        <w:rPr>
          <w:lang w:val="en-US"/>
        </w:rPr>
        <w:t>programme</w:t>
      </w:r>
      <w:proofErr w:type="spellEnd"/>
      <w:r w:rsidRPr="00427F27">
        <w:rPr>
          <w:lang w:val="en-US"/>
        </w:rPr>
        <w:t>. The IOC co-sponsored World Climate Research</w:t>
      </w:r>
      <w:r>
        <w:rPr>
          <w:lang w:val="en-US"/>
        </w:rPr>
        <w:t xml:space="preserve"> </w:t>
      </w:r>
      <w:proofErr w:type="spellStart"/>
      <w:r w:rsidRPr="00427F27">
        <w:rPr>
          <w:lang w:val="en-US"/>
        </w:rPr>
        <w:t>Programme</w:t>
      </w:r>
      <w:proofErr w:type="spellEnd"/>
      <w:r w:rsidRPr="00427F27">
        <w:rPr>
          <w:lang w:val="en-US"/>
        </w:rPr>
        <w:t xml:space="preserve"> will help SIDS to address the consequences of sea-level rise and its regional variations.</w:t>
      </w:r>
      <w:r>
        <w:rPr>
          <w:lang w:val="en-US"/>
        </w:rPr>
        <w:t xml:space="preserve"> </w:t>
      </w:r>
      <w:r w:rsidRPr="00427F27">
        <w:rPr>
          <w:lang w:val="en-US"/>
        </w:rPr>
        <w:t>Training in ocean affairs will be expanded and will start for the first time in the Pacific, focusing on</w:t>
      </w:r>
      <w:r>
        <w:rPr>
          <w:lang w:val="en-US"/>
        </w:rPr>
        <w:t xml:space="preserve"> </w:t>
      </w:r>
      <w:r w:rsidRPr="00427F27">
        <w:rPr>
          <w:lang w:val="en-US"/>
        </w:rPr>
        <w:t>development of marine scientific and technological capacity of SIDS and on enhancing cooperation</w:t>
      </w:r>
      <w:r>
        <w:rPr>
          <w:lang w:val="en-US"/>
        </w:rPr>
        <w:t xml:space="preserve"> </w:t>
      </w:r>
      <w:r w:rsidRPr="00427F27">
        <w:rPr>
          <w:lang w:val="en-US"/>
        </w:rPr>
        <w:t>to manage all aspects of the health of the ocean including impacts of ocean acidification and invasive</w:t>
      </w:r>
      <w:r>
        <w:rPr>
          <w:lang w:val="en-US"/>
        </w:rPr>
        <w:t xml:space="preserve"> </w:t>
      </w:r>
      <w:r w:rsidRPr="00427F27">
        <w:rPr>
          <w:lang w:val="en-US"/>
        </w:rPr>
        <w:t>species. Caribbean SIDS will be assisted through the development of Sargassum watch and its services.</w:t>
      </w:r>
      <w:r>
        <w:rPr>
          <w:lang w:val="en-US"/>
        </w:rPr>
        <w:t xml:space="preserve"> </w:t>
      </w:r>
      <w:r w:rsidRPr="00427F27">
        <w:rPr>
          <w:lang w:val="en-US"/>
        </w:rPr>
        <w:t>Special attention will be required to identify a variety of focal/contact points in SIDS to ensure and</w:t>
      </w:r>
      <w:r>
        <w:rPr>
          <w:lang w:val="en-US"/>
        </w:rPr>
        <w:t xml:space="preserve"> </w:t>
      </w:r>
      <w:r w:rsidRPr="00427F27">
        <w:rPr>
          <w:lang w:val="en-US"/>
        </w:rPr>
        <w:t xml:space="preserve">facilitate their active participation in IOC </w:t>
      </w:r>
      <w:proofErr w:type="spellStart"/>
      <w:r w:rsidRPr="00427F27">
        <w:rPr>
          <w:lang w:val="en-US"/>
        </w:rPr>
        <w:t>programme</w:t>
      </w:r>
      <w:proofErr w:type="spellEnd"/>
      <w:r w:rsidRPr="00427F27">
        <w:rPr>
          <w:lang w:val="en-US"/>
        </w:rPr>
        <w:t xml:space="preserve"> and capacity development activities.</w:t>
      </w:r>
      <w:r>
        <w:rPr>
          <w:lang w:val="en-US"/>
        </w:rPr>
        <w:t xml:space="preserve"> </w:t>
      </w:r>
    </w:p>
    <w:p w14:paraId="70C0F61B" w14:textId="4BCCEDB9" w:rsidR="00427F27" w:rsidRDefault="00427F27" w:rsidP="009D0EB6">
      <w:pPr>
        <w:pStyle w:val="Marge"/>
        <w:tabs>
          <w:tab w:val="clear" w:pos="567"/>
          <w:tab w:val="left" w:pos="1162"/>
        </w:tabs>
        <w:spacing w:line="240" w:lineRule="auto"/>
        <w:rPr>
          <w:lang w:val="en-US"/>
        </w:rPr>
      </w:pPr>
      <w:r w:rsidRPr="00A1295C">
        <w:rPr>
          <w:iCs/>
          <w:bdr w:val="single" w:sz="4" w:space="0" w:color="auto"/>
          <w:lang w:val="en-US"/>
        </w:rPr>
        <w:t>03014</w:t>
      </w:r>
      <w:r>
        <w:rPr>
          <w:lang w:val="en-US"/>
        </w:rPr>
        <w:tab/>
      </w:r>
      <w:r w:rsidRPr="00427F27">
        <w:rPr>
          <w:lang w:val="en-US"/>
        </w:rPr>
        <w:t>The Commission will continue to reinforce its convening power by engaging with an increased range</w:t>
      </w:r>
      <w:r>
        <w:rPr>
          <w:lang w:val="en-US"/>
        </w:rPr>
        <w:t xml:space="preserve"> </w:t>
      </w:r>
      <w:r w:rsidRPr="00427F27">
        <w:rPr>
          <w:lang w:val="en-US"/>
        </w:rPr>
        <w:t>of national, regional and international stakeholders, cutting across the scientific communities, governments,</w:t>
      </w:r>
      <w:r w:rsidR="009D0EB6">
        <w:rPr>
          <w:lang w:val="en-US"/>
        </w:rPr>
        <w:t xml:space="preserve"> </w:t>
      </w:r>
      <w:r w:rsidRPr="00427F27">
        <w:rPr>
          <w:lang w:val="en-US"/>
        </w:rPr>
        <w:t>industries and civil society organizations working in ocean research, operational services,</w:t>
      </w:r>
      <w:r w:rsidR="009D0EB6">
        <w:rPr>
          <w:lang w:val="en-US"/>
        </w:rPr>
        <w:t xml:space="preserve"> </w:t>
      </w:r>
      <w:r w:rsidRPr="00427F27">
        <w:rPr>
          <w:lang w:val="en-US"/>
        </w:rPr>
        <w:t>the science-policy-society interface, technology and innovation, education, and science funding with</w:t>
      </w:r>
      <w:r w:rsidR="009D0EB6">
        <w:rPr>
          <w:lang w:val="en-US"/>
        </w:rPr>
        <w:t xml:space="preserve"> </w:t>
      </w:r>
      <w:r w:rsidRPr="00427F27">
        <w:rPr>
          <w:lang w:val="en-US"/>
        </w:rPr>
        <w:t>a view to further advance the generation of knowledge, data and information to inform the design</w:t>
      </w:r>
      <w:r w:rsidR="009D0EB6">
        <w:rPr>
          <w:lang w:val="en-US"/>
        </w:rPr>
        <w:t xml:space="preserve"> </w:t>
      </w:r>
      <w:r w:rsidRPr="00427F27">
        <w:rPr>
          <w:lang w:val="en-US"/>
        </w:rPr>
        <w:t>of effective actions. The Decade will provide an additional pillar to achieve these goals through new</w:t>
      </w:r>
      <w:r w:rsidR="009D0EB6">
        <w:rPr>
          <w:lang w:val="en-US"/>
        </w:rPr>
        <w:t xml:space="preserve"> </w:t>
      </w:r>
      <w:r w:rsidRPr="00427F27">
        <w:rPr>
          <w:lang w:val="en-US"/>
        </w:rPr>
        <w:t>innovative partnerships. Partnerships towards capacity development, ocean planning tools, transdisciplinary</w:t>
      </w:r>
      <w:r w:rsidR="009D0EB6">
        <w:rPr>
          <w:lang w:val="en-US"/>
        </w:rPr>
        <w:t xml:space="preserve"> </w:t>
      </w:r>
      <w:r w:rsidRPr="00427F27">
        <w:rPr>
          <w:lang w:val="en-US"/>
        </w:rPr>
        <w:t>and multi-stakeholder initiatives in ocean science, observation, data and information will</w:t>
      </w:r>
      <w:r w:rsidR="009D0EB6">
        <w:rPr>
          <w:lang w:val="en-US"/>
        </w:rPr>
        <w:t xml:space="preserve"> </w:t>
      </w:r>
      <w:r w:rsidRPr="00427F27">
        <w:rPr>
          <w:lang w:val="en-US"/>
        </w:rPr>
        <w:t>contribute to an enabling environment for engaging practitioners, decision-makers, and the private</w:t>
      </w:r>
      <w:r w:rsidR="009D0EB6">
        <w:rPr>
          <w:lang w:val="en-US"/>
        </w:rPr>
        <w:t xml:space="preserve"> </w:t>
      </w:r>
      <w:r w:rsidRPr="00427F27">
        <w:rPr>
          <w:lang w:val="en-US"/>
        </w:rPr>
        <w:t>sector in the development and use of science-based solutions. The continued engagement of Member</w:t>
      </w:r>
      <w:r w:rsidR="009D0EB6">
        <w:rPr>
          <w:lang w:val="en-US"/>
        </w:rPr>
        <w:t xml:space="preserve"> </w:t>
      </w:r>
      <w:r w:rsidRPr="00427F27">
        <w:rPr>
          <w:lang w:val="en-US"/>
        </w:rPr>
        <w:t>States through existing IOC and Ocean Decade coordinating frameworks will be pursued, broadening</w:t>
      </w:r>
      <w:r w:rsidR="009D0EB6">
        <w:rPr>
          <w:lang w:val="en-US"/>
        </w:rPr>
        <w:t xml:space="preserve"> </w:t>
      </w:r>
      <w:r w:rsidRPr="00427F27">
        <w:rPr>
          <w:lang w:val="en-US"/>
        </w:rPr>
        <w:t>the traditional technical and scientific remit, and highlighting the socio-economic value of IOC’</w:t>
      </w:r>
      <w:r w:rsidR="009D0EB6">
        <w:rPr>
          <w:lang w:val="en-US"/>
        </w:rPr>
        <w:t xml:space="preserve"> </w:t>
      </w:r>
      <w:r w:rsidR="009D0EB6" w:rsidRPr="009D0EB6">
        <w:rPr>
          <w:lang w:val="en-US"/>
        </w:rPr>
        <w:t>work to national ocean stakeholders. New forms of cooperation and, potentially, stronger formal links</w:t>
      </w:r>
      <w:r w:rsidR="009D0EB6">
        <w:rPr>
          <w:lang w:val="en-US"/>
        </w:rPr>
        <w:t xml:space="preserve"> </w:t>
      </w:r>
      <w:r w:rsidR="009D0EB6" w:rsidRPr="009D0EB6">
        <w:rPr>
          <w:lang w:val="en-US"/>
        </w:rPr>
        <w:t>of IOC with other UN organizations will be explored based on the understanding that ocean science</w:t>
      </w:r>
      <w:r w:rsidR="009D0EB6">
        <w:rPr>
          <w:lang w:val="en-US"/>
        </w:rPr>
        <w:t xml:space="preserve"> </w:t>
      </w:r>
      <w:r w:rsidR="009D0EB6" w:rsidRPr="009D0EB6">
        <w:rPr>
          <w:lang w:val="en-US"/>
        </w:rPr>
        <w:t>represents a cross-cutting, underpinning necessity for fulfilling mandates of other sister agencies.</w:t>
      </w:r>
      <w:r w:rsidR="009D0EB6">
        <w:rPr>
          <w:lang w:val="en-US"/>
        </w:rPr>
        <w:t xml:space="preserve"> </w:t>
      </w:r>
    </w:p>
    <w:p w14:paraId="7ACA7903" w14:textId="6A9F73AC" w:rsidR="00427F27" w:rsidRPr="009D0EB6" w:rsidRDefault="009D0EB6" w:rsidP="009D0EB6">
      <w:pPr>
        <w:pStyle w:val="ListParagraph"/>
        <w:widowControl/>
        <w:numPr>
          <w:ilvl w:val="0"/>
          <w:numId w:val="34"/>
        </w:numPr>
        <w:pBdr>
          <w:bottom w:val="single" w:sz="4" w:space="1" w:color="auto"/>
        </w:pBdr>
        <w:tabs>
          <w:tab w:val="clear" w:pos="567"/>
        </w:tabs>
        <w:autoSpaceDE w:val="0"/>
        <w:autoSpaceDN w:val="0"/>
        <w:snapToGrid/>
        <w:spacing w:line="240" w:lineRule="auto"/>
        <w:ind w:left="709"/>
        <w:jc w:val="left"/>
        <w:textAlignment w:val="auto"/>
        <w:rPr>
          <w:rFonts w:cs="Arial"/>
          <w:sz w:val="24"/>
          <w:lang w:val="en-US"/>
        </w:rPr>
      </w:pPr>
      <w:r w:rsidRPr="009D0EB6">
        <w:rPr>
          <w:rFonts w:cs="Arial"/>
          <w:b/>
          <w:bCs/>
          <w:snapToGrid/>
          <w:sz w:val="24"/>
          <w:lang w:eastAsia="zh-CN"/>
        </w:rPr>
        <w:t>Intergovernmental Oceanographic Commission: Focus in 2022-2025</w:t>
      </w:r>
    </w:p>
    <w:p w14:paraId="3D15DFB7" w14:textId="4C7D45D1" w:rsidR="009D0EB6" w:rsidRDefault="009D0EB6" w:rsidP="009D0EB6">
      <w:pPr>
        <w:widowControl/>
        <w:tabs>
          <w:tab w:val="clear" w:pos="567"/>
          <w:tab w:val="left" w:pos="1162"/>
        </w:tabs>
        <w:autoSpaceDE w:val="0"/>
        <w:autoSpaceDN w:val="0"/>
        <w:snapToGrid/>
        <w:spacing w:line="240" w:lineRule="auto"/>
        <w:jc w:val="left"/>
        <w:textAlignment w:val="auto"/>
        <w:rPr>
          <w:rFonts w:cs="Arial"/>
          <w:szCs w:val="22"/>
          <w:lang w:val="en-US"/>
        </w:rPr>
      </w:pPr>
    </w:p>
    <w:p w14:paraId="45F87CAC" w14:textId="77777777" w:rsidR="009D0EB6" w:rsidRPr="009D0EB6"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lang w:eastAsia="zh-CN"/>
        </w:rPr>
      </w:pPr>
      <w:r w:rsidRPr="009D0EB6">
        <w:rPr>
          <w:rFonts w:ascii="MyriadPro-Bold" w:hAnsi="MyriadPro-Bold" w:cs="MyriadPro-Bold"/>
          <w:b/>
          <w:bCs/>
          <w:snapToGrid/>
          <w:color w:val="365F91" w:themeColor="accent1" w:themeShade="BF"/>
          <w:sz w:val="24"/>
          <w:lang w:eastAsia="zh-CN"/>
        </w:rPr>
        <w:t>OUTCOME 3</w:t>
      </w:r>
    </w:p>
    <w:p w14:paraId="68D3A042" w14:textId="77777777" w:rsidR="009D0EB6" w:rsidRPr="009D0EB6"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lang w:eastAsia="zh-CN"/>
        </w:rPr>
      </w:pPr>
      <w:r w:rsidRPr="009D0EB6">
        <w:rPr>
          <w:rFonts w:ascii="MyriadPro-Bold" w:hAnsi="MyriadPro-Bold" w:cs="MyriadPro-Bold"/>
          <w:b/>
          <w:bCs/>
          <w:snapToGrid/>
          <w:color w:val="365F91" w:themeColor="accent1" w:themeShade="BF"/>
          <w:sz w:val="24"/>
          <w:lang w:eastAsia="zh-CN"/>
        </w:rPr>
        <w:t>Enhance knowledge for climate action, biodiversity, water and ocean management,</w:t>
      </w:r>
    </w:p>
    <w:p w14:paraId="7CEC351E" w14:textId="19B7F2A6" w:rsidR="009D0EB6" w:rsidRDefault="009D0EB6" w:rsidP="009D0EB6">
      <w:pPr>
        <w:widowControl/>
        <w:tabs>
          <w:tab w:val="clear" w:pos="567"/>
          <w:tab w:val="left" w:pos="1162"/>
        </w:tabs>
        <w:autoSpaceDE w:val="0"/>
        <w:autoSpaceDN w:val="0"/>
        <w:snapToGrid/>
        <w:spacing w:line="240" w:lineRule="auto"/>
        <w:jc w:val="left"/>
        <w:textAlignment w:val="auto"/>
        <w:rPr>
          <w:rFonts w:cs="Arial"/>
          <w:szCs w:val="22"/>
          <w:lang w:val="en-US"/>
        </w:rPr>
      </w:pPr>
      <w:r w:rsidRPr="009D0EB6">
        <w:rPr>
          <w:rFonts w:ascii="MyriadPro-Bold" w:hAnsi="MyriadPro-Bold" w:cs="MyriadPro-Bold"/>
          <w:b/>
          <w:bCs/>
          <w:snapToGrid/>
          <w:color w:val="365F91" w:themeColor="accent1" w:themeShade="BF"/>
          <w:sz w:val="24"/>
          <w:lang w:eastAsia="zh-CN"/>
        </w:rPr>
        <w:t>and disaster risk reduction</w:t>
      </w:r>
    </w:p>
    <w:p w14:paraId="0E5AC5EC" w14:textId="1BB37C1D" w:rsidR="009D0EB6" w:rsidRDefault="009D0EB6" w:rsidP="009D0EB6">
      <w:pPr>
        <w:widowControl/>
        <w:tabs>
          <w:tab w:val="clear" w:pos="567"/>
          <w:tab w:val="left" w:pos="1162"/>
        </w:tabs>
        <w:autoSpaceDE w:val="0"/>
        <w:autoSpaceDN w:val="0"/>
        <w:snapToGrid/>
        <w:spacing w:line="240" w:lineRule="auto"/>
        <w:jc w:val="left"/>
        <w:textAlignment w:val="auto"/>
        <w:rPr>
          <w:rFonts w:cs="Arial"/>
          <w:szCs w:val="22"/>
          <w:lang w:val="en-US"/>
        </w:rPr>
      </w:pPr>
    </w:p>
    <w:p w14:paraId="4FAD23D9" w14:textId="723892F5" w:rsidR="009D0EB6" w:rsidRPr="00A1295C"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szCs w:val="22"/>
          <w:lang w:eastAsia="zh-CN"/>
        </w:rPr>
      </w:pPr>
      <w:r w:rsidRPr="00A1295C">
        <w:rPr>
          <w:rFonts w:ascii="MyriadPro-Bold" w:hAnsi="MyriadPro-Bold" w:cs="MyriadPro-Bold"/>
          <w:b/>
          <w:bCs/>
          <w:snapToGrid/>
          <w:szCs w:val="22"/>
          <w:lang w:eastAsia="zh-CN"/>
        </w:rPr>
        <w:t>OUTPUT 3.IOC1 Member States critically supported in strengthening their capacity to conduct marine scientific research, generate knowledge, and develop and implement science-based tools, services, and policies in order to reverse the decline in ocean health and accelerate the transition towards sustainable management of ocean-related risks and opportunities</w:t>
      </w:r>
      <w:r w:rsidRPr="00A1295C">
        <w:rPr>
          <w:rStyle w:val="FootnoteReference"/>
          <w:rFonts w:ascii="MyriadPro-Bold" w:hAnsi="MyriadPro-Bold" w:cs="MyriadPro-Bold"/>
          <w:b/>
          <w:bCs/>
          <w:snapToGrid/>
          <w:szCs w:val="22"/>
          <w:lang w:eastAsia="zh-CN"/>
        </w:rPr>
        <w:footnoteReference w:id="2"/>
      </w:r>
    </w:p>
    <w:p w14:paraId="7F6AAE2C" w14:textId="3AA8D7C7" w:rsidR="009D0EB6"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lang w:eastAsia="zh-CN"/>
        </w:rPr>
      </w:pPr>
    </w:p>
    <w:p w14:paraId="35FC8D09" w14:textId="784DEEA2" w:rsidR="009D0EB6" w:rsidRPr="009D0EB6" w:rsidRDefault="009D0EB6" w:rsidP="009D0EB6">
      <w:pPr>
        <w:pStyle w:val="Marge"/>
        <w:tabs>
          <w:tab w:val="clear" w:pos="567"/>
          <w:tab w:val="left" w:pos="1162"/>
        </w:tabs>
        <w:spacing w:after="120" w:line="240" w:lineRule="auto"/>
        <w:rPr>
          <w:lang w:val="en-US"/>
        </w:rPr>
      </w:pPr>
      <w:r w:rsidRPr="00A1295C">
        <w:rPr>
          <w:iCs/>
          <w:bdr w:val="single" w:sz="4" w:space="0" w:color="auto"/>
          <w:lang w:val="en-US"/>
        </w:rPr>
        <w:t>03015</w:t>
      </w:r>
      <w:r>
        <w:rPr>
          <w:lang w:val="en-US"/>
        </w:rPr>
        <w:tab/>
      </w:r>
      <w:r w:rsidRPr="009D0EB6">
        <w:rPr>
          <w:lang w:val="en-US"/>
        </w:rPr>
        <w:t>The IOC draft Medium-Term Strategy 2022-2029 has the vision ‘to bring together governments and</w:t>
      </w:r>
      <w:r>
        <w:rPr>
          <w:lang w:val="en-US"/>
        </w:rPr>
        <w:t xml:space="preserve"> </w:t>
      </w:r>
      <w:r w:rsidRPr="009D0EB6">
        <w:rPr>
          <w:lang w:val="en-US"/>
        </w:rPr>
        <w:t>the science community in achieving the Ocean We Need for the Future We Want’. Through international</w:t>
      </w:r>
      <w:r>
        <w:rPr>
          <w:lang w:val="en-US"/>
        </w:rPr>
        <w:t xml:space="preserve"> </w:t>
      </w:r>
      <w:r w:rsidRPr="009D0EB6">
        <w:rPr>
          <w:lang w:val="en-US"/>
        </w:rPr>
        <w:t>cooperation, IOC aspires to build and apply scientific knowledge for achieving the following</w:t>
      </w:r>
      <w:r>
        <w:rPr>
          <w:lang w:val="en-US"/>
        </w:rPr>
        <w:t xml:space="preserve"> </w:t>
      </w:r>
      <w:r w:rsidRPr="009D0EB6">
        <w:rPr>
          <w:lang w:val="en-US"/>
        </w:rPr>
        <w:t>High-Level Objectives (HLOs), with particular attention to ensuring that all Member States have the</w:t>
      </w:r>
      <w:r>
        <w:rPr>
          <w:lang w:val="en-US"/>
        </w:rPr>
        <w:t xml:space="preserve"> </w:t>
      </w:r>
      <w:r w:rsidRPr="009D0EB6">
        <w:rPr>
          <w:lang w:val="en-US"/>
        </w:rPr>
        <w:t>capacity to meet them:</w:t>
      </w:r>
    </w:p>
    <w:p w14:paraId="34BB73AD" w14:textId="77777777" w:rsidR="009D0EB6" w:rsidRPr="009D0EB6" w:rsidRDefault="009D0EB6" w:rsidP="009D0EB6">
      <w:pPr>
        <w:pStyle w:val="Marge"/>
        <w:tabs>
          <w:tab w:val="clear" w:pos="567"/>
          <w:tab w:val="left" w:pos="1162"/>
        </w:tabs>
        <w:spacing w:after="120" w:line="240" w:lineRule="auto"/>
        <w:rPr>
          <w:lang w:val="en-US"/>
        </w:rPr>
      </w:pPr>
      <w:r w:rsidRPr="009D0EB6">
        <w:rPr>
          <w:lang w:val="en-US"/>
        </w:rPr>
        <w:lastRenderedPageBreak/>
        <w:t xml:space="preserve">1. Healthy ocean and sustained ocean ecosystem </w:t>
      </w:r>
      <w:proofErr w:type="gramStart"/>
      <w:r w:rsidRPr="009D0EB6">
        <w:rPr>
          <w:lang w:val="en-US"/>
        </w:rPr>
        <w:t>services;</w:t>
      </w:r>
      <w:proofErr w:type="gramEnd"/>
    </w:p>
    <w:p w14:paraId="165192C9" w14:textId="77777777" w:rsidR="009D0EB6" w:rsidRPr="009D0EB6" w:rsidRDefault="009D0EB6" w:rsidP="009D0EB6">
      <w:pPr>
        <w:pStyle w:val="Marge"/>
        <w:tabs>
          <w:tab w:val="clear" w:pos="567"/>
          <w:tab w:val="left" w:pos="1162"/>
        </w:tabs>
        <w:spacing w:after="120" w:line="240" w:lineRule="auto"/>
        <w:rPr>
          <w:lang w:val="en-US"/>
        </w:rPr>
      </w:pPr>
      <w:r w:rsidRPr="009D0EB6">
        <w:rPr>
          <w:lang w:val="en-US"/>
        </w:rPr>
        <w:t>2. Effective warning systems and preparedness for tsunamis and other ocean-related hazards;</w:t>
      </w:r>
    </w:p>
    <w:p w14:paraId="5278E1D0" w14:textId="77777777" w:rsidR="009D0EB6" w:rsidRPr="009D0EB6" w:rsidRDefault="009D0EB6" w:rsidP="009D0EB6">
      <w:pPr>
        <w:pStyle w:val="Marge"/>
        <w:tabs>
          <w:tab w:val="clear" w:pos="567"/>
          <w:tab w:val="left" w:pos="1162"/>
        </w:tabs>
        <w:spacing w:after="120" w:line="240" w:lineRule="auto"/>
        <w:rPr>
          <w:lang w:val="en-US"/>
        </w:rPr>
      </w:pPr>
      <w:r w:rsidRPr="009D0EB6">
        <w:rPr>
          <w:lang w:val="en-US"/>
        </w:rPr>
        <w:t>3. Resilience to climate change and contribution to its mitigation;</w:t>
      </w:r>
    </w:p>
    <w:p w14:paraId="027BDCA1" w14:textId="77777777" w:rsidR="009D0EB6" w:rsidRPr="009D0EB6" w:rsidRDefault="009D0EB6" w:rsidP="009D0EB6">
      <w:pPr>
        <w:pStyle w:val="Marge"/>
        <w:tabs>
          <w:tab w:val="clear" w:pos="567"/>
          <w:tab w:val="left" w:pos="1162"/>
        </w:tabs>
        <w:spacing w:after="120" w:line="240" w:lineRule="auto"/>
        <w:rPr>
          <w:lang w:val="en-US"/>
        </w:rPr>
      </w:pPr>
      <w:r w:rsidRPr="009D0EB6">
        <w:rPr>
          <w:lang w:val="en-US"/>
        </w:rPr>
        <w:t>4. Scientifically-founded services for the sustainable ocean economy; and</w:t>
      </w:r>
    </w:p>
    <w:p w14:paraId="7A6AC8A1" w14:textId="64CBCDD3" w:rsidR="009D0EB6" w:rsidRDefault="009D0EB6" w:rsidP="009D0EB6">
      <w:pPr>
        <w:pStyle w:val="Marge"/>
        <w:tabs>
          <w:tab w:val="clear" w:pos="567"/>
          <w:tab w:val="left" w:pos="1162"/>
        </w:tabs>
        <w:spacing w:line="240" w:lineRule="auto"/>
        <w:rPr>
          <w:lang w:val="en-US"/>
        </w:rPr>
      </w:pPr>
      <w:r w:rsidRPr="009D0EB6">
        <w:rPr>
          <w:lang w:val="en-US"/>
        </w:rPr>
        <w:t>5. Foresight on emerging ocean science issues.</w:t>
      </w:r>
    </w:p>
    <w:p w14:paraId="001118D9" w14:textId="4D91BE79" w:rsidR="009D0EB6" w:rsidRPr="009D0EB6" w:rsidRDefault="009D0EB6" w:rsidP="009D0EB6">
      <w:pPr>
        <w:pStyle w:val="Marge"/>
        <w:tabs>
          <w:tab w:val="clear" w:pos="567"/>
          <w:tab w:val="left" w:pos="1162"/>
        </w:tabs>
        <w:spacing w:line="240" w:lineRule="auto"/>
        <w:rPr>
          <w:b/>
          <w:bCs/>
          <w:i/>
          <w:iCs/>
          <w:lang w:val="en-US"/>
        </w:rPr>
      </w:pPr>
      <w:r w:rsidRPr="009D0EB6">
        <w:rPr>
          <w:b/>
          <w:bCs/>
          <w:i/>
          <w:iCs/>
          <w:lang w:val="en-US"/>
        </w:rPr>
        <w:t>Objective 1</w:t>
      </w:r>
      <w:r>
        <w:rPr>
          <w:b/>
          <w:bCs/>
          <w:i/>
          <w:iCs/>
          <w:lang w:val="en-US"/>
        </w:rPr>
        <w:t xml:space="preserve"> –</w:t>
      </w:r>
      <w:r w:rsidRPr="009D0EB6">
        <w:rPr>
          <w:b/>
          <w:bCs/>
          <w:i/>
          <w:iCs/>
          <w:lang w:val="en-US"/>
        </w:rPr>
        <w:t xml:space="preserve"> Healthy ocean and sustained ocean ecosystem services</w:t>
      </w:r>
    </w:p>
    <w:p w14:paraId="453BF566" w14:textId="1DC722C7" w:rsidR="009D0EB6" w:rsidRDefault="009D0EB6" w:rsidP="009D0EB6">
      <w:pPr>
        <w:pStyle w:val="Marge"/>
        <w:tabs>
          <w:tab w:val="clear" w:pos="567"/>
          <w:tab w:val="left" w:pos="1162"/>
        </w:tabs>
        <w:spacing w:line="240" w:lineRule="auto"/>
        <w:rPr>
          <w:lang w:val="en-US"/>
        </w:rPr>
      </w:pPr>
      <w:r w:rsidRPr="00A1295C">
        <w:rPr>
          <w:iCs/>
          <w:bdr w:val="single" w:sz="4" w:space="0" w:color="auto"/>
          <w:lang w:val="en-US"/>
        </w:rPr>
        <w:t>03016</w:t>
      </w:r>
      <w:r>
        <w:rPr>
          <w:lang w:val="en-US"/>
        </w:rPr>
        <w:tab/>
      </w:r>
      <w:r w:rsidRPr="009D0EB6">
        <w:rPr>
          <w:lang w:val="en-US"/>
        </w:rPr>
        <w:t>Improving scientific understanding of ocean ecosystems, identifying robust indicators of their health,</w:t>
      </w:r>
      <w:r>
        <w:rPr>
          <w:lang w:val="en-US"/>
        </w:rPr>
        <w:t xml:space="preserve"> </w:t>
      </w:r>
      <w:r w:rsidRPr="009D0EB6">
        <w:rPr>
          <w:lang w:val="en-US"/>
        </w:rPr>
        <w:t>and understanding ecosystem vulnerability, e.g. for multi-stressors, are vital for monitoring and predicting</w:t>
      </w:r>
      <w:r>
        <w:rPr>
          <w:lang w:val="en-US"/>
        </w:rPr>
        <w:t xml:space="preserve"> </w:t>
      </w:r>
      <w:r w:rsidRPr="009D0EB6">
        <w:rPr>
          <w:lang w:val="en-US"/>
        </w:rPr>
        <w:t>the ecosystem health and resilience and developing ecosystem-based management, underpinning</w:t>
      </w:r>
      <w:r>
        <w:rPr>
          <w:lang w:val="en-US"/>
        </w:rPr>
        <w:t xml:space="preserve"> </w:t>
      </w:r>
      <w:r w:rsidRPr="009D0EB6">
        <w:rPr>
          <w:lang w:val="en-US"/>
        </w:rPr>
        <w:t>sustainable ocean economy and improved ocean governance. Current ecosystem research and</w:t>
      </w:r>
      <w:r>
        <w:rPr>
          <w:lang w:val="en-US"/>
        </w:rPr>
        <w:t xml:space="preserve"> </w:t>
      </w:r>
      <w:r w:rsidRPr="009D0EB6">
        <w:rPr>
          <w:lang w:val="en-US"/>
        </w:rPr>
        <w:t>management require stronger coordination and cooperation between key stakeholders.</w:t>
      </w:r>
    </w:p>
    <w:p w14:paraId="7B8DFB6A" w14:textId="6DDC4691" w:rsidR="00FA2C9C" w:rsidRPr="00FA2C9C" w:rsidRDefault="00FA2C9C" w:rsidP="00FA2C9C">
      <w:pPr>
        <w:pStyle w:val="Marge"/>
        <w:tabs>
          <w:tab w:val="clear" w:pos="567"/>
          <w:tab w:val="left" w:pos="1162"/>
        </w:tabs>
        <w:spacing w:line="240" w:lineRule="auto"/>
        <w:rPr>
          <w:b/>
          <w:bCs/>
          <w:i/>
          <w:iCs/>
          <w:lang w:val="en-US"/>
        </w:rPr>
      </w:pPr>
      <w:r w:rsidRPr="00FA2C9C">
        <w:rPr>
          <w:b/>
          <w:bCs/>
          <w:i/>
          <w:iCs/>
          <w:lang w:val="en-US"/>
        </w:rPr>
        <w:t xml:space="preserve">Objective 2 </w:t>
      </w:r>
      <w:r>
        <w:rPr>
          <w:b/>
          <w:bCs/>
          <w:i/>
          <w:iCs/>
          <w:lang w:val="en-US"/>
        </w:rPr>
        <w:t xml:space="preserve">– </w:t>
      </w:r>
      <w:r w:rsidRPr="00FA2C9C">
        <w:rPr>
          <w:b/>
          <w:bCs/>
          <w:i/>
          <w:iCs/>
          <w:lang w:val="en-US"/>
        </w:rPr>
        <w:t xml:space="preserve">Effective warning systems and preparedness for tsunamis and other </w:t>
      </w:r>
      <w:proofErr w:type="spellStart"/>
      <w:r w:rsidRPr="00FA2C9C">
        <w:rPr>
          <w:b/>
          <w:bCs/>
          <w:i/>
          <w:iCs/>
          <w:lang w:val="en-US"/>
        </w:rPr>
        <w:t>oceanrelated</w:t>
      </w:r>
      <w:proofErr w:type="spellEnd"/>
      <w:r>
        <w:rPr>
          <w:b/>
          <w:bCs/>
          <w:i/>
          <w:iCs/>
          <w:lang w:val="en-US"/>
        </w:rPr>
        <w:t xml:space="preserve"> </w:t>
      </w:r>
      <w:r w:rsidRPr="00FA2C9C">
        <w:rPr>
          <w:b/>
          <w:bCs/>
          <w:i/>
          <w:iCs/>
          <w:lang w:val="en-US"/>
        </w:rPr>
        <w:t>hazards</w:t>
      </w:r>
    </w:p>
    <w:p w14:paraId="56E75147" w14:textId="3C90FB49" w:rsidR="00FA2C9C" w:rsidRDefault="00FA2C9C" w:rsidP="00FA2C9C">
      <w:pPr>
        <w:pStyle w:val="Marge"/>
        <w:tabs>
          <w:tab w:val="clear" w:pos="567"/>
          <w:tab w:val="left" w:pos="1162"/>
        </w:tabs>
        <w:spacing w:line="240" w:lineRule="auto"/>
        <w:rPr>
          <w:lang w:val="en-US"/>
        </w:rPr>
      </w:pPr>
      <w:r w:rsidRPr="00A1295C">
        <w:rPr>
          <w:iCs/>
          <w:bdr w:val="single" w:sz="4" w:space="0" w:color="auto"/>
          <w:lang w:val="en-US"/>
        </w:rPr>
        <w:t>03017</w:t>
      </w:r>
      <w:r>
        <w:rPr>
          <w:lang w:val="en-US"/>
        </w:rPr>
        <w:tab/>
      </w:r>
      <w:r w:rsidRPr="00FA2C9C">
        <w:rPr>
          <w:lang w:val="en-US"/>
        </w:rPr>
        <w:t>With accelerating coastal development and changing environment, society becomes increasingly</w:t>
      </w:r>
      <w:r>
        <w:rPr>
          <w:lang w:val="en-US"/>
        </w:rPr>
        <w:t xml:space="preserve"> </w:t>
      </w:r>
      <w:r w:rsidRPr="00FA2C9C">
        <w:rPr>
          <w:lang w:val="en-US"/>
        </w:rPr>
        <w:t>vulnerable to coastal hazards such as tsunamis, tropical cyclones, coastal flooding, and harmful</w:t>
      </w:r>
      <w:r>
        <w:rPr>
          <w:lang w:val="en-US"/>
        </w:rPr>
        <w:t xml:space="preserve"> </w:t>
      </w:r>
      <w:r w:rsidRPr="00FA2C9C">
        <w:rPr>
          <w:lang w:val="en-US"/>
        </w:rPr>
        <w:t>algal blooms, to name only a few. Nations should be aware of and prepared for the hazards and have</w:t>
      </w:r>
      <w:r>
        <w:rPr>
          <w:lang w:val="en-US"/>
        </w:rPr>
        <w:t xml:space="preserve"> </w:t>
      </w:r>
      <w:r w:rsidRPr="00FA2C9C">
        <w:rPr>
          <w:lang w:val="en-US"/>
        </w:rPr>
        <w:t>access to the necessary information for coastal adaptation planning, risk mitigation and, as well, for</w:t>
      </w:r>
      <w:r>
        <w:rPr>
          <w:lang w:val="en-US"/>
        </w:rPr>
        <w:t xml:space="preserve"> </w:t>
      </w:r>
      <w:r w:rsidRPr="00FA2C9C">
        <w:rPr>
          <w:lang w:val="en-US"/>
        </w:rPr>
        <w:t>safe operations at sea. This calls for continued implementation of ocean and coastal observing and</w:t>
      </w:r>
      <w:r>
        <w:rPr>
          <w:lang w:val="en-US"/>
        </w:rPr>
        <w:t xml:space="preserve"> </w:t>
      </w:r>
      <w:r w:rsidRPr="00FA2C9C">
        <w:rPr>
          <w:lang w:val="en-US"/>
        </w:rPr>
        <w:t>prediction systems and the development of a suite of local decision-support tools, including early</w:t>
      </w:r>
      <w:r>
        <w:rPr>
          <w:lang w:val="en-US"/>
        </w:rPr>
        <w:t xml:space="preserve"> </w:t>
      </w:r>
      <w:r w:rsidRPr="00FA2C9C">
        <w:rPr>
          <w:lang w:val="en-US"/>
        </w:rPr>
        <w:t>warning systems.</w:t>
      </w:r>
    </w:p>
    <w:p w14:paraId="0BAD0246" w14:textId="5E1E80DA" w:rsidR="009D0EB6" w:rsidRDefault="00FA2C9C" w:rsidP="009D0EB6">
      <w:pPr>
        <w:pStyle w:val="Marge"/>
        <w:tabs>
          <w:tab w:val="clear" w:pos="567"/>
          <w:tab w:val="left" w:pos="1162"/>
        </w:tabs>
        <w:spacing w:line="240" w:lineRule="auto"/>
        <w:rPr>
          <w:b/>
          <w:bCs/>
          <w:i/>
          <w:iCs/>
          <w:lang w:val="en-US"/>
        </w:rPr>
      </w:pPr>
      <w:r w:rsidRPr="00FA2C9C">
        <w:rPr>
          <w:b/>
          <w:bCs/>
          <w:i/>
          <w:iCs/>
          <w:lang w:val="en-US"/>
        </w:rPr>
        <w:t xml:space="preserve">Objective 3 </w:t>
      </w:r>
      <w:r>
        <w:rPr>
          <w:b/>
          <w:bCs/>
          <w:i/>
          <w:iCs/>
          <w:lang w:val="en-US"/>
        </w:rPr>
        <w:t xml:space="preserve">– </w:t>
      </w:r>
      <w:r w:rsidRPr="00FA2C9C">
        <w:rPr>
          <w:b/>
          <w:bCs/>
          <w:i/>
          <w:iCs/>
          <w:lang w:val="en-US"/>
        </w:rPr>
        <w:t>Resilience to climate change and contribution to its mitigation</w:t>
      </w:r>
    </w:p>
    <w:p w14:paraId="5342131F" w14:textId="2EC2F56B" w:rsidR="00FA2C9C" w:rsidRDefault="00FA2C9C" w:rsidP="00FA2C9C">
      <w:pPr>
        <w:pStyle w:val="Marge"/>
        <w:tabs>
          <w:tab w:val="clear" w:pos="567"/>
          <w:tab w:val="left" w:pos="1162"/>
        </w:tabs>
        <w:spacing w:line="240" w:lineRule="auto"/>
        <w:rPr>
          <w:lang w:val="en-US"/>
        </w:rPr>
      </w:pPr>
      <w:r w:rsidRPr="00A1295C">
        <w:rPr>
          <w:iCs/>
          <w:bdr w:val="single" w:sz="4" w:space="0" w:color="auto"/>
          <w:lang w:val="en-US"/>
        </w:rPr>
        <w:t>03018</w:t>
      </w:r>
      <w:r>
        <w:rPr>
          <w:lang w:val="en-US"/>
        </w:rPr>
        <w:tab/>
      </w:r>
      <w:r w:rsidRPr="00FA2C9C">
        <w:rPr>
          <w:lang w:val="en-US"/>
        </w:rPr>
        <w:t>Climate change and variability imply temperature changes, altered intensities and patterns of tropical</w:t>
      </w:r>
      <w:r>
        <w:rPr>
          <w:lang w:val="en-US"/>
        </w:rPr>
        <w:t xml:space="preserve"> </w:t>
      </w:r>
      <w:r w:rsidRPr="00FA2C9C">
        <w:rPr>
          <w:lang w:val="en-US"/>
        </w:rPr>
        <w:t>cyclones, storms, precipitation and droughts, sea-level rise, etc. Carbon emissions lead also to ocean</w:t>
      </w:r>
      <w:r>
        <w:rPr>
          <w:lang w:val="en-US"/>
        </w:rPr>
        <w:t xml:space="preserve"> </w:t>
      </w:r>
      <w:r w:rsidRPr="00FA2C9C">
        <w:rPr>
          <w:lang w:val="en-US"/>
        </w:rPr>
        <w:t>acidification. Combined effects manifest themselves in ocean de-oxygenation, coastal erosion, etc.</w:t>
      </w:r>
      <w:r>
        <w:rPr>
          <w:lang w:val="en-US"/>
        </w:rPr>
        <w:t xml:space="preserve"> </w:t>
      </w:r>
      <w:r w:rsidRPr="00FA2C9C">
        <w:rPr>
          <w:lang w:val="en-US"/>
        </w:rPr>
        <w:t>Many human development goals, such as food security and health, access to water resources, and</w:t>
      </w:r>
      <w:r>
        <w:rPr>
          <w:lang w:val="en-US"/>
        </w:rPr>
        <w:t xml:space="preserve"> </w:t>
      </w:r>
      <w:r w:rsidRPr="00FA2C9C">
        <w:rPr>
          <w:lang w:val="en-US"/>
        </w:rPr>
        <w:t>preparedness for disasters, are threatened by climate change. Ocean is a key regulator of climate.</w:t>
      </w:r>
      <w:r>
        <w:rPr>
          <w:lang w:val="en-US"/>
        </w:rPr>
        <w:t xml:space="preserve"> </w:t>
      </w:r>
      <w:r w:rsidRPr="00FA2C9C">
        <w:rPr>
          <w:lang w:val="en-US"/>
        </w:rPr>
        <w:t>A coordinated global effort is needed therefore to comprehensively include the ocean dimension in</w:t>
      </w:r>
      <w:r>
        <w:rPr>
          <w:lang w:val="en-US"/>
        </w:rPr>
        <w:t xml:space="preserve"> </w:t>
      </w:r>
      <w:r w:rsidRPr="00FA2C9C">
        <w:rPr>
          <w:lang w:val="en-US"/>
        </w:rPr>
        <w:t>our improved capacity to understand and predict climate change, its impacts on the ocean, guiding</w:t>
      </w:r>
      <w:r>
        <w:rPr>
          <w:lang w:val="en-US"/>
        </w:rPr>
        <w:t xml:space="preserve"> </w:t>
      </w:r>
      <w:r w:rsidRPr="00FA2C9C">
        <w:rPr>
          <w:lang w:val="en-US"/>
        </w:rPr>
        <w:t>the development and accelerated implementation of effective adaptation and mitigation strategies.</w:t>
      </w:r>
    </w:p>
    <w:p w14:paraId="084DE91C" w14:textId="5E288A75" w:rsidR="00FA2C9C" w:rsidRDefault="00FA2C9C" w:rsidP="00FA2C9C">
      <w:pPr>
        <w:pStyle w:val="Marge"/>
        <w:tabs>
          <w:tab w:val="clear" w:pos="567"/>
          <w:tab w:val="left" w:pos="1162"/>
        </w:tabs>
        <w:spacing w:line="240" w:lineRule="auto"/>
        <w:rPr>
          <w:b/>
          <w:bCs/>
          <w:i/>
          <w:iCs/>
          <w:lang w:val="en-US"/>
        </w:rPr>
      </w:pPr>
      <w:r w:rsidRPr="00FA2C9C">
        <w:rPr>
          <w:b/>
          <w:bCs/>
          <w:i/>
          <w:iCs/>
          <w:lang w:val="en-US"/>
        </w:rPr>
        <w:t xml:space="preserve">Objective 4 </w:t>
      </w:r>
      <w:r>
        <w:rPr>
          <w:b/>
          <w:bCs/>
          <w:i/>
          <w:iCs/>
          <w:lang w:val="en-US"/>
        </w:rPr>
        <w:t xml:space="preserve">– </w:t>
      </w:r>
      <w:r w:rsidRPr="00FA2C9C">
        <w:rPr>
          <w:b/>
          <w:bCs/>
          <w:i/>
          <w:iCs/>
          <w:lang w:val="en-US"/>
        </w:rPr>
        <w:t>Scientifically-founded services for the sustainable ocean economy</w:t>
      </w:r>
    </w:p>
    <w:p w14:paraId="545487A4" w14:textId="2CD2F1A4" w:rsidR="00FA2C9C" w:rsidRPr="00FA2C9C" w:rsidRDefault="00FA2C9C" w:rsidP="00FA2C9C">
      <w:pPr>
        <w:pStyle w:val="Marge"/>
        <w:tabs>
          <w:tab w:val="clear" w:pos="567"/>
          <w:tab w:val="left" w:pos="1162"/>
        </w:tabs>
        <w:spacing w:line="240" w:lineRule="auto"/>
        <w:rPr>
          <w:lang w:val="en-US"/>
        </w:rPr>
      </w:pPr>
      <w:r w:rsidRPr="00A1295C">
        <w:rPr>
          <w:iCs/>
          <w:bdr w:val="single" w:sz="4" w:space="0" w:color="auto"/>
          <w:lang w:val="en-US"/>
        </w:rPr>
        <w:t>03019</w:t>
      </w:r>
      <w:r>
        <w:rPr>
          <w:lang w:val="en-US"/>
        </w:rPr>
        <w:tab/>
      </w:r>
      <w:r w:rsidRPr="00FA2C9C">
        <w:rPr>
          <w:lang w:val="en-US"/>
        </w:rPr>
        <w:t>An ocean economy is sustainable when activities are conducted in harmony with the long-term capacity</w:t>
      </w:r>
      <w:r>
        <w:rPr>
          <w:lang w:val="en-US"/>
        </w:rPr>
        <w:t xml:space="preserve"> </w:t>
      </w:r>
      <w:r w:rsidRPr="00FA2C9C">
        <w:rPr>
          <w:lang w:val="en-US"/>
        </w:rPr>
        <w:t>of ocean ecosystems to support them. Reaching such equilibrium requires ocean observations, fit</w:t>
      </w:r>
      <w:r>
        <w:rPr>
          <w:lang w:val="en-US"/>
        </w:rPr>
        <w:t>-</w:t>
      </w:r>
      <w:r w:rsidRPr="00FA2C9C">
        <w:rPr>
          <w:lang w:val="en-US"/>
        </w:rPr>
        <w:t>for-purpose data products and services, scientific assessments, monitoring and forecasting of ocean</w:t>
      </w:r>
      <w:r>
        <w:rPr>
          <w:lang w:val="en-US"/>
        </w:rPr>
        <w:t xml:space="preserve"> </w:t>
      </w:r>
      <w:r w:rsidRPr="00FA2C9C">
        <w:rPr>
          <w:lang w:val="en-US"/>
        </w:rPr>
        <w:t>ecosystem health. Knowledge-based ocean management tools such as marine spatial planning, coastal</w:t>
      </w:r>
      <w:r>
        <w:rPr>
          <w:lang w:val="en-US"/>
        </w:rPr>
        <w:t xml:space="preserve"> </w:t>
      </w:r>
      <w:r w:rsidRPr="00FA2C9C">
        <w:rPr>
          <w:lang w:val="en-US"/>
        </w:rPr>
        <w:t>zone management, marine protected areas, and management of Large Marine Ecosystems (LMEs) are</w:t>
      </w:r>
      <w:r>
        <w:rPr>
          <w:lang w:val="en-US"/>
        </w:rPr>
        <w:t xml:space="preserve"> </w:t>
      </w:r>
      <w:r w:rsidRPr="00FA2C9C">
        <w:rPr>
          <w:lang w:val="en-US"/>
        </w:rPr>
        <w:t>needed so that ocean stakeholders could set environmental and socio-economic objectives, develop</w:t>
      </w:r>
      <w:r>
        <w:rPr>
          <w:lang w:val="en-US"/>
        </w:rPr>
        <w:t xml:space="preserve"> </w:t>
      </w:r>
      <w:r w:rsidRPr="00FA2C9C">
        <w:rPr>
          <w:lang w:val="en-US"/>
        </w:rPr>
        <w:t>operational plans, define safe boundaries and guidelines for operations, as well as reduce conflicts</w:t>
      </w:r>
      <w:r>
        <w:rPr>
          <w:lang w:val="en-US"/>
        </w:rPr>
        <w:t xml:space="preserve"> </w:t>
      </w:r>
      <w:r w:rsidRPr="00FA2C9C">
        <w:rPr>
          <w:lang w:val="en-US"/>
        </w:rPr>
        <w:t>among multiple uses of ocean space.</w:t>
      </w:r>
    </w:p>
    <w:p w14:paraId="5BA7A128" w14:textId="1457B215" w:rsidR="00FA2C9C" w:rsidRPr="00FA2C9C" w:rsidRDefault="00FA2C9C" w:rsidP="00FA2C9C">
      <w:pPr>
        <w:pStyle w:val="Marge"/>
        <w:tabs>
          <w:tab w:val="clear" w:pos="567"/>
          <w:tab w:val="left" w:pos="1162"/>
        </w:tabs>
        <w:spacing w:line="240" w:lineRule="auto"/>
        <w:rPr>
          <w:b/>
          <w:bCs/>
          <w:i/>
          <w:iCs/>
          <w:lang w:val="en-US"/>
        </w:rPr>
      </w:pPr>
      <w:r w:rsidRPr="00FA2C9C">
        <w:rPr>
          <w:b/>
          <w:bCs/>
          <w:i/>
          <w:iCs/>
          <w:lang w:val="en-US"/>
        </w:rPr>
        <w:t>Objective 5 – Foresight on emerging ocean science issues</w:t>
      </w:r>
    </w:p>
    <w:p w14:paraId="41085CB5" w14:textId="76D8F054" w:rsidR="00FA2C9C" w:rsidRDefault="00FA2C9C" w:rsidP="00FA2C9C">
      <w:pPr>
        <w:pStyle w:val="Marge"/>
        <w:tabs>
          <w:tab w:val="clear" w:pos="567"/>
          <w:tab w:val="left" w:pos="1162"/>
        </w:tabs>
        <w:spacing w:line="240" w:lineRule="auto"/>
        <w:rPr>
          <w:lang w:val="en-US"/>
        </w:rPr>
      </w:pPr>
      <w:r w:rsidRPr="00A1295C">
        <w:rPr>
          <w:iCs/>
          <w:bdr w:val="single" w:sz="4" w:space="0" w:color="auto"/>
          <w:lang w:val="en-US"/>
        </w:rPr>
        <w:t>03020</w:t>
      </w:r>
      <w:r>
        <w:rPr>
          <w:lang w:val="en-US"/>
        </w:rPr>
        <w:tab/>
      </w:r>
      <w:r w:rsidRPr="00FA2C9C">
        <w:rPr>
          <w:lang w:val="en-US"/>
        </w:rPr>
        <w:t>Ocean remains one of the least studied environmental domains of the Earth System. Oceanographic</w:t>
      </w:r>
      <w:r>
        <w:rPr>
          <w:lang w:val="en-US"/>
        </w:rPr>
        <w:t xml:space="preserve"> </w:t>
      </w:r>
      <w:r w:rsidRPr="00FA2C9C">
        <w:rPr>
          <w:lang w:val="en-US"/>
        </w:rPr>
        <w:t>discoveries are still possible. New issues constantly emerge in the ocean that may potentially affect</w:t>
      </w:r>
      <w:r>
        <w:rPr>
          <w:lang w:val="en-US"/>
        </w:rPr>
        <w:t xml:space="preserve"> </w:t>
      </w:r>
      <w:r w:rsidRPr="00FA2C9C">
        <w:rPr>
          <w:lang w:val="en-US"/>
        </w:rPr>
        <w:t xml:space="preserve">the health of ocean ecosystems as well as human wellbeing. New stressors, e.g. </w:t>
      </w:r>
      <w:r w:rsidRPr="00FA2C9C">
        <w:rPr>
          <w:lang w:val="en-US"/>
        </w:rPr>
        <w:lastRenderedPageBreak/>
        <w:t>new contaminants or</w:t>
      </w:r>
      <w:r>
        <w:rPr>
          <w:lang w:val="en-US"/>
        </w:rPr>
        <w:t xml:space="preserve"> </w:t>
      </w:r>
      <w:r w:rsidRPr="00FA2C9C">
        <w:rPr>
          <w:lang w:val="en-US"/>
        </w:rPr>
        <w:t>pressures from new industries, may combine with known stressors such as ocean acidification, altered</w:t>
      </w:r>
      <w:r>
        <w:rPr>
          <w:lang w:val="en-US"/>
        </w:rPr>
        <w:t xml:space="preserve"> </w:t>
      </w:r>
      <w:r w:rsidRPr="00FA2C9C">
        <w:rPr>
          <w:lang w:val="en-US"/>
        </w:rPr>
        <w:t>patterns of the ocean carbon cycle, de-oxygenation, and climate change, and create complex impacts</w:t>
      </w:r>
      <w:r>
        <w:rPr>
          <w:lang w:val="en-US"/>
        </w:rPr>
        <w:t xml:space="preserve"> </w:t>
      </w:r>
      <w:r w:rsidRPr="00FA2C9C">
        <w:rPr>
          <w:lang w:val="en-US"/>
        </w:rPr>
        <w:t>on ecosystems. Cutting-edge research, innovation, technological development, including in observations</w:t>
      </w:r>
      <w:r>
        <w:rPr>
          <w:lang w:val="en-US"/>
        </w:rPr>
        <w:t xml:space="preserve"> </w:t>
      </w:r>
      <w:r w:rsidRPr="00FA2C9C">
        <w:rPr>
          <w:lang w:val="en-US"/>
        </w:rPr>
        <w:t>and in developing a global “data and information ecosystem”, should augment our capacity to</w:t>
      </w:r>
      <w:r>
        <w:rPr>
          <w:lang w:val="en-US"/>
        </w:rPr>
        <w:t xml:space="preserve"> </w:t>
      </w:r>
      <w:r w:rsidRPr="00FA2C9C">
        <w:rPr>
          <w:lang w:val="en-US"/>
        </w:rPr>
        <w:t>anticipate such emerging issues, inform policy-making, including in the context of relevant regional</w:t>
      </w:r>
      <w:r>
        <w:rPr>
          <w:lang w:val="en-US"/>
        </w:rPr>
        <w:t xml:space="preserve"> </w:t>
      </w:r>
      <w:r w:rsidRPr="00FA2C9C">
        <w:rPr>
          <w:lang w:val="en-US"/>
        </w:rPr>
        <w:t>and global conventions, and advance timely solutions involving relevant stakeholders.</w:t>
      </w:r>
    </w:p>
    <w:p w14:paraId="497F8E58" w14:textId="5E3B0148" w:rsidR="00FA2C9C" w:rsidRPr="007D5503" w:rsidRDefault="007D5503" w:rsidP="007D5503">
      <w:pPr>
        <w:pStyle w:val="ListParagraph"/>
        <w:widowControl/>
        <w:numPr>
          <w:ilvl w:val="0"/>
          <w:numId w:val="34"/>
        </w:numPr>
        <w:pBdr>
          <w:bottom w:val="single" w:sz="4" w:space="1" w:color="auto"/>
        </w:pBdr>
        <w:tabs>
          <w:tab w:val="clear" w:pos="567"/>
        </w:tabs>
        <w:autoSpaceDE w:val="0"/>
        <w:autoSpaceDN w:val="0"/>
        <w:snapToGrid/>
        <w:spacing w:line="240" w:lineRule="auto"/>
        <w:ind w:left="709"/>
        <w:jc w:val="left"/>
        <w:textAlignment w:val="auto"/>
        <w:rPr>
          <w:rFonts w:cs="Arial"/>
          <w:b/>
          <w:bCs/>
          <w:snapToGrid/>
          <w:sz w:val="24"/>
          <w:lang w:eastAsia="zh-CN"/>
        </w:rPr>
      </w:pPr>
      <w:r w:rsidRPr="007D5503">
        <w:rPr>
          <w:rFonts w:cs="Arial"/>
          <w:b/>
          <w:bCs/>
          <w:snapToGrid/>
          <w:sz w:val="24"/>
          <w:lang w:eastAsia="zh-CN"/>
        </w:rPr>
        <w:t>Intergovernmental Oceanographic Commission: Results Matrix</w:t>
      </w:r>
    </w:p>
    <w:p w14:paraId="249492A1" w14:textId="72CA0347" w:rsidR="00FA2C9C" w:rsidRDefault="00FA2C9C" w:rsidP="007D5503">
      <w:pPr>
        <w:pStyle w:val="Marge"/>
        <w:tabs>
          <w:tab w:val="clear" w:pos="567"/>
          <w:tab w:val="left" w:pos="1162"/>
        </w:tabs>
        <w:spacing w:after="0" w:line="240" w:lineRule="auto"/>
        <w:rPr>
          <w:lang w:val="en-US"/>
        </w:rPr>
      </w:pPr>
    </w:p>
    <w:p w14:paraId="0CACAD15" w14:textId="77777777" w:rsidR="007D5503" w:rsidRPr="007D5503"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lang w:eastAsia="zh-CN"/>
        </w:rPr>
      </w:pPr>
      <w:r w:rsidRPr="007D5503">
        <w:rPr>
          <w:rFonts w:ascii="MyriadPro-Bold" w:hAnsi="MyriadPro-Bold" w:cs="MyriadPro-Bold"/>
          <w:b/>
          <w:bCs/>
          <w:snapToGrid/>
          <w:color w:val="365F91" w:themeColor="accent1" w:themeShade="BF"/>
          <w:sz w:val="24"/>
          <w:lang w:eastAsia="zh-CN"/>
        </w:rPr>
        <w:t>OUTCOME 3</w:t>
      </w:r>
    </w:p>
    <w:p w14:paraId="5778A537" w14:textId="77777777" w:rsidR="007D5503" w:rsidRPr="007D5503"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lang w:eastAsia="zh-CN"/>
        </w:rPr>
      </w:pPr>
      <w:r w:rsidRPr="007D5503">
        <w:rPr>
          <w:rFonts w:ascii="MyriadPro-Bold" w:hAnsi="MyriadPro-Bold" w:cs="MyriadPro-Bold"/>
          <w:b/>
          <w:bCs/>
          <w:snapToGrid/>
          <w:color w:val="365F91" w:themeColor="accent1" w:themeShade="BF"/>
          <w:sz w:val="24"/>
          <w:lang w:eastAsia="zh-CN"/>
        </w:rPr>
        <w:t>Enhance knowledge for climate action, biodiversity, water and ocean management,</w:t>
      </w:r>
    </w:p>
    <w:p w14:paraId="4AEC9DFF" w14:textId="4A671DB9" w:rsidR="00FA2C9C" w:rsidRPr="007D5503"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lang w:eastAsia="zh-CN"/>
        </w:rPr>
      </w:pPr>
      <w:r w:rsidRPr="007D5503">
        <w:rPr>
          <w:rFonts w:ascii="MyriadPro-Bold" w:hAnsi="MyriadPro-Bold" w:cs="MyriadPro-Bold"/>
          <w:b/>
          <w:bCs/>
          <w:snapToGrid/>
          <w:color w:val="365F91" w:themeColor="accent1" w:themeShade="BF"/>
          <w:sz w:val="24"/>
          <w:lang w:eastAsia="zh-CN"/>
        </w:rPr>
        <w:t>and disaster risk reduction</w:t>
      </w:r>
    </w:p>
    <w:p w14:paraId="3A908E67" w14:textId="5C7AF021" w:rsidR="00FA2C9C" w:rsidRDefault="00FA2C9C" w:rsidP="007D5503">
      <w:pPr>
        <w:widowControl/>
        <w:tabs>
          <w:tab w:val="clear" w:pos="567"/>
        </w:tabs>
        <w:autoSpaceDE w:val="0"/>
        <w:autoSpaceDN w:val="0"/>
        <w:snapToGrid/>
        <w:spacing w:line="240" w:lineRule="auto"/>
        <w:jc w:val="left"/>
        <w:textAlignment w:val="auto"/>
        <w:rPr>
          <w:lang w:val="en-US"/>
        </w:rPr>
      </w:pPr>
    </w:p>
    <w:p w14:paraId="735B10E1" w14:textId="72E0B3C3" w:rsidR="007D5503" w:rsidRPr="00A1295C"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Cs w:val="22"/>
          <w:lang w:eastAsia="zh-CN"/>
        </w:rPr>
      </w:pPr>
      <w:r w:rsidRPr="00A1295C">
        <w:rPr>
          <w:rFonts w:ascii="MyriadPro-Bold" w:hAnsi="MyriadPro-Bold" w:cs="MyriadPro-Bold"/>
          <w:b/>
          <w:bCs/>
          <w:snapToGrid/>
          <w:szCs w:val="22"/>
          <w:lang w:eastAsia="zh-CN"/>
        </w:rPr>
        <w:t>OUTPUT 3.IOC1 Member States critically supported in strengthening their capacity to conduct marine scientific research, generate knowledge, and develop and implement science-based tools, services, and policies in order to reverse the decline in ocean health and accelerate the transition towards sustainable management of ocean-related risks and opportunities Performance</w:t>
      </w:r>
    </w:p>
    <w:p w14:paraId="315D38ED" w14:textId="3D8AAF75" w:rsidR="007D5503"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lang w:eastAsia="zh-CN"/>
        </w:rPr>
      </w:pPr>
    </w:p>
    <w:p w14:paraId="0C79FCFD" w14:textId="77777777" w:rsidR="00493800" w:rsidRDefault="00493800"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single" w:sz="8" w:space="0" w:color="548DD4" w:themeColor="text2" w:themeTint="99"/>
          <w:insideV w:val="single" w:sz="8" w:space="0" w:color="548DD4" w:themeColor="text2" w:themeTint="99"/>
        </w:tblBorders>
        <w:tblLook w:val="04A0" w:firstRow="1" w:lastRow="0" w:firstColumn="1" w:lastColumn="0" w:noHBand="0" w:noVBand="1"/>
      </w:tblPr>
      <w:tblGrid>
        <w:gridCol w:w="3202"/>
        <w:gridCol w:w="3202"/>
        <w:gridCol w:w="3203"/>
      </w:tblGrid>
      <w:tr w:rsidR="007D5503" w:rsidRPr="007D5503" w14:paraId="13747D0D" w14:textId="77777777" w:rsidTr="00C516F7">
        <w:trPr>
          <w:tblHeader/>
        </w:trPr>
        <w:tc>
          <w:tcPr>
            <w:tcW w:w="3202" w:type="dxa"/>
          </w:tcPr>
          <w:p w14:paraId="18941270" w14:textId="7E1EA53B" w:rsidR="007D5503" w:rsidRPr="00594BD0" w:rsidRDefault="007D5503" w:rsidP="00A1295C">
            <w:pPr>
              <w:widowControl/>
              <w:tabs>
                <w:tab w:val="clear" w:pos="567"/>
              </w:tabs>
              <w:autoSpaceDE w:val="0"/>
              <w:autoSpaceDN w:val="0"/>
              <w:snapToGrid/>
              <w:spacing w:after="60" w:line="240" w:lineRule="auto"/>
              <w:jc w:val="center"/>
              <w:textAlignment w:val="auto"/>
              <w:rPr>
                <w:b/>
                <w:bCs/>
                <w:szCs w:val="22"/>
              </w:rPr>
            </w:pPr>
            <w:r w:rsidRPr="00594BD0">
              <w:rPr>
                <w:rFonts w:ascii="MyriadPro-SemiboldIt" w:hAnsi="MyriadPro-SemiboldIt" w:cs="MyriadPro-SemiboldIt"/>
                <w:b/>
                <w:bCs/>
                <w:i/>
                <w:iCs/>
                <w:snapToGrid/>
                <w:szCs w:val="22"/>
                <w:lang w:eastAsia="zh-CN"/>
              </w:rPr>
              <w:t>Performance Indicator</w:t>
            </w:r>
          </w:p>
        </w:tc>
        <w:tc>
          <w:tcPr>
            <w:tcW w:w="3202" w:type="dxa"/>
          </w:tcPr>
          <w:p w14:paraId="03941CA5" w14:textId="64FA4BE6" w:rsidR="007D5503" w:rsidRPr="00594BD0" w:rsidRDefault="007D5503" w:rsidP="00A1295C">
            <w:pPr>
              <w:widowControl/>
              <w:tabs>
                <w:tab w:val="clear" w:pos="567"/>
              </w:tabs>
              <w:autoSpaceDE w:val="0"/>
              <w:autoSpaceDN w:val="0"/>
              <w:snapToGrid/>
              <w:spacing w:after="60" w:line="240" w:lineRule="auto"/>
              <w:jc w:val="center"/>
              <w:textAlignment w:val="auto"/>
              <w:rPr>
                <w:b/>
                <w:bCs/>
                <w:szCs w:val="22"/>
              </w:rPr>
            </w:pPr>
            <w:r w:rsidRPr="00594BD0">
              <w:rPr>
                <w:rFonts w:ascii="MyriadPro-SemiboldIt" w:hAnsi="MyriadPro-SemiboldIt" w:cs="MyriadPro-SemiboldIt"/>
                <w:b/>
                <w:bCs/>
                <w:i/>
                <w:iCs/>
                <w:snapToGrid/>
                <w:szCs w:val="22"/>
                <w:lang w:eastAsia="zh-CN"/>
              </w:rPr>
              <w:t>Baseline</w:t>
            </w:r>
          </w:p>
        </w:tc>
        <w:tc>
          <w:tcPr>
            <w:tcW w:w="3203" w:type="dxa"/>
          </w:tcPr>
          <w:p w14:paraId="641BA421" w14:textId="150A32B3" w:rsidR="007D5503" w:rsidRPr="00594BD0" w:rsidRDefault="007D5503" w:rsidP="00A1295C">
            <w:pPr>
              <w:widowControl/>
              <w:tabs>
                <w:tab w:val="clear" w:pos="567"/>
              </w:tabs>
              <w:autoSpaceDE w:val="0"/>
              <w:autoSpaceDN w:val="0"/>
              <w:snapToGrid/>
              <w:spacing w:after="60" w:line="240" w:lineRule="auto"/>
              <w:jc w:val="center"/>
              <w:textAlignment w:val="auto"/>
              <w:rPr>
                <w:b/>
                <w:bCs/>
                <w:szCs w:val="22"/>
              </w:rPr>
            </w:pPr>
            <w:r w:rsidRPr="00594BD0">
              <w:rPr>
                <w:rFonts w:ascii="MyriadPro-SemiboldIt" w:hAnsi="MyriadPro-SemiboldIt" w:cs="MyriadPro-SemiboldIt"/>
                <w:b/>
                <w:bCs/>
                <w:i/>
                <w:iCs/>
                <w:snapToGrid/>
                <w:szCs w:val="22"/>
                <w:lang w:eastAsia="zh-CN"/>
              </w:rPr>
              <w:t>Target 2023</w:t>
            </w:r>
          </w:p>
        </w:tc>
      </w:tr>
      <w:tr w:rsidR="007D5503" w14:paraId="326FD08E" w14:textId="77777777" w:rsidTr="00C516F7">
        <w:tc>
          <w:tcPr>
            <w:tcW w:w="3202" w:type="dxa"/>
          </w:tcPr>
          <w:p w14:paraId="76EE273F" w14:textId="6F51B514" w:rsidR="007D5503" w:rsidRPr="00071027" w:rsidRDefault="007D5503" w:rsidP="00071027">
            <w:pPr>
              <w:pStyle w:val="ListParagraph"/>
              <w:widowControl/>
              <w:numPr>
                <w:ilvl w:val="0"/>
                <w:numId w:val="36"/>
              </w:numPr>
              <w:tabs>
                <w:tab w:val="clear" w:pos="567"/>
              </w:tabs>
              <w:autoSpaceDE w:val="0"/>
              <w:autoSpaceDN w:val="0"/>
              <w:snapToGrid/>
              <w:spacing w:line="240" w:lineRule="auto"/>
              <w:ind w:left="282" w:hanging="32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Number of Member States with experts actively</w:t>
            </w:r>
            <w:r w:rsidR="00071027" w:rsidRPr="00071027">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engaged in the design and implementation</w:t>
            </w:r>
            <w:r w:rsidR="00071027" w:rsidRPr="00071027">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of ocean research, generating knowledge to</w:t>
            </w:r>
            <w:r w:rsidR="00071027" w:rsidRPr="00071027">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address key sustainability issues</w:t>
            </w:r>
          </w:p>
        </w:tc>
        <w:tc>
          <w:tcPr>
            <w:tcW w:w="3202" w:type="dxa"/>
          </w:tcPr>
          <w:p w14:paraId="2E004D64" w14:textId="7A1D3CBE"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Experts from 51 Member</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States, of which 13 in Africa and</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5 SIDS (37% women)</w:t>
            </w:r>
          </w:p>
          <w:p w14:paraId="5CA5D35D" w14:textId="548F1BE9" w:rsidR="00594BD0" w:rsidRPr="005D2C50" w:rsidRDefault="00594BD0" w:rsidP="00594BD0">
            <w:pPr>
              <w:widowControl/>
              <w:tabs>
                <w:tab w:val="clear" w:pos="567"/>
              </w:tabs>
              <w:autoSpaceDE w:val="0"/>
              <w:autoSpaceDN w:val="0"/>
              <w:snapToGrid/>
              <w:spacing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(ii) 14.3.1 (Ocean Acidification):</w:t>
            </w:r>
          </w:p>
          <w:p w14:paraId="29649FB0" w14:textId="2B759E4A" w:rsidR="007D5503"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25 Member States, of which 5</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in Africa and 1 SIDS</w:t>
            </w:r>
          </w:p>
        </w:tc>
        <w:tc>
          <w:tcPr>
            <w:tcW w:w="3203" w:type="dxa"/>
          </w:tcPr>
          <w:p w14:paraId="4203F335" w14:textId="35FF8E44"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Experts from 60 Member States,</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of which 15 in Africa and 10 SIDS</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(45% women)</w:t>
            </w:r>
          </w:p>
          <w:p w14:paraId="2C961E3C" w14:textId="77777777" w:rsidR="00594BD0" w:rsidRPr="005D2C50" w:rsidRDefault="00594BD0" w:rsidP="00594BD0">
            <w:pPr>
              <w:widowControl/>
              <w:tabs>
                <w:tab w:val="clear" w:pos="567"/>
              </w:tabs>
              <w:autoSpaceDE w:val="0"/>
              <w:autoSpaceDN w:val="0"/>
              <w:snapToGrid/>
              <w:spacing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(ii) 40 Member States, of which</w:t>
            </w:r>
          </w:p>
          <w:p w14:paraId="144EE9E6" w14:textId="16129F71" w:rsidR="007D5503" w:rsidRPr="005D2C50" w:rsidRDefault="00594BD0" w:rsidP="00594BD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8 in Africa and 3 SIDS</w:t>
            </w:r>
          </w:p>
        </w:tc>
      </w:tr>
      <w:tr w:rsidR="007D5503" w14:paraId="3DB640D0" w14:textId="77777777" w:rsidTr="00C516F7">
        <w:tc>
          <w:tcPr>
            <w:tcW w:w="3202" w:type="dxa"/>
          </w:tcPr>
          <w:p w14:paraId="06A0B3AD" w14:textId="03239B99" w:rsidR="007D5503" w:rsidRPr="00071027" w:rsidRDefault="00071027" w:rsidP="00071027">
            <w:pPr>
              <w:pStyle w:val="ListParagraph"/>
              <w:widowControl/>
              <w:numPr>
                <w:ilvl w:val="0"/>
                <w:numId w:val="36"/>
              </w:numPr>
              <w:tabs>
                <w:tab w:val="clear" w:pos="567"/>
              </w:tabs>
              <w:autoSpaceDE w:val="0"/>
              <w:autoSpaceDN w:val="0"/>
              <w:snapToGrid/>
              <w:spacing w:line="240" w:lineRule="auto"/>
              <w:ind w:left="282" w:hanging="32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Number of Member States engaged in advancing ocean observation and data management through the Global Ocean Observing System (GOOS) and IOC Ocean Data and Information System (ODIS) delivering key</w:t>
            </w:r>
            <w:r>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information for science-informed solutions</w:t>
            </w:r>
          </w:p>
        </w:tc>
        <w:tc>
          <w:tcPr>
            <w:tcW w:w="3202" w:type="dxa"/>
          </w:tcPr>
          <w:p w14:paraId="00ED3ED2" w14:textId="77777777"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ODIS: no baseline (new activity)</w:t>
            </w:r>
          </w:p>
          <w:p w14:paraId="5E19B063" w14:textId="5EA746A1" w:rsidR="007D5503"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(ii) GOOS: 66 Member States, of</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which 11 in Africa and 8 SIDS</w:t>
            </w:r>
          </w:p>
        </w:tc>
        <w:tc>
          <w:tcPr>
            <w:tcW w:w="3203" w:type="dxa"/>
          </w:tcPr>
          <w:p w14:paraId="3B4E7BA3" w14:textId="38C3B497"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25 Member States of which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5 SIDS, (incl. 2 SIDS in Africa),</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(40% women among experts)</w:t>
            </w:r>
            <w:r w:rsidR="00700920">
              <w:rPr>
                <w:rFonts w:ascii="MyriadPro-It" w:hAnsi="MyriadPro-It" w:cs="MyriadPro-It"/>
                <w:i/>
                <w:iCs/>
                <w:snapToGrid/>
                <w:szCs w:val="22"/>
                <w:lang w:eastAsia="zh-CN"/>
              </w:rPr>
              <w:t xml:space="preserve"> </w:t>
            </w:r>
          </w:p>
          <w:p w14:paraId="1A90BD2E" w14:textId="009A7C40" w:rsidR="007D5503"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(ii) 70 Member States, of which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13 from Africa and 10 SIDS, (40%</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women amongst experts engaged)</w:t>
            </w:r>
          </w:p>
        </w:tc>
      </w:tr>
      <w:tr w:rsidR="007D5503" w14:paraId="7335A20A" w14:textId="77777777" w:rsidTr="00C516F7">
        <w:tc>
          <w:tcPr>
            <w:tcW w:w="3202" w:type="dxa"/>
          </w:tcPr>
          <w:p w14:paraId="13E140C2" w14:textId="1D18355E" w:rsidR="007D5503" w:rsidRPr="00071027" w:rsidRDefault="00071027" w:rsidP="00071027">
            <w:pPr>
              <w:pStyle w:val="ListParagraph"/>
              <w:widowControl/>
              <w:numPr>
                <w:ilvl w:val="0"/>
                <w:numId w:val="36"/>
              </w:numPr>
              <w:tabs>
                <w:tab w:val="clear" w:pos="567"/>
              </w:tabs>
              <w:autoSpaceDE w:val="0"/>
              <w:autoSpaceDN w:val="0"/>
              <w:snapToGrid/>
              <w:spacing w:line="240" w:lineRule="auto"/>
              <w:ind w:left="31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Number of Member States with strengthened capacities to develop and implement early warning systems and increase preparedness for and resilience to the risks of tsunamis and</w:t>
            </w:r>
            <w:r>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other ocean-related hazards</w:t>
            </w:r>
          </w:p>
        </w:tc>
        <w:tc>
          <w:tcPr>
            <w:tcW w:w="3202" w:type="dxa"/>
          </w:tcPr>
          <w:p w14:paraId="437E1A1C" w14:textId="4B099B45" w:rsidR="007D5503"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139 Member States, of which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9 from Africa and 28 SIDS</w:t>
            </w:r>
          </w:p>
        </w:tc>
        <w:tc>
          <w:tcPr>
            <w:tcW w:w="3203" w:type="dxa"/>
          </w:tcPr>
          <w:p w14:paraId="57BC7086" w14:textId="0C4DE698" w:rsidR="007D5503"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142 Member States, of which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12 from Africa and 29 SIDS</w:t>
            </w:r>
          </w:p>
        </w:tc>
      </w:tr>
      <w:tr w:rsidR="00071027" w14:paraId="30C67C84" w14:textId="77777777" w:rsidTr="00C516F7">
        <w:tc>
          <w:tcPr>
            <w:tcW w:w="3202" w:type="dxa"/>
          </w:tcPr>
          <w:p w14:paraId="5464285D" w14:textId="443722E8" w:rsidR="00071027" w:rsidRPr="00071027" w:rsidRDefault="00071027" w:rsidP="00071027">
            <w:pPr>
              <w:pStyle w:val="ListParagraph"/>
              <w:widowControl/>
              <w:numPr>
                <w:ilvl w:val="0"/>
                <w:numId w:val="36"/>
              </w:numPr>
              <w:tabs>
                <w:tab w:val="clear" w:pos="567"/>
              </w:tabs>
              <w:autoSpaceDE w:val="0"/>
              <w:autoSpaceDN w:val="0"/>
              <w:snapToGrid/>
              <w:spacing w:line="240" w:lineRule="auto"/>
              <w:ind w:left="31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 xml:space="preserve">No. of supported Member States that contribute data and information to assessment, global repositories, science /policy interface underpinning sustainable ocean </w:t>
            </w:r>
            <w:r w:rsidRPr="00071027">
              <w:rPr>
                <w:rFonts w:ascii="MyriadPro-SemiboldIt" w:hAnsi="MyriadPro-SemiboldIt" w:cs="MyriadPro-SemiboldIt"/>
                <w:snapToGrid/>
                <w:szCs w:val="22"/>
                <w:lang w:eastAsia="zh-CN"/>
              </w:rPr>
              <w:lastRenderedPageBreak/>
              <w:t>management</w:t>
            </w:r>
            <w:r>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and decision-making</w:t>
            </w:r>
          </w:p>
        </w:tc>
        <w:tc>
          <w:tcPr>
            <w:tcW w:w="3202" w:type="dxa"/>
          </w:tcPr>
          <w:p w14:paraId="216D524D" w14:textId="16BC785B"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lastRenderedPageBreak/>
              <w:t>50 Member States, of which 8 from</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Africa, 5 from SIDS contributing</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inputs through GEBCO, SDG, WOA</w:t>
            </w:r>
          </w:p>
        </w:tc>
        <w:tc>
          <w:tcPr>
            <w:tcW w:w="3203" w:type="dxa"/>
          </w:tcPr>
          <w:p w14:paraId="79FB17A1" w14:textId="7F9777EC"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70 Member States, of which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10 from Africa, 8 from SIDS</w:t>
            </w:r>
          </w:p>
        </w:tc>
      </w:tr>
      <w:tr w:rsidR="00071027" w14:paraId="22D48668" w14:textId="77777777" w:rsidTr="00C516F7">
        <w:tc>
          <w:tcPr>
            <w:tcW w:w="3202" w:type="dxa"/>
          </w:tcPr>
          <w:p w14:paraId="0F15B365" w14:textId="21184ECF" w:rsidR="00071027" w:rsidRPr="00071027" w:rsidRDefault="00071027" w:rsidP="00071027">
            <w:pPr>
              <w:pStyle w:val="ListParagraph"/>
              <w:widowControl/>
              <w:numPr>
                <w:ilvl w:val="0"/>
                <w:numId w:val="36"/>
              </w:numPr>
              <w:tabs>
                <w:tab w:val="clear" w:pos="567"/>
              </w:tabs>
              <w:autoSpaceDE w:val="0"/>
              <w:autoSpaceDN w:val="0"/>
              <w:snapToGrid/>
              <w:spacing w:line="240" w:lineRule="auto"/>
              <w:ind w:left="31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Number of Member States supported in the implementation of science-based ocean management plans and transformative</w:t>
            </w:r>
            <w:r>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solutions for sustainable development</w:t>
            </w:r>
          </w:p>
        </w:tc>
        <w:tc>
          <w:tcPr>
            <w:tcW w:w="3202" w:type="dxa"/>
          </w:tcPr>
          <w:p w14:paraId="224A406D" w14:textId="370D7D5D"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53 Member States, 11 Africa,</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7 SIDS collaborating through</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Decade mechanism</w:t>
            </w:r>
          </w:p>
          <w:p w14:paraId="159668D9" w14:textId="77777777" w:rsidR="00594BD0" w:rsidRPr="005D2C50" w:rsidRDefault="00594BD0" w:rsidP="00594BD0">
            <w:pPr>
              <w:widowControl/>
              <w:tabs>
                <w:tab w:val="clear" w:pos="567"/>
              </w:tabs>
              <w:autoSpaceDE w:val="0"/>
              <w:autoSpaceDN w:val="0"/>
              <w:snapToGrid/>
              <w:spacing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(ii) 80 Member States, 13 Africa,</w:t>
            </w:r>
          </w:p>
          <w:p w14:paraId="4640F8BD" w14:textId="77777777" w:rsidR="00594BD0" w:rsidRPr="005D2C50" w:rsidRDefault="00594BD0" w:rsidP="00594BD0">
            <w:pPr>
              <w:widowControl/>
              <w:tabs>
                <w:tab w:val="clear" w:pos="567"/>
              </w:tabs>
              <w:autoSpaceDE w:val="0"/>
              <w:autoSpaceDN w:val="0"/>
              <w:snapToGrid/>
              <w:spacing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10 SIDS participating in MSP</w:t>
            </w:r>
          </w:p>
          <w:p w14:paraId="4E8FE170" w14:textId="4593556F" w:rsidR="00071027" w:rsidRPr="005D2C50" w:rsidRDefault="00594BD0" w:rsidP="00594BD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roadmap implementation</w:t>
            </w:r>
          </w:p>
        </w:tc>
        <w:tc>
          <w:tcPr>
            <w:tcW w:w="3203" w:type="dxa"/>
          </w:tcPr>
          <w:p w14:paraId="43F7B73C" w14:textId="608A4ACD"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80 Member States, 15 Africa,</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10 SIDS</w:t>
            </w:r>
          </w:p>
          <w:p w14:paraId="00C864ED" w14:textId="11BCD9F7"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(ii) 100 Member States, 16 Africa,</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14 SIDS</w:t>
            </w:r>
          </w:p>
        </w:tc>
      </w:tr>
      <w:tr w:rsidR="00071027" w14:paraId="4BB91439" w14:textId="77777777" w:rsidTr="00C516F7">
        <w:tc>
          <w:tcPr>
            <w:tcW w:w="3202" w:type="dxa"/>
            <w:tcBorders>
              <w:bottom w:val="single" w:sz="8" w:space="0" w:color="548DD4" w:themeColor="text2" w:themeTint="99"/>
            </w:tcBorders>
          </w:tcPr>
          <w:p w14:paraId="6DBF6887" w14:textId="54414E1A" w:rsidR="00071027" w:rsidRPr="00071027" w:rsidRDefault="00071027" w:rsidP="00071027">
            <w:pPr>
              <w:pStyle w:val="ListParagraph"/>
              <w:widowControl/>
              <w:numPr>
                <w:ilvl w:val="0"/>
                <w:numId w:val="36"/>
              </w:numPr>
              <w:tabs>
                <w:tab w:val="clear" w:pos="567"/>
              </w:tabs>
              <w:autoSpaceDE w:val="0"/>
              <w:autoSpaceDN w:val="0"/>
              <w:snapToGrid/>
              <w:spacing w:line="240" w:lineRule="auto"/>
              <w:ind w:left="316"/>
              <w:jc w:val="left"/>
              <w:textAlignment w:val="auto"/>
              <w:rPr>
                <w:rFonts w:ascii="MyriadPro-SemiboldIt" w:hAnsi="MyriadPro-SemiboldIt" w:cs="MyriadPro-SemiboldIt"/>
                <w:snapToGrid/>
                <w:szCs w:val="22"/>
                <w:lang w:eastAsia="zh-CN"/>
              </w:rPr>
            </w:pPr>
            <w:r w:rsidRPr="00071027">
              <w:rPr>
                <w:rFonts w:ascii="MyriadPro-SemiboldIt" w:hAnsi="MyriadPro-SemiboldIt" w:cs="MyriadPro-SemiboldIt"/>
                <w:snapToGrid/>
                <w:szCs w:val="22"/>
                <w:lang w:eastAsia="zh-CN"/>
              </w:rPr>
              <w:t>Number of Member States supported in strengthening their capacity in marine scientific research and biodiversity, observations and services, through the IOC</w:t>
            </w:r>
            <w:r>
              <w:rPr>
                <w:rFonts w:ascii="MyriadPro-SemiboldIt" w:hAnsi="MyriadPro-SemiboldIt" w:cs="MyriadPro-SemiboldIt"/>
                <w:snapToGrid/>
                <w:szCs w:val="22"/>
                <w:lang w:eastAsia="zh-CN"/>
              </w:rPr>
              <w:t xml:space="preserve"> </w:t>
            </w:r>
            <w:r w:rsidRPr="00071027">
              <w:rPr>
                <w:rFonts w:ascii="MyriadPro-SemiboldIt" w:hAnsi="MyriadPro-SemiboldIt" w:cs="MyriadPro-SemiboldIt"/>
                <w:snapToGrid/>
                <w:szCs w:val="22"/>
                <w:lang w:eastAsia="zh-CN"/>
              </w:rPr>
              <w:t>Capacity Development</w:t>
            </w:r>
          </w:p>
        </w:tc>
        <w:tc>
          <w:tcPr>
            <w:tcW w:w="3202" w:type="dxa"/>
            <w:tcBorders>
              <w:bottom w:val="single" w:sz="8" w:space="0" w:color="548DD4" w:themeColor="text2" w:themeTint="99"/>
            </w:tcBorders>
          </w:tcPr>
          <w:p w14:paraId="1244E027" w14:textId="1CCF8A2E"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14.a.1 (GOSR): 53 Member States,</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13 Africa, 4 SIDS</w:t>
            </w:r>
          </w:p>
          <w:p w14:paraId="6319F9BA" w14:textId="0275EEBD"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(ii) 38 Member States in Africa, 30 in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LAC, 22 in Western Pacific region,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16 in Indian Ocean/Gulf region;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10 SIDS (5 in Africa), GE: no baseline</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available</w:t>
            </w:r>
          </w:p>
        </w:tc>
        <w:tc>
          <w:tcPr>
            <w:tcW w:w="3203" w:type="dxa"/>
            <w:tcBorders>
              <w:bottom w:val="single" w:sz="8" w:space="0" w:color="548DD4" w:themeColor="text2" w:themeTint="99"/>
            </w:tcBorders>
          </w:tcPr>
          <w:p w14:paraId="56361430" w14:textId="77777777" w:rsidR="00594BD0" w:rsidRPr="005D2C50" w:rsidRDefault="00594BD0" w:rsidP="00594BD0">
            <w:pPr>
              <w:widowControl/>
              <w:tabs>
                <w:tab w:val="clear" w:pos="567"/>
              </w:tabs>
              <w:autoSpaceDE w:val="0"/>
              <w:autoSpaceDN w:val="0"/>
              <w:snapToGrid/>
              <w:spacing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(i) 58 Member States, 15 Africa,</w:t>
            </w:r>
          </w:p>
          <w:p w14:paraId="73B15BC9" w14:textId="2CCC9159" w:rsidR="00594BD0" w:rsidRPr="005D2C50" w:rsidRDefault="00594BD0" w:rsidP="00700920">
            <w:pPr>
              <w:widowControl/>
              <w:tabs>
                <w:tab w:val="clear" w:pos="567"/>
              </w:tabs>
              <w:autoSpaceDE w:val="0"/>
              <w:autoSpaceDN w:val="0"/>
              <w:snapToGrid/>
              <w:spacing w:after="120" w:line="240" w:lineRule="auto"/>
              <w:jc w:val="left"/>
              <w:textAlignment w:val="auto"/>
              <w:rPr>
                <w:rFonts w:ascii="MyriadPro-It" w:hAnsi="MyriadPro-It" w:cs="MyriadPro-It"/>
                <w:i/>
                <w:iCs/>
                <w:snapToGrid/>
                <w:szCs w:val="22"/>
                <w:lang w:eastAsia="zh-CN"/>
              </w:rPr>
            </w:pPr>
            <w:r w:rsidRPr="005D2C50">
              <w:rPr>
                <w:rFonts w:ascii="MyriadPro-It" w:hAnsi="MyriadPro-It" w:cs="MyriadPro-It"/>
                <w:i/>
                <w:iCs/>
                <w:snapToGrid/>
                <w:szCs w:val="22"/>
                <w:lang w:eastAsia="zh-CN"/>
              </w:rPr>
              <w:t>5 SIDS</w:t>
            </w:r>
            <w:r w:rsidR="00700920">
              <w:rPr>
                <w:rFonts w:ascii="MyriadPro-It" w:hAnsi="MyriadPro-It" w:cs="MyriadPro-It"/>
                <w:i/>
                <w:iCs/>
                <w:snapToGrid/>
                <w:szCs w:val="22"/>
                <w:lang w:eastAsia="zh-CN"/>
              </w:rPr>
              <w:t xml:space="preserve"> </w:t>
            </w:r>
          </w:p>
          <w:p w14:paraId="768E49FB" w14:textId="0F767093"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(ii) 38 in Africa, 30 in LAC, 22 in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Western Pacific region, 16 in Indian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Ocean/Gulf region; 15 SIDS (5 in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Africa). GE target: 40% gender</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balance</w:t>
            </w:r>
          </w:p>
        </w:tc>
      </w:tr>
      <w:tr w:rsidR="00071027" w14:paraId="49D3625E" w14:textId="77777777" w:rsidTr="00C516F7">
        <w:tc>
          <w:tcPr>
            <w:tcW w:w="3202" w:type="dxa"/>
            <w:tcBorders>
              <w:top w:val="single" w:sz="8" w:space="0" w:color="548DD4" w:themeColor="text2" w:themeTint="99"/>
              <w:bottom w:val="single" w:sz="8" w:space="0" w:color="548DD4" w:themeColor="text2" w:themeTint="99"/>
            </w:tcBorders>
          </w:tcPr>
          <w:p w14:paraId="5708D630" w14:textId="758318C1" w:rsidR="00071027" w:rsidRPr="00071027" w:rsidRDefault="00A1295C" w:rsidP="00071027">
            <w:pPr>
              <w:pStyle w:val="ListParagraph"/>
              <w:widowControl/>
              <w:numPr>
                <w:ilvl w:val="0"/>
                <w:numId w:val="36"/>
              </w:numPr>
              <w:tabs>
                <w:tab w:val="clear" w:pos="567"/>
              </w:tabs>
              <w:autoSpaceDE w:val="0"/>
              <w:autoSpaceDN w:val="0"/>
              <w:snapToGrid/>
              <w:spacing w:line="240" w:lineRule="auto"/>
              <w:ind w:left="316"/>
              <w:jc w:val="left"/>
              <w:textAlignment w:val="auto"/>
              <w:rPr>
                <w:rFonts w:ascii="MyriadPro-SemiboldIt" w:hAnsi="MyriadPro-SemiboldIt" w:cs="MyriadPro-SemiboldIt"/>
                <w:snapToGrid/>
                <w:szCs w:val="22"/>
                <w:lang w:eastAsia="zh-CN"/>
              </w:rPr>
            </w:pPr>
            <w:r>
              <w:rPr>
                <w:rStyle w:val="FootnoteReference"/>
                <w:rFonts w:ascii="MyriadPro-SemiboldIt" w:hAnsi="MyriadPro-SemiboldIt" w:cs="MyriadPro-SemiboldIt"/>
                <w:snapToGrid/>
                <w:szCs w:val="22"/>
                <w:lang w:eastAsia="zh-CN"/>
              </w:rPr>
              <w:footnoteReference w:id="3"/>
            </w:r>
            <w:r w:rsidR="00071027" w:rsidRPr="00071027">
              <w:rPr>
                <w:rFonts w:ascii="MyriadPro-SemiboldIt" w:hAnsi="MyriadPro-SemiboldIt" w:cs="MyriadPro-SemiboldIt"/>
                <w:snapToGrid/>
                <w:szCs w:val="22"/>
                <w:lang w:eastAsia="zh-CN"/>
              </w:rPr>
              <w:t>Number of Member States provided with access to multi-languages ocean literacy</w:t>
            </w:r>
            <w:r w:rsidR="00071027">
              <w:rPr>
                <w:rFonts w:ascii="MyriadPro-SemiboldIt" w:hAnsi="MyriadPro-SemiboldIt" w:cs="MyriadPro-SemiboldIt"/>
                <w:snapToGrid/>
                <w:szCs w:val="22"/>
                <w:lang w:eastAsia="zh-CN"/>
              </w:rPr>
              <w:t xml:space="preserve"> </w:t>
            </w:r>
            <w:r w:rsidR="00071027" w:rsidRPr="00071027">
              <w:rPr>
                <w:rFonts w:ascii="MyriadPro-SemiboldIt" w:hAnsi="MyriadPro-SemiboldIt" w:cs="MyriadPro-SemiboldIt"/>
                <w:snapToGrid/>
                <w:szCs w:val="22"/>
                <w:lang w:eastAsia="zh-CN"/>
              </w:rPr>
              <w:t xml:space="preserve">resources and training </w:t>
            </w:r>
            <w:proofErr w:type="spellStart"/>
            <w:r w:rsidR="00071027" w:rsidRPr="00071027">
              <w:rPr>
                <w:rFonts w:ascii="MyriadPro-SemiboldIt" w:hAnsi="MyriadPro-SemiboldIt" w:cs="MyriadPro-SemiboldIt"/>
                <w:snapToGrid/>
                <w:szCs w:val="22"/>
                <w:lang w:eastAsia="zh-CN"/>
              </w:rPr>
              <w:t>programmes</w:t>
            </w:r>
            <w:proofErr w:type="spellEnd"/>
          </w:p>
        </w:tc>
        <w:tc>
          <w:tcPr>
            <w:tcW w:w="3202" w:type="dxa"/>
            <w:tcBorders>
              <w:top w:val="single" w:sz="8" w:space="0" w:color="548DD4" w:themeColor="text2" w:themeTint="99"/>
              <w:bottom w:val="single" w:sz="8" w:space="0" w:color="548DD4" w:themeColor="text2" w:themeTint="99"/>
            </w:tcBorders>
          </w:tcPr>
          <w:p w14:paraId="090DC815" w14:textId="499802D1" w:rsidR="00071027" w:rsidRPr="005D2C50" w:rsidRDefault="00594BD0" w:rsidP="007D5503">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no existing baseline</w:t>
            </w:r>
          </w:p>
        </w:tc>
        <w:tc>
          <w:tcPr>
            <w:tcW w:w="3203" w:type="dxa"/>
            <w:tcBorders>
              <w:top w:val="single" w:sz="8" w:space="0" w:color="548DD4" w:themeColor="text2" w:themeTint="99"/>
              <w:bottom w:val="single" w:sz="8" w:space="0" w:color="548DD4" w:themeColor="text2" w:themeTint="99"/>
            </w:tcBorders>
          </w:tcPr>
          <w:p w14:paraId="70C17C88" w14:textId="45497210" w:rsidR="00071027" w:rsidRPr="005D2C50" w:rsidRDefault="00594BD0" w:rsidP="00700920">
            <w:pPr>
              <w:widowControl/>
              <w:tabs>
                <w:tab w:val="clear" w:pos="567"/>
              </w:tabs>
              <w:autoSpaceDE w:val="0"/>
              <w:autoSpaceDN w:val="0"/>
              <w:snapToGrid/>
              <w:spacing w:line="240" w:lineRule="auto"/>
              <w:jc w:val="left"/>
              <w:textAlignment w:val="auto"/>
              <w:rPr>
                <w:rFonts w:ascii="MyriadPro-SemiboldIt" w:hAnsi="MyriadPro-SemiboldIt" w:cs="MyriadPro-SemiboldIt"/>
                <w:snapToGrid/>
                <w:szCs w:val="22"/>
                <w:lang w:eastAsia="zh-CN"/>
              </w:rPr>
            </w:pPr>
            <w:r w:rsidRPr="005D2C50">
              <w:rPr>
                <w:rFonts w:ascii="MyriadPro-It" w:hAnsi="MyriadPro-It" w:cs="MyriadPro-It"/>
                <w:i/>
                <w:iCs/>
                <w:snapToGrid/>
                <w:szCs w:val="22"/>
                <w:lang w:eastAsia="zh-CN"/>
              </w:rPr>
              <w:t>80 Member States, of which 8 in</w:t>
            </w:r>
            <w:r w:rsidR="00700920">
              <w:rPr>
                <w:rFonts w:ascii="MyriadPro-It" w:hAnsi="MyriadPro-It" w:cs="MyriadPro-It"/>
                <w:i/>
                <w:iCs/>
                <w:snapToGrid/>
                <w:szCs w:val="22"/>
                <w:lang w:eastAsia="zh-CN"/>
              </w:rPr>
              <w:t xml:space="preserve"> </w:t>
            </w:r>
            <w:r w:rsidRPr="005D2C50">
              <w:rPr>
                <w:rFonts w:ascii="MyriadPro-It" w:hAnsi="MyriadPro-It" w:cs="MyriadPro-It"/>
                <w:i/>
                <w:iCs/>
                <w:snapToGrid/>
                <w:szCs w:val="22"/>
                <w:lang w:eastAsia="zh-CN"/>
              </w:rPr>
              <w:t>Africa and 10 SIDS</w:t>
            </w:r>
          </w:p>
        </w:tc>
      </w:tr>
    </w:tbl>
    <w:p w14:paraId="0367A8E7" w14:textId="01547B51" w:rsidR="007D5503" w:rsidRDefault="007D5503" w:rsidP="007D5503">
      <w:pPr>
        <w:widowControl/>
        <w:tabs>
          <w:tab w:val="clear" w:pos="567"/>
        </w:tabs>
        <w:autoSpaceDE w:val="0"/>
        <w:autoSpaceDN w:val="0"/>
        <w:snapToGrid/>
        <w:spacing w:line="240" w:lineRule="auto"/>
        <w:jc w:val="left"/>
        <w:textAlignment w:val="auto"/>
        <w:rPr>
          <w:lang w:val="en-US"/>
        </w:rPr>
      </w:pPr>
    </w:p>
    <w:p w14:paraId="210B7DD0" w14:textId="50DBDEBC" w:rsidR="00C516F7" w:rsidRDefault="00C516F7">
      <w:pPr>
        <w:widowControl/>
        <w:tabs>
          <w:tab w:val="clear" w:pos="567"/>
        </w:tabs>
        <w:adjustRightInd/>
        <w:snapToGrid/>
        <w:spacing w:line="240" w:lineRule="auto"/>
        <w:jc w:val="left"/>
        <w:textAlignment w:val="auto"/>
        <w:rPr>
          <w:lang w:val="en-US"/>
        </w:rPr>
      </w:pPr>
      <w:r>
        <w:rPr>
          <w:lang w:val="en-US"/>
        </w:rPr>
        <w:br w:type="page"/>
      </w:r>
    </w:p>
    <w:p w14:paraId="1DFCC1F1" w14:textId="76BC2506" w:rsidR="00700920" w:rsidRDefault="00C516F7" w:rsidP="005015A4">
      <w:pPr>
        <w:pStyle w:val="ListParagraph"/>
        <w:widowControl/>
        <w:numPr>
          <w:ilvl w:val="0"/>
          <w:numId w:val="34"/>
        </w:numPr>
        <w:pBdr>
          <w:bottom w:val="single" w:sz="4" w:space="1" w:color="auto"/>
        </w:pBdr>
        <w:tabs>
          <w:tab w:val="clear" w:pos="567"/>
        </w:tabs>
        <w:autoSpaceDE w:val="0"/>
        <w:autoSpaceDN w:val="0"/>
        <w:snapToGrid/>
        <w:spacing w:line="240" w:lineRule="auto"/>
        <w:ind w:left="709"/>
        <w:jc w:val="left"/>
        <w:textAlignment w:val="auto"/>
        <w:rPr>
          <w:b/>
          <w:bCs/>
          <w:lang w:val="en-US"/>
        </w:rPr>
      </w:pPr>
      <w:r w:rsidRPr="005015A4">
        <w:rPr>
          <w:b/>
          <w:bCs/>
          <w:lang w:val="en-US"/>
        </w:rPr>
        <w:lastRenderedPageBreak/>
        <w:t>Intergovernmental Oceanographic Commission:</w:t>
      </w:r>
      <w:r w:rsidR="005015A4" w:rsidRPr="005015A4">
        <w:rPr>
          <w:b/>
          <w:bCs/>
          <w:lang w:val="en-US"/>
        </w:rPr>
        <w:t xml:space="preserve"> </w:t>
      </w:r>
      <w:r w:rsidRPr="005015A4">
        <w:rPr>
          <w:b/>
          <w:bCs/>
          <w:lang w:val="en-US"/>
        </w:rPr>
        <w:t>Resources</w:t>
      </w:r>
    </w:p>
    <w:p w14:paraId="2AE542A1" w14:textId="1DE34C48" w:rsidR="005015A4" w:rsidRDefault="005015A4" w:rsidP="005015A4">
      <w:pPr>
        <w:pStyle w:val="Marge"/>
        <w:tabs>
          <w:tab w:val="clear" w:pos="567"/>
          <w:tab w:val="left" w:pos="1162"/>
        </w:tabs>
        <w:spacing w:line="240" w:lineRule="auto"/>
        <w:rPr>
          <w:lang w:val="en-US"/>
        </w:rPr>
      </w:pPr>
    </w:p>
    <w:p w14:paraId="33F21AAF" w14:textId="3EEB3573" w:rsidR="005015A4" w:rsidRDefault="005015A4" w:rsidP="005015A4">
      <w:pPr>
        <w:pStyle w:val="Marge"/>
        <w:tabs>
          <w:tab w:val="clear" w:pos="567"/>
          <w:tab w:val="left" w:pos="1162"/>
        </w:tabs>
        <w:spacing w:line="240" w:lineRule="auto"/>
        <w:rPr>
          <w:lang w:val="en-US"/>
        </w:rPr>
      </w:pPr>
      <w:r>
        <w:rPr>
          <w:noProof/>
          <w:snapToGrid/>
          <w:lang w:val="fr-FR" w:eastAsia="fr-FR"/>
        </w:rPr>
        <w:drawing>
          <wp:inline distT="0" distB="0" distL="0" distR="0" wp14:anchorId="64A0AE9A" wp14:editId="2608376F">
            <wp:extent cx="6106795" cy="3088640"/>
            <wp:effectExtent l="0" t="0" r="8255"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2"/>
                    <a:stretch>
                      <a:fillRect/>
                    </a:stretch>
                  </pic:blipFill>
                  <pic:spPr>
                    <a:xfrm>
                      <a:off x="0" y="0"/>
                      <a:ext cx="6106795" cy="3088640"/>
                    </a:xfrm>
                    <a:prstGeom prst="rect">
                      <a:avLst/>
                    </a:prstGeom>
                  </pic:spPr>
                </pic:pic>
              </a:graphicData>
            </a:graphic>
          </wp:inline>
        </w:drawing>
      </w:r>
    </w:p>
    <w:p w14:paraId="606E57D0" w14:textId="77777777" w:rsidR="00493800" w:rsidRDefault="00493800" w:rsidP="005015A4">
      <w:pPr>
        <w:pStyle w:val="Marge"/>
        <w:tabs>
          <w:tab w:val="clear" w:pos="567"/>
          <w:tab w:val="left" w:pos="1162"/>
        </w:tabs>
        <w:spacing w:line="240" w:lineRule="auto"/>
        <w:rPr>
          <w:lang w:val="en-US"/>
        </w:rPr>
      </w:pPr>
    </w:p>
    <w:p w14:paraId="36A11009" w14:textId="6AD27B18" w:rsidR="00A1295C" w:rsidRDefault="00A1295C" w:rsidP="005015A4">
      <w:pPr>
        <w:pStyle w:val="Marge"/>
        <w:tabs>
          <w:tab w:val="clear" w:pos="567"/>
          <w:tab w:val="left" w:pos="1162"/>
        </w:tabs>
        <w:spacing w:line="240" w:lineRule="auto"/>
        <w:rPr>
          <w:lang w:val="en-US"/>
        </w:rPr>
      </w:pPr>
      <w:r>
        <w:rPr>
          <w:noProof/>
          <w:snapToGrid/>
          <w:lang w:val="fr-FR" w:eastAsia="fr-FR"/>
        </w:rPr>
        <w:drawing>
          <wp:inline distT="0" distB="0" distL="0" distR="0" wp14:anchorId="6AEEF60F" wp14:editId="1B752F4E">
            <wp:extent cx="6106795" cy="3923030"/>
            <wp:effectExtent l="0" t="0" r="8255" b="127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23"/>
                    <a:stretch>
                      <a:fillRect/>
                    </a:stretch>
                  </pic:blipFill>
                  <pic:spPr>
                    <a:xfrm>
                      <a:off x="0" y="0"/>
                      <a:ext cx="6106795" cy="3923030"/>
                    </a:xfrm>
                    <a:prstGeom prst="rect">
                      <a:avLst/>
                    </a:prstGeom>
                  </pic:spPr>
                </pic:pic>
              </a:graphicData>
            </a:graphic>
          </wp:inline>
        </w:drawing>
      </w:r>
    </w:p>
    <w:p w14:paraId="27C949A5" w14:textId="10D759EB" w:rsidR="00A1295C" w:rsidRDefault="00A1295C">
      <w:pPr>
        <w:widowControl/>
        <w:tabs>
          <w:tab w:val="clear" w:pos="567"/>
        </w:tabs>
        <w:adjustRightInd/>
        <w:snapToGrid/>
        <w:spacing w:line="240" w:lineRule="auto"/>
        <w:jc w:val="left"/>
        <w:textAlignment w:val="auto"/>
        <w:rPr>
          <w:lang w:val="en-US"/>
        </w:rPr>
      </w:pPr>
      <w:r>
        <w:rPr>
          <w:lang w:val="en-US"/>
        </w:rPr>
        <w:br w:type="page"/>
      </w:r>
    </w:p>
    <w:p w14:paraId="30A1471E" w14:textId="2E219B6B" w:rsidR="0043316F" w:rsidRDefault="00EF6512" w:rsidP="00EF6512">
      <w:pPr>
        <w:pStyle w:val="ParaCOI"/>
        <w:numPr>
          <w:ilvl w:val="0"/>
          <w:numId w:val="23"/>
        </w:numPr>
        <w:shd w:val="clear" w:color="auto" w:fill="FFFFFF"/>
        <w:ind w:left="0" w:firstLine="0"/>
        <w:rPr>
          <w:lang w:val="en-US"/>
        </w:rPr>
      </w:pPr>
      <w:r>
        <w:rPr>
          <w:lang w:val="en-US"/>
        </w:rPr>
        <w:lastRenderedPageBreak/>
        <w:t xml:space="preserve">The </w:t>
      </w:r>
      <w:r w:rsidR="002125C8">
        <w:rPr>
          <w:lang w:val="en-US"/>
        </w:rPr>
        <w:t xml:space="preserve">Tables and charts below </w:t>
      </w:r>
      <w:r>
        <w:rPr>
          <w:lang w:val="en-US"/>
        </w:rPr>
        <w:t xml:space="preserve">complete the presentation of the IOC </w:t>
      </w:r>
      <w:proofErr w:type="spellStart"/>
      <w:r>
        <w:rPr>
          <w:lang w:val="en-US"/>
        </w:rPr>
        <w:t>programme</w:t>
      </w:r>
      <w:proofErr w:type="spellEnd"/>
      <w:r>
        <w:rPr>
          <w:lang w:val="en-US"/>
        </w:rPr>
        <w:t xml:space="preserve"> and budget in </w:t>
      </w:r>
      <w:r w:rsidR="00D70C66">
        <w:rPr>
          <w:lang w:val="en-US"/>
        </w:rPr>
        <w:t xml:space="preserve">the </w:t>
      </w:r>
      <w:r>
        <w:rPr>
          <w:lang w:val="en-US"/>
        </w:rPr>
        <w:t xml:space="preserve">draft 41 C/5. They </w:t>
      </w:r>
      <w:r w:rsidR="002125C8">
        <w:rPr>
          <w:lang w:val="en-US"/>
        </w:rPr>
        <w:t>provide the complete Draft 41</w:t>
      </w:r>
      <w:r>
        <w:rPr>
          <w:lang w:val="en-US"/>
        </w:rPr>
        <w:t> </w:t>
      </w:r>
      <w:r w:rsidR="002125C8">
        <w:rPr>
          <w:lang w:val="en-US"/>
        </w:rPr>
        <w:t>C/5 (2022</w:t>
      </w:r>
      <w:r>
        <w:rPr>
          <w:lang w:val="en-US"/>
        </w:rPr>
        <w:t>–</w:t>
      </w:r>
      <w:r w:rsidR="002125C8">
        <w:rPr>
          <w:lang w:val="en-US"/>
        </w:rPr>
        <w:t>2023) Integrated Budgetary Framework, including proposed allocations by functions and activities, as well as comparisons with the 40</w:t>
      </w:r>
      <w:r>
        <w:rPr>
          <w:lang w:val="en-US"/>
        </w:rPr>
        <w:t> </w:t>
      </w:r>
      <w:r w:rsidR="002125C8">
        <w:rPr>
          <w:lang w:val="en-US"/>
        </w:rPr>
        <w:t>C/5 (2020</w:t>
      </w:r>
      <w:r>
        <w:rPr>
          <w:lang w:val="en-US"/>
        </w:rPr>
        <w:t>–</w:t>
      </w:r>
      <w:r w:rsidR="002125C8">
        <w:rPr>
          <w:lang w:val="en-US"/>
        </w:rPr>
        <w:t>2021).</w:t>
      </w:r>
    </w:p>
    <w:p w14:paraId="29279ECE" w14:textId="2A2ACF0C" w:rsidR="0043316F" w:rsidRDefault="004E30C4">
      <w:pPr>
        <w:widowControl/>
        <w:tabs>
          <w:tab w:val="clear" w:pos="567"/>
        </w:tabs>
        <w:adjustRightInd/>
        <w:snapToGrid/>
        <w:spacing w:line="240" w:lineRule="auto"/>
        <w:jc w:val="left"/>
        <w:textAlignment w:val="auto"/>
        <w:rPr>
          <w:lang w:val="en-US"/>
        </w:rPr>
      </w:pPr>
      <w:r w:rsidRPr="004E30C4">
        <w:rPr>
          <w:noProof/>
          <w:lang w:val="fr-FR" w:eastAsia="fr-FR"/>
        </w:rPr>
        <w:drawing>
          <wp:inline distT="0" distB="0" distL="0" distR="0" wp14:anchorId="33A5F892" wp14:editId="424F932A">
            <wp:extent cx="6106795" cy="7581812"/>
            <wp:effectExtent l="0" t="0" r="825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6795" cy="7581812"/>
                    </a:xfrm>
                    <a:prstGeom prst="rect">
                      <a:avLst/>
                    </a:prstGeom>
                    <a:noFill/>
                    <a:ln>
                      <a:noFill/>
                    </a:ln>
                  </pic:spPr>
                </pic:pic>
              </a:graphicData>
            </a:graphic>
          </wp:inline>
        </w:drawing>
      </w:r>
      <w:r w:rsidR="0043316F">
        <w:rPr>
          <w:lang w:val="en-US"/>
        </w:rPr>
        <w:br w:type="page"/>
      </w:r>
    </w:p>
    <w:tbl>
      <w:tblPr>
        <w:tblW w:w="9400" w:type="dxa"/>
        <w:tblCellMar>
          <w:left w:w="70" w:type="dxa"/>
          <w:right w:w="70" w:type="dxa"/>
        </w:tblCellMar>
        <w:tblLook w:val="04A0" w:firstRow="1" w:lastRow="0" w:firstColumn="1" w:lastColumn="0" w:noHBand="0" w:noVBand="1"/>
      </w:tblPr>
      <w:tblGrid>
        <w:gridCol w:w="1400"/>
        <w:gridCol w:w="1006"/>
        <w:gridCol w:w="982"/>
        <w:gridCol w:w="1006"/>
        <w:gridCol w:w="1006"/>
        <w:gridCol w:w="1006"/>
        <w:gridCol w:w="982"/>
        <w:gridCol w:w="1006"/>
        <w:gridCol w:w="1006"/>
      </w:tblGrid>
      <w:tr w:rsidR="00AE31B6" w:rsidRPr="00AE31B6" w14:paraId="5771D3A0" w14:textId="77777777" w:rsidTr="00AE31B6">
        <w:trPr>
          <w:trHeight w:val="29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050"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lastRenderedPageBreak/>
              <w:t xml:space="preserve">IOC </w:t>
            </w:r>
            <w:proofErr w:type="spellStart"/>
            <w:r w:rsidRPr="00AE31B6">
              <w:rPr>
                <w:rFonts w:ascii="Calibri" w:hAnsi="Calibri" w:cs="Calibri"/>
                <w:b/>
                <w:bCs/>
                <w:snapToGrid/>
                <w:sz w:val="18"/>
                <w:szCs w:val="18"/>
                <w:lang w:val="fr-FR" w:eastAsia="fr-FR"/>
              </w:rPr>
              <w:t>Function</w:t>
            </w:r>
            <w:proofErr w:type="spellEnd"/>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71EC7C"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40 C/5 (2020-2021) IBF</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8A086B"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Draft 41 C/5 (2022-2023) IBF</w:t>
            </w:r>
          </w:p>
        </w:tc>
      </w:tr>
      <w:tr w:rsidR="00AE31B6" w:rsidRPr="00AE31B6" w14:paraId="34602A2B" w14:textId="77777777" w:rsidTr="00AE31B6">
        <w:trPr>
          <w:trHeight w:val="24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44D08A8D"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b/>
                <w:bCs/>
                <w:snapToGrid/>
                <w:sz w:val="18"/>
                <w:szCs w:val="18"/>
                <w:lang w:val="fr-FR" w:eastAsia="fr-FR"/>
              </w:rPr>
            </w:pPr>
          </w:p>
        </w:tc>
        <w:tc>
          <w:tcPr>
            <w:tcW w:w="1006" w:type="dxa"/>
            <w:tcBorders>
              <w:top w:val="nil"/>
              <w:left w:val="nil"/>
              <w:bottom w:val="single" w:sz="4" w:space="0" w:color="auto"/>
              <w:right w:val="single" w:sz="4" w:space="0" w:color="auto"/>
            </w:tcBorders>
            <w:shd w:val="clear" w:color="auto" w:fill="auto"/>
            <w:noWrap/>
            <w:vAlign w:val="center"/>
            <w:hideMark/>
          </w:tcPr>
          <w:p w14:paraId="0F600C81"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RB</w:t>
            </w:r>
          </w:p>
        </w:tc>
        <w:tc>
          <w:tcPr>
            <w:tcW w:w="982" w:type="dxa"/>
            <w:tcBorders>
              <w:top w:val="nil"/>
              <w:left w:val="nil"/>
              <w:bottom w:val="single" w:sz="4" w:space="0" w:color="auto"/>
              <w:right w:val="single" w:sz="4" w:space="0" w:color="auto"/>
            </w:tcBorders>
            <w:shd w:val="clear" w:color="auto" w:fill="auto"/>
            <w:noWrap/>
            <w:vAlign w:val="center"/>
            <w:hideMark/>
          </w:tcPr>
          <w:p w14:paraId="72CC7D10"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VC in hand</w:t>
            </w:r>
          </w:p>
        </w:tc>
        <w:tc>
          <w:tcPr>
            <w:tcW w:w="1006" w:type="dxa"/>
            <w:tcBorders>
              <w:top w:val="nil"/>
              <w:left w:val="nil"/>
              <w:bottom w:val="single" w:sz="4" w:space="0" w:color="auto"/>
              <w:right w:val="single" w:sz="4" w:space="0" w:color="auto"/>
            </w:tcBorders>
            <w:shd w:val="clear" w:color="auto" w:fill="auto"/>
            <w:noWrap/>
            <w:vAlign w:val="center"/>
            <w:hideMark/>
          </w:tcPr>
          <w:p w14:paraId="29E6C49A"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VC gap</w:t>
            </w:r>
          </w:p>
        </w:tc>
        <w:tc>
          <w:tcPr>
            <w:tcW w:w="1006" w:type="dxa"/>
            <w:tcBorders>
              <w:top w:val="nil"/>
              <w:left w:val="nil"/>
              <w:bottom w:val="single" w:sz="4" w:space="0" w:color="auto"/>
              <w:right w:val="single" w:sz="4" w:space="0" w:color="auto"/>
            </w:tcBorders>
            <w:shd w:val="clear" w:color="auto" w:fill="auto"/>
            <w:noWrap/>
            <w:vAlign w:val="center"/>
            <w:hideMark/>
          </w:tcPr>
          <w:p w14:paraId="1511101B"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 xml:space="preserve">Total </w:t>
            </w:r>
          </w:p>
        </w:tc>
        <w:tc>
          <w:tcPr>
            <w:tcW w:w="1006" w:type="dxa"/>
            <w:tcBorders>
              <w:top w:val="nil"/>
              <w:left w:val="nil"/>
              <w:bottom w:val="single" w:sz="4" w:space="0" w:color="auto"/>
              <w:right w:val="single" w:sz="4" w:space="0" w:color="auto"/>
            </w:tcBorders>
            <w:shd w:val="clear" w:color="auto" w:fill="auto"/>
            <w:noWrap/>
            <w:vAlign w:val="center"/>
            <w:hideMark/>
          </w:tcPr>
          <w:p w14:paraId="4AA38C36"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RB</w:t>
            </w:r>
          </w:p>
        </w:tc>
        <w:tc>
          <w:tcPr>
            <w:tcW w:w="982" w:type="dxa"/>
            <w:tcBorders>
              <w:top w:val="nil"/>
              <w:left w:val="nil"/>
              <w:bottom w:val="single" w:sz="4" w:space="0" w:color="auto"/>
              <w:right w:val="single" w:sz="4" w:space="0" w:color="auto"/>
            </w:tcBorders>
            <w:shd w:val="clear" w:color="auto" w:fill="auto"/>
            <w:noWrap/>
            <w:vAlign w:val="center"/>
            <w:hideMark/>
          </w:tcPr>
          <w:p w14:paraId="7F46DA7D"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VC in hand</w:t>
            </w:r>
          </w:p>
        </w:tc>
        <w:tc>
          <w:tcPr>
            <w:tcW w:w="1006" w:type="dxa"/>
            <w:tcBorders>
              <w:top w:val="nil"/>
              <w:left w:val="nil"/>
              <w:bottom w:val="single" w:sz="4" w:space="0" w:color="auto"/>
              <w:right w:val="single" w:sz="4" w:space="0" w:color="auto"/>
            </w:tcBorders>
            <w:shd w:val="clear" w:color="auto" w:fill="auto"/>
            <w:noWrap/>
            <w:vAlign w:val="center"/>
            <w:hideMark/>
          </w:tcPr>
          <w:p w14:paraId="5C38FCAC"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VC gap</w:t>
            </w:r>
          </w:p>
        </w:tc>
        <w:tc>
          <w:tcPr>
            <w:tcW w:w="1006" w:type="dxa"/>
            <w:tcBorders>
              <w:top w:val="nil"/>
              <w:left w:val="nil"/>
              <w:bottom w:val="single" w:sz="4" w:space="0" w:color="auto"/>
              <w:right w:val="single" w:sz="4" w:space="0" w:color="auto"/>
            </w:tcBorders>
            <w:shd w:val="clear" w:color="auto" w:fill="auto"/>
            <w:noWrap/>
            <w:vAlign w:val="center"/>
            <w:hideMark/>
          </w:tcPr>
          <w:p w14:paraId="114237B7" w14:textId="77777777" w:rsidR="00AE31B6" w:rsidRPr="00AE31B6"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Total</w:t>
            </w:r>
          </w:p>
        </w:tc>
      </w:tr>
      <w:tr w:rsidR="00AE31B6" w:rsidRPr="00AE31B6" w14:paraId="4BD47C92"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3E806C"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A</w:t>
            </w:r>
          </w:p>
        </w:tc>
        <w:tc>
          <w:tcPr>
            <w:tcW w:w="1006" w:type="dxa"/>
            <w:tcBorders>
              <w:top w:val="nil"/>
              <w:left w:val="nil"/>
              <w:bottom w:val="single" w:sz="4" w:space="0" w:color="auto"/>
              <w:right w:val="single" w:sz="4" w:space="0" w:color="auto"/>
            </w:tcBorders>
            <w:shd w:val="clear" w:color="auto" w:fill="auto"/>
            <w:noWrap/>
            <w:vAlign w:val="bottom"/>
            <w:hideMark/>
          </w:tcPr>
          <w:p w14:paraId="40D1900B"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205,000</w:t>
            </w:r>
          </w:p>
        </w:tc>
        <w:tc>
          <w:tcPr>
            <w:tcW w:w="982" w:type="dxa"/>
            <w:tcBorders>
              <w:top w:val="nil"/>
              <w:left w:val="nil"/>
              <w:bottom w:val="single" w:sz="4" w:space="0" w:color="auto"/>
              <w:right w:val="single" w:sz="4" w:space="0" w:color="auto"/>
            </w:tcBorders>
            <w:shd w:val="clear" w:color="auto" w:fill="auto"/>
            <w:noWrap/>
            <w:vAlign w:val="bottom"/>
            <w:hideMark/>
          </w:tcPr>
          <w:p w14:paraId="428FC38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50,000</w:t>
            </w:r>
          </w:p>
        </w:tc>
        <w:tc>
          <w:tcPr>
            <w:tcW w:w="1006" w:type="dxa"/>
            <w:tcBorders>
              <w:top w:val="nil"/>
              <w:left w:val="nil"/>
              <w:bottom w:val="single" w:sz="4" w:space="0" w:color="auto"/>
              <w:right w:val="single" w:sz="4" w:space="0" w:color="auto"/>
            </w:tcBorders>
            <w:shd w:val="clear" w:color="auto" w:fill="auto"/>
            <w:noWrap/>
            <w:vAlign w:val="bottom"/>
            <w:hideMark/>
          </w:tcPr>
          <w:p w14:paraId="204DABA0"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994,000</w:t>
            </w:r>
          </w:p>
        </w:tc>
        <w:tc>
          <w:tcPr>
            <w:tcW w:w="1006" w:type="dxa"/>
            <w:tcBorders>
              <w:top w:val="nil"/>
              <w:left w:val="nil"/>
              <w:bottom w:val="single" w:sz="4" w:space="0" w:color="auto"/>
              <w:right w:val="single" w:sz="4" w:space="0" w:color="auto"/>
            </w:tcBorders>
            <w:shd w:val="clear" w:color="auto" w:fill="auto"/>
            <w:noWrap/>
            <w:vAlign w:val="bottom"/>
            <w:hideMark/>
          </w:tcPr>
          <w:p w14:paraId="5EBDE3D4"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1,249,000</w:t>
            </w:r>
          </w:p>
        </w:tc>
        <w:tc>
          <w:tcPr>
            <w:tcW w:w="1006" w:type="dxa"/>
            <w:tcBorders>
              <w:top w:val="nil"/>
              <w:left w:val="nil"/>
              <w:bottom w:val="single" w:sz="4" w:space="0" w:color="auto"/>
              <w:right w:val="single" w:sz="4" w:space="0" w:color="auto"/>
            </w:tcBorders>
            <w:shd w:val="clear" w:color="auto" w:fill="auto"/>
            <w:noWrap/>
            <w:vAlign w:val="bottom"/>
            <w:hideMark/>
          </w:tcPr>
          <w:p w14:paraId="35DA1987"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135,745</w:t>
            </w:r>
          </w:p>
        </w:tc>
        <w:tc>
          <w:tcPr>
            <w:tcW w:w="982" w:type="dxa"/>
            <w:tcBorders>
              <w:top w:val="nil"/>
              <w:left w:val="nil"/>
              <w:bottom w:val="single" w:sz="4" w:space="0" w:color="auto"/>
              <w:right w:val="single" w:sz="4" w:space="0" w:color="auto"/>
            </w:tcBorders>
            <w:shd w:val="clear" w:color="auto" w:fill="auto"/>
            <w:noWrap/>
            <w:vAlign w:val="bottom"/>
            <w:hideMark/>
          </w:tcPr>
          <w:p w14:paraId="0B121DE6"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203,400</w:t>
            </w:r>
          </w:p>
        </w:tc>
        <w:tc>
          <w:tcPr>
            <w:tcW w:w="1006" w:type="dxa"/>
            <w:tcBorders>
              <w:top w:val="nil"/>
              <w:left w:val="nil"/>
              <w:bottom w:val="single" w:sz="4" w:space="0" w:color="auto"/>
              <w:right w:val="single" w:sz="4" w:space="0" w:color="auto"/>
            </w:tcBorders>
            <w:shd w:val="clear" w:color="auto" w:fill="auto"/>
            <w:noWrap/>
            <w:vAlign w:val="bottom"/>
            <w:hideMark/>
          </w:tcPr>
          <w:p w14:paraId="5111A977"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550,000</w:t>
            </w:r>
          </w:p>
        </w:tc>
        <w:tc>
          <w:tcPr>
            <w:tcW w:w="1006" w:type="dxa"/>
            <w:tcBorders>
              <w:top w:val="nil"/>
              <w:left w:val="nil"/>
              <w:bottom w:val="single" w:sz="4" w:space="0" w:color="auto"/>
              <w:right w:val="single" w:sz="4" w:space="0" w:color="auto"/>
            </w:tcBorders>
            <w:shd w:val="clear" w:color="auto" w:fill="auto"/>
            <w:noWrap/>
            <w:vAlign w:val="bottom"/>
            <w:hideMark/>
          </w:tcPr>
          <w:p w14:paraId="2D9F1AD1"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889,145</w:t>
            </w:r>
          </w:p>
        </w:tc>
      </w:tr>
      <w:tr w:rsidR="00AE31B6" w:rsidRPr="00AE31B6" w14:paraId="2FFD10F4"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BBD32B"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B</w:t>
            </w:r>
          </w:p>
        </w:tc>
        <w:tc>
          <w:tcPr>
            <w:tcW w:w="1006" w:type="dxa"/>
            <w:tcBorders>
              <w:top w:val="nil"/>
              <w:left w:val="nil"/>
              <w:bottom w:val="single" w:sz="4" w:space="0" w:color="auto"/>
              <w:right w:val="single" w:sz="4" w:space="0" w:color="auto"/>
            </w:tcBorders>
            <w:shd w:val="clear" w:color="auto" w:fill="auto"/>
            <w:noWrap/>
            <w:vAlign w:val="bottom"/>
            <w:hideMark/>
          </w:tcPr>
          <w:p w14:paraId="0DA0E234"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567,000</w:t>
            </w:r>
          </w:p>
        </w:tc>
        <w:tc>
          <w:tcPr>
            <w:tcW w:w="982" w:type="dxa"/>
            <w:tcBorders>
              <w:top w:val="nil"/>
              <w:left w:val="nil"/>
              <w:bottom w:val="single" w:sz="4" w:space="0" w:color="auto"/>
              <w:right w:val="single" w:sz="4" w:space="0" w:color="auto"/>
            </w:tcBorders>
            <w:shd w:val="clear" w:color="auto" w:fill="auto"/>
            <w:noWrap/>
            <w:vAlign w:val="bottom"/>
            <w:hideMark/>
          </w:tcPr>
          <w:p w14:paraId="7012A69A"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220,000</w:t>
            </w:r>
          </w:p>
        </w:tc>
        <w:tc>
          <w:tcPr>
            <w:tcW w:w="1006" w:type="dxa"/>
            <w:tcBorders>
              <w:top w:val="nil"/>
              <w:left w:val="nil"/>
              <w:bottom w:val="single" w:sz="4" w:space="0" w:color="auto"/>
              <w:right w:val="single" w:sz="4" w:space="0" w:color="auto"/>
            </w:tcBorders>
            <w:shd w:val="clear" w:color="auto" w:fill="auto"/>
            <w:noWrap/>
            <w:vAlign w:val="bottom"/>
            <w:hideMark/>
          </w:tcPr>
          <w:p w14:paraId="168E4740"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1,722,200</w:t>
            </w:r>
          </w:p>
        </w:tc>
        <w:tc>
          <w:tcPr>
            <w:tcW w:w="1006" w:type="dxa"/>
            <w:tcBorders>
              <w:top w:val="nil"/>
              <w:left w:val="nil"/>
              <w:bottom w:val="single" w:sz="4" w:space="0" w:color="auto"/>
              <w:right w:val="single" w:sz="4" w:space="0" w:color="auto"/>
            </w:tcBorders>
            <w:shd w:val="clear" w:color="auto" w:fill="auto"/>
            <w:noWrap/>
            <w:vAlign w:val="bottom"/>
            <w:hideMark/>
          </w:tcPr>
          <w:p w14:paraId="6B502BE7"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2,509,200</w:t>
            </w:r>
          </w:p>
        </w:tc>
        <w:tc>
          <w:tcPr>
            <w:tcW w:w="1006" w:type="dxa"/>
            <w:tcBorders>
              <w:top w:val="nil"/>
              <w:left w:val="nil"/>
              <w:bottom w:val="single" w:sz="4" w:space="0" w:color="auto"/>
              <w:right w:val="single" w:sz="4" w:space="0" w:color="auto"/>
            </w:tcBorders>
            <w:shd w:val="clear" w:color="auto" w:fill="auto"/>
            <w:noWrap/>
            <w:vAlign w:val="bottom"/>
            <w:hideMark/>
          </w:tcPr>
          <w:p w14:paraId="7DB12BF5"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503,205</w:t>
            </w:r>
          </w:p>
        </w:tc>
        <w:tc>
          <w:tcPr>
            <w:tcW w:w="982" w:type="dxa"/>
            <w:tcBorders>
              <w:top w:val="nil"/>
              <w:left w:val="nil"/>
              <w:bottom w:val="single" w:sz="4" w:space="0" w:color="auto"/>
              <w:right w:val="single" w:sz="4" w:space="0" w:color="auto"/>
            </w:tcBorders>
            <w:shd w:val="clear" w:color="auto" w:fill="auto"/>
            <w:noWrap/>
            <w:vAlign w:val="bottom"/>
            <w:hideMark/>
          </w:tcPr>
          <w:p w14:paraId="10F05DB4"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1,714,500</w:t>
            </w:r>
          </w:p>
        </w:tc>
        <w:tc>
          <w:tcPr>
            <w:tcW w:w="1006" w:type="dxa"/>
            <w:tcBorders>
              <w:top w:val="nil"/>
              <w:left w:val="nil"/>
              <w:bottom w:val="single" w:sz="4" w:space="0" w:color="auto"/>
              <w:right w:val="single" w:sz="4" w:space="0" w:color="auto"/>
            </w:tcBorders>
            <w:shd w:val="clear" w:color="auto" w:fill="auto"/>
            <w:noWrap/>
            <w:vAlign w:val="bottom"/>
            <w:hideMark/>
          </w:tcPr>
          <w:p w14:paraId="70477411"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3,382,000</w:t>
            </w:r>
          </w:p>
        </w:tc>
        <w:tc>
          <w:tcPr>
            <w:tcW w:w="1006" w:type="dxa"/>
            <w:tcBorders>
              <w:top w:val="nil"/>
              <w:left w:val="nil"/>
              <w:bottom w:val="single" w:sz="4" w:space="0" w:color="auto"/>
              <w:right w:val="single" w:sz="4" w:space="0" w:color="auto"/>
            </w:tcBorders>
            <w:shd w:val="clear" w:color="auto" w:fill="auto"/>
            <w:noWrap/>
            <w:vAlign w:val="bottom"/>
            <w:hideMark/>
          </w:tcPr>
          <w:p w14:paraId="003C9A6E"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5,599,705</w:t>
            </w:r>
          </w:p>
        </w:tc>
      </w:tr>
      <w:tr w:rsidR="00AE31B6" w:rsidRPr="00AE31B6" w14:paraId="523F2D9B"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8033D1"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C</w:t>
            </w:r>
          </w:p>
        </w:tc>
        <w:tc>
          <w:tcPr>
            <w:tcW w:w="1006" w:type="dxa"/>
            <w:tcBorders>
              <w:top w:val="nil"/>
              <w:left w:val="nil"/>
              <w:bottom w:val="single" w:sz="4" w:space="0" w:color="auto"/>
              <w:right w:val="single" w:sz="4" w:space="0" w:color="auto"/>
            </w:tcBorders>
            <w:shd w:val="clear" w:color="auto" w:fill="auto"/>
            <w:noWrap/>
            <w:vAlign w:val="bottom"/>
            <w:hideMark/>
          </w:tcPr>
          <w:p w14:paraId="43508C40"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450,000</w:t>
            </w:r>
          </w:p>
        </w:tc>
        <w:tc>
          <w:tcPr>
            <w:tcW w:w="982" w:type="dxa"/>
            <w:tcBorders>
              <w:top w:val="nil"/>
              <w:left w:val="nil"/>
              <w:bottom w:val="single" w:sz="4" w:space="0" w:color="auto"/>
              <w:right w:val="single" w:sz="4" w:space="0" w:color="auto"/>
            </w:tcBorders>
            <w:shd w:val="clear" w:color="auto" w:fill="auto"/>
            <w:noWrap/>
            <w:vAlign w:val="bottom"/>
            <w:hideMark/>
          </w:tcPr>
          <w:p w14:paraId="04215D5A"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550,000</w:t>
            </w:r>
          </w:p>
        </w:tc>
        <w:tc>
          <w:tcPr>
            <w:tcW w:w="1006" w:type="dxa"/>
            <w:tcBorders>
              <w:top w:val="nil"/>
              <w:left w:val="nil"/>
              <w:bottom w:val="single" w:sz="4" w:space="0" w:color="auto"/>
              <w:right w:val="single" w:sz="4" w:space="0" w:color="auto"/>
            </w:tcBorders>
            <w:shd w:val="clear" w:color="auto" w:fill="auto"/>
            <w:noWrap/>
            <w:vAlign w:val="bottom"/>
            <w:hideMark/>
          </w:tcPr>
          <w:p w14:paraId="0F0700F8"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2,130,000</w:t>
            </w:r>
          </w:p>
        </w:tc>
        <w:tc>
          <w:tcPr>
            <w:tcW w:w="1006" w:type="dxa"/>
            <w:tcBorders>
              <w:top w:val="nil"/>
              <w:left w:val="nil"/>
              <w:bottom w:val="single" w:sz="4" w:space="0" w:color="auto"/>
              <w:right w:val="single" w:sz="4" w:space="0" w:color="auto"/>
            </w:tcBorders>
            <w:shd w:val="clear" w:color="auto" w:fill="auto"/>
            <w:noWrap/>
            <w:vAlign w:val="bottom"/>
            <w:hideMark/>
          </w:tcPr>
          <w:p w14:paraId="1ABCD135"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3,130,000</w:t>
            </w:r>
          </w:p>
        </w:tc>
        <w:tc>
          <w:tcPr>
            <w:tcW w:w="1006" w:type="dxa"/>
            <w:tcBorders>
              <w:top w:val="nil"/>
              <w:left w:val="nil"/>
              <w:bottom w:val="single" w:sz="4" w:space="0" w:color="auto"/>
              <w:right w:val="single" w:sz="4" w:space="0" w:color="auto"/>
            </w:tcBorders>
            <w:shd w:val="clear" w:color="auto" w:fill="auto"/>
            <w:noWrap/>
            <w:vAlign w:val="bottom"/>
            <w:hideMark/>
          </w:tcPr>
          <w:p w14:paraId="58B2B10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261,045</w:t>
            </w:r>
          </w:p>
        </w:tc>
        <w:tc>
          <w:tcPr>
            <w:tcW w:w="982" w:type="dxa"/>
            <w:tcBorders>
              <w:top w:val="nil"/>
              <w:left w:val="nil"/>
              <w:bottom w:val="single" w:sz="4" w:space="0" w:color="auto"/>
              <w:right w:val="single" w:sz="4" w:space="0" w:color="auto"/>
            </w:tcBorders>
            <w:shd w:val="clear" w:color="auto" w:fill="auto"/>
            <w:noWrap/>
            <w:vAlign w:val="bottom"/>
            <w:hideMark/>
          </w:tcPr>
          <w:p w14:paraId="5A3F0E8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578,977</w:t>
            </w:r>
          </w:p>
        </w:tc>
        <w:tc>
          <w:tcPr>
            <w:tcW w:w="1006" w:type="dxa"/>
            <w:tcBorders>
              <w:top w:val="nil"/>
              <w:left w:val="nil"/>
              <w:bottom w:val="single" w:sz="4" w:space="0" w:color="auto"/>
              <w:right w:val="single" w:sz="4" w:space="0" w:color="auto"/>
            </w:tcBorders>
            <w:shd w:val="clear" w:color="auto" w:fill="auto"/>
            <w:noWrap/>
            <w:vAlign w:val="bottom"/>
            <w:hideMark/>
          </w:tcPr>
          <w:p w14:paraId="401DEDFF"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3,000,000</w:t>
            </w:r>
          </w:p>
        </w:tc>
        <w:tc>
          <w:tcPr>
            <w:tcW w:w="1006" w:type="dxa"/>
            <w:tcBorders>
              <w:top w:val="nil"/>
              <w:left w:val="nil"/>
              <w:bottom w:val="single" w:sz="4" w:space="0" w:color="auto"/>
              <w:right w:val="single" w:sz="4" w:space="0" w:color="auto"/>
            </w:tcBorders>
            <w:shd w:val="clear" w:color="auto" w:fill="auto"/>
            <w:noWrap/>
            <w:vAlign w:val="bottom"/>
            <w:hideMark/>
          </w:tcPr>
          <w:p w14:paraId="57402102"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3,840,022</w:t>
            </w:r>
          </w:p>
        </w:tc>
      </w:tr>
      <w:tr w:rsidR="00AE31B6" w:rsidRPr="00AE31B6" w14:paraId="2DD0EEEA"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CC57204"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D</w:t>
            </w:r>
          </w:p>
        </w:tc>
        <w:tc>
          <w:tcPr>
            <w:tcW w:w="1006" w:type="dxa"/>
            <w:tcBorders>
              <w:top w:val="nil"/>
              <w:left w:val="nil"/>
              <w:bottom w:val="single" w:sz="4" w:space="0" w:color="auto"/>
              <w:right w:val="single" w:sz="4" w:space="0" w:color="auto"/>
            </w:tcBorders>
            <w:shd w:val="clear" w:color="auto" w:fill="auto"/>
            <w:noWrap/>
            <w:vAlign w:val="bottom"/>
            <w:hideMark/>
          </w:tcPr>
          <w:p w14:paraId="1DB3F413"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267,000</w:t>
            </w:r>
          </w:p>
        </w:tc>
        <w:tc>
          <w:tcPr>
            <w:tcW w:w="982" w:type="dxa"/>
            <w:tcBorders>
              <w:top w:val="nil"/>
              <w:left w:val="nil"/>
              <w:bottom w:val="single" w:sz="4" w:space="0" w:color="auto"/>
              <w:right w:val="single" w:sz="4" w:space="0" w:color="auto"/>
            </w:tcBorders>
            <w:shd w:val="clear" w:color="auto" w:fill="auto"/>
            <w:noWrap/>
            <w:vAlign w:val="bottom"/>
            <w:hideMark/>
          </w:tcPr>
          <w:p w14:paraId="1BA7309B"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0</w:t>
            </w:r>
          </w:p>
        </w:tc>
        <w:tc>
          <w:tcPr>
            <w:tcW w:w="1006" w:type="dxa"/>
            <w:tcBorders>
              <w:top w:val="nil"/>
              <w:left w:val="nil"/>
              <w:bottom w:val="single" w:sz="4" w:space="0" w:color="auto"/>
              <w:right w:val="single" w:sz="4" w:space="0" w:color="auto"/>
            </w:tcBorders>
            <w:shd w:val="clear" w:color="auto" w:fill="auto"/>
            <w:noWrap/>
            <w:vAlign w:val="bottom"/>
            <w:hideMark/>
          </w:tcPr>
          <w:p w14:paraId="78006A85"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2,016,000</w:t>
            </w:r>
          </w:p>
        </w:tc>
        <w:tc>
          <w:tcPr>
            <w:tcW w:w="1006" w:type="dxa"/>
            <w:tcBorders>
              <w:top w:val="nil"/>
              <w:left w:val="nil"/>
              <w:bottom w:val="single" w:sz="4" w:space="0" w:color="auto"/>
              <w:right w:val="single" w:sz="4" w:space="0" w:color="auto"/>
            </w:tcBorders>
            <w:shd w:val="clear" w:color="auto" w:fill="auto"/>
            <w:noWrap/>
            <w:vAlign w:val="bottom"/>
            <w:hideMark/>
          </w:tcPr>
          <w:p w14:paraId="430363B5"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2,283,000</w:t>
            </w:r>
          </w:p>
        </w:tc>
        <w:tc>
          <w:tcPr>
            <w:tcW w:w="1006" w:type="dxa"/>
            <w:tcBorders>
              <w:top w:val="nil"/>
              <w:left w:val="nil"/>
              <w:bottom w:val="single" w:sz="4" w:space="0" w:color="auto"/>
              <w:right w:val="single" w:sz="4" w:space="0" w:color="auto"/>
            </w:tcBorders>
            <w:shd w:val="clear" w:color="auto" w:fill="auto"/>
            <w:noWrap/>
            <w:vAlign w:val="bottom"/>
            <w:hideMark/>
          </w:tcPr>
          <w:p w14:paraId="7414E61A"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136,235</w:t>
            </w:r>
          </w:p>
        </w:tc>
        <w:tc>
          <w:tcPr>
            <w:tcW w:w="982" w:type="dxa"/>
            <w:tcBorders>
              <w:top w:val="nil"/>
              <w:left w:val="nil"/>
              <w:bottom w:val="single" w:sz="4" w:space="0" w:color="auto"/>
              <w:right w:val="single" w:sz="4" w:space="0" w:color="auto"/>
            </w:tcBorders>
            <w:shd w:val="clear" w:color="auto" w:fill="auto"/>
            <w:noWrap/>
            <w:vAlign w:val="bottom"/>
            <w:hideMark/>
          </w:tcPr>
          <w:p w14:paraId="60CC5AFF"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171,980</w:t>
            </w:r>
          </w:p>
        </w:tc>
        <w:tc>
          <w:tcPr>
            <w:tcW w:w="1006" w:type="dxa"/>
            <w:tcBorders>
              <w:top w:val="nil"/>
              <w:left w:val="nil"/>
              <w:bottom w:val="single" w:sz="4" w:space="0" w:color="auto"/>
              <w:right w:val="single" w:sz="4" w:space="0" w:color="auto"/>
            </w:tcBorders>
            <w:shd w:val="clear" w:color="auto" w:fill="auto"/>
            <w:noWrap/>
            <w:vAlign w:val="bottom"/>
            <w:hideMark/>
          </w:tcPr>
          <w:p w14:paraId="1ACBC3A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900,000</w:t>
            </w:r>
          </w:p>
        </w:tc>
        <w:tc>
          <w:tcPr>
            <w:tcW w:w="1006" w:type="dxa"/>
            <w:tcBorders>
              <w:top w:val="nil"/>
              <w:left w:val="nil"/>
              <w:bottom w:val="single" w:sz="4" w:space="0" w:color="auto"/>
              <w:right w:val="single" w:sz="4" w:space="0" w:color="auto"/>
            </w:tcBorders>
            <w:shd w:val="clear" w:color="auto" w:fill="auto"/>
            <w:noWrap/>
            <w:vAlign w:val="bottom"/>
            <w:hideMark/>
          </w:tcPr>
          <w:p w14:paraId="161E91E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1,208,215</w:t>
            </w:r>
          </w:p>
        </w:tc>
      </w:tr>
      <w:tr w:rsidR="00AE31B6" w:rsidRPr="00AE31B6" w14:paraId="26A4D1E3" w14:textId="77777777" w:rsidTr="00AE31B6">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6A5B3A"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E</w:t>
            </w:r>
          </w:p>
        </w:tc>
        <w:tc>
          <w:tcPr>
            <w:tcW w:w="1006" w:type="dxa"/>
            <w:tcBorders>
              <w:top w:val="nil"/>
              <w:left w:val="nil"/>
              <w:bottom w:val="single" w:sz="4" w:space="0" w:color="auto"/>
              <w:right w:val="single" w:sz="4" w:space="0" w:color="auto"/>
            </w:tcBorders>
            <w:shd w:val="clear" w:color="auto" w:fill="auto"/>
            <w:noWrap/>
            <w:vAlign w:val="bottom"/>
            <w:hideMark/>
          </w:tcPr>
          <w:p w14:paraId="623AA034"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547,908</w:t>
            </w:r>
          </w:p>
        </w:tc>
        <w:tc>
          <w:tcPr>
            <w:tcW w:w="982" w:type="dxa"/>
            <w:tcBorders>
              <w:top w:val="nil"/>
              <w:left w:val="nil"/>
              <w:bottom w:val="single" w:sz="4" w:space="0" w:color="auto"/>
              <w:right w:val="single" w:sz="4" w:space="0" w:color="auto"/>
            </w:tcBorders>
            <w:shd w:val="clear" w:color="auto" w:fill="auto"/>
            <w:noWrap/>
            <w:vAlign w:val="bottom"/>
            <w:hideMark/>
          </w:tcPr>
          <w:p w14:paraId="7E20C673"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1,630,000</w:t>
            </w:r>
          </w:p>
        </w:tc>
        <w:tc>
          <w:tcPr>
            <w:tcW w:w="1006" w:type="dxa"/>
            <w:tcBorders>
              <w:top w:val="nil"/>
              <w:left w:val="nil"/>
              <w:bottom w:val="single" w:sz="4" w:space="0" w:color="auto"/>
              <w:right w:val="single" w:sz="4" w:space="0" w:color="auto"/>
            </w:tcBorders>
            <w:shd w:val="clear" w:color="auto" w:fill="auto"/>
            <w:noWrap/>
            <w:vAlign w:val="bottom"/>
            <w:hideMark/>
          </w:tcPr>
          <w:p w14:paraId="4A6A28A1"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4,123,000</w:t>
            </w:r>
          </w:p>
        </w:tc>
        <w:tc>
          <w:tcPr>
            <w:tcW w:w="1006" w:type="dxa"/>
            <w:tcBorders>
              <w:top w:val="nil"/>
              <w:left w:val="nil"/>
              <w:bottom w:val="single" w:sz="4" w:space="0" w:color="auto"/>
              <w:right w:val="single" w:sz="4" w:space="0" w:color="auto"/>
            </w:tcBorders>
            <w:shd w:val="clear" w:color="auto" w:fill="auto"/>
            <w:noWrap/>
            <w:vAlign w:val="bottom"/>
            <w:hideMark/>
          </w:tcPr>
          <w:p w14:paraId="65A59642"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6,300,908</w:t>
            </w:r>
          </w:p>
        </w:tc>
        <w:tc>
          <w:tcPr>
            <w:tcW w:w="1006" w:type="dxa"/>
            <w:tcBorders>
              <w:top w:val="nil"/>
              <w:left w:val="nil"/>
              <w:bottom w:val="single" w:sz="4" w:space="0" w:color="auto"/>
              <w:right w:val="single" w:sz="4" w:space="0" w:color="auto"/>
            </w:tcBorders>
            <w:shd w:val="clear" w:color="auto" w:fill="auto"/>
            <w:noWrap/>
            <w:vAlign w:val="bottom"/>
            <w:hideMark/>
          </w:tcPr>
          <w:p w14:paraId="1C823FCA"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448,760</w:t>
            </w:r>
          </w:p>
        </w:tc>
        <w:tc>
          <w:tcPr>
            <w:tcW w:w="982" w:type="dxa"/>
            <w:tcBorders>
              <w:top w:val="nil"/>
              <w:left w:val="nil"/>
              <w:bottom w:val="single" w:sz="4" w:space="0" w:color="auto"/>
              <w:right w:val="single" w:sz="4" w:space="0" w:color="auto"/>
            </w:tcBorders>
            <w:shd w:val="clear" w:color="auto" w:fill="auto"/>
            <w:noWrap/>
            <w:vAlign w:val="bottom"/>
            <w:hideMark/>
          </w:tcPr>
          <w:p w14:paraId="4BD5EBBE"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515,400</w:t>
            </w:r>
          </w:p>
        </w:tc>
        <w:tc>
          <w:tcPr>
            <w:tcW w:w="1006" w:type="dxa"/>
            <w:tcBorders>
              <w:top w:val="nil"/>
              <w:left w:val="nil"/>
              <w:bottom w:val="single" w:sz="4" w:space="0" w:color="auto"/>
              <w:right w:val="single" w:sz="4" w:space="0" w:color="auto"/>
            </w:tcBorders>
            <w:shd w:val="clear" w:color="auto" w:fill="auto"/>
            <w:noWrap/>
            <w:vAlign w:val="bottom"/>
            <w:hideMark/>
          </w:tcPr>
          <w:p w14:paraId="68C1BD2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5,436,000</w:t>
            </w:r>
          </w:p>
        </w:tc>
        <w:tc>
          <w:tcPr>
            <w:tcW w:w="1006" w:type="dxa"/>
            <w:tcBorders>
              <w:top w:val="nil"/>
              <w:left w:val="nil"/>
              <w:bottom w:val="single" w:sz="4" w:space="0" w:color="auto"/>
              <w:right w:val="single" w:sz="4" w:space="0" w:color="auto"/>
            </w:tcBorders>
            <w:shd w:val="clear" w:color="auto" w:fill="auto"/>
            <w:noWrap/>
            <w:vAlign w:val="bottom"/>
            <w:hideMark/>
          </w:tcPr>
          <w:p w14:paraId="6B83496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6,400,160</w:t>
            </w:r>
          </w:p>
        </w:tc>
      </w:tr>
      <w:tr w:rsidR="00AE31B6" w:rsidRPr="00AE31B6" w14:paraId="6DCB402F" w14:textId="77777777" w:rsidTr="00AE31B6">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C14AB89"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F</w:t>
            </w:r>
          </w:p>
        </w:tc>
        <w:tc>
          <w:tcPr>
            <w:tcW w:w="1006" w:type="dxa"/>
            <w:tcBorders>
              <w:top w:val="nil"/>
              <w:left w:val="nil"/>
              <w:bottom w:val="single" w:sz="4" w:space="0" w:color="auto"/>
              <w:right w:val="single" w:sz="4" w:space="0" w:color="auto"/>
            </w:tcBorders>
            <w:shd w:val="clear" w:color="auto" w:fill="auto"/>
            <w:noWrap/>
            <w:vAlign w:val="bottom"/>
            <w:hideMark/>
          </w:tcPr>
          <w:p w14:paraId="600577D7"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394,100</w:t>
            </w:r>
          </w:p>
        </w:tc>
        <w:tc>
          <w:tcPr>
            <w:tcW w:w="982" w:type="dxa"/>
            <w:tcBorders>
              <w:top w:val="nil"/>
              <w:left w:val="nil"/>
              <w:bottom w:val="single" w:sz="4" w:space="0" w:color="auto"/>
              <w:right w:val="single" w:sz="4" w:space="0" w:color="auto"/>
            </w:tcBorders>
            <w:shd w:val="clear" w:color="auto" w:fill="auto"/>
            <w:noWrap/>
            <w:vAlign w:val="bottom"/>
            <w:hideMark/>
          </w:tcPr>
          <w:p w14:paraId="4CD36179"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150,000</w:t>
            </w:r>
          </w:p>
        </w:tc>
        <w:tc>
          <w:tcPr>
            <w:tcW w:w="1006" w:type="dxa"/>
            <w:tcBorders>
              <w:top w:val="nil"/>
              <w:left w:val="nil"/>
              <w:bottom w:val="single" w:sz="4" w:space="0" w:color="auto"/>
              <w:right w:val="single" w:sz="4" w:space="0" w:color="auto"/>
            </w:tcBorders>
            <w:shd w:val="clear" w:color="auto" w:fill="auto"/>
            <w:noWrap/>
            <w:vAlign w:val="bottom"/>
            <w:hideMark/>
          </w:tcPr>
          <w:p w14:paraId="644F4E26"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2,175,000</w:t>
            </w:r>
          </w:p>
        </w:tc>
        <w:tc>
          <w:tcPr>
            <w:tcW w:w="1006" w:type="dxa"/>
            <w:tcBorders>
              <w:top w:val="nil"/>
              <w:left w:val="nil"/>
              <w:bottom w:val="single" w:sz="4" w:space="0" w:color="auto"/>
              <w:right w:val="single" w:sz="4" w:space="0" w:color="auto"/>
            </w:tcBorders>
            <w:shd w:val="clear" w:color="auto" w:fill="auto"/>
            <w:noWrap/>
            <w:vAlign w:val="bottom"/>
            <w:hideMark/>
          </w:tcPr>
          <w:p w14:paraId="5175F6E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2,719,100</w:t>
            </w:r>
          </w:p>
        </w:tc>
        <w:tc>
          <w:tcPr>
            <w:tcW w:w="1006" w:type="dxa"/>
            <w:tcBorders>
              <w:top w:val="nil"/>
              <w:left w:val="nil"/>
              <w:bottom w:val="single" w:sz="4" w:space="0" w:color="auto"/>
              <w:right w:val="single" w:sz="4" w:space="0" w:color="auto"/>
            </w:tcBorders>
            <w:shd w:val="clear" w:color="auto" w:fill="auto"/>
            <w:noWrap/>
            <w:vAlign w:val="bottom"/>
            <w:hideMark/>
          </w:tcPr>
          <w:p w14:paraId="358EA3E3"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228,418</w:t>
            </w:r>
          </w:p>
        </w:tc>
        <w:tc>
          <w:tcPr>
            <w:tcW w:w="982" w:type="dxa"/>
            <w:tcBorders>
              <w:top w:val="nil"/>
              <w:left w:val="nil"/>
              <w:bottom w:val="single" w:sz="4" w:space="0" w:color="auto"/>
              <w:right w:val="single" w:sz="4" w:space="0" w:color="auto"/>
            </w:tcBorders>
            <w:shd w:val="clear" w:color="auto" w:fill="auto"/>
            <w:noWrap/>
            <w:vAlign w:val="bottom"/>
            <w:hideMark/>
          </w:tcPr>
          <w:p w14:paraId="3C320160"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1,201,983</w:t>
            </w:r>
          </w:p>
        </w:tc>
        <w:tc>
          <w:tcPr>
            <w:tcW w:w="1006" w:type="dxa"/>
            <w:tcBorders>
              <w:top w:val="nil"/>
              <w:left w:val="nil"/>
              <w:bottom w:val="single" w:sz="4" w:space="0" w:color="auto"/>
              <w:right w:val="single" w:sz="4" w:space="0" w:color="auto"/>
            </w:tcBorders>
            <w:shd w:val="clear" w:color="auto" w:fill="auto"/>
            <w:noWrap/>
            <w:vAlign w:val="bottom"/>
            <w:hideMark/>
          </w:tcPr>
          <w:p w14:paraId="656B8568"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2,925,000</w:t>
            </w:r>
          </w:p>
        </w:tc>
        <w:tc>
          <w:tcPr>
            <w:tcW w:w="1006" w:type="dxa"/>
            <w:tcBorders>
              <w:top w:val="nil"/>
              <w:left w:val="nil"/>
              <w:bottom w:val="single" w:sz="4" w:space="0" w:color="auto"/>
              <w:right w:val="single" w:sz="4" w:space="0" w:color="auto"/>
            </w:tcBorders>
            <w:shd w:val="clear" w:color="auto" w:fill="auto"/>
            <w:noWrap/>
            <w:vAlign w:val="bottom"/>
            <w:hideMark/>
          </w:tcPr>
          <w:p w14:paraId="68E9D633"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4,355,401</w:t>
            </w:r>
          </w:p>
        </w:tc>
      </w:tr>
      <w:tr w:rsidR="00AE31B6" w:rsidRPr="00AE31B6" w14:paraId="40B3E881"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6A4D3A"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xml:space="preserve">Common </w:t>
            </w:r>
            <w:proofErr w:type="spellStart"/>
            <w:r w:rsidRPr="00AE31B6">
              <w:rPr>
                <w:rFonts w:ascii="Calibri" w:hAnsi="Calibri" w:cs="Calibri"/>
                <w:snapToGrid/>
                <w:sz w:val="18"/>
                <w:szCs w:val="18"/>
                <w:lang w:val="fr-FR" w:eastAsia="fr-FR"/>
              </w:rPr>
              <w:t>costs</w:t>
            </w:r>
            <w:proofErr w:type="spellEnd"/>
          </w:p>
        </w:tc>
        <w:tc>
          <w:tcPr>
            <w:tcW w:w="1006" w:type="dxa"/>
            <w:tcBorders>
              <w:top w:val="nil"/>
              <w:left w:val="nil"/>
              <w:bottom w:val="single" w:sz="4" w:space="0" w:color="auto"/>
              <w:right w:val="single" w:sz="4" w:space="0" w:color="auto"/>
            </w:tcBorders>
            <w:shd w:val="clear" w:color="auto" w:fill="auto"/>
            <w:noWrap/>
            <w:vAlign w:val="bottom"/>
            <w:hideMark/>
          </w:tcPr>
          <w:p w14:paraId="6E21712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171,292</w:t>
            </w:r>
          </w:p>
        </w:tc>
        <w:tc>
          <w:tcPr>
            <w:tcW w:w="982" w:type="dxa"/>
            <w:tcBorders>
              <w:top w:val="nil"/>
              <w:left w:val="nil"/>
              <w:bottom w:val="single" w:sz="4" w:space="0" w:color="auto"/>
              <w:right w:val="single" w:sz="4" w:space="0" w:color="auto"/>
            </w:tcBorders>
            <w:shd w:val="clear" w:color="auto" w:fill="auto"/>
            <w:noWrap/>
            <w:vAlign w:val="bottom"/>
            <w:hideMark/>
          </w:tcPr>
          <w:p w14:paraId="13FFB3A7"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39BBB26"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8678476"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171,292</w:t>
            </w:r>
          </w:p>
        </w:tc>
        <w:tc>
          <w:tcPr>
            <w:tcW w:w="1006" w:type="dxa"/>
            <w:tcBorders>
              <w:top w:val="nil"/>
              <w:left w:val="nil"/>
              <w:bottom w:val="single" w:sz="4" w:space="0" w:color="auto"/>
              <w:right w:val="single" w:sz="4" w:space="0" w:color="auto"/>
            </w:tcBorders>
            <w:shd w:val="clear" w:color="auto" w:fill="auto"/>
            <w:noWrap/>
            <w:vAlign w:val="bottom"/>
            <w:hideMark/>
          </w:tcPr>
          <w:p w14:paraId="56516CA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121,392</w:t>
            </w:r>
          </w:p>
        </w:tc>
        <w:tc>
          <w:tcPr>
            <w:tcW w:w="982" w:type="dxa"/>
            <w:tcBorders>
              <w:top w:val="nil"/>
              <w:left w:val="nil"/>
              <w:bottom w:val="single" w:sz="4" w:space="0" w:color="auto"/>
              <w:right w:val="single" w:sz="4" w:space="0" w:color="auto"/>
            </w:tcBorders>
            <w:shd w:val="clear" w:color="auto" w:fill="auto"/>
            <w:noWrap/>
            <w:vAlign w:val="bottom"/>
            <w:hideMark/>
          </w:tcPr>
          <w:p w14:paraId="0CC2D91B"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A0F9363"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29607BF"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121,392</w:t>
            </w:r>
          </w:p>
        </w:tc>
      </w:tr>
      <w:tr w:rsidR="00AE31B6" w:rsidRPr="00AE31B6" w14:paraId="102B40DE"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0EB6698"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Staff (RB)</w:t>
            </w:r>
          </w:p>
        </w:tc>
        <w:tc>
          <w:tcPr>
            <w:tcW w:w="1006" w:type="dxa"/>
            <w:tcBorders>
              <w:top w:val="nil"/>
              <w:left w:val="nil"/>
              <w:bottom w:val="single" w:sz="4" w:space="0" w:color="auto"/>
              <w:right w:val="single" w:sz="4" w:space="0" w:color="auto"/>
            </w:tcBorders>
            <w:shd w:val="clear" w:color="auto" w:fill="auto"/>
            <w:noWrap/>
            <w:vAlign w:val="bottom"/>
            <w:hideMark/>
          </w:tcPr>
          <w:p w14:paraId="71CBA4D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8,271,700</w:t>
            </w:r>
          </w:p>
        </w:tc>
        <w:tc>
          <w:tcPr>
            <w:tcW w:w="982" w:type="dxa"/>
            <w:tcBorders>
              <w:top w:val="nil"/>
              <w:left w:val="nil"/>
              <w:bottom w:val="single" w:sz="4" w:space="0" w:color="auto"/>
              <w:right w:val="single" w:sz="4" w:space="0" w:color="auto"/>
            </w:tcBorders>
            <w:shd w:val="clear" w:color="auto" w:fill="auto"/>
            <w:noWrap/>
            <w:vAlign w:val="bottom"/>
            <w:hideMark/>
          </w:tcPr>
          <w:p w14:paraId="2C80B5B6"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0C7D1AB"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CC3830E"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8,271,700</w:t>
            </w:r>
          </w:p>
        </w:tc>
        <w:tc>
          <w:tcPr>
            <w:tcW w:w="1006" w:type="dxa"/>
            <w:tcBorders>
              <w:top w:val="nil"/>
              <w:left w:val="nil"/>
              <w:bottom w:val="single" w:sz="4" w:space="0" w:color="auto"/>
              <w:right w:val="single" w:sz="4" w:space="0" w:color="auto"/>
            </w:tcBorders>
            <w:shd w:val="clear" w:color="auto" w:fill="auto"/>
            <w:noWrap/>
            <w:vAlign w:val="bottom"/>
            <w:hideMark/>
          </w:tcPr>
          <w:p w14:paraId="2387AC8B"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9,401,200</w:t>
            </w:r>
          </w:p>
        </w:tc>
        <w:tc>
          <w:tcPr>
            <w:tcW w:w="982" w:type="dxa"/>
            <w:tcBorders>
              <w:top w:val="nil"/>
              <w:left w:val="nil"/>
              <w:bottom w:val="single" w:sz="4" w:space="0" w:color="auto"/>
              <w:right w:val="single" w:sz="4" w:space="0" w:color="auto"/>
            </w:tcBorders>
            <w:shd w:val="clear" w:color="auto" w:fill="auto"/>
            <w:noWrap/>
            <w:vAlign w:val="bottom"/>
            <w:hideMark/>
          </w:tcPr>
          <w:p w14:paraId="26F31F19"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7FCCA50"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17EA3CCD"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snapToGrid/>
                <w:sz w:val="18"/>
                <w:szCs w:val="18"/>
                <w:lang w:val="fr-FR" w:eastAsia="fr-FR"/>
              </w:rPr>
            </w:pPr>
            <w:r w:rsidRPr="00AE31B6">
              <w:rPr>
                <w:rFonts w:ascii="Calibri" w:hAnsi="Calibri" w:cs="Calibri"/>
                <w:snapToGrid/>
                <w:sz w:val="18"/>
                <w:szCs w:val="18"/>
                <w:lang w:val="fr-FR" w:eastAsia="fr-FR"/>
              </w:rPr>
              <w:t>9,401,200</w:t>
            </w:r>
          </w:p>
        </w:tc>
      </w:tr>
      <w:tr w:rsidR="00AE31B6" w:rsidRPr="00AE31B6" w14:paraId="42046C74"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664478F" w14:textId="77777777" w:rsidR="00AE31B6" w:rsidRPr="00AE31B6" w:rsidRDefault="00AE31B6" w:rsidP="00AE31B6">
            <w:pPr>
              <w:widowControl/>
              <w:tabs>
                <w:tab w:val="clear" w:pos="567"/>
              </w:tabs>
              <w:adjustRightInd/>
              <w:snapToGrid/>
              <w:spacing w:line="240" w:lineRule="auto"/>
              <w:jc w:val="lef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TOTAL</w:t>
            </w:r>
          </w:p>
        </w:tc>
        <w:tc>
          <w:tcPr>
            <w:tcW w:w="1006" w:type="dxa"/>
            <w:tcBorders>
              <w:top w:val="nil"/>
              <w:left w:val="nil"/>
              <w:bottom w:val="single" w:sz="4" w:space="0" w:color="auto"/>
              <w:right w:val="single" w:sz="4" w:space="0" w:color="auto"/>
            </w:tcBorders>
            <w:shd w:val="clear" w:color="auto" w:fill="auto"/>
            <w:noWrap/>
            <w:vAlign w:val="bottom"/>
            <w:hideMark/>
          </w:tcPr>
          <w:p w14:paraId="301A1AA8"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10,874,000</w:t>
            </w:r>
          </w:p>
        </w:tc>
        <w:tc>
          <w:tcPr>
            <w:tcW w:w="982" w:type="dxa"/>
            <w:tcBorders>
              <w:top w:val="nil"/>
              <w:left w:val="nil"/>
              <w:bottom w:val="single" w:sz="4" w:space="0" w:color="auto"/>
              <w:right w:val="single" w:sz="4" w:space="0" w:color="auto"/>
            </w:tcBorders>
            <w:shd w:val="clear" w:color="auto" w:fill="auto"/>
            <w:noWrap/>
            <w:vAlign w:val="bottom"/>
            <w:hideMark/>
          </w:tcPr>
          <w:p w14:paraId="747D7379"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2,600,000</w:t>
            </w:r>
          </w:p>
        </w:tc>
        <w:tc>
          <w:tcPr>
            <w:tcW w:w="1006" w:type="dxa"/>
            <w:tcBorders>
              <w:top w:val="nil"/>
              <w:left w:val="nil"/>
              <w:bottom w:val="single" w:sz="4" w:space="0" w:color="auto"/>
              <w:right w:val="single" w:sz="4" w:space="0" w:color="auto"/>
            </w:tcBorders>
            <w:shd w:val="clear" w:color="auto" w:fill="auto"/>
            <w:noWrap/>
            <w:vAlign w:val="bottom"/>
            <w:hideMark/>
          </w:tcPr>
          <w:p w14:paraId="0BC3DE00"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13,160,200</w:t>
            </w:r>
          </w:p>
        </w:tc>
        <w:tc>
          <w:tcPr>
            <w:tcW w:w="1006" w:type="dxa"/>
            <w:tcBorders>
              <w:top w:val="nil"/>
              <w:left w:val="nil"/>
              <w:bottom w:val="single" w:sz="4" w:space="0" w:color="auto"/>
              <w:right w:val="single" w:sz="4" w:space="0" w:color="auto"/>
            </w:tcBorders>
            <w:shd w:val="clear" w:color="auto" w:fill="auto"/>
            <w:noWrap/>
            <w:vAlign w:val="bottom"/>
            <w:hideMark/>
          </w:tcPr>
          <w:p w14:paraId="74284EF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26,634,200</w:t>
            </w:r>
          </w:p>
        </w:tc>
        <w:tc>
          <w:tcPr>
            <w:tcW w:w="1006" w:type="dxa"/>
            <w:tcBorders>
              <w:top w:val="nil"/>
              <w:left w:val="nil"/>
              <w:bottom w:val="single" w:sz="4" w:space="0" w:color="auto"/>
              <w:right w:val="single" w:sz="4" w:space="0" w:color="auto"/>
            </w:tcBorders>
            <w:shd w:val="clear" w:color="auto" w:fill="auto"/>
            <w:noWrap/>
            <w:vAlign w:val="bottom"/>
            <w:hideMark/>
          </w:tcPr>
          <w:p w14:paraId="496B0119"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11,236,000</w:t>
            </w:r>
          </w:p>
        </w:tc>
        <w:tc>
          <w:tcPr>
            <w:tcW w:w="982" w:type="dxa"/>
            <w:tcBorders>
              <w:top w:val="nil"/>
              <w:left w:val="nil"/>
              <w:bottom w:val="single" w:sz="4" w:space="0" w:color="auto"/>
              <w:right w:val="single" w:sz="4" w:space="0" w:color="auto"/>
            </w:tcBorders>
            <w:shd w:val="clear" w:color="auto" w:fill="auto"/>
            <w:noWrap/>
            <w:vAlign w:val="bottom"/>
            <w:hideMark/>
          </w:tcPr>
          <w:p w14:paraId="2915F71F"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4,386,240</w:t>
            </w:r>
          </w:p>
        </w:tc>
        <w:tc>
          <w:tcPr>
            <w:tcW w:w="1006" w:type="dxa"/>
            <w:tcBorders>
              <w:top w:val="nil"/>
              <w:left w:val="nil"/>
              <w:bottom w:val="single" w:sz="4" w:space="0" w:color="auto"/>
              <w:right w:val="single" w:sz="4" w:space="0" w:color="auto"/>
            </w:tcBorders>
            <w:shd w:val="clear" w:color="auto" w:fill="auto"/>
            <w:noWrap/>
            <w:vAlign w:val="bottom"/>
            <w:hideMark/>
          </w:tcPr>
          <w:p w14:paraId="4AB62E56"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16,193,000</w:t>
            </w:r>
          </w:p>
        </w:tc>
        <w:tc>
          <w:tcPr>
            <w:tcW w:w="1006" w:type="dxa"/>
            <w:tcBorders>
              <w:top w:val="nil"/>
              <w:left w:val="nil"/>
              <w:bottom w:val="single" w:sz="4" w:space="0" w:color="auto"/>
              <w:right w:val="single" w:sz="4" w:space="0" w:color="auto"/>
            </w:tcBorders>
            <w:shd w:val="clear" w:color="auto" w:fill="auto"/>
            <w:noWrap/>
            <w:vAlign w:val="bottom"/>
            <w:hideMark/>
          </w:tcPr>
          <w:p w14:paraId="4A1C7D6C" w14:textId="77777777" w:rsidR="00AE31B6" w:rsidRPr="00AE31B6"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lang w:val="fr-FR" w:eastAsia="fr-FR"/>
              </w:rPr>
            </w:pPr>
            <w:r w:rsidRPr="00AE31B6">
              <w:rPr>
                <w:rFonts w:ascii="Calibri" w:hAnsi="Calibri" w:cs="Calibri"/>
                <w:b/>
                <w:bCs/>
                <w:snapToGrid/>
                <w:sz w:val="18"/>
                <w:szCs w:val="18"/>
                <w:lang w:val="fr-FR" w:eastAsia="fr-FR"/>
              </w:rPr>
              <w:t>31,815,240</w:t>
            </w:r>
          </w:p>
        </w:tc>
      </w:tr>
    </w:tbl>
    <w:p w14:paraId="36FB8963" w14:textId="0A6BB091" w:rsidR="00A1295C" w:rsidRDefault="00A1295C" w:rsidP="005015A4">
      <w:pPr>
        <w:pStyle w:val="Marge"/>
        <w:tabs>
          <w:tab w:val="clear" w:pos="567"/>
          <w:tab w:val="left" w:pos="1162"/>
        </w:tabs>
        <w:spacing w:line="240" w:lineRule="auto"/>
        <w:rPr>
          <w:lang w:val="en-US"/>
        </w:rPr>
      </w:pPr>
    </w:p>
    <w:p w14:paraId="606171C8" w14:textId="7CA35A4F" w:rsidR="00E80EDA" w:rsidRDefault="00E80EDA" w:rsidP="005015A4">
      <w:pPr>
        <w:pStyle w:val="Marge"/>
        <w:tabs>
          <w:tab w:val="clear" w:pos="567"/>
          <w:tab w:val="left" w:pos="1162"/>
        </w:tabs>
        <w:spacing w:line="240" w:lineRule="auto"/>
        <w:rPr>
          <w:lang w:val="en-US"/>
        </w:rPr>
      </w:pPr>
      <w:r>
        <w:rPr>
          <w:noProof/>
          <w:snapToGrid/>
          <w:lang w:val="fr-FR" w:eastAsia="fr-FR"/>
        </w:rPr>
        <w:drawing>
          <wp:inline distT="0" distB="0" distL="0" distR="0" wp14:anchorId="36BABF94" wp14:editId="00C7424A">
            <wp:extent cx="3086100" cy="21653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E80EDA">
        <w:rPr>
          <w:noProof/>
          <w:snapToGrid/>
          <w:lang w:val="fr-FR" w:eastAsia="fr-FR"/>
        </w:rPr>
        <w:t xml:space="preserve"> </w:t>
      </w:r>
      <w:r>
        <w:rPr>
          <w:noProof/>
          <w:snapToGrid/>
          <w:lang w:val="fr-FR" w:eastAsia="fr-FR"/>
        </w:rPr>
        <w:drawing>
          <wp:inline distT="0" distB="0" distL="0" distR="0" wp14:anchorId="0365B780" wp14:editId="21CC8229">
            <wp:extent cx="2933699" cy="2159000"/>
            <wp:effectExtent l="0" t="0" r="635"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3BA60E" w14:textId="3AA22E83" w:rsidR="002125C8" w:rsidRDefault="00166860" w:rsidP="006E07C1">
      <w:pPr>
        <w:pStyle w:val="Marge"/>
        <w:tabs>
          <w:tab w:val="clear" w:pos="567"/>
          <w:tab w:val="left" w:pos="1162"/>
        </w:tabs>
        <w:spacing w:line="240" w:lineRule="auto"/>
        <w:jc w:val="center"/>
        <w:rPr>
          <w:lang w:val="en-US"/>
        </w:rPr>
      </w:pPr>
      <w:r>
        <w:rPr>
          <w:noProof/>
          <w:snapToGrid/>
          <w:lang w:val="fr-FR" w:eastAsia="fr-FR"/>
        </w:rPr>
        <w:drawing>
          <wp:inline distT="0" distB="0" distL="0" distR="0" wp14:anchorId="7ADF25BD" wp14:editId="7F9C6D93">
            <wp:extent cx="5073650" cy="2476500"/>
            <wp:effectExtent l="0" t="0" r="1270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616C01" w14:textId="344FEC18" w:rsidR="002125C8" w:rsidRDefault="002125C8" w:rsidP="005015A4">
      <w:pPr>
        <w:pStyle w:val="Marge"/>
        <w:tabs>
          <w:tab w:val="clear" w:pos="567"/>
          <w:tab w:val="left" w:pos="1162"/>
        </w:tabs>
        <w:spacing w:line="240" w:lineRule="auto"/>
        <w:rPr>
          <w:lang w:val="en-US"/>
        </w:rPr>
      </w:pPr>
    </w:p>
    <w:p w14:paraId="792116E1" w14:textId="60598457" w:rsidR="002125C8" w:rsidRDefault="002125C8" w:rsidP="005015A4">
      <w:pPr>
        <w:pStyle w:val="Marge"/>
        <w:tabs>
          <w:tab w:val="clear" w:pos="567"/>
          <w:tab w:val="left" w:pos="1162"/>
        </w:tabs>
        <w:spacing w:line="240" w:lineRule="auto"/>
        <w:rPr>
          <w:lang w:val="en-US"/>
        </w:rPr>
      </w:pPr>
    </w:p>
    <w:p w14:paraId="6536F08B" w14:textId="777D2B4E" w:rsidR="002125C8" w:rsidRDefault="002125C8" w:rsidP="005015A4">
      <w:pPr>
        <w:pStyle w:val="Marge"/>
        <w:tabs>
          <w:tab w:val="clear" w:pos="567"/>
          <w:tab w:val="left" w:pos="1162"/>
        </w:tabs>
        <w:spacing w:line="240" w:lineRule="auto"/>
        <w:rPr>
          <w:lang w:val="en-US"/>
        </w:rPr>
      </w:pPr>
    </w:p>
    <w:p w14:paraId="17F3341E" w14:textId="0F38909F" w:rsidR="00A14AE8" w:rsidRDefault="00A14AE8">
      <w:pPr>
        <w:widowControl/>
        <w:tabs>
          <w:tab w:val="clear" w:pos="567"/>
        </w:tabs>
        <w:adjustRightInd/>
        <w:snapToGrid/>
        <w:spacing w:line="240" w:lineRule="auto"/>
        <w:jc w:val="left"/>
        <w:textAlignment w:val="auto"/>
        <w:rPr>
          <w:lang w:val="en-US"/>
        </w:rPr>
      </w:pPr>
      <w:r>
        <w:rPr>
          <w:lang w:val="en-US"/>
        </w:rPr>
        <w:br w:type="page"/>
      </w:r>
    </w:p>
    <w:p w14:paraId="241A758F" w14:textId="18848DD9" w:rsidR="00A14AE8" w:rsidRDefault="00A14AE8" w:rsidP="00A14AE8">
      <w:pPr>
        <w:pStyle w:val="Marge"/>
        <w:tabs>
          <w:tab w:val="clear" w:pos="567"/>
          <w:tab w:val="left" w:pos="1162"/>
        </w:tabs>
        <w:spacing w:line="240" w:lineRule="auto"/>
        <w:jc w:val="center"/>
        <w:rPr>
          <w:b/>
          <w:lang w:val="en-US"/>
        </w:rPr>
      </w:pPr>
      <w:r w:rsidRPr="00A14AE8">
        <w:rPr>
          <w:b/>
          <w:lang w:val="en-US"/>
        </w:rPr>
        <w:lastRenderedPageBreak/>
        <w:t>PROPOSED BUDGETARY ALLOCATIONS FOR THE IOC SPECIAL ACCOUNT 2022</w:t>
      </w:r>
      <w:r w:rsidR="00EF6512">
        <w:rPr>
          <w:b/>
          <w:lang w:val="en-US"/>
        </w:rPr>
        <w:t>–</w:t>
      </w:r>
      <w:r w:rsidRPr="00A14AE8">
        <w:rPr>
          <w:b/>
          <w:lang w:val="en-US"/>
        </w:rPr>
        <w:t>2023</w:t>
      </w:r>
    </w:p>
    <w:tbl>
      <w:tblPr>
        <w:tblW w:w="9304" w:type="dxa"/>
        <w:jc w:val="center"/>
        <w:tblLook w:val="04A0" w:firstRow="1" w:lastRow="0" w:firstColumn="1" w:lastColumn="0" w:noHBand="0" w:noVBand="1"/>
      </w:tblPr>
      <w:tblGrid>
        <w:gridCol w:w="6484"/>
        <w:gridCol w:w="1800"/>
        <w:gridCol w:w="1020"/>
      </w:tblGrid>
      <w:tr w:rsidR="00090783" w:rsidRPr="00090783" w14:paraId="59D1F088" w14:textId="77777777" w:rsidTr="00090783">
        <w:trPr>
          <w:trHeight w:val="290"/>
          <w:jc w:val="center"/>
        </w:trPr>
        <w:tc>
          <w:tcPr>
            <w:tcW w:w="6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5A25C"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Function/Activity title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9948"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Budget code</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54B8"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w:t>
            </w:r>
          </w:p>
        </w:tc>
      </w:tr>
      <w:tr w:rsidR="00090783" w:rsidRPr="00090783" w14:paraId="26A384F2" w14:textId="77777777" w:rsidTr="00090783">
        <w:trPr>
          <w:trHeight w:val="253"/>
          <w:jc w:val="center"/>
        </w:trPr>
        <w:tc>
          <w:tcPr>
            <w:tcW w:w="6484" w:type="dxa"/>
            <w:vMerge/>
            <w:tcBorders>
              <w:top w:val="single" w:sz="4" w:space="0" w:color="auto"/>
              <w:left w:val="single" w:sz="4" w:space="0" w:color="auto"/>
              <w:bottom w:val="single" w:sz="4" w:space="0" w:color="auto"/>
              <w:right w:val="single" w:sz="4" w:space="0" w:color="auto"/>
            </w:tcBorders>
            <w:vAlign w:val="center"/>
            <w:hideMark/>
          </w:tcPr>
          <w:p w14:paraId="66057B81"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B5FE57E"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8F4069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p>
        </w:tc>
      </w:tr>
      <w:tr w:rsidR="00090783" w:rsidRPr="00090783" w14:paraId="4B62AEFD" w14:textId="77777777" w:rsidTr="00090783">
        <w:trPr>
          <w:trHeight w:val="38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6A300CC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A: Ocean Research</w:t>
            </w:r>
          </w:p>
        </w:tc>
        <w:tc>
          <w:tcPr>
            <w:tcW w:w="1020" w:type="dxa"/>
            <w:tcBorders>
              <w:top w:val="nil"/>
              <w:left w:val="nil"/>
              <w:bottom w:val="single" w:sz="4" w:space="0" w:color="auto"/>
              <w:right w:val="single" w:sz="4" w:space="0" w:color="auto"/>
            </w:tcBorders>
            <w:shd w:val="clear" w:color="000000" w:fill="FCD5B4"/>
            <w:vAlign w:val="center"/>
            <w:hideMark/>
          </w:tcPr>
          <w:p w14:paraId="50683352"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450 000</w:t>
            </w:r>
          </w:p>
        </w:tc>
      </w:tr>
      <w:tr w:rsidR="00090783" w:rsidRPr="00090783" w14:paraId="08668826"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23DFEDEA"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60B6E0DB"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191ORS2041</w:t>
            </w:r>
          </w:p>
        </w:tc>
        <w:tc>
          <w:tcPr>
            <w:tcW w:w="1020" w:type="dxa"/>
            <w:tcBorders>
              <w:top w:val="nil"/>
              <w:left w:val="nil"/>
              <w:bottom w:val="single" w:sz="4" w:space="0" w:color="auto"/>
              <w:right w:val="single" w:sz="4" w:space="0" w:color="auto"/>
            </w:tcBorders>
            <w:shd w:val="clear" w:color="000000" w:fill="FDE9D9"/>
            <w:vAlign w:val="center"/>
            <w:hideMark/>
          </w:tcPr>
          <w:p w14:paraId="62DD09E6"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450 000</w:t>
            </w:r>
          </w:p>
        </w:tc>
      </w:tr>
      <w:tr w:rsidR="00090783" w:rsidRPr="00090783" w14:paraId="5862D40D"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center"/>
            <w:hideMark/>
          </w:tcPr>
          <w:p w14:paraId="6081E089"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WCRP</w:t>
            </w:r>
          </w:p>
        </w:tc>
        <w:tc>
          <w:tcPr>
            <w:tcW w:w="1800" w:type="dxa"/>
            <w:tcBorders>
              <w:top w:val="nil"/>
              <w:left w:val="nil"/>
              <w:bottom w:val="single" w:sz="4" w:space="0" w:color="auto"/>
              <w:right w:val="single" w:sz="4" w:space="0" w:color="auto"/>
            </w:tcBorders>
            <w:shd w:val="clear" w:color="auto" w:fill="auto"/>
            <w:noWrap/>
            <w:vAlign w:val="center"/>
            <w:hideMark/>
          </w:tcPr>
          <w:p w14:paraId="718FD39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191ORS2041.1</w:t>
            </w:r>
          </w:p>
        </w:tc>
        <w:tc>
          <w:tcPr>
            <w:tcW w:w="1020" w:type="dxa"/>
            <w:tcBorders>
              <w:top w:val="nil"/>
              <w:left w:val="nil"/>
              <w:bottom w:val="single" w:sz="4" w:space="0" w:color="auto"/>
              <w:right w:val="single" w:sz="4" w:space="0" w:color="auto"/>
            </w:tcBorders>
            <w:shd w:val="clear" w:color="auto" w:fill="auto"/>
            <w:noWrap/>
            <w:vAlign w:val="center"/>
            <w:hideMark/>
          </w:tcPr>
          <w:p w14:paraId="35B5304E"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50 000</w:t>
            </w:r>
          </w:p>
        </w:tc>
      </w:tr>
      <w:tr w:rsidR="00090783" w:rsidRPr="00090783" w14:paraId="19D04593"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center"/>
            <w:hideMark/>
          </w:tcPr>
          <w:p w14:paraId="626DDF66"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Ocean Carbon &amp; Acidification</w:t>
            </w:r>
          </w:p>
        </w:tc>
        <w:tc>
          <w:tcPr>
            <w:tcW w:w="1800" w:type="dxa"/>
            <w:tcBorders>
              <w:top w:val="nil"/>
              <w:left w:val="nil"/>
              <w:bottom w:val="single" w:sz="4" w:space="0" w:color="auto"/>
              <w:right w:val="single" w:sz="4" w:space="0" w:color="auto"/>
            </w:tcBorders>
            <w:shd w:val="clear" w:color="auto" w:fill="auto"/>
            <w:noWrap/>
            <w:vAlign w:val="center"/>
            <w:hideMark/>
          </w:tcPr>
          <w:p w14:paraId="2C20336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191ORS2041.2</w:t>
            </w:r>
          </w:p>
        </w:tc>
        <w:tc>
          <w:tcPr>
            <w:tcW w:w="1020" w:type="dxa"/>
            <w:tcBorders>
              <w:top w:val="nil"/>
              <w:left w:val="nil"/>
              <w:bottom w:val="single" w:sz="4" w:space="0" w:color="auto"/>
              <w:right w:val="single" w:sz="4" w:space="0" w:color="auto"/>
            </w:tcBorders>
            <w:shd w:val="clear" w:color="auto" w:fill="auto"/>
            <w:noWrap/>
            <w:vAlign w:val="center"/>
            <w:hideMark/>
          </w:tcPr>
          <w:p w14:paraId="6A5FFC95"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572A650D" w14:textId="77777777" w:rsidTr="00090783">
        <w:trPr>
          <w:trHeight w:val="255"/>
          <w:jc w:val="center"/>
        </w:trPr>
        <w:tc>
          <w:tcPr>
            <w:tcW w:w="6484" w:type="dxa"/>
            <w:tcBorders>
              <w:top w:val="nil"/>
              <w:left w:val="single" w:sz="4" w:space="0" w:color="auto"/>
              <w:bottom w:val="single" w:sz="4" w:space="0" w:color="auto"/>
              <w:right w:val="single" w:sz="4" w:space="0" w:color="auto"/>
            </w:tcBorders>
            <w:shd w:val="clear" w:color="auto" w:fill="auto"/>
            <w:noWrap/>
            <w:vAlign w:val="center"/>
            <w:hideMark/>
          </w:tcPr>
          <w:p w14:paraId="6609D012"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xml:space="preserve">Impact of climate change on ocean and coastal ecosystems </w:t>
            </w:r>
          </w:p>
        </w:tc>
        <w:tc>
          <w:tcPr>
            <w:tcW w:w="1800" w:type="dxa"/>
            <w:tcBorders>
              <w:top w:val="nil"/>
              <w:left w:val="nil"/>
              <w:bottom w:val="single" w:sz="4" w:space="0" w:color="auto"/>
              <w:right w:val="single" w:sz="4" w:space="0" w:color="auto"/>
            </w:tcBorders>
            <w:shd w:val="clear" w:color="auto" w:fill="auto"/>
            <w:noWrap/>
            <w:vAlign w:val="center"/>
            <w:hideMark/>
          </w:tcPr>
          <w:p w14:paraId="2180412C"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191ORS2041.3</w:t>
            </w:r>
          </w:p>
        </w:tc>
        <w:tc>
          <w:tcPr>
            <w:tcW w:w="1020" w:type="dxa"/>
            <w:tcBorders>
              <w:top w:val="nil"/>
              <w:left w:val="nil"/>
              <w:bottom w:val="single" w:sz="4" w:space="0" w:color="auto"/>
              <w:right w:val="single" w:sz="4" w:space="0" w:color="auto"/>
            </w:tcBorders>
            <w:shd w:val="clear" w:color="auto" w:fill="auto"/>
            <w:noWrap/>
            <w:vAlign w:val="center"/>
            <w:hideMark/>
          </w:tcPr>
          <w:p w14:paraId="5050E769"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52C5199B" w14:textId="77777777" w:rsidTr="00090783">
        <w:trPr>
          <w:trHeight w:val="39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1073931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B: Observing System &amp; Data Management</w:t>
            </w:r>
          </w:p>
        </w:tc>
        <w:tc>
          <w:tcPr>
            <w:tcW w:w="1020" w:type="dxa"/>
            <w:tcBorders>
              <w:top w:val="nil"/>
              <w:left w:val="nil"/>
              <w:bottom w:val="single" w:sz="4" w:space="0" w:color="auto"/>
              <w:right w:val="single" w:sz="4" w:space="0" w:color="auto"/>
            </w:tcBorders>
            <w:shd w:val="clear" w:color="000000" w:fill="FCD5B4"/>
            <w:vAlign w:val="center"/>
            <w:hideMark/>
          </w:tcPr>
          <w:p w14:paraId="3CDDC9DE"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1 750 000</w:t>
            </w:r>
          </w:p>
        </w:tc>
      </w:tr>
      <w:tr w:rsidR="00090783" w:rsidRPr="00090783" w14:paraId="0E1D25BA"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6E743429"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7B01F576"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191OSD2041</w:t>
            </w:r>
          </w:p>
        </w:tc>
        <w:tc>
          <w:tcPr>
            <w:tcW w:w="1020" w:type="dxa"/>
            <w:tcBorders>
              <w:top w:val="nil"/>
              <w:left w:val="nil"/>
              <w:bottom w:val="single" w:sz="4" w:space="0" w:color="auto"/>
              <w:right w:val="single" w:sz="4" w:space="0" w:color="auto"/>
            </w:tcBorders>
            <w:shd w:val="clear" w:color="000000" w:fill="FDE9D9"/>
            <w:vAlign w:val="center"/>
            <w:hideMark/>
          </w:tcPr>
          <w:p w14:paraId="1532B7B7"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1 300 000</w:t>
            </w:r>
          </w:p>
        </w:tc>
      </w:tr>
      <w:tr w:rsidR="00090783" w:rsidRPr="00090783" w14:paraId="09C1D332" w14:textId="77777777" w:rsidTr="00090783">
        <w:trPr>
          <w:trHeight w:val="255"/>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0F3D1A87"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GOOS design, development, engagement &amp; impact</w:t>
            </w:r>
          </w:p>
        </w:tc>
        <w:tc>
          <w:tcPr>
            <w:tcW w:w="1800" w:type="dxa"/>
            <w:tcBorders>
              <w:top w:val="nil"/>
              <w:left w:val="nil"/>
              <w:bottom w:val="single" w:sz="4" w:space="0" w:color="auto"/>
              <w:right w:val="single" w:sz="4" w:space="0" w:color="auto"/>
            </w:tcBorders>
            <w:shd w:val="clear" w:color="auto" w:fill="auto"/>
            <w:noWrap/>
            <w:vAlign w:val="center"/>
            <w:hideMark/>
          </w:tcPr>
          <w:p w14:paraId="362F6B3C"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191OSD2041.1</w:t>
            </w:r>
          </w:p>
        </w:tc>
        <w:tc>
          <w:tcPr>
            <w:tcW w:w="1020" w:type="dxa"/>
            <w:tcBorders>
              <w:top w:val="nil"/>
              <w:left w:val="nil"/>
              <w:bottom w:val="single" w:sz="4" w:space="0" w:color="auto"/>
              <w:right w:val="single" w:sz="4" w:space="0" w:color="auto"/>
            </w:tcBorders>
            <w:shd w:val="clear" w:color="auto" w:fill="auto"/>
            <w:noWrap/>
            <w:vAlign w:val="bottom"/>
            <w:hideMark/>
          </w:tcPr>
          <w:p w14:paraId="5431AD7E"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400 000</w:t>
            </w:r>
          </w:p>
        </w:tc>
      </w:tr>
      <w:tr w:rsidR="00090783" w:rsidRPr="00090783" w14:paraId="2EAE770D" w14:textId="77777777" w:rsidTr="00090783">
        <w:trPr>
          <w:trHeight w:val="255"/>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6BCFEC0B"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Observing system integration and delivery</w:t>
            </w:r>
          </w:p>
        </w:tc>
        <w:tc>
          <w:tcPr>
            <w:tcW w:w="1800" w:type="dxa"/>
            <w:tcBorders>
              <w:top w:val="nil"/>
              <w:left w:val="nil"/>
              <w:bottom w:val="single" w:sz="4" w:space="0" w:color="auto"/>
              <w:right w:val="single" w:sz="4" w:space="0" w:color="auto"/>
            </w:tcBorders>
            <w:shd w:val="clear" w:color="auto" w:fill="auto"/>
            <w:noWrap/>
            <w:vAlign w:val="center"/>
            <w:hideMark/>
          </w:tcPr>
          <w:p w14:paraId="229F5BC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191OSD2041.3</w:t>
            </w:r>
          </w:p>
        </w:tc>
        <w:tc>
          <w:tcPr>
            <w:tcW w:w="1020" w:type="dxa"/>
            <w:tcBorders>
              <w:top w:val="nil"/>
              <w:left w:val="nil"/>
              <w:bottom w:val="single" w:sz="4" w:space="0" w:color="auto"/>
              <w:right w:val="single" w:sz="4" w:space="0" w:color="auto"/>
            </w:tcBorders>
            <w:shd w:val="clear" w:color="auto" w:fill="auto"/>
            <w:noWrap/>
            <w:vAlign w:val="bottom"/>
            <w:hideMark/>
          </w:tcPr>
          <w:p w14:paraId="568FDB65"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400 000</w:t>
            </w:r>
          </w:p>
        </w:tc>
      </w:tr>
      <w:tr w:rsidR="00090783" w:rsidRPr="00090783" w14:paraId="09FE72B4"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7619F5C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Ocean forecast services &amp; applications</w:t>
            </w:r>
          </w:p>
        </w:tc>
        <w:tc>
          <w:tcPr>
            <w:tcW w:w="1800" w:type="dxa"/>
            <w:tcBorders>
              <w:top w:val="nil"/>
              <w:left w:val="nil"/>
              <w:bottom w:val="single" w:sz="4" w:space="0" w:color="auto"/>
              <w:right w:val="single" w:sz="4" w:space="0" w:color="auto"/>
            </w:tcBorders>
            <w:shd w:val="clear" w:color="auto" w:fill="auto"/>
            <w:noWrap/>
            <w:vAlign w:val="center"/>
            <w:hideMark/>
          </w:tcPr>
          <w:p w14:paraId="5CF7AFA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191OSD2041.4</w:t>
            </w:r>
          </w:p>
        </w:tc>
        <w:tc>
          <w:tcPr>
            <w:tcW w:w="1020" w:type="dxa"/>
            <w:tcBorders>
              <w:top w:val="nil"/>
              <w:left w:val="nil"/>
              <w:bottom w:val="single" w:sz="4" w:space="0" w:color="auto"/>
              <w:right w:val="single" w:sz="4" w:space="0" w:color="auto"/>
            </w:tcBorders>
            <w:shd w:val="clear" w:color="auto" w:fill="auto"/>
            <w:noWrap/>
            <w:vAlign w:val="bottom"/>
            <w:hideMark/>
          </w:tcPr>
          <w:p w14:paraId="2519C4ED"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200 000</w:t>
            </w:r>
          </w:p>
        </w:tc>
      </w:tr>
      <w:tr w:rsidR="00090783" w:rsidRPr="00090783" w14:paraId="76CE2262"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018314B3"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xml:space="preserve">IODE &amp; OBIS </w:t>
            </w:r>
          </w:p>
        </w:tc>
        <w:tc>
          <w:tcPr>
            <w:tcW w:w="1800" w:type="dxa"/>
            <w:tcBorders>
              <w:top w:val="nil"/>
              <w:left w:val="nil"/>
              <w:bottom w:val="single" w:sz="4" w:space="0" w:color="auto"/>
              <w:right w:val="single" w:sz="4" w:space="0" w:color="auto"/>
            </w:tcBorders>
            <w:shd w:val="clear" w:color="auto" w:fill="auto"/>
            <w:noWrap/>
            <w:vAlign w:val="center"/>
            <w:hideMark/>
          </w:tcPr>
          <w:p w14:paraId="1CBDB813"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191OSD2041.5</w:t>
            </w:r>
          </w:p>
        </w:tc>
        <w:tc>
          <w:tcPr>
            <w:tcW w:w="1020" w:type="dxa"/>
            <w:tcBorders>
              <w:top w:val="nil"/>
              <w:left w:val="nil"/>
              <w:bottom w:val="single" w:sz="4" w:space="0" w:color="auto"/>
              <w:right w:val="single" w:sz="4" w:space="0" w:color="auto"/>
            </w:tcBorders>
            <w:shd w:val="clear" w:color="auto" w:fill="auto"/>
            <w:noWrap/>
            <w:vAlign w:val="bottom"/>
            <w:hideMark/>
          </w:tcPr>
          <w:p w14:paraId="354B685A"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300 000</w:t>
            </w:r>
          </w:p>
        </w:tc>
      </w:tr>
      <w:tr w:rsidR="00090783" w:rsidRPr="00090783" w14:paraId="52BBD54D"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E4DFEC"/>
            <w:vAlign w:val="center"/>
            <w:hideMark/>
          </w:tcPr>
          <w:p w14:paraId="5D0A1275"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proofErr w:type="spellStart"/>
            <w:r w:rsidRPr="00090783">
              <w:rPr>
                <w:rFonts w:ascii="Calibri" w:hAnsi="Calibri" w:cs="Calibri"/>
                <w:b/>
                <w:bCs/>
                <w:snapToGrid/>
                <w:sz w:val="18"/>
                <w:szCs w:val="18"/>
                <w:lang w:eastAsia="zh-CN"/>
              </w:rPr>
              <w:t>OceanOPS</w:t>
            </w:r>
            <w:proofErr w:type="spellEnd"/>
          </w:p>
        </w:tc>
        <w:tc>
          <w:tcPr>
            <w:tcW w:w="1800" w:type="dxa"/>
            <w:tcBorders>
              <w:top w:val="nil"/>
              <w:left w:val="nil"/>
              <w:bottom w:val="single" w:sz="4" w:space="0" w:color="auto"/>
              <w:right w:val="single" w:sz="4" w:space="0" w:color="auto"/>
            </w:tcBorders>
            <w:shd w:val="clear" w:color="000000" w:fill="E4DFEC"/>
            <w:vAlign w:val="center"/>
            <w:hideMark/>
          </w:tcPr>
          <w:p w14:paraId="6672F6A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193OPS2041</w:t>
            </w:r>
          </w:p>
        </w:tc>
        <w:tc>
          <w:tcPr>
            <w:tcW w:w="1020" w:type="dxa"/>
            <w:tcBorders>
              <w:top w:val="nil"/>
              <w:left w:val="nil"/>
              <w:bottom w:val="single" w:sz="4" w:space="0" w:color="auto"/>
              <w:right w:val="single" w:sz="4" w:space="0" w:color="auto"/>
            </w:tcBorders>
            <w:shd w:val="clear" w:color="000000" w:fill="E4DFEC"/>
            <w:noWrap/>
            <w:vAlign w:val="center"/>
            <w:hideMark/>
          </w:tcPr>
          <w:p w14:paraId="636E6BCB"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450 000</w:t>
            </w:r>
          </w:p>
        </w:tc>
      </w:tr>
      <w:tr w:rsidR="00090783" w:rsidRPr="00090783" w14:paraId="72BFF003" w14:textId="77777777" w:rsidTr="00090783">
        <w:trPr>
          <w:trHeight w:val="38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0AF2C37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C: Early Warning &amp; Services</w:t>
            </w:r>
          </w:p>
        </w:tc>
        <w:tc>
          <w:tcPr>
            <w:tcW w:w="1020" w:type="dxa"/>
            <w:tcBorders>
              <w:top w:val="nil"/>
              <w:left w:val="nil"/>
              <w:bottom w:val="single" w:sz="4" w:space="0" w:color="auto"/>
              <w:right w:val="single" w:sz="4" w:space="0" w:color="auto"/>
            </w:tcBorders>
            <w:shd w:val="clear" w:color="000000" w:fill="FCD5B4"/>
            <w:noWrap/>
            <w:vAlign w:val="center"/>
            <w:hideMark/>
          </w:tcPr>
          <w:p w14:paraId="1E417391"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1 900 000</w:t>
            </w:r>
          </w:p>
        </w:tc>
      </w:tr>
      <w:tr w:rsidR="00090783" w:rsidRPr="00090783" w14:paraId="0FDC3315"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486787D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46D43553"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w:t>
            </w:r>
          </w:p>
        </w:tc>
        <w:tc>
          <w:tcPr>
            <w:tcW w:w="1020" w:type="dxa"/>
            <w:tcBorders>
              <w:top w:val="nil"/>
              <w:left w:val="nil"/>
              <w:bottom w:val="single" w:sz="4" w:space="0" w:color="auto"/>
              <w:right w:val="single" w:sz="4" w:space="0" w:color="auto"/>
            </w:tcBorders>
            <w:shd w:val="clear" w:color="000000" w:fill="FDE9D9"/>
            <w:vAlign w:val="center"/>
            <w:hideMark/>
          </w:tcPr>
          <w:p w14:paraId="560E9DA6"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1 050 000</w:t>
            </w:r>
          </w:p>
        </w:tc>
      </w:tr>
      <w:tr w:rsidR="00090783" w:rsidRPr="00090783" w14:paraId="15452819"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0DA0650E"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ICG NEAMTWS</w:t>
            </w:r>
          </w:p>
        </w:tc>
        <w:tc>
          <w:tcPr>
            <w:tcW w:w="1800" w:type="dxa"/>
            <w:tcBorders>
              <w:top w:val="nil"/>
              <w:left w:val="nil"/>
              <w:bottom w:val="single" w:sz="4" w:space="0" w:color="auto"/>
              <w:right w:val="single" w:sz="4" w:space="0" w:color="auto"/>
            </w:tcBorders>
            <w:shd w:val="clear" w:color="auto" w:fill="auto"/>
            <w:noWrap/>
            <w:vAlign w:val="bottom"/>
            <w:hideMark/>
          </w:tcPr>
          <w:p w14:paraId="5D5174F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191EWS2041.1</w:t>
            </w:r>
          </w:p>
        </w:tc>
        <w:tc>
          <w:tcPr>
            <w:tcW w:w="1020" w:type="dxa"/>
            <w:tcBorders>
              <w:top w:val="nil"/>
              <w:left w:val="nil"/>
              <w:bottom w:val="single" w:sz="4" w:space="0" w:color="auto"/>
              <w:right w:val="single" w:sz="4" w:space="0" w:color="auto"/>
            </w:tcBorders>
            <w:shd w:val="clear" w:color="auto" w:fill="auto"/>
            <w:noWrap/>
            <w:vAlign w:val="bottom"/>
            <w:hideMark/>
          </w:tcPr>
          <w:p w14:paraId="19003DDC"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0596C0FB"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192001D4"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ICG PTWS</w:t>
            </w:r>
          </w:p>
        </w:tc>
        <w:tc>
          <w:tcPr>
            <w:tcW w:w="1800" w:type="dxa"/>
            <w:tcBorders>
              <w:top w:val="nil"/>
              <w:left w:val="nil"/>
              <w:bottom w:val="single" w:sz="4" w:space="0" w:color="auto"/>
              <w:right w:val="single" w:sz="4" w:space="0" w:color="auto"/>
            </w:tcBorders>
            <w:shd w:val="clear" w:color="auto" w:fill="auto"/>
            <w:noWrap/>
            <w:vAlign w:val="bottom"/>
            <w:hideMark/>
          </w:tcPr>
          <w:p w14:paraId="7BF2E513"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191EWS2041.2</w:t>
            </w:r>
          </w:p>
        </w:tc>
        <w:tc>
          <w:tcPr>
            <w:tcW w:w="1020" w:type="dxa"/>
            <w:tcBorders>
              <w:top w:val="nil"/>
              <w:left w:val="nil"/>
              <w:bottom w:val="single" w:sz="4" w:space="0" w:color="auto"/>
              <w:right w:val="single" w:sz="4" w:space="0" w:color="auto"/>
            </w:tcBorders>
            <w:shd w:val="clear" w:color="auto" w:fill="auto"/>
            <w:noWrap/>
            <w:vAlign w:val="bottom"/>
            <w:hideMark/>
          </w:tcPr>
          <w:p w14:paraId="304AF98C"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02578F14"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03761D1A"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ICG CARIBE-EWS</w:t>
            </w:r>
          </w:p>
        </w:tc>
        <w:tc>
          <w:tcPr>
            <w:tcW w:w="1800" w:type="dxa"/>
            <w:tcBorders>
              <w:top w:val="nil"/>
              <w:left w:val="nil"/>
              <w:bottom w:val="single" w:sz="4" w:space="0" w:color="auto"/>
              <w:right w:val="single" w:sz="4" w:space="0" w:color="auto"/>
            </w:tcBorders>
            <w:shd w:val="clear" w:color="auto" w:fill="auto"/>
            <w:noWrap/>
            <w:vAlign w:val="bottom"/>
            <w:hideMark/>
          </w:tcPr>
          <w:p w14:paraId="65471F99"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191EWS2041.3</w:t>
            </w:r>
          </w:p>
        </w:tc>
        <w:tc>
          <w:tcPr>
            <w:tcW w:w="1020" w:type="dxa"/>
            <w:tcBorders>
              <w:top w:val="nil"/>
              <w:left w:val="nil"/>
              <w:bottom w:val="single" w:sz="4" w:space="0" w:color="auto"/>
              <w:right w:val="single" w:sz="4" w:space="0" w:color="auto"/>
            </w:tcBorders>
            <w:shd w:val="clear" w:color="auto" w:fill="auto"/>
            <w:noWrap/>
            <w:vAlign w:val="bottom"/>
            <w:hideMark/>
          </w:tcPr>
          <w:p w14:paraId="7494106A"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545A097D"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74189FBF"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TOWs &amp; inter-regional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6FB5460B"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191EWS2041.4</w:t>
            </w:r>
          </w:p>
        </w:tc>
        <w:tc>
          <w:tcPr>
            <w:tcW w:w="1020" w:type="dxa"/>
            <w:tcBorders>
              <w:top w:val="nil"/>
              <w:left w:val="nil"/>
              <w:bottom w:val="single" w:sz="4" w:space="0" w:color="auto"/>
              <w:right w:val="single" w:sz="4" w:space="0" w:color="auto"/>
            </w:tcBorders>
            <w:shd w:val="clear" w:color="auto" w:fill="auto"/>
            <w:noWrap/>
            <w:vAlign w:val="bottom"/>
            <w:hideMark/>
          </w:tcPr>
          <w:p w14:paraId="184CF4E2"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517AF8E3"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1D2AEDBC"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IOTIC</w:t>
            </w:r>
          </w:p>
        </w:tc>
        <w:tc>
          <w:tcPr>
            <w:tcW w:w="1800" w:type="dxa"/>
            <w:tcBorders>
              <w:top w:val="nil"/>
              <w:left w:val="nil"/>
              <w:bottom w:val="single" w:sz="4" w:space="0" w:color="auto"/>
              <w:right w:val="single" w:sz="4" w:space="0" w:color="auto"/>
            </w:tcBorders>
            <w:shd w:val="clear" w:color="auto" w:fill="auto"/>
            <w:noWrap/>
            <w:vAlign w:val="bottom"/>
            <w:hideMark/>
          </w:tcPr>
          <w:p w14:paraId="12EEF94D"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191EWS2041.5</w:t>
            </w:r>
          </w:p>
        </w:tc>
        <w:tc>
          <w:tcPr>
            <w:tcW w:w="1020" w:type="dxa"/>
            <w:tcBorders>
              <w:top w:val="nil"/>
              <w:left w:val="nil"/>
              <w:bottom w:val="single" w:sz="4" w:space="0" w:color="auto"/>
              <w:right w:val="single" w:sz="4" w:space="0" w:color="auto"/>
            </w:tcBorders>
            <w:shd w:val="clear" w:color="auto" w:fill="auto"/>
            <w:noWrap/>
            <w:vAlign w:val="bottom"/>
            <w:hideMark/>
          </w:tcPr>
          <w:p w14:paraId="74DEB4B1"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07E2FB6D"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75AAF5E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GLOSS - tsunami</w:t>
            </w:r>
          </w:p>
        </w:tc>
        <w:tc>
          <w:tcPr>
            <w:tcW w:w="1800" w:type="dxa"/>
            <w:tcBorders>
              <w:top w:val="nil"/>
              <w:left w:val="nil"/>
              <w:bottom w:val="single" w:sz="4" w:space="0" w:color="auto"/>
              <w:right w:val="single" w:sz="4" w:space="0" w:color="auto"/>
            </w:tcBorders>
            <w:shd w:val="clear" w:color="auto" w:fill="auto"/>
            <w:noWrap/>
            <w:vAlign w:val="bottom"/>
            <w:hideMark/>
          </w:tcPr>
          <w:p w14:paraId="3AA980A8"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191EWS2041.6</w:t>
            </w:r>
          </w:p>
        </w:tc>
        <w:tc>
          <w:tcPr>
            <w:tcW w:w="1020" w:type="dxa"/>
            <w:tcBorders>
              <w:top w:val="nil"/>
              <w:left w:val="nil"/>
              <w:bottom w:val="single" w:sz="4" w:space="0" w:color="auto"/>
              <w:right w:val="single" w:sz="4" w:space="0" w:color="auto"/>
            </w:tcBorders>
            <w:shd w:val="clear" w:color="auto" w:fill="auto"/>
            <w:noWrap/>
            <w:vAlign w:val="bottom"/>
            <w:hideMark/>
          </w:tcPr>
          <w:p w14:paraId="13B974BE"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6A75974E"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29D444E3"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HAB &amp; NIS research and monitoring</w:t>
            </w:r>
          </w:p>
        </w:tc>
        <w:tc>
          <w:tcPr>
            <w:tcW w:w="1800" w:type="dxa"/>
            <w:tcBorders>
              <w:top w:val="nil"/>
              <w:left w:val="nil"/>
              <w:bottom w:val="single" w:sz="4" w:space="0" w:color="auto"/>
              <w:right w:val="single" w:sz="4" w:space="0" w:color="auto"/>
            </w:tcBorders>
            <w:shd w:val="clear" w:color="auto" w:fill="auto"/>
            <w:noWrap/>
            <w:vAlign w:val="bottom"/>
            <w:hideMark/>
          </w:tcPr>
          <w:p w14:paraId="4F638C75"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191EWS2041.8</w:t>
            </w:r>
          </w:p>
        </w:tc>
        <w:tc>
          <w:tcPr>
            <w:tcW w:w="1020" w:type="dxa"/>
            <w:tcBorders>
              <w:top w:val="nil"/>
              <w:left w:val="nil"/>
              <w:bottom w:val="single" w:sz="4" w:space="0" w:color="auto"/>
              <w:right w:val="single" w:sz="4" w:space="0" w:color="auto"/>
            </w:tcBorders>
            <w:shd w:val="clear" w:color="auto" w:fill="auto"/>
            <w:noWrap/>
            <w:vAlign w:val="bottom"/>
            <w:hideMark/>
          </w:tcPr>
          <w:p w14:paraId="39105619"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41EB9366"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E4DFEC"/>
            <w:vAlign w:val="center"/>
            <w:hideMark/>
          </w:tcPr>
          <w:p w14:paraId="3C3A8399"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ICG-IOTWMS Secretariat</w:t>
            </w:r>
          </w:p>
        </w:tc>
        <w:tc>
          <w:tcPr>
            <w:tcW w:w="1800" w:type="dxa"/>
            <w:tcBorders>
              <w:top w:val="nil"/>
              <w:left w:val="nil"/>
              <w:bottom w:val="single" w:sz="4" w:space="0" w:color="auto"/>
              <w:right w:val="single" w:sz="4" w:space="0" w:color="auto"/>
            </w:tcBorders>
            <w:shd w:val="clear" w:color="000000" w:fill="E4DFEC"/>
            <w:vAlign w:val="center"/>
            <w:hideMark/>
          </w:tcPr>
          <w:p w14:paraId="2BD74C84"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193EWS2041</w:t>
            </w:r>
          </w:p>
        </w:tc>
        <w:tc>
          <w:tcPr>
            <w:tcW w:w="1020" w:type="dxa"/>
            <w:tcBorders>
              <w:top w:val="nil"/>
              <w:left w:val="nil"/>
              <w:bottom w:val="single" w:sz="4" w:space="0" w:color="auto"/>
              <w:right w:val="single" w:sz="4" w:space="0" w:color="auto"/>
            </w:tcBorders>
            <w:shd w:val="clear" w:color="000000" w:fill="E4DFEC"/>
            <w:noWrap/>
            <w:vAlign w:val="bottom"/>
            <w:hideMark/>
          </w:tcPr>
          <w:p w14:paraId="7D9F25D0"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850 000</w:t>
            </w:r>
          </w:p>
        </w:tc>
      </w:tr>
      <w:tr w:rsidR="00090783" w:rsidRPr="00090783" w14:paraId="645D7E61" w14:textId="77777777" w:rsidTr="00090783">
        <w:trPr>
          <w:trHeight w:val="38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0582876D"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D: Assessment &amp; Information for Policy</w:t>
            </w:r>
          </w:p>
        </w:tc>
        <w:tc>
          <w:tcPr>
            <w:tcW w:w="1020" w:type="dxa"/>
            <w:tcBorders>
              <w:top w:val="nil"/>
              <w:left w:val="nil"/>
              <w:bottom w:val="single" w:sz="4" w:space="0" w:color="auto"/>
              <w:right w:val="single" w:sz="4" w:space="0" w:color="auto"/>
            </w:tcBorders>
            <w:shd w:val="clear" w:color="000000" w:fill="FCD5B4"/>
            <w:vAlign w:val="center"/>
            <w:hideMark/>
          </w:tcPr>
          <w:p w14:paraId="7B920C21"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450 000</w:t>
            </w:r>
          </w:p>
        </w:tc>
      </w:tr>
      <w:tr w:rsidR="00090783" w:rsidRPr="00090783" w14:paraId="7F668001"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71C6427A"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5DF12A18"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191AIP2041.1</w:t>
            </w:r>
          </w:p>
        </w:tc>
        <w:tc>
          <w:tcPr>
            <w:tcW w:w="1020" w:type="dxa"/>
            <w:tcBorders>
              <w:top w:val="nil"/>
              <w:left w:val="nil"/>
              <w:bottom w:val="single" w:sz="4" w:space="0" w:color="auto"/>
              <w:right w:val="single" w:sz="4" w:space="0" w:color="auto"/>
            </w:tcBorders>
            <w:shd w:val="clear" w:color="000000" w:fill="FDE9D9"/>
            <w:vAlign w:val="center"/>
            <w:hideMark/>
          </w:tcPr>
          <w:p w14:paraId="07E8CA97"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450 000</w:t>
            </w:r>
          </w:p>
        </w:tc>
      </w:tr>
      <w:tr w:rsidR="00090783" w:rsidRPr="00090783" w14:paraId="38D855EF"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1A499602"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Follow-up to SDGs, WOA &amp; State of the ocean reporting</w:t>
            </w:r>
          </w:p>
        </w:tc>
        <w:tc>
          <w:tcPr>
            <w:tcW w:w="1800" w:type="dxa"/>
            <w:tcBorders>
              <w:top w:val="nil"/>
              <w:left w:val="nil"/>
              <w:bottom w:val="single" w:sz="4" w:space="0" w:color="auto"/>
              <w:right w:val="single" w:sz="4" w:space="0" w:color="auto"/>
            </w:tcBorders>
            <w:shd w:val="clear" w:color="auto" w:fill="auto"/>
            <w:noWrap/>
            <w:vAlign w:val="bottom"/>
            <w:hideMark/>
          </w:tcPr>
          <w:p w14:paraId="140C9715"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191AIP2041.1</w:t>
            </w:r>
          </w:p>
        </w:tc>
        <w:tc>
          <w:tcPr>
            <w:tcW w:w="1020" w:type="dxa"/>
            <w:tcBorders>
              <w:top w:val="nil"/>
              <w:left w:val="nil"/>
              <w:bottom w:val="single" w:sz="4" w:space="0" w:color="auto"/>
              <w:right w:val="single" w:sz="4" w:space="0" w:color="auto"/>
            </w:tcBorders>
            <w:shd w:val="clear" w:color="auto" w:fill="auto"/>
            <w:noWrap/>
            <w:vAlign w:val="bottom"/>
            <w:hideMark/>
          </w:tcPr>
          <w:p w14:paraId="420CB7A0"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58F2E7E0"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5E6591A8"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GEBCO</w:t>
            </w:r>
          </w:p>
        </w:tc>
        <w:tc>
          <w:tcPr>
            <w:tcW w:w="1800" w:type="dxa"/>
            <w:tcBorders>
              <w:top w:val="nil"/>
              <w:left w:val="nil"/>
              <w:bottom w:val="single" w:sz="4" w:space="0" w:color="auto"/>
              <w:right w:val="single" w:sz="4" w:space="0" w:color="auto"/>
            </w:tcBorders>
            <w:shd w:val="clear" w:color="auto" w:fill="auto"/>
            <w:noWrap/>
            <w:vAlign w:val="bottom"/>
            <w:hideMark/>
          </w:tcPr>
          <w:p w14:paraId="7991C015"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191AIP2041.2</w:t>
            </w:r>
          </w:p>
        </w:tc>
        <w:tc>
          <w:tcPr>
            <w:tcW w:w="1020" w:type="dxa"/>
            <w:tcBorders>
              <w:top w:val="nil"/>
              <w:left w:val="nil"/>
              <w:bottom w:val="single" w:sz="4" w:space="0" w:color="auto"/>
              <w:right w:val="single" w:sz="4" w:space="0" w:color="auto"/>
            </w:tcBorders>
            <w:shd w:val="clear" w:color="auto" w:fill="auto"/>
            <w:noWrap/>
            <w:vAlign w:val="bottom"/>
            <w:hideMark/>
          </w:tcPr>
          <w:p w14:paraId="6782CE9A"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50 000</w:t>
            </w:r>
          </w:p>
        </w:tc>
      </w:tr>
      <w:tr w:rsidR="00090783" w:rsidRPr="00090783" w14:paraId="36BFF0CE"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79B66BCA"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xml:space="preserve">Science for reducing nutrient enrichment </w:t>
            </w:r>
          </w:p>
        </w:tc>
        <w:tc>
          <w:tcPr>
            <w:tcW w:w="1800" w:type="dxa"/>
            <w:tcBorders>
              <w:top w:val="nil"/>
              <w:left w:val="nil"/>
              <w:bottom w:val="single" w:sz="4" w:space="0" w:color="auto"/>
              <w:right w:val="single" w:sz="4" w:space="0" w:color="auto"/>
            </w:tcBorders>
            <w:shd w:val="clear" w:color="auto" w:fill="auto"/>
            <w:noWrap/>
            <w:vAlign w:val="bottom"/>
            <w:hideMark/>
          </w:tcPr>
          <w:p w14:paraId="66522868"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191AIP2041.3</w:t>
            </w:r>
          </w:p>
        </w:tc>
        <w:tc>
          <w:tcPr>
            <w:tcW w:w="1020" w:type="dxa"/>
            <w:tcBorders>
              <w:top w:val="nil"/>
              <w:left w:val="nil"/>
              <w:bottom w:val="single" w:sz="4" w:space="0" w:color="auto"/>
              <w:right w:val="single" w:sz="4" w:space="0" w:color="auto"/>
            </w:tcBorders>
            <w:shd w:val="clear" w:color="auto" w:fill="auto"/>
            <w:noWrap/>
            <w:vAlign w:val="bottom"/>
            <w:hideMark/>
          </w:tcPr>
          <w:p w14:paraId="78E4F9B7"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6EAA2C5B"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7C85CF20"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Climate change adaptation in coastal zones</w:t>
            </w:r>
          </w:p>
        </w:tc>
        <w:tc>
          <w:tcPr>
            <w:tcW w:w="1800" w:type="dxa"/>
            <w:tcBorders>
              <w:top w:val="nil"/>
              <w:left w:val="nil"/>
              <w:bottom w:val="single" w:sz="4" w:space="0" w:color="auto"/>
              <w:right w:val="single" w:sz="4" w:space="0" w:color="auto"/>
            </w:tcBorders>
            <w:shd w:val="clear" w:color="auto" w:fill="auto"/>
            <w:noWrap/>
            <w:vAlign w:val="bottom"/>
            <w:hideMark/>
          </w:tcPr>
          <w:p w14:paraId="3467E9A0"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191AIP2041.5</w:t>
            </w:r>
          </w:p>
        </w:tc>
        <w:tc>
          <w:tcPr>
            <w:tcW w:w="1020" w:type="dxa"/>
            <w:tcBorders>
              <w:top w:val="nil"/>
              <w:left w:val="nil"/>
              <w:bottom w:val="single" w:sz="4" w:space="0" w:color="auto"/>
              <w:right w:val="single" w:sz="4" w:space="0" w:color="auto"/>
            </w:tcBorders>
            <w:shd w:val="clear" w:color="auto" w:fill="auto"/>
            <w:noWrap/>
            <w:vAlign w:val="bottom"/>
            <w:hideMark/>
          </w:tcPr>
          <w:p w14:paraId="117A614A"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21C7578F" w14:textId="77777777" w:rsidTr="00090783">
        <w:trPr>
          <w:trHeight w:val="41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1174905A"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E: Sustainable Management &amp; Governance</w:t>
            </w:r>
          </w:p>
        </w:tc>
        <w:tc>
          <w:tcPr>
            <w:tcW w:w="1020" w:type="dxa"/>
            <w:tcBorders>
              <w:top w:val="nil"/>
              <w:left w:val="nil"/>
              <w:bottom w:val="single" w:sz="4" w:space="0" w:color="auto"/>
              <w:right w:val="single" w:sz="4" w:space="0" w:color="auto"/>
            </w:tcBorders>
            <w:shd w:val="clear" w:color="000000" w:fill="FCD5B4"/>
            <w:vAlign w:val="center"/>
            <w:hideMark/>
          </w:tcPr>
          <w:p w14:paraId="3FD298BF"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2 850 000</w:t>
            </w:r>
          </w:p>
        </w:tc>
      </w:tr>
      <w:tr w:rsidR="00090783" w:rsidRPr="00090783" w14:paraId="481E3DAF"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7776DEF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265497A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w:t>
            </w:r>
          </w:p>
        </w:tc>
        <w:tc>
          <w:tcPr>
            <w:tcW w:w="1020" w:type="dxa"/>
            <w:tcBorders>
              <w:top w:val="nil"/>
              <w:left w:val="nil"/>
              <w:bottom w:val="single" w:sz="4" w:space="0" w:color="auto"/>
              <w:right w:val="single" w:sz="4" w:space="0" w:color="auto"/>
            </w:tcBorders>
            <w:shd w:val="clear" w:color="000000" w:fill="FDE9D9"/>
            <w:vAlign w:val="center"/>
            <w:hideMark/>
          </w:tcPr>
          <w:p w14:paraId="164AA721"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1 350 000</w:t>
            </w:r>
          </w:p>
        </w:tc>
      </w:tr>
      <w:tr w:rsidR="00090783" w:rsidRPr="00090783" w14:paraId="1046F1FD" w14:textId="77777777" w:rsidTr="00090783">
        <w:trPr>
          <w:trHeight w:val="255"/>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4B313DF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Governance (representation &amp; intersessional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3B23DD7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191RCG2041.1</w:t>
            </w:r>
          </w:p>
        </w:tc>
        <w:tc>
          <w:tcPr>
            <w:tcW w:w="1020" w:type="dxa"/>
            <w:tcBorders>
              <w:top w:val="nil"/>
              <w:left w:val="nil"/>
              <w:bottom w:val="single" w:sz="4" w:space="0" w:color="auto"/>
              <w:right w:val="single" w:sz="4" w:space="0" w:color="auto"/>
            </w:tcBorders>
            <w:shd w:val="clear" w:color="auto" w:fill="auto"/>
            <w:noWrap/>
            <w:vAlign w:val="bottom"/>
            <w:hideMark/>
          </w:tcPr>
          <w:p w14:paraId="69F3EDCD"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14206A4A"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0CBE382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IOCARIBE (office support &amp; intersessional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787DD1D6"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191RCG2041.2</w:t>
            </w:r>
          </w:p>
        </w:tc>
        <w:tc>
          <w:tcPr>
            <w:tcW w:w="1020" w:type="dxa"/>
            <w:tcBorders>
              <w:top w:val="nil"/>
              <w:left w:val="nil"/>
              <w:bottom w:val="single" w:sz="4" w:space="0" w:color="auto"/>
              <w:right w:val="single" w:sz="4" w:space="0" w:color="auto"/>
            </w:tcBorders>
            <w:shd w:val="clear" w:color="auto" w:fill="auto"/>
            <w:noWrap/>
            <w:vAlign w:val="bottom"/>
            <w:hideMark/>
          </w:tcPr>
          <w:p w14:paraId="0DE8077D"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38B486A5"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3A9A6755"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IOCAFRICA (office support &amp; intersessional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507B0889"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191RCG2041.3</w:t>
            </w:r>
          </w:p>
        </w:tc>
        <w:tc>
          <w:tcPr>
            <w:tcW w:w="1020" w:type="dxa"/>
            <w:tcBorders>
              <w:top w:val="nil"/>
              <w:left w:val="nil"/>
              <w:bottom w:val="single" w:sz="4" w:space="0" w:color="auto"/>
              <w:right w:val="single" w:sz="4" w:space="0" w:color="auto"/>
            </w:tcBorders>
            <w:shd w:val="clear" w:color="auto" w:fill="auto"/>
            <w:noWrap/>
            <w:vAlign w:val="bottom"/>
            <w:hideMark/>
          </w:tcPr>
          <w:p w14:paraId="1B0355C0"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608F94F5"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009E4C80"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WESTPAC (office support &amp; intersessional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53E974D5"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191RCG2041.4</w:t>
            </w:r>
          </w:p>
        </w:tc>
        <w:tc>
          <w:tcPr>
            <w:tcW w:w="1020" w:type="dxa"/>
            <w:tcBorders>
              <w:top w:val="nil"/>
              <w:left w:val="nil"/>
              <w:bottom w:val="single" w:sz="4" w:space="0" w:color="auto"/>
              <w:right w:val="single" w:sz="4" w:space="0" w:color="auto"/>
            </w:tcBorders>
            <w:shd w:val="clear" w:color="auto" w:fill="auto"/>
            <w:noWrap/>
            <w:vAlign w:val="bottom"/>
            <w:hideMark/>
          </w:tcPr>
          <w:p w14:paraId="3E340146"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1E66EE40"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7F526420"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IOCINDIO (intersessional coordination)</w:t>
            </w:r>
          </w:p>
        </w:tc>
        <w:tc>
          <w:tcPr>
            <w:tcW w:w="1800" w:type="dxa"/>
            <w:tcBorders>
              <w:top w:val="nil"/>
              <w:left w:val="nil"/>
              <w:bottom w:val="single" w:sz="4" w:space="0" w:color="auto"/>
              <w:right w:val="single" w:sz="4" w:space="0" w:color="auto"/>
            </w:tcBorders>
            <w:shd w:val="clear" w:color="auto" w:fill="auto"/>
            <w:noWrap/>
            <w:vAlign w:val="bottom"/>
            <w:hideMark/>
          </w:tcPr>
          <w:p w14:paraId="16D819C3"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191RCG2041.5</w:t>
            </w:r>
          </w:p>
        </w:tc>
        <w:tc>
          <w:tcPr>
            <w:tcW w:w="1020" w:type="dxa"/>
            <w:tcBorders>
              <w:top w:val="nil"/>
              <w:left w:val="nil"/>
              <w:bottom w:val="single" w:sz="4" w:space="0" w:color="auto"/>
              <w:right w:val="single" w:sz="4" w:space="0" w:color="auto"/>
            </w:tcBorders>
            <w:shd w:val="clear" w:color="auto" w:fill="auto"/>
            <w:noWrap/>
            <w:vAlign w:val="bottom"/>
            <w:hideMark/>
          </w:tcPr>
          <w:p w14:paraId="7B61044F"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43533CAE"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6DCED208"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xml:space="preserve">UN partnerships, global governance, </w:t>
            </w:r>
            <w:proofErr w:type="gramStart"/>
            <w:r w:rsidRPr="00090783">
              <w:rPr>
                <w:rFonts w:ascii="Calibri" w:hAnsi="Calibri" w:cs="Calibri"/>
                <w:b/>
                <w:bCs/>
                <w:snapToGrid/>
                <w:sz w:val="18"/>
                <w:szCs w:val="18"/>
                <w:lang w:eastAsia="zh-CN"/>
              </w:rPr>
              <w:t>policy</w:t>
            </w:r>
            <w:proofErr w:type="gramEnd"/>
            <w:r w:rsidRPr="00090783">
              <w:rPr>
                <w:rFonts w:ascii="Calibri" w:hAnsi="Calibri" w:cs="Calibri"/>
                <w:b/>
                <w:bCs/>
                <w:snapToGrid/>
                <w:sz w:val="18"/>
                <w:szCs w:val="18"/>
                <w:lang w:eastAsia="zh-CN"/>
              </w:rPr>
              <w:t xml:space="preserve"> and outreach</w:t>
            </w:r>
          </w:p>
        </w:tc>
        <w:tc>
          <w:tcPr>
            <w:tcW w:w="1800" w:type="dxa"/>
            <w:tcBorders>
              <w:top w:val="nil"/>
              <w:left w:val="nil"/>
              <w:bottom w:val="single" w:sz="4" w:space="0" w:color="auto"/>
              <w:right w:val="single" w:sz="4" w:space="0" w:color="auto"/>
            </w:tcBorders>
            <w:shd w:val="clear" w:color="auto" w:fill="auto"/>
            <w:noWrap/>
            <w:vAlign w:val="bottom"/>
            <w:hideMark/>
          </w:tcPr>
          <w:p w14:paraId="325C735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191RCG2041.6</w:t>
            </w:r>
          </w:p>
        </w:tc>
        <w:tc>
          <w:tcPr>
            <w:tcW w:w="1020" w:type="dxa"/>
            <w:tcBorders>
              <w:top w:val="nil"/>
              <w:left w:val="nil"/>
              <w:bottom w:val="single" w:sz="4" w:space="0" w:color="auto"/>
              <w:right w:val="single" w:sz="4" w:space="0" w:color="auto"/>
            </w:tcBorders>
            <w:shd w:val="clear" w:color="auto" w:fill="auto"/>
            <w:noWrap/>
            <w:vAlign w:val="bottom"/>
            <w:hideMark/>
          </w:tcPr>
          <w:p w14:paraId="1FC2BDBC"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400 000</w:t>
            </w:r>
          </w:p>
        </w:tc>
      </w:tr>
      <w:tr w:rsidR="00090783" w:rsidRPr="00090783" w14:paraId="60AA7821"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vAlign w:val="bottom"/>
            <w:hideMark/>
          </w:tcPr>
          <w:p w14:paraId="6B4BA8CA"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ICAM &amp; Marine Spatial Planning</w:t>
            </w:r>
          </w:p>
        </w:tc>
        <w:tc>
          <w:tcPr>
            <w:tcW w:w="1800" w:type="dxa"/>
            <w:tcBorders>
              <w:top w:val="nil"/>
              <w:left w:val="nil"/>
              <w:bottom w:val="single" w:sz="4" w:space="0" w:color="auto"/>
              <w:right w:val="single" w:sz="4" w:space="0" w:color="auto"/>
            </w:tcBorders>
            <w:shd w:val="clear" w:color="auto" w:fill="auto"/>
            <w:noWrap/>
            <w:vAlign w:val="bottom"/>
            <w:hideMark/>
          </w:tcPr>
          <w:p w14:paraId="50973575"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191RCG2041.7</w:t>
            </w:r>
          </w:p>
        </w:tc>
        <w:tc>
          <w:tcPr>
            <w:tcW w:w="1020" w:type="dxa"/>
            <w:tcBorders>
              <w:top w:val="nil"/>
              <w:left w:val="nil"/>
              <w:bottom w:val="single" w:sz="4" w:space="0" w:color="auto"/>
              <w:right w:val="single" w:sz="4" w:space="0" w:color="auto"/>
            </w:tcBorders>
            <w:shd w:val="clear" w:color="auto" w:fill="auto"/>
            <w:noWrap/>
            <w:vAlign w:val="bottom"/>
            <w:hideMark/>
          </w:tcPr>
          <w:p w14:paraId="53EAAEE2"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16A69928"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E4DFEC"/>
            <w:vAlign w:val="bottom"/>
            <w:hideMark/>
          </w:tcPr>
          <w:p w14:paraId="06CF6BA0"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UN Decade of Ocean Science for Sustainable Development</w:t>
            </w:r>
          </w:p>
        </w:tc>
        <w:tc>
          <w:tcPr>
            <w:tcW w:w="1800" w:type="dxa"/>
            <w:tcBorders>
              <w:top w:val="nil"/>
              <w:left w:val="nil"/>
              <w:bottom w:val="single" w:sz="4" w:space="0" w:color="auto"/>
              <w:right w:val="single" w:sz="4" w:space="0" w:color="auto"/>
            </w:tcBorders>
            <w:shd w:val="clear" w:color="000000" w:fill="E4DFEC"/>
            <w:noWrap/>
            <w:vAlign w:val="bottom"/>
            <w:hideMark/>
          </w:tcPr>
          <w:p w14:paraId="5E60803C"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193UND2041</w:t>
            </w:r>
          </w:p>
        </w:tc>
        <w:tc>
          <w:tcPr>
            <w:tcW w:w="1020" w:type="dxa"/>
            <w:tcBorders>
              <w:top w:val="nil"/>
              <w:left w:val="nil"/>
              <w:bottom w:val="single" w:sz="4" w:space="0" w:color="auto"/>
              <w:right w:val="single" w:sz="4" w:space="0" w:color="auto"/>
            </w:tcBorders>
            <w:shd w:val="clear" w:color="000000" w:fill="E4DFEC"/>
            <w:noWrap/>
            <w:vAlign w:val="bottom"/>
            <w:hideMark/>
          </w:tcPr>
          <w:p w14:paraId="372476F5"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1 500 000</w:t>
            </w:r>
          </w:p>
        </w:tc>
      </w:tr>
      <w:tr w:rsidR="00090783" w:rsidRPr="00090783" w14:paraId="7924C7B9" w14:textId="77777777" w:rsidTr="00090783">
        <w:trPr>
          <w:trHeight w:val="340"/>
          <w:jc w:val="center"/>
        </w:trPr>
        <w:tc>
          <w:tcPr>
            <w:tcW w:w="8284"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104E3E8B"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 Function F: Capacity Development</w:t>
            </w:r>
          </w:p>
        </w:tc>
        <w:tc>
          <w:tcPr>
            <w:tcW w:w="1020" w:type="dxa"/>
            <w:tcBorders>
              <w:top w:val="nil"/>
              <w:left w:val="nil"/>
              <w:bottom w:val="single" w:sz="4" w:space="0" w:color="auto"/>
              <w:right w:val="single" w:sz="4" w:space="0" w:color="auto"/>
            </w:tcBorders>
            <w:shd w:val="clear" w:color="000000" w:fill="FCD5B4"/>
            <w:vAlign w:val="center"/>
            <w:hideMark/>
          </w:tcPr>
          <w:p w14:paraId="24C21804"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1 350 000</w:t>
            </w:r>
          </w:p>
        </w:tc>
      </w:tr>
      <w:tr w:rsidR="00090783" w:rsidRPr="00090783" w14:paraId="6E784DEE"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000000" w:fill="FDE9D9"/>
            <w:vAlign w:val="center"/>
            <w:hideMark/>
          </w:tcPr>
          <w:p w14:paraId="130F04A3"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800" w:type="dxa"/>
            <w:tcBorders>
              <w:top w:val="nil"/>
              <w:left w:val="nil"/>
              <w:bottom w:val="single" w:sz="4" w:space="0" w:color="auto"/>
              <w:right w:val="single" w:sz="4" w:space="0" w:color="auto"/>
            </w:tcBorders>
            <w:shd w:val="clear" w:color="000000" w:fill="FDE9D9"/>
            <w:vAlign w:val="center"/>
            <w:hideMark/>
          </w:tcPr>
          <w:p w14:paraId="4231A194"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w:t>
            </w:r>
          </w:p>
        </w:tc>
        <w:tc>
          <w:tcPr>
            <w:tcW w:w="1020" w:type="dxa"/>
            <w:tcBorders>
              <w:top w:val="nil"/>
              <w:left w:val="nil"/>
              <w:bottom w:val="single" w:sz="4" w:space="0" w:color="auto"/>
              <w:right w:val="single" w:sz="4" w:space="0" w:color="auto"/>
            </w:tcBorders>
            <w:shd w:val="clear" w:color="000000" w:fill="FDE9D9"/>
            <w:vAlign w:val="center"/>
            <w:hideMark/>
          </w:tcPr>
          <w:p w14:paraId="051085BC"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1 350 000</w:t>
            </w:r>
          </w:p>
        </w:tc>
      </w:tr>
      <w:tr w:rsidR="00090783" w:rsidRPr="00090783" w14:paraId="66EE552B"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18529DAC"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CD coordination (incl. TMT)</w:t>
            </w:r>
          </w:p>
        </w:tc>
        <w:tc>
          <w:tcPr>
            <w:tcW w:w="1800" w:type="dxa"/>
            <w:tcBorders>
              <w:top w:val="nil"/>
              <w:left w:val="nil"/>
              <w:bottom w:val="single" w:sz="4" w:space="0" w:color="auto"/>
              <w:right w:val="single" w:sz="4" w:space="0" w:color="auto"/>
            </w:tcBorders>
            <w:shd w:val="clear" w:color="auto" w:fill="auto"/>
            <w:noWrap/>
            <w:vAlign w:val="bottom"/>
            <w:hideMark/>
          </w:tcPr>
          <w:p w14:paraId="34778CDA"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191ICD2041.1</w:t>
            </w:r>
          </w:p>
        </w:tc>
        <w:tc>
          <w:tcPr>
            <w:tcW w:w="1020" w:type="dxa"/>
            <w:tcBorders>
              <w:top w:val="nil"/>
              <w:left w:val="nil"/>
              <w:bottom w:val="single" w:sz="4" w:space="0" w:color="auto"/>
              <w:right w:val="single" w:sz="4" w:space="0" w:color="auto"/>
            </w:tcBorders>
            <w:shd w:val="clear" w:color="auto" w:fill="auto"/>
            <w:noWrap/>
            <w:vAlign w:val="bottom"/>
            <w:hideMark/>
          </w:tcPr>
          <w:p w14:paraId="696357F7"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200 000</w:t>
            </w:r>
          </w:p>
        </w:tc>
      </w:tr>
      <w:tr w:rsidR="00090783" w:rsidRPr="00090783" w14:paraId="25204587"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6046403D"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GOSR</w:t>
            </w:r>
          </w:p>
        </w:tc>
        <w:tc>
          <w:tcPr>
            <w:tcW w:w="1800" w:type="dxa"/>
            <w:tcBorders>
              <w:top w:val="nil"/>
              <w:left w:val="nil"/>
              <w:bottom w:val="single" w:sz="4" w:space="0" w:color="auto"/>
              <w:right w:val="single" w:sz="4" w:space="0" w:color="auto"/>
            </w:tcBorders>
            <w:shd w:val="clear" w:color="auto" w:fill="auto"/>
            <w:noWrap/>
            <w:vAlign w:val="bottom"/>
            <w:hideMark/>
          </w:tcPr>
          <w:p w14:paraId="021B5A6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191ICD2041.2</w:t>
            </w:r>
          </w:p>
        </w:tc>
        <w:tc>
          <w:tcPr>
            <w:tcW w:w="1020" w:type="dxa"/>
            <w:tcBorders>
              <w:top w:val="nil"/>
              <w:left w:val="nil"/>
              <w:bottom w:val="single" w:sz="4" w:space="0" w:color="auto"/>
              <w:right w:val="single" w:sz="4" w:space="0" w:color="auto"/>
            </w:tcBorders>
            <w:shd w:val="clear" w:color="auto" w:fill="auto"/>
            <w:noWrap/>
            <w:vAlign w:val="bottom"/>
            <w:hideMark/>
          </w:tcPr>
          <w:p w14:paraId="6E67C6A8"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150 000</w:t>
            </w:r>
          </w:p>
        </w:tc>
      </w:tr>
      <w:tr w:rsidR="00090783" w:rsidRPr="00090783" w14:paraId="780D76FB"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62181DB7"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Ocean Literacy</w:t>
            </w:r>
          </w:p>
        </w:tc>
        <w:tc>
          <w:tcPr>
            <w:tcW w:w="1800" w:type="dxa"/>
            <w:tcBorders>
              <w:top w:val="nil"/>
              <w:left w:val="nil"/>
              <w:bottom w:val="single" w:sz="4" w:space="0" w:color="auto"/>
              <w:right w:val="single" w:sz="4" w:space="0" w:color="auto"/>
            </w:tcBorders>
            <w:shd w:val="clear" w:color="auto" w:fill="auto"/>
            <w:noWrap/>
            <w:vAlign w:val="bottom"/>
            <w:hideMark/>
          </w:tcPr>
          <w:p w14:paraId="5238CED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191ICD2041.3</w:t>
            </w:r>
          </w:p>
        </w:tc>
        <w:tc>
          <w:tcPr>
            <w:tcW w:w="1020" w:type="dxa"/>
            <w:tcBorders>
              <w:top w:val="nil"/>
              <w:left w:val="nil"/>
              <w:bottom w:val="single" w:sz="4" w:space="0" w:color="auto"/>
              <w:right w:val="single" w:sz="4" w:space="0" w:color="auto"/>
            </w:tcBorders>
            <w:shd w:val="clear" w:color="auto" w:fill="auto"/>
            <w:noWrap/>
            <w:vAlign w:val="bottom"/>
            <w:hideMark/>
          </w:tcPr>
          <w:p w14:paraId="68650F3C"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300 000</w:t>
            </w:r>
          </w:p>
        </w:tc>
      </w:tr>
      <w:tr w:rsidR="00090783" w:rsidRPr="00090783" w14:paraId="0553446A"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379A826E"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IOCAFRICA Capacity development workplans</w:t>
            </w:r>
          </w:p>
        </w:tc>
        <w:tc>
          <w:tcPr>
            <w:tcW w:w="1800" w:type="dxa"/>
            <w:tcBorders>
              <w:top w:val="nil"/>
              <w:left w:val="nil"/>
              <w:bottom w:val="single" w:sz="4" w:space="0" w:color="auto"/>
              <w:right w:val="single" w:sz="4" w:space="0" w:color="auto"/>
            </w:tcBorders>
            <w:shd w:val="clear" w:color="auto" w:fill="auto"/>
            <w:noWrap/>
            <w:vAlign w:val="bottom"/>
            <w:hideMark/>
          </w:tcPr>
          <w:p w14:paraId="3D8A8A8E"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191ICD2041.4</w:t>
            </w:r>
          </w:p>
        </w:tc>
        <w:tc>
          <w:tcPr>
            <w:tcW w:w="1020" w:type="dxa"/>
            <w:tcBorders>
              <w:top w:val="nil"/>
              <w:left w:val="nil"/>
              <w:bottom w:val="single" w:sz="4" w:space="0" w:color="auto"/>
              <w:right w:val="single" w:sz="4" w:space="0" w:color="auto"/>
            </w:tcBorders>
            <w:shd w:val="clear" w:color="auto" w:fill="auto"/>
            <w:noWrap/>
            <w:vAlign w:val="bottom"/>
            <w:hideMark/>
          </w:tcPr>
          <w:p w14:paraId="06F24633"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33625681"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66744C3B"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xml:space="preserve">IOCARIBE Capacity development workplans </w:t>
            </w:r>
          </w:p>
        </w:tc>
        <w:tc>
          <w:tcPr>
            <w:tcW w:w="1800" w:type="dxa"/>
            <w:tcBorders>
              <w:top w:val="nil"/>
              <w:left w:val="nil"/>
              <w:bottom w:val="single" w:sz="4" w:space="0" w:color="auto"/>
              <w:right w:val="single" w:sz="4" w:space="0" w:color="auto"/>
            </w:tcBorders>
            <w:shd w:val="clear" w:color="auto" w:fill="auto"/>
            <w:noWrap/>
            <w:vAlign w:val="bottom"/>
            <w:hideMark/>
          </w:tcPr>
          <w:p w14:paraId="169D5657"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191ICD2041.5</w:t>
            </w:r>
          </w:p>
        </w:tc>
        <w:tc>
          <w:tcPr>
            <w:tcW w:w="1020" w:type="dxa"/>
            <w:tcBorders>
              <w:top w:val="nil"/>
              <w:left w:val="nil"/>
              <w:bottom w:val="single" w:sz="4" w:space="0" w:color="auto"/>
              <w:right w:val="single" w:sz="4" w:space="0" w:color="auto"/>
            </w:tcBorders>
            <w:shd w:val="clear" w:color="auto" w:fill="auto"/>
            <w:noWrap/>
            <w:vAlign w:val="bottom"/>
            <w:hideMark/>
          </w:tcPr>
          <w:p w14:paraId="2D061874"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3B6A0AFC"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5E9D5A7E"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WESTPAC Capacity development workplans</w:t>
            </w:r>
          </w:p>
        </w:tc>
        <w:tc>
          <w:tcPr>
            <w:tcW w:w="1800" w:type="dxa"/>
            <w:tcBorders>
              <w:top w:val="nil"/>
              <w:left w:val="nil"/>
              <w:bottom w:val="single" w:sz="4" w:space="0" w:color="auto"/>
              <w:right w:val="single" w:sz="4" w:space="0" w:color="auto"/>
            </w:tcBorders>
            <w:shd w:val="clear" w:color="auto" w:fill="auto"/>
            <w:noWrap/>
            <w:vAlign w:val="bottom"/>
            <w:hideMark/>
          </w:tcPr>
          <w:p w14:paraId="55A5867D"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191ICD2041.6</w:t>
            </w:r>
          </w:p>
        </w:tc>
        <w:tc>
          <w:tcPr>
            <w:tcW w:w="1020" w:type="dxa"/>
            <w:tcBorders>
              <w:top w:val="nil"/>
              <w:left w:val="nil"/>
              <w:bottom w:val="single" w:sz="4" w:space="0" w:color="auto"/>
              <w:right w:val="single" w:sz="4" w:space="0" w:color="auto"/>
            </w:tcBorders>
            <w:shd w:val="clear" w:color="auto" w:fill="auto"/>
            <w:noWrap/>
            <w:vAlign w:val="bottom"/>
            <w:hideMark/>
          </w:tcPr>
          <w:p w14:paraId="4A2546C5"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250 000</w:t>
            </w:r>
          </w:p>
        </w:tc>
      </w:tr>
      <w:tr w:rsidR="00090783" w:rsidRPr="00090783" w14:paraId="732D04D2"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6E344561"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IOCINDIO Capacity development workplans</w:t>
            </w:r>
          </w:p>
        </w:tc>
        <w:tc>
          <w:tcPr>
            <w:tcW w:w="1800" w:type="dxa"/>
            <w:tcBorders>
              <w:top w:val="nil"/>
              <w:left w:val="nil"/>
              <w:bottom w:val="single" w:sz="4" w:space="0" w:color="auto"/>
              <w:right w:val="single" w:sz="4" w:space="0" w:color="auto"/>
            </w:tcBorders>
            <w:shd w:val="clear" w:color="auto" w:fill="auto"/>
            <w:noWrap/>
            <w:vAlign w:val="bottom"/>
            <w:hideMark/>
          </w:tcPr>
          <w:p w14:paraId="6656804A"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191ICD2040.7</w:t>
            </w:r>
          </w:p>
        </w:tc>
        <w:tc>
          <w:tcPr>
            <w:tcW w:w="1020" w:type="dxa"/>
            <w:tcBorders>
              <w:top w:val="nil"/>
              <w:left w:val="nil"/>
              <w:bottom w:val="single" w:sz="4" w:space="0" w:color="auto"/>
              <w:right w:val="single" w:sz="4" w:space="0" w:color="auto"/>
            </w:tcBorders>
            <w:shd w:val="clear" w:color="auto" w:fill="auto"/>
            <w:noWrap/>
            <w:vAlign w:val="bottom"/>
            <w:hideMark/>
          </w:tcPr>
          <w:p w14:paraId="1F848002"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100 000</w:t>
            </w:r>
          </w:p>
        </w:tc>
      </w:tr>
      <w:tr w:rsidR="00090783" w:rsidRPr="00090783" w14:paraId="1C944FE6" w14:textId="77777777" w:rsidTr="00090783">
        <w:trPr>
          <w:trHeight w:val="240"/>
          <w:jc w:val="center"/>
        </w:trPr>
        <w:tc>
          <w:tcPr>
            <w:tcW w:w="6484" w:type="dxa"/>
            <w:tcBorders>
              <w:top w:val="nil"/>
              <w:left w:val="single" w:sz="4" w:space="0" w:color="auto"/>
              <w:bottom w:val="single" w:sz="4" w:space="0" w:color="auto"/>
              <w:right w:val="single" w:sz="4" w:space="0" w:color="auto"/>
            </w:tcBorders>
            <w:shd w:val="clear" w:color="auto" w:fill="auto"/>
            <w:noWrap/>
            <w:vAlign w:val="bottom"/>
            <w:hideMark/>
          </w:tcPr>
          <w:p w14:paraId="211EE094" w14:textId="77777777" w:rsidR="00090783" w:rsidRPr="00090783" w:rsidRDefault="00090783" w:rsidP="00090783">
            <w:pPr>
              <w:widowControl/>
              <w:tabs>
                <w:tab w:val="clear" w:pos="567"/>
              </w:tabs>
              <w:adjustRightInd/>
              <w:snapToGrid/>
              <w:spacing w:line="240" w:lineRule="auto"/>
              <w:jc w:val="lef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TOTAL</w:t>
            </w:r>
          </w:p>
        </w:tc>
        <w:tc>
          <w:tcPr>
            <w:tcW w:w="1800" w:type="dxa"/>
            <w:tcBorders>
              <w:top w:val="nil"/>
              <w:left w:val="nil"/>
              <w:bottom w:val="single" w:sz="4" w:space="0" w:color="auto"/>
              <w:right w:val="single" w:sz="4" w:space="0" w:color="auto"/>
            </w:tcBorders>
            <w:shd w:val="clear" w:color="auto" w:fill="auto"/>
            <w:noWrap/>
            <w:vAlign w:val="bottom"/>
            <w:hideMark/>
          </w:tcPr>
          <w:p w14:paraId="389A6402" w14:textId="77777777" w:rsidR="00090783" w:rsidRPr="00090783" w:rsidRDefault="00090783" w:rsidP="00090783">
            <w:pPr>
              <w:widowControl/>
              <w:tabs>
                <w:tab w:val="clear" w:pos="567"/>
              </w:tabs>
              <w:adjustRightInd/>
              <w:snapToGrid/>
              <w:spacing w:line="240" w:lineRule="auto"/>
              <w:jc w:val="center"/>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 </w:t>
            </w:r>
          </w:p>
        </w:tc>
        <w:tc>
          <w:tcPr>
            <w:tcW w:w="1020" w:type="dxa"/>
            <w:tcBorders>
              <w:top w:val="nil"/>
              <w:left w:val="nil"/>
              <w:bottom w:val="single" w:sz="4" w:space="0" w:color="auto"/>
              <w:right w:val="single" w:sz="4" w:space="0" w:color="auto"/>
            </w:tcBorders>
            <w:shd w:val="clear" w:color="auto" w:fill="auto"/>
            <w:noWrap/>
            <w:vAlign w:val="bottom"/>
            <w:hideMark/>
          </w:tcPr>
          <w:p w14:paraId="15FB7D31" w14:textId="77777777" w:rsidR="00090783" w:rsidRPr="00090783" w:rsidRDefault="00090783" w:rsidP="00090783">
            <w:pPr>
              <w:widowControl/>
              <w:tabs>
                <w:tab w:val="clear" w:pos="567"/>
              </w:tabs>
              <w:adjustRightInd/>
              <w:snapToGrid/>
              <w:spacing w:line="240" w:lineRule="auto"/>
              <w:jc w:val="right"/>
              <w:textAlignment w:val="auto"/>
              <w:rPr>
                <w:rFonts w:ascii="Calibri" w:hAnsi="Calibri" w:cs="Calibri"/>
                <w:b/>
                <w:bCs/>
                <w:snapToGrid/>
                <w:sz w:val="18"/>
                <w:szCs w:val="18"/>
                <w:lang w:eastAsia="zh-CN"/>
              </w:rPr>
            </w:pPr>
            <w:r w:rsidRPr="00090783">
              <w:rPr>
                <w:rFonts w:ascii="Calibri" w:hAnsi="Calibri" w:cs="Calibri"/>
                <w:b/>
                <w:bCs/>
                <w:snapToGrid/>
                <w:sz w:val="18"/>
                <w:szCs w:val="18"/>
                <w:lang w:eastAsia="zh-CN"/>
              </w:rPr>
              <w:t>8 750 000</w:t>
            </w:r>
          </w:p>
        </w:tc>
      </w:tr>
    </w:tbl>
    <w:p w14:paraId="1109AB5E" w14:textId="2169FEF8" w:rsidR="00A14AE8" w:rsidRPr="00A14AE8" w:rsidRDefault="00A14AE8" w:rsidP="00A14AE8">
      <w:pPr>
        <w:pStyle w:val="Marge"/>
        <w:tabs>
          <w:tab w:val="clear" w:pos="567"/>
          <w:tab w:val="left" w:pos="1162"/>
        </w:tabs>
        <w:spacing w:line="240" w:lineRule="auto"/>
        <w:jc w:val="center"/>
        <w:rPr>
          <w:b/>
          <w:lang w:val="en-US"/>
        </w:rPr>
      </w:pPr>
    </w:p>
    <w:sectPr w:rsidR="00A14AE8" w:rsidRPr="00A14AE8" w:rsidSect="005A69BB">
      <w:headerReference w:type="even" r:id="rId28"/>
      <w:headerReference w:type="default" r:id="rId29"/>
      <w:headerReference w:type="first" r:id="rId30"/>
      <w:type w:val="oddPage"/>
      <w:pgSz w:w="11906" w:h="16838" w:code="9"/>
      <w:pgMar w:top="-1398" w:right="1155"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89C5" w14:textId="77777777" w:rsidR="00C734D9" w:rsidRDefault="00C734D9">
      <w:r>
        <w:separator/>
      </w:r>
    </w:p>
  </w:endnote>
  <w:endnote w:type="continuationSeparator" w:id="0">
    <w:p w14:paraId="43BDBEB4" w14:textId="77777777" w:rsidR="00C734D9" w:rsidRDefault="00C734D9">
      <w:r>
        <w:continuationSeparator/>
      </w:r>
    </w:p>
  </w:endnote>
  <w:endnote w:type="continuationNotice" w:id="1">
    <w:p w14:paraId="683F4831" w14:textId="77777777" w:rsidR="00C734D9" w:rsidRDefault="00C7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boldIt">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598C" w14:textId="77777777" w:rsidR="00C734D9" w:rsidRDefault="00C734D9">
      <w:r>
        <w:separator/>
      </w:r>
    </w:p>
  </w:footnote>
  <w:footnote w:type="continuationSeparator" w:id="0">
    <w:p w14:paraId="638554D2" w14:textId="77777777" w:rsidR="00C734D9" w:rsidRDefault="00C734D9">
      <w:r>
        <w:continuationSeparator/>
      </w:r>
    </w:p>
  </w:footnote>
  <w:footnote w:type="continuationNotice" w:id="1">
    <w:p w14:paraId="4E57F2A8" w14:textId="77777777" w:rsidR="00C734D9" w:rsidRDefault="00C734D9"/>
  </w:footnote>
  <w:footnote w:id="2">
    <w:p w14:paraId="11DD83F1" w14:textId="4A412252" w:rsidR="00C516F7" w:rsidRPr="009D0EB6" w:rsidRDefault="00C516F7">
      <w:pPr>
        <w:pStyle w:val="FootnoteText"/>
      </w:pPr>
      <w:r>
        <w:rPr>
          <w:rStyle w:val="FootnoteReference"/>
        </w:rPr>
        <w:footnoteRef/>
      </w:r>
      <w:r>
        <w:t xml:space="preserve"> </w:t>
      </w:r>
      <w:r w:rsidRPr="009D0EB6">
        <w:t xml:space="preserve"> Based on the approved framework of functions as per the IOC’s Draft Medium-Term Strategy 2022-2029.</w:t>
      </w:r>
    </w:p>
  </w:footnote>
  <w:footnote w:id="3">
    <w:p w14:paraId="41599328" w14:textId="44150932" w:rsidR="00A1295C" w:rsidRPr="00A1295C" w:rsidRDefault="00A1295C" w:rsidP="00A1295C">
      <w:pPr>
        <w:pStyle w:val="FootnoteText"/>
        <w:tabs>
          <w:tab w:val="clear" w:pos="567"/>
        </w:tabs>
        <w:spacing w:line="240" w:lineRule="auto"/>
        <w:ind w:left="238" w:hanging="238"/>
      </w:pPr>
      <w:r>
        <w:rPr>
          <w:rStyle w:val="FootnoteReference"/>
        </w:rPr>
        <w:footnoteRef/>
      </w:r>
      <w:r>
        <w:t xml:space="preserve"> </w:t>
      </w:r>
      <w:r w:rsidRPr="00A1295C">
        <w:t xml:space="preserve"> This indicator is also relevant to the Intersectoral Output 3.IP1: Environmental education strengthened to equip learners to address global environmental challenges.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B677" w14:textId="78EEABA8" w:rsidR="00C516F7" w:rsidRDefault="00C516F7" w:rsidP="005A69BB">
    <w:pPr>
      <w:pStyle w:val="Header"/>
      <w:tabs>
        <w:tab w:val="clear" w:pos="8306"/>
      </w:tabs>
      <w:spacing w:line="240" w:lineRule="auto"/>
      <w:jc w:val="left"/>
      <w:rPr>
        <w:rFonts w:cs="Arial"/>
        <w:sz w:val="20"/>
        <w:szCs w:val="20"/>
        <w:lang w:val="fr-FR"/>
      </w:rPr>
    </w:pPr>
    <w:r w:rsidRPr="00217892">
      <w:rPr>
        <w:rFonts w:cs="Arial"/>
        <w:sz w:val="20"/>
        <w:szCs w:val="20"/>
        <w:lang w:val="fr-FR"/>
      </w:rPr>
      <w:t>IOC</w:t>
    </w:r>
    <w:r w:rsidR="00F50CD1">
      <w:rPr>
        <w:rFonts w:cs="Arial"/>
        <w:sz w:val="20"/>
        <w:szCs w:val="20"/>
        <w:lang w:val="fr-FR"/>
      </w:rPr>
      <w:t>/A</w:t>
    </w:r>
    <w:r w:rsidRPr="00217892">
      <w:rPr>
        <w:rFonts w:cs="Arial"/>
        <w:sz w:val="20"/>
        <w:szCs w:val="20"/>
        <w:lang w:val="fr-FR"/>
      </w:rPr>
      <w:t>-</w:t>
    </w:r>
    <w:r w:rsidR="00176F77">
      <w:rPr>
        <w:rFonts w:cs="Arial"/>
        <w:sz w:val="20"/>
        <w:szCs w:val="20"/>
        <w:lang w:val="fr-FR"/>
      </w:rPr>
      <w:t>31</w:t>
    </w:r>
    <w:r w:rsidRPr="00217892">
      <w:rPr>
        <w:rFonts w:cs="Arial"/>
        <w:sz w:val="20"/>
        <w:szCs w:val="20"/>
        <w:lang w:val="fr-FR"/>
      </w:rPr>
      <w:t>/</w:t>
    </w:r>
    <w:r w:rsidR="00176F77">
      <w:rPr>
        <w:rFonts w:cs="Arial"/>
        <w:sz w:val="20"/>
        <w:szCs w:val="20"/>
        <w:lang w:val="fr-FR"/>
      </w:rPr>
      <w:t>4.2</w:t>
    </w:r>
    <w:proofErr w:type="gramStart"/>
    <w:r w:rsidR="0006656E">
      <w:rPr>
        <w:rFonts w:cs="Arial"/>
        <w:sz w:val="20"/>
        <w:szCs w:val="20"/>
        <w:lang w:val="fr-FR"/>
      </w:rPr>
      <w:t>Doc</w:t>
    </w:r>
    <w:r w:rsidR="00176F77">
      <w:rPr>
        <w:rFonts w:cs="Arial"/>
        <w:sz w:val="20"/>
        <w:szCs w:val="20"/>
        <w:lang w:val="fr-FR"/>
      </w:rPr>
      <w:t>(</w:t>
    </w:r>
    <w:proofErr w:type="gramEnd"/>
    <w:r w:rsidR="00176F77">
      <w:rPr>
        <w:rFonts w:cs="Arial"/>
        <w:sz w:val="20"/>
        <w:szCs w:val="20"/>
        <w:lang w:val="fr-FR"/>
      </w:rPr>
      <w:t>1</w:t>
    </w:r>
    <w:r w:rsidRPr="00217892">
      <w:rPr>
        <w:rFonts w:cs="Arial"/>
        <w:sz w:val="20"/>
        <w:szCs w:val="20"/>
        <w:lang w:val="fr-FR"/>
      </w:rPr>
      <w:t>)</w:t>
    </w:r>
  </w:p>
  <w:p w14:paraId="68F3E14C" w14:textId="52D86997" w:rsidR="00C516F7" w:rsidRPr="00556C1E" w:rsidRDefault="00C516F7" w:rsidP="005A69BB">
    <w:pPr>
      <w:pStyle w:val="Header"/>
      <w:tabs>
        <w:tab w:val="clear" w:pos="8306"/>
      </w:tabs>
      <w:spacing w:line="240" w:lineRule="auto"/>
      <w:rPr>
        <w:rFonts w:cs="Arial"/>
        <w:sz w:val="20"/>
        <w:szCs w:val="20"/>
        <w:lang w:val="fr-FR"/>
      </w:rPr>
    </w:pPr>
    <w:r>
      <w:rPr>
        <w:rFonts w:cs="Arial"/>
        <w:sz w:val="20"/>
        <w:szCs w:val="20"/>
        <w:lang w:val="fr-FR"/>
      </w:rPr>
      <w:t xml:space="preserve">page </w:t>
    </w:r>
    <w:r w:rsidRPr="005A69BB">
      <w:rPr>
        <w:rFonts w:cs="Arial"/>
        <w:sz w:val="20"/>
        <w:szCs w:val="20"/>
        <w:lang w:val="fr-FR"/>
      </w:rPr>
      <w:fldChar w:fldCharType="begin"/>
    </w:r>
    <w:r w:rsidRPr="005A69BB">
      <w:rPr>
        <w:rFonts w:cs="Arial"/>
        <w:sz w:val="20"/>
        <w:szCs w:val="20"/>
        <w:lang w:val="fr-FR"/>
      </w:rPr>
      <w:instrText xml:space="preserve"> PAGE   \* MERGEFORMAT </w:instrText>
    </w:r>
    <w:r w:rsidRPr="005A69BB">
      <w:rPr>
        <w:rFonts w:cs="Arial"/>
        <w:sz w:val="20"/>
        <w:szCs w:val="20"/>
        <w:lang w:val="fr-FR"/>
      </w:rPr>
      <w:fldChar w:fldCharType="separate"/>
    </w:r>
    <w:r w:rsidR="00A14AE8">
      <w:rPr>
        <w:rFonts w:cs="Arial"/>
        <w:noProof/>
        <w:sz w:val="20"/>
        <w:szCs w:val="20"/>
        <w:lang w:val="fr-FR"/>
      </w:rPr>
      <w:t>14</w:t>
    </w:r>
    <w:r w:rsidRPr="005A69BB">
      <w:rPr>
        <w:rFonts w:cs="Arial"/>
        <w:noProof/>
        <w:sz w:val="20"/>
        <w:szCs w:val="20"/>
        <w:lang w:val="fr-FR"/>
      </w:rPr>
      <w:fldChar w:fldCharType="end"/>
    </w:r>
  </w:p>
  <w:p w14:paraId="7800B055" w14:textId="77777777" w:rsidR="00C516F7" w:rsidRDefault="00C5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ADF2" w14:textId="6686F387" w:rsidR="00C516F7" w:rsidRDefault="00C516F7" w:rsidP="00556C1E">
    <w:pPr>
      <w:pStyle w:val="Header"/>
      <w:tabs>
        <w:tab w:val="clear" w:pos="8306"/>
      </w:tabs>
      <w:spacing w:line="240" w:lineRule="auto"/>
      <w:jc w:val="right"/>
      <w:rPr>
        <w:rFonts w:cs="Arial"/>
        <w:sz w:val="20"/>
        <w:szCs w:val="20"/>
        <w:lang w:val="fr-FR"/>
      </w:rPr>
    </w:pPr>
    <w:r w:rsidRPr="00217892">
      <w:rPr>
        <w:rFonts w:cs="Arial"/>
        <w:sz w:val="20"/>
        <w:szCs w:val="20"/>
        <w:lang w:val="fr-FR"/>
      </w:rPr>
      <w:t>IOC/EC-53/</w:t>
    </w:r>
    <w:r>
      <w:rPr>
        <w:rFonts w:cs="Arial"/>
        <w:sz w:val="20"/>
        <w:szCs w:val="20"/>
        <w:lang w:val="fr-FR"/>
      </w:rPr>
      <w:t>5.1(2</w:t>
    </w:r>
    <w:r w:rsidRPr="00217892">
      <w:rPr>
        <w:rFonts w:cs="Arial"/>
        <w:sz w:val="20"/>
        <w:szCs w:val="20"/>
        <w:lang w:val="fr-FR"/>
      </w:rPr>
      <w:t>)</w:t>
    </w:r>
  </w:p>
  <w:p w14:paraId="033701EC" w14:textId="45CB7D8C" w:rsidR="00C516F7" w:rsidRPr="00556C1E" w:rsidRDefault="00C516F7" w:rsidP="00AC2957">
    <w:pPr>
      <w:pStyle w:val="Header"/>
      <w:tabs>
        <w:tab w:val="clear" w:pos="8306"/>
      </w:tabs>
      <w:spacing w:line="240" w:lineRule="auto"/>
      <w:ind w:left="12738"/>
      <w:jc w:val="left"/>
      <w:rPr>
        <w:rFonts w:cs="Arial"/>
        <w:sz w:val="20"/>
        <w:szCs w:val="20"/>
        <w:lang w:val="fr-FR"/>
      </w:rPr>
    </w:pPr>
    <w:r w:rsidRPr="00556C1E">
      <w:rPr>
        <w:rFonts w:cs="Arial"/>
        <w:sz w:val="20"/>
        <w:szCs w:val="20"/>
        <w:lang w:val="fr-FR"/>
      </w:rPr>
      <w:t>page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21</w:t>
    </w:r>
    <w:r w:rsidRPr="00556C1E">
      <w:rPr>
        <w:rStyle w:val="PageNumber"/>
        <w:rFonts w:cs="Arial"/>
        <w:sz w:val="20"/>
        <w:szCs w:val="20"/>
      </w:rPr>
      <w:fldChar w:fldCharType="end"/>
    </w:r>
  </w:p>
  <w:p w14:paraId="70516883" w14:textId="77777777" w:rsidR="00C516F7" w:rsidRPr="00003B31" w:rsidRDefault="00C516F7" w:rsidP="00217892">
    <w:pPr>
      <w:pStyle w:val="Header"/>
      <w:spacing w:line="240" w:lineRule="auto"/>
      <w:ind w:firstLine="8077"/>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1FD5" w14:textId="60F1E5EC" w:rsidR="00C516F7" w:rsidRDefault="00C516F7" w:rsidP="00F50CD1">
    <w:pPr>
      <w:pStyle w:val="Marge"/>
      <w:tabs>
        <w:tab w:val="left" w:pos="6237"/>
      </w:tabs>
      <w:spacing w:after="0" w:line="240" w:lineRule="auto"/>
      <w:rPr>
        <w:rFonts w:cs="Arial"/>
        <w:b/>
        <w:szCs w:val="22"/>
      </w:rPr>
    </w:pPr>
    <w:r w:rsidRPr="005E544C">
      <w:rPr>
        <w:rFonts w:cs="Arial"/>
        <w:szCs w:val="22"/>
      </w:rPr>
      <w:t>Restricted Distribution</w:t>
    </w:r>
    <w:r w:rsidRPr="005E544C">
      <w:rPr>
        <w:rFonts w:cs="Arial"/>
        <w:szCs w:val="22"/>
      </w:rPr>
      <w:tab/>
    </w:r>
    <w:r w:rsidRPr="00757269">
      <w:rPr>
        <w:rFonts w:cs="Arial"/>
        <w:b/>
        <w:sz w:val="36"/>
        <w:szCs w:val="36"/>
      </w:rPr>
      <w:t>IOC</w:t>
    </w:r>
    <w:r w:rsidR="00F50CD1">
      <w:rPr>
        <w:rFonts w:cs="Arial"/>
        <w:b/>
        <w:sz w:val="36"/>
        <w:szCs w:val="36"/>
      </w:rPr>
      <w:t>/A</w:t>
    </w:r>
    <w:r w:rsidRPr="00757269">
      <w:rPr>
        <w:rFonts w:cs="Arial"/>
        <w:b/>
        <w:sz w:val="36"/>
        <w:szCs w:val="36"/>
      </w:rPr>
      <w:t>-</w:t>
    </w:r>
    <w:r>
      <w:rPr>
        <w:rFonts w:cs="Arial"/>
        <w:b/>
        <w:sz w:val="36"/>
        <w:szCs w:val="36"/>
      </w:rPr>
      <w:t>31</w:t>
    </w:r>
    <w:r w:rsidRPr="00757269">
      <w:rPr>
        <w:rFonts w:cs="Arial"/>
        <w:b/>
        <w:sz w:val="36"/>
        <w:szCs w:val="36"/>
      </w:rPr>
      <w:t>/</w:t>
    </w:r>
    <w:r>
      <w:rPr>
        <w:rFonts w:cs="Arial"/>
        <w:b/>
        <w:sz w:val="36"/>
        <w:szCs w:val="36"/>
      </w:rPr>
      <w:t>4.</w:t>
    </w:r>
    <w:proofErr w:type="gramStart"/>
    <w:r>
      <w:rPr>
        <w:rFonts w:cs="Arial"/>
        <w:b/>
        <w:sz w:val="36"/>
        <w:szCs w:val="36"/>
      </w:rPr>
      <w:t>2</w:t>
    </w:r>
    <w:r w:rsidR="009C4E08">
      <w:rPr>
        <w:rFonts w:cs="Arial"/>
        <w:b/>
        <w:sz w:val="36"/>
        <w:szCs w:val="36"/>
      </w:rPr>
      <w:t>.</w:t>
    </w:r>
    <w:r w:rsidR="0006656E">
      <w:rPr>
        <w:rFonts w:cs="Arial"/>
        <w:b/>
        <w:sz w:val="36"/>
        <w:szCs w:val="36"/>
      </w:rPr>
      <w:t>Doc</w:t>
    </w:r>
    <w:proofErr w:type="gramEnd"/>
  </w:p>
  <w:p w14:paraId="34FA0094" w14:textId="73D9922E" w:rsidR="00C516F7" w:rsidRPr="005E544C" w:rsidRDefault="00C516F7" w:rsidP="00F50CD1">
    <w:pPr>
      <w:tabs>
        <w:tab w:val="clear" w:pos="567"/>
        <w:tab w:val="left" w:pos="6237"/>
      </w:tabs>
      <w:spacing w:line="240" w:lineRule="auto"/>
      <w:jc w:val="left"/>
      <w:rPr>
        <w:rFonts w:cs="Arial"/>
        <w:szCs w:val="22"/>
      </w:rPr>
    </w:pPr>
    <w:r w:rsidRPr="005E544C">
      <w:rPr>
        <w:rFonts w:cs="Arial"/>
        <w:b/>
        <w:szCs w:val="22"/>
      </w:rPr>
      <w:tab/>
    </w:r>
    <w:r w:rsidRPr="005E544C">
      <w:rPr>
        <w:rFonts w:cs="Arial"/>
        <w:szCs w:val="22"/>
      </w:rPr>
      <w:t xml:space="preserve">Paris, </w:t>
    </w:r>
    <w:r w:rsidR="00176F77">
      <w:rPr>
        <w:rFonts w:cs="Arial"/>
        <w:szCs w:val="22"/>
      </w:rPr>
      <w:t>15</w:t>
    </w:r>
    <w:r w:rsidR="00AC5857">
      <w:rPr>
        <w:rFonts w:cs="Arial"/>
        <w:szCs w:val="22"/>
      </w:rPr>
      <w:t xml:space="preserve"> </w:t>
    </w:r>
    <w:r>
      <w:rPr>
        <w:rFonts w:cs="Arial"/>
        <w:szCs w:val="22"/>
      </w:rPr>
      <w:t>April 2021</w:t>
    </w:r>
  </w:p>
  <w:p w14:paraId="75F4EB34" w14:textId="77777777" w:rsidR="00C516F7" w:rsidRPr="005E544C" w:rsidRDefault="00C516F7" w:rsidP="00F50CD1">
    <w:pPr>
      <w:tabs>
        <w:tab w:val="clear" w:pos="567"/>
        <w:tab w:val="left" w:pos="6237"/>
      </w:tabs>
      <w:spacing w:line="240" w:lineRule="auto"/>
      <w:jc w:val="left"/>
      <w:rPr>
        <w:rFonts w:cs="Arial"/>
        <w:szCs w:val="22"/>
      </w:rPr>
    </w:pPr>
    <w:r w:rsidRPr="005E544C">
      <w:rPr>
        <w:rFonts w:cs="Arial"/>
        <w:b/>
        <w:szCs w:val="22"/>
      </w:rPr>
      <w:tab/>
    </w:r>
    <w:r w:rsidRPr="00027702">
      <w:rPr>
        <w:rFonts w:cs="Arial"/>
        <w:szCs w:val="22"/>
      </w:rPr>
      <w:t>Original</w:t>
    </w:r>
    <w:r w:rsidRPr="006001A0">
      <w:rPr>
        <w:rFonts w:cs="Arial"/>
        <w:szCs w:val="22"/>
      </w:rPr>
      <w:t xml:space="preserve">: </w:t>
    </w:r>
    <w:r w:rsidRPr="005E544C">
      <w:rPr>
        <w:rFonts w:cs="Arial"/>
        <w:szCs w:val="22"/>
      </w:rPr>
      <w:t>English</w:t>
    </w:r>
    <w:r>
      <w:rPr>
        <w:rFonts w:cs="Arial"/>
        <w:szCs w:val="22"/>
      </w:rPr>
      <w:t xml:space="preserve"> </w:t>
    </w:r>
  </w:p>
  <w:p w14:paraId="4FF027FF"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4B3B3016"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38B09CA7" w14:textId="77777777" w:rsidR="00C516F7" w:rsidRPr="00010BBB" w:rsidRDefault="00C516F7" w:rsidP="005A69BB">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noProof/>
        <w:snapToGrid/>
        <w:lang w:val="fr-FR" w:eastAsia="fr-FR"/>
      </w:rPr>
      <w:drawing>
        <wp:anchor distT="0" distB="0" distL="114300" distR="114300" simplePos="0" relativeHeight="251669504" behindDoc="1" locked="0" layoutInCell="1" allowOverlap="1" wp14:anchorId="3F0B33BA" wp14:editId="2BCC41E9">
          <wp:simplePos x="0" y="0"/>
          <wp:positionH relativeFrom="column">
            <wp:posOffset>-142240</wp:posOffset>
          </wp:positionH>
          <wp:positionV relativeFrom="paragraph">
            <wp:posOffset>1270</wp:posOffset>
          </wp:positionV>
          <wp:extent cx="1714500" cy="881380"/>
          <wp:effectExtent l="0" t="0" r="0" b="0"/>
          <wp:wrapSquare wrapText="bothSides"/>
          <wp:docPr id="2" name="Image 16"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6A767248" w14:textId="77777777" w:rsidR="00C516F7" w:rsidRPr="003561BE" w:rsidRDefault="00C516F7" w:rsidP="005A69BB">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sidRPr="003561BE">
      <w:rPr>
        <w:rFonts w:cs="Arial"/>
        <w:b/>
        <w:bCs/>
        <w:sz w:val="24"/>
      </w:rPr>
      <w:t>(of UNESCO)</w:t>
    </w:r>
  </w:p>
  <w:p w14:paraId="5D0B1629"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0D5E1337" w14:textId="77777777" w:rsidR="00C516F7" w:rsidRPr="00BF254D" w:rsidRDefault="00C516F7" w:rsidP="005A69BB">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rPr>
      <w:t>Thirty-first</w:t>
    </w:r>
    <w:r w:rsidRPr="00A968E8">
      <w:rPr>
        <w:rFonts w:cs="Arial"/>
        <w:b/>
      </w:rPr>
      <w:t xml:space="preserve"> </w:t>
    </w:r>
    <w:r>
      <w:rPr>
        <w:rFonts w:cs="Arial"/>
        <w:b/>
      </w:rPr>
      <w:t xml:space="preserve">Session </w:t>
    </w:r>
    <w:r w:rsidRPr="00BF254D">
      <w:rPr>
        <w:rFonts w:cs="Arial"/>
        <w:b/>
      </w:rPr>
      <w:t xml:space="preserve">of the </w:t>
    </w:r>
    <w:r>
      <w:rPr>
        <w:rFonts w:cs="Arial"/>
        <w:b/>
      </w:rPr>
      <w:t>Assembly</w:t>
    </w:r>
  </w:p>
  <w:p w14:paraId="6D13E32B" w14:textId="77777777" w:rsidR="00C516F7" w:rsidRPr="00423BDE" w:rsidRDefault="00C516F7" w:rsidP="005A69BB">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bCs/>
      </w:rPr>
      <w:t>UNESCO, 14–25 June 2021</w:t>
    </w:r>
  </w:p>
  <w:p w14:paraId="2EFEDFAF" w14:textId="77777777" w:rsidR="00C516F7" w:rsidRPr="005E544C" w:rsidRDefault="00C516F7" w:rsidP="005A69BB">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02D8082E" w14:textId="77777777" w:rsidR="00C516F7" w:rsidRDefault="00C516F7" w:rsidP="005A69BB">
    <w:pPr>
      <w:spacing w:line="240" w:lineRule="auto"/>
      <w:jc w:val="center"/>
      <w:rPr>
        <w:rFonts w:cs="Arial"/>
        <w:szCs w:val="22"/>
      </w:rPr>
    </w:pPr>
  </w:p>
  <w:p w14:paraId="34BE8AC1" w14:textId="77777777" w:rsidR="00C516F7" w:rsidRDefault="00C516F7" w:rsidP="005A69BB">
    <w:pPr>
      <w:jc w:val="center"/>
      <w:rPr>
        <w:rFonts w:cs="Arial"/>
        <w:szCs w:val="22"/>
      </w:rPr>
    </w:pPr>
  </w:p>
  <w:p w14:paraId="0CDDD0E1" w14:textId="77777777" w:rsidR="00C516F7" w:rsidRPr="005E544C" w:rsidRDefault="00C516F7" w:rsidP="005A69BB">
    <w:pPr>
      <w:jc w:val="center"/>
      <w:rPr>
        <w:rFonts w:cs="Arial"/>
        <w:szCs w:val="22"/>
      </w:rPr>
    </w:pPr>
  </w:p>
  <w:p w14:paraId="34A30C26" w14:textId="77777777" w:rsidR="00C516F7" w:rsidRPr="005E544C" w:rsidRDefault="00C516F7" w:rsidP="005A69BB">
    <w:pPr>
      <w:jc w:val="center"/>
      <w:rPr>
        <w:rFonts w:cs="Arial"/>
        <w:szCs w:val="22"/>
      </w:rPr>
    </w:pPr>
  </w:p>
  <w:p w14:paraId="6E15E16C" w14:textId="2A0342AA" w:rsidR="00C516F7" w:rsidRPr="008D2398" w:rsidRDefault="00C516F7" w:rsidP="005A69BB">
    <w:pPr>
      <w:pStyle w:val="Heading7"/>
      <w:tabs>
        <w:tab w:val="right" w:pos="9540"/>
      </w:tabs>
      <w:spacing w:line="240" w:lineRule="auto"/>
      <w:rPr>
        <w:rFonts w:cs="Arial"/>
        <w:sz w:val="24"/>
        <w:u w:val="none"/>
      </w:rPr>
    </w:pPr>
    <w:r w:rsidRPr="00413F17">
      <w:rPr>
        <w:rFonts w:cs="Arial"/>
        <w:sz w:val="24"/>
      </w:rPr>
      <w:t>I</w:t>
    </w:r>
    <w:r w:rsidRPr="008D2398">
      <w:rPr>
        <w:rFonts w:cs="Arial"/>
        <w:sz w:val="24"/>
      </w:rPr>
      <w:t>tem</w:t>
    </w:r>
    <w:r>
      <w:rPr>
        <w:rFonts w:cs="Arial"/>
        <w:sz w:val="24"/>
      </w:rPr>
      <w:t>s</w:t>
    </w:r>
    <w:r w:rsidRPr="008D2398">
      <w:rPr>
        <w:rFonts w:cs="Arial"/>
        <w:sz w:val="24"/>
      </w:rPr>
      <w:t xml:space="preserve"> </w:t>
    </w:r>
    <w:r>
      <w:rPr>
        <w:rFonts w:cs="Arial"/>
        <w:b/>
        <w:sz w:val="24"/>
      </w:rPr>
      <w:t>4.</w:t>
    </w:r>
    <w:r w:rsidR="005018A5">
      <w:rPr>
        <w:rFonts w:cs="Arial"/>
        <w:b/>
        <w:sz w:val="24"/>
      </w:rPr>
      <w:t>2</w:t>
    </w:r>
    <w:r w:rsidRPr="008D2398">
      <w:rPr>
        <w:rFonts w:cs="Arial"/>
        <w:sz w:val="24"/>
      </w:rPr>
      <w:t xml:space="preserve"> </w:t>
    </w:r>
    <w:r>
      <w:rPr>
        <w:rFonts w:cs="Arial"/>
        <w:sz w:val="24"/>
      </w:rPr>
      <w:t xml:space="preserve">and </w:t>
    </w:r>
    <w:r>
      <w:rPr>
        <w:rFonts w:cs="Arial"/>
        <w:b/>
        <w:sz w:val="24"/>
      </w:rPr>
      <w:t>4</w:t>
    </w:r>
    <w:r w:rsidRPr="00F82802">
      <w:rPr>
        <w:rFonts w:cs="Arial"/>
        <w:b/>
        <w:sz w:val="24"/>
      </w:rPr>
      <w:t>.</w:t>
    </w:r>
    <w:r>
      <w:rPr>
        <w:rFonts w:cs="Arial"/>
        <w:b/>
        <w:sz w:val="24"/>
      </w:rPr>
      <w:t>4</w:t>
    </w:r>
    <w:r>
      <w:rPr>
        <w:rFonts w:cs="Arial"/>
        <w:sz w:val="24"/>
      </w:rPr>
      <w:t xml:space="preserve"> </w:t>
    </w:r>
    <w:r w:rsidRPr="008D2398">
      <w:rPr>
        <w:rFonts w:cs="Arial"/>
        <w:sz w:val="24"/>
      </w:rPr>
      <w:t>of the Provisional Agenda</w:t>
    </w:r>
  </w:p>
  <w:p w14:paraId="5875E159" w14:textId="77777777" w:rsidR="00C516F7" w:rsidRPr="005E544C" w:rsidRDefault="00C516F7" w:rsidP="005A69BB">
    <w:pPr>
      <w:spacing w:line="240" w:lineRule="auto"/>
      <w:rPr>
        <w:rFonts w:cs="Arial"/>
        <w:szCs w:val="22"/>
      </w:rPr>
    </w:pPr>
  </w:p>
  <w:p w14:paraId="3D52E993" w14:textId="77777777" w:rsidR="00C516F7" w:rsidRPr="005E544C" w:rsidRDefault="00C516F7" w:rsidP="005A69BB">
    <w:pPr>
      <w:spacing w:line="240" w:lineRule="auto"/>
      <w:rPr>
        <w:rFonts w:cs="Arial"/>
        <w:szCs w:val="22"/>
      </w:rPr>
    </w:pPr>
  </w:p>
  <w:p w14:paraId="30D788DD" w14:textId="77777777" w:rsidR="00C516F7" w:rsidRDefault="00C516F7" w:rsidP="005A69BB">
    <w:pPr>
      <w:pStyle w:val="Docheading"/>
      <w:spacing w:after="0" w:line="240" w:lineRule="auto"/>
    </w:pPr>
    <w:r>
      <w:t xml:space="preserve">draft programme and budget FOR 2022–2025 (41 C/5) </w:t>
    </w:r>
  </w:p>
  <w:p w14:paraId="57AA65AB" w14:textId="77777777" w:rsidR="00C516F7" w:rsidRDefault="00C516F7" w:rsidP="005A69BB">
    <w:pPr>
      <w:pStyle w:val="Docheading"/>
      <w:spacing w:after="0" w:line="240" w:lineRule="auto"/>
    </w:pPr>
    <w:r>
      <w:t>first biennium 2022–2023</w:t>
    </w:r>
  </w:p>
  <w:p w14:paraId="02CC5735" w14:textId="4AB39EC9" w:rsidR="00C516F7" w:rsidRPr="00556C1E" w:rsidRDefault="00C516F7" w:rsidP="00AC2957">
    <w:pPr>
      <w:pStyle w:val="Header"/>
      <w:spacing w:line="240" w:lineRule="auto"/>
      <w:ind w:left="12474"/>
      <w:rPr>
        <w:rStyle w:val="PageNumber"/>
        <w:rFonts w:cs="Arial"/>
        <w:sz w:val="20"/>
        <w:szCs w:val="20"/>
        <w:lang w:val="fr-FR"/>
      </w:rPr>
    </w:pPr>
    <w:r>
      <w:rPr>
        <w:rFonts w:cs="Arial"/>
        <w:sz w:val="20"/>
        <w:szCs w:val="20"/>
        <w:lang w:val="fr-FR"/>
      </w:rPr>
      <w:t>p</w:t>
    </w:r>
    <w:r w:rsidRPr="00556C1E">
      <w:rPr>
        <w:rFonts w:cs="Arial"/>
        <w:sz w:val="20"/>
        <w:szCs w:val="20"/>
        <w:lang w:val="fr-FR"/>
      </w:rPr>
      <w:t>age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sidR="00A14AE8">
      <w:rPr>
        <w:rStyle w:val="PageNumber"/>
        <w:rFonts w:cs="Arial"/>
        <w:noProof/>
        <w:sz w:val="20"/>
        <w:szCs w:val="20"/>
        <w:lang w:val="fr-FR"/>
      </w:rPr>
      <w:t>1</w:t>
    </w:r>
    <w:r w:rsidRPr="00556C1E">
      <w:rPr>
        <w:rStyle w:val="PageNumber"/>
        <w:rFonts w:cs="Arial"/>
        <w:sz w:val="20"/>
        <w:szCs w:val="20"/>
      </w:rPr>
      <w:fldChar w:fldCharType="end"/>
    </w:r>
  </w:p>
  <w:p w14:paraId="743A2E1E"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67456" behindDoc="0" locked="0" layoutInCell="1" allowOverlap="1" wp14:anchorId="770838FF" wp14:editId="117F8866">
              <wp:simplePos x="0" y="0"/>
              <wp:positionH relativeFrom="rightMargin">
                <wp:posOffset>2598420</wp:posOffset>
              </wp:positionH>
              <wp:positionV relativeFrom="page">
                <wp:posOffset>6175375</wp:posOffset>
              </wp:positionV>
              <wp:extent cx="1245235" cy="539750"/>
              <wp:effectExtent l="0" t="8572" r="3492" b="3493"/>
              <wp:wrapTopAndBottom/>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0AE6388D" w14:textId="77777777" w:rsidR="00C516F7" w:rsidRPr="00556C1E" w:rsidRDefault="00C516F7" w:rsidP="00511BDC">
                          <w:pPr>
                            <w:pStyle w:val="Header"/>
                            <w:tabs>
                              <w:tab w:val="clear" w:pos="8306"/>
                            </w:tabs>
                            <w:spacing w:line="240" w:lineRule="auto"/>
                            <w:jc w:val="left"/>
                            <w:rPr>
                              <w:rFonts w:cs="Arial"/>
                              <w:sz w:val="20"/>
                              <w:szCs w:val="20"/>
                              <w:lang w:val="fr-FR"/>
                            </w:rPr>
                          </w:pPr>
                          <w:r w:rsidRPr="00217892">
                            <w:rPr>
                              <w:rFonts w:cs="Arial"/>
                              <w:sz w:val="20"/>
                              <w:szCs w:val="20"/>
                              <w:lang w:val="fr-FR"/>
                            </w:rPr>
                            <w:t>I</w:t>
                          </w:r>
                          <w:r>
                            <w:rPr>
                              <w:rFonts w:cs="Arial"/>
                              <w:sz w:val="20"/>
                              <w:szCs w:val="20"/>
                              <w:lang w:val="fr-FR"/>
                            </w:rPr>
                            <w:t>OC/EC-53/5.1(2</w:t>
                          </w:r>
                          <w:r w:rsidRPr="00217892">
                            <w:rPr>
                              <w:rFonts w:cs="Arial"/>
                              <w:sz w:val="20"/>
                              <w:szCs w:val="20"/>
                              <w:lang w:val="fr-FR"/>
                            </w:rPr>
                            <w:t>)</w:t>
                          </w:r>
                        </w:p>
                        <w:p w14:paraId="3D141EC3" w14:textId="7FC9DF42" w:rsidR="00C516F7" w:rsidRDefault="00C516F7" w:rsidP="00511BDC">
                          <w:pPr>
                            <w:pStyle w:val="Header"/>
                            <w:spacing w:line="240" w:lineRule="auto"/>
                            <w:rPr>
                              <w:rStyle w:val="PageNumber"/>
                              <w:rFonts w:cs="Arial"/>
                              <w:sz w:val="20"/>
                              <w:szCs w:val="20"/>
                            </w:rPr>
                          </w:pPr>
                          <w:r>
                            <w:rPr>
                              <w:rFonts w:cs="Arial"/>
                              <w:sz w:val="20"/>
                              <w:szCs w:val="20"/>
                              <w:lang w:val="fr-FR"/>
                            </w:rPr>
                            <w:t>p</w:t>
                          </w:r>
                          <w:r w:rsidRPr="00556C1E">
                            <w:rPr>
                              <w:rFonts w:cs="Arial"/>
                              <w:sz w:val="20"/>
                              <w:szCs w:val="20"/>
                              <w:lang w:val="fr-FR"/>
                            </w:rPr>
                            <w:t>age </w:t>
                          </w:r>
                          <w:r>
                            <w:rPr>
                              <w:rStyle w:val="PageNumber"/>
                              <w:rFonts w:cs="Arial"/>
                              <w:sz w:val="20"/>
                              <w:szCs w:val="20"/>
                            </w:rPr>
                            <w:fldChar w:fldCharType="begin"/>
                          </w:r>
                          <w:r>
                            <w:rPr>
                              <w:rStyle w:val="PageNumber"/>
                              <w:rFonts w:cs="Arial"/>
                              <w:sz w:val="20"/>
                              <w:szCs w:val="20"/>
                            </w:rPr>
                            <w:instrText xml:space="preserve"> PAGE  \* Arabic </w:instrText>
                          </w:r>
                          <w:r>
                            <w:rPr>
                              <w:rStyle w:val="PageNumber"/>
                              <w:rFonts w:cs="Arial"/>
                              <w:sz w:val="20"/>
                              <w:szCs w:val="20"/>
                            </w:rPr>
                            <w:fldChar w:fldCharType="separate"/>
                          </w:r>
                          <w:r w:rsidR="00A14AE8">
                            <w:rPr>
                              <w:rStyle w:val="PageNumber"/>
                              <w:rFonts w:cs="Arial"/>
                              <w:noProof/>
                              <w:sz w:val="20"/>
                              <w:szCs w:val="20"/>
                            </w:rPr>
                            <w:t>1</w:t>
                          </w:r>
                          <w:r>
                            <w:rPr>
                              <w:rStyle w:val="PageNumber"/>
                              <w:rFonts w:cs="Arial"/>
                              <w:sz w:val="20"/>
                              <w:szCs w:val="20"/>
                            </w:rPr>
                            <w:fldChar w:fldCharType="end"/>
                          </w:r>
                        </w:p>
                        <w:p w14:paraId="47ECF8C1" w14:textId="77777777" w:rsidR="00C516F7" w:rsidRPr="00511BDC" w:rsidRDefault="00C516F7" w:rsidP="00511BDC">
                          <w:pPr>
                            <w:pStyle w:val="Header"/>
                            <w:spacing w:line="240" w:lineRule="auto"/>
                            <w:rPr>
                              <w:rFonts w:cs="Arial"/>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838FF" id="_x0000_t202" coordsize="21600,21600" o:spt="202" path="m,l,21600r21600,l21600,xe">
              <v:stroke joinstyle="miter"/>
              <v:path gradientshapeok="t" o:connecttype="rect"/>
            </v:shapetype>
            <v:shape id="Zone de texte 2" o:spid="_x0000_s1026" type="#_x0000_t202" style="position:absolute;left:0;text-align:left;margin-left:204.6pt;margin-top:486.25pt;width:98.05pt;height:42.5pt;rotation:90;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" stroked="f">
              <v:textbox style="mso-fit-shape-to-text:t">
                <w:txbxContent>
                  <w:p w14:paraId="0AE6388D" w14:textId="77777777" w:rsidR="00C516F7" w:rsidRPr="00556C1E" w:rsidRDefault="00C516F7" w:rsidP="00511BDC">
                    <w:pPr>
                      <w:pStyle w:val="Header"/>
                      <w:tabs>
                        <w:tab w:val="clear" w:pos="8306"/>
                      </w:tabs>
                      <w:spacing w:line="240" w:lineRule="auto"/>
                      <w:jc w:val="left"/>
                      <w:rPr>
                        <w:rFonts w:cs="Arial"/>
                        <w:sz w:val="20"/>
                        <w:szCs w:val="20"/>
                        <w:lang w:val="fr-FR"/>
                      </w:rPr>
                    </w:pPr>
                    <w:r w:rsidRPr="00217892">
                      <w:rPr>
                        <w:rFonts w:cs="Arial"/>
                        <w:sz w:val="20"/>
                        <w:szCs w:val="20"/>
                        <w:lang w:val="fr-FR"/>
                      </w:rPr>
                      <w:t>I</w:t>
                    </w:r>
                    <w:r>
                      <w:rPr>
                        <w:rFonts w:cs="Arial"/>
                        <w:sz w:val="20"/>
                        <w:szCs w:val="20"/>
                        <w:lang w:val="fr-FR"/>
                      </w:rPr>
                      <w:t>OC/EC-53/5.1(2</w:t>
                    </w:r>
                    <w:r w:rsidRPr="00217892">
                      <w:rPr>
                        <w:rFonts w:cs="Arial"/>
                        <w:sz w:val="20"/>
                        <w:szCs w:val="20"/>
                        <w:lang w:val="fr-FR"/>
                      </w:rPr>
                      <w:t>)</w:t>
                    </w:r>
                  </w:p>
                  <w:p w14:paraId="3D141EC3" w14:textId="7FC9DF42" w:rsidR="00C516F7" w:rsidRDefault="00C516F7" w:rsidP="00511BDC">
                    <w:pPr>
                      <w:pStyle w:val="Header"/>
                      <w:spacing w:line="240" w:lineRule="auto"/>
                      <w:rPr>
                        <w:rStyle w:val="PageNumber"/>
                        <w:rFonts w:cs="Arial"/>
                        <w:sz w:val="20"/>
                        <w:szCs w:val="20"/>
                      </w:rPr>
                    </w:pPr>
                    <w:r>
                      <w:rPr>
                        <w:rFonts w:cs="Arial"/>
                        <w:sz w:val="20"/>
                        <w:szCs w:val="20"/>
                        <w:lang w:val="fr-FR"/>
                      </w:rPr>
                      <w:t>p</w:t>
                    </w:r>
                    <w:r w:rsidRPr="00556C1E">
                      <w:rPr>
                        <w:rFonts w:cs="Arial"/>
                        <w:sz w:val="20"/>
                        <w:szCs w:val="20"/>
                        <w:lang w:val="fr-FR"/>
                      </w:rPr>
                      <w:t>age </w:t>
                    </w:r>
                    <w:r>
                      <w:rPr>
                        <w:rStyle w:val="PageNumber"/>
                        <w:rFonts w:cs="Arial"/>
                        <w:sz w:val="20"/>
                        <w:szCs w:val="20"/>
                      </w:rPr>
                      <w:fldChar w:fldCharType="begin"/>
                    </w:r>
                    <w:r>
                      <w:rPr>
                        <w:rStyle w:val="PageNumber"/>
                        <w:rFonts w:cs="Arial"/>
                        <w:sz w:val="20"/>
                        <w:szCs w:val="20"/>
                      </w:rPr>
                      <w:instrText xml:space="preserve"> PAGE  \* Arabic </w:instrText>
                    </w:r>
                    <w:r>
                      <w:rPr>
                        <w:rStyle w:val="PageNumber"/>
                        <w:rFonts w:cs="Arial"/>
                        <w:sz w:val="20"/>
                        <w:szCs w:val="20"/>
                      </w:rPr>
                      <w:fldChar w:fldCharType="separate"/>
                    </w:r>
                    <w:r w:rsidR="00A14AE8">
                      <w:rPr>
                        <w:rStyle w:val="PageNumber"/>
                        <w:rFonts w:cs="Arial"/>
                        <w:noProof/>
                        <w:sz w:val="20"/>
                        <w:szCs w:val="20"/>
                      </w:rPr>
                      <w:t>1</w:t>
                    </w:r>
                    <w:r>
                      <w:rPr>
                        <w:rStyle w:val="PageNumber"/>
                        <w:rFonts w:cs="Arial"/>
                        <w:sz w:val="20"/>
                        <w:szCs w:val="20"/>
                      </w:rPr>
                      <w:fldChar w:fldCharType="end"/>
                    </w:r>
                  </w:p>
                  <w:p w14:paraId="47ECF8C1" w14:textId="77777777" w:rsidR="00C516F7" w:rsidRPr="00511BDC" w:rsidRDefault="00C516F7" w:rsidP="00511BDC">
                    <w:pPr>
                      <w:pStyle w:val="Header"/>
                      <w:spacing w:line="240" w:lineRule="auto"/>
                      <w:rPr>
                        <w:rFonts w:cs="Arial"/>
                        <w:sz w:val="20"/>
                        <w:szCs w:val="20"/>
                        <w:lang w:val="fr-FR"/>
                      </w:rPr>
                    </w:pPr>
                  </w:p>
                </w:txbxContent>
              </v:textbox>
              <w10:wrap type="topAndBottom"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4CB3" w14:textId="3563C355" w:rsidR="00F50CD1" w:rsidRDefault="00F50CD1" w:rsidP="005A69BB">
    <w:pPr>
      <w:pStyle w:val="Header"/>
      <w:tabs>
        <w:tab w:val="clear" w:pos="8306"/>
      </w:tabs>
      <w:spacing w:line="240" w:lineRule="auto"/>
      <w:jc w:val="left"/>
      <w:rPr>
        <w:rFonts w:cs="Arial"/>
        <w:sz w:val="20"/>
        <w:szCs w:val="20"/>
        <w:lang w:val="fr-FR"/>
      </w:rPr>
    </w:pPr>
    <w:r w:rsidRPr="00217892">
      <w:rPr>
        <w:rFonts w:cs="Arial"/>
        <w:sz w:val="20"/>
        <w:szCs w:val="20"/>
        <w:lang w:val="fr-FR"/>
      </w:rPr>
      <w:t>IOC</w:t>
    </w:r>
    <w:r>
      <w:rPr>
        <w:rFonts w:cs="Arial"/>
        <w:sz w:val="20"/>
        <w:szCs w:val="20"/>
        <w:lang w:val="fr-FR"/>
      </w:rPr>
      <w:t>/A</w:t>
    </w:r>
    <w:r w:rsidRPr="00217892">
      <w:rPr>
        <w:rFonts w:cs="Arial"/>
        <w:sz w:val="20"/>
        <w:szCs w:val="20"/>
        <w:lang w:val="fr-FR"/>
      </w:rPr>
      <w:t>-</w:t>
    </w:r>
    <w:r>
      <w:rPr>
        <w:rFonts w:cs="Arial"/>
        <w:sz w:val="20"/>
        <w:szCs w:val="20"/>
        <w:lang w:val="fr-FR"/>
      </w:rPr>
      <w:t>31</w:t>
    </w:r>
    <w:r w:rsidRPr="00217892">
      <w:rPr>
        <w:rFonts w:cs="Arial"/>
        <w:sz w:val="20"/>
        <w:szCs w:val="20"/>
        <w:lang w:val="fr-FR"/>
      </w:rPr>
      <w:t>/</w:t>
    </w:r>
    <w:r>
      <w:rPr>
        <w:rFonts w:cs="Arial"/>
        <w:sz w:val="20"/>
        <w:szCs w:val="20"/>
        <w:lang w:val="fr-FR"/>
      </w:rPr>
      <w:t>4.</w:t>
    </w:r>
    <w:proofErr w:type="gramStart"/>
    <w:r>
      <w:rPr>
        <w:rFonts w:cs="Arial"/>
        <w:sz w:val="20"/>
        <w:szCs w:val="20"/>
        <w:lang w:val="fr-FR"/>
      </w:rPr>
      <w:t>2</w:t>
    </w:r>
    <w:r w:rsidR="009C4E08">
      <w:rPr>
        <w:rFonts w:cs="Arial"/>
        <w:sz w:val="20"/>
        <w:szCs w:val="20"/>
        <w:lang w:val="fr-FR"/>
      </w:rPr>
      <w:t>.</w:t>
    </w:r>
    <w:r>
      <w:rPr>
        <w:rFonts w:cs="Arial"/>
        <w:sz w:val="20"/>
        <w:szCs w:val="20"/>
        <w:lang w:val="fr-FR"/>
      </w:rPr>
      <w:t>Doc</w:t>
    </w:r>
    <w:proofErr w:type="gramEnd"/>
  </w:p>
  <w:p w14:paraId="513F4AF7" w14:textId="77777777" w:rsidR="00F50CD1" w:rsidRPr="00556C1E" w:rsidRDefault="00F50CD1" w:rsidP="005A69BB">
    <w:pPr>
      <w:pStyle w:val="Header"/>
      <w:tabs>
        <w:tab w:val="clear" w:pos="8306"/>
      </w:tabs>
      <w:spacing w:line="240" w:lineRule="auto"/>
      <w:rPr>
        <w:rFonts w:cs="Arial"/>
        <w:sz w:val="20"/>
        <w:szCs w:val="20"/>
        <w:lang w:val="fr-FR"/>
      </w:rPr>
    </w:pPr>
    <w:proofErr w:type="gramStart"/>
    <w:r>
      <w:rPr>
        <w:rFonts w:cs="Arial"/>
        <w:sz w:val="20"/>
        <w:szCs w:val="20"/>
        <w:lang w:val="fr-FR"/>
      </w:rPr>
      <w:t>page</w:t>
    </w:r>
    <w:proofErr w:type="gramEnd"/>
    <w:r>
      <w:rPr>
        <w:rFonts w:cs="Arial"/>
        <w:sz w:val="20"/>
        <w:szCs w:val="20"/>
        <w:lang w:val="fr-FR"/>
      </w:rPr>
      <w:t xml:space="preserve"> </w:t>
    </w:r>
    <w:r w:rsidRPr="005A69BB">
      <w:rPr>
        <w:rFonts w:cs="Arial"/>
        <w:sz w:val="20"/>
        <w:szCs w:val="20"/>
        <w:lang w:val="fr-FR"/>
      </w:rPr>
      <w:fldChar w:fldCharType="begin"/>
    </w:r>
    <w:r w:rsidRPr="005A69BB">
      <w:rPr>
        <w:rFonts w:cs="Arial"/>
        <w:sz w:val="20"/>
        <w:szCs w:val="20"/>
        <w:lang w:val="fr-FR"/>
      </w:rPr>
      <w:instrText xml:space="preserve"> PAGE   \* MERGEFORMAT </w:instrText>
    </w:r>
    <w:r w:rsidRPr="005A69BB">
      <w:rPr>
        <w:rFonts w:cs="Arial"/>
        <w:sz w:val="20"/>
        <w:szCs w:val="20"/>
        <w:lang w:val="fr-FR"/>
      </w:rPr>
      <w:fldChar w:fldCharType="separate"/>
    </w:r>
    <w:r>
      <w:rPr>
        <w:rFonts w:cs="Arial"/>
        <w:noProof/>
        <w:sz w:val="20"/>
        <w:szCs w:val="20"/>
        <w:lang w:val="fr-FR"/>
      </w:rPr>
      <w:t>14</w:t>
    </w:r>
    <w:r w:rsidRPr="005A69BB">
      <w:rPr>
        <w:rFonts w:cs="Arial"/>
        <w:noProof/>
        <w:sz w:val="20"/>
        <w:szCs w:val="20"/>
        <w:lang w:val="fr-FR"/>
      </w:rPr>
      <w:fldChar w:fldCharType="end"/>
    </w:r>
  </w:p>
  <w:p w14:paraId="042BBAB4" w14:textId="77777777" w:rsidR="00F50CD1" w:rsidRDefault="00F50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B991" w14:textId="4F495225" w:rsidR="00C516F7" w:rsidRDefault="00C516F7" w:rsidP="00556C1E">
    <w:pPr>
      <w:pStyle w:val="Header"/>
      <w:tabs>
        <w:tab w:val="clear" w:pos="8306"/>
      </w:tabs>
      <w:spacing w:line="240" w:lineRule="auto"/>
      <w:jc w:val="right"/>
      <w:rPr>
        <w:rFonts w:cs="Arial"/>
        <w:sz w:val="20"/>
        <w:szCs w:val="20"/>
        <w:lang w:val="fr-FR"/>
      </w:rPr>
    </w:pPr>
    <w:r w:rsidRPr="00217892">
      <w:rPr>
        <w:rFonts w:cs="Arial"/>
        <w:sz w:val="20"/>
        <w:szCs w:val="20"/>
        <w:lang w:val="fr-FR"/>
      </w:rPr>
      <w:t>IOC</w:t>
    </w:r>
    <w:r w:rsidR="00F50CD1">
      <w:rPr>
        <w:rFonts w:cs="Arial"/>
        <w:sz w:val="20"/>
        <w:szCs w:val="20"/>
        <w:lang w:val="fr-FR"/>
      </w:rPr>
      <w:t>/A</w:t>
    </w:r>
    <w:r w:rsidRPr="00217892">
      <w:rPr>
        <w:rFonts w:cs="Arial"/>
        <w:sz w:val="20"/>
        <w:szCs w:val="20"/>
        <w:lang w:val="fr-FR"/>
      </w:rPr>
      <w:t>-</w:t>
    </w:r>
    <w:r w:rsidR="00176F77">
      <w:rPr>
        <w:rFonts w:cs="Arial"/>
        <w:sz w:val="20"/>
        <w:szCs w:val="20"/>
        <w:lang w:val="fr-FR"/>
      </w:rPr>
      <w:t>31/4.</w:t>
    </w:r>
    <w:proofErr w:type="gramStart"/>
    <w:r w:rsidR="00176F77">
      <w:rPr>
        <w:rFonts w:cs="Arial"/>
        <w:sz w:val="20"/>
        <w:szCs w:val="20"/>
        <w:lang w:val="fr-FR"/>
      </w:rPr>
      <w:t>2</w:t>
    </w:r>
    <w:r w:rsidR="009C4E08">
      <w:rPr>
        <w:rFonts w:cs="Arial"/>
        <w:sz w:val="20"/>
        <w:szCs w:val="20"/>
        <w:lang w:val="fr-FR"/>
      </w:rPr>
      <w:t>.</w:t>
    </w:r>
    <w:r w:rsidR="0006656E">
      <w:rPr>
        <w:rFonts w:cs="Arial"/>
        <w:sz w:val="20"/>
        <w:szCs w:val="20"/>
        <w:lang w:val="fr-FR"/>
      </w:rPr>
      <w:t>Doc</w:t>
    </w:r>
    <w:proofErr w:type="gramEnd"/>
  </w:p>
  <w:p w14:paraId="48729010" w14:textId="542F38F8" w:rsidR="00C516F7" w:rsidRDefault="0006656E" w:rsidP="009C4E08">
    <w:pPr>
      <w:pStyle w:val="Header"/>
      <w:tabs>
        <w:tab w:val="clear" w:pos="8306"/>
      </w:tabs>
      <w:spacing w:line="240" w:lineRule="auto"/>
      <w:ind w:left="8049" w:firstLine="56"/>
      <w:jc w:val="left"/>
      <w:rPr>
        <w:rFonts w:cs="Arial"/>
        <w:sz w:val="20"/>
        <w:szCs w:val="20"/>
        <w:lang w:val="fr-FR"/>
      </w:rPr>
    </w:pPr>
    <w:proofErr w:type="gramStart"/>
    <w:r>
      <w:rPr>
        <w:rFonts w:cs="Arial"/>
        <w:sz w:val="20"/>
        <w:szCs w:val="20"/>
        <w:lang w:val="fr-FR"/>
      </w:rPr>
      <w:t>p</w:t>
    </w:r>
    <w:r w:rsidR="00C516F7">
      <w:rPr>
        <w:rFonts w:cs="Arial"/>
        <w:sz w:val="20"/>
        <w:szCs w:val="20"/>
        <w:lang w:val="fr-FR"/>
      </w:rPr>
      <w:t>age</w:t>
    </w:r>
    <w:proofErr w:type="gramEnd"/>
    <w:r w:rsidR="00C516F7">
      <w:rPr>
        <w:rFonts w:cs="Arial"/>
        <w:sz w:val="20"/>
        <w:szCs w:val="20"/>
        <w:lang w:val="fr-FR"/>
      </w:rPr>
      <w:t xml:space="preserve"> </w:t>
    </w:r>
    <w:r w:rsidR="00C516F7" w:rsidRPr="00E46249">
      <w:rPr>
        <w:rFonts w:cs="Arial"/>
        <w:sz w:val="20"/>
        <w:szCs w:val="20"/>
        <w:lang w:val="fr-FR"/>
      </w:rPr>
      <w:fldChar w:fldCharType="begin"/>
    </w:r>
    <w:r w:rsidR="00C516F7" w:rsidRPr="00E46249">
      <w:rPr>
        <w:rFonts w:cs="Arial"/>
        <w:sz w:val="20"/>
        <w:szCs w:val="20"/>
        <w:lang w:val="fr-FR"/>
      </w:rPr>
      <w:instrText xml:space="preserve"> PAGE   \* MERGEFORMAT </w:instrText>
    </w:r>
    <w:r w:rsidR="00C516F7" w:rsidRPr="00E46249">
      <w:rPr>
        <w:rFonts w:cs="Arial"/>
        <w:sz w:val="20"/>
        <w:szCs w:val="20"/>
        <w:lang w:val="fr-FR"/>
      </w:rPr>
      <w:fldChar w:fldCharType="separate"/>
    </w:r>
    <w:r w:rsidR="00A14AE8">
      <w:rPr>
        <w:rFonts w:cs="Arial"/>
        <w:noProof/>
        <w:sz w:val="20"/>
        <w:szCs w:val="20"/>
        <w:lang w:val="fr-FR"/>
      </w:rPr>
      <w:t>13</w:t>
    </w:r>
    <w:r w:rsidR="00C516F7" w:rsidRPr="00E46249">
      <w:rPr>
        <w:rFonts w:cs="Arial"/>
        <w:noProof/>
        <w:sz w:val="20"/>
        <w:szCs w:val="20"/>
        <w:lang w:val="fr-FR"/>
      </w:rPr>
      <w:fldChar w:fldCharType="end"/>
    </w:r>
  </w:p>
  <w:p w14:paraId="2EAAD13C" w14:textId="1D8BBF5F" w:rsidR="00C516F7" w:rsidRPr="00556C1E" w:rsidRDefault="00C516F7" w:rsidP="00AC2957">
    <w:pPr>
      <w:pStyle w:val="Header"/>
      <w:tabs>
        <w:tab w:val="clear" w:pos="8306"/>
      </w:tabs>
      <w:spacing w:line="240" w:lineRule="auto"/>
      <w:ind w:left="12738"/>
      <w:jc w:val="left"/>
      <w:rPr>
        <w:rFonts w:cs="Arial"/>
        <w:sz w:val="20"/>
        <w:szCs w:val="20"/>
        <w:lang w:val="fr-FR"/>
      </w:rPr>
    </w:pPr>
    <w:r w:rsidRPr="00556C1E">
      <w:rPr>
        <w:rFonts w:cs="Arial"/>
        <w:sz w:val="20"/>
        <w:szCs w:val="20"/>
        <w:lang w:val="fr-FR"/>
      </w:rPr>
      <w:t>page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sidR="00A14AE8">
      <w:rPr>
        <w:rStyle w:val="PageNumber"/>
        <w:rFonts w:cs="Arial"/>
        <w:noProof/>
        <w:sz w:val="20"/>
        <w:szCs w:val="20"/>
        <w:lang w:val="fr-FR"/>
      </w:rPr>
      <w:t>13</w:t>
    </w:r>
    <w:r w:rsidRPr="00556C1E">
      <w:rPr>
        <w:rStyle w:val="PageNumber"/>
        <w:rFonts w:cs="Arial"/>
        <w:sz w:val="20"/>
        <w:szCs w:val="20"/>
      </w:rPr>
      <w:fldChar w:fldCharType="end"/>
    </w:r>
  </w:p>
  <w:p w14:paraId="6A29B14D" w14:textId="77777777" w:rsidR="00C516F7" w:rsidRPr="00003B31" w:rsidRDefault="00C516F7" w:rsidP="00217892">
    <w:pPr>
      <w:pStyle w:val="Header"/>
      <w:spacing w:line="240" w:lineRule="auto"/>
      <w:ind w:firstLine="8077"/>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8991" w14:textId="3B0E79CF" w:rsidR="00C516F7" w:rsidRDefault="00C516F7" w:rsidP="005A69BB">
    <w:pPr>
      <w:pStyle w:val="Header"/>
      <w:tabs>
        <w:tab w:val="clear" w:pos="8306"/>
      </w:tabs>
      <w:spacing w:line="240" w:lineRule="auto"/>
      <w:jc w:val="right"/>
      <w:rPr>
        <w:rFonts w:cs="Arial"/>
        <w:sz w:val="20"/>
        <w:szCs w:val="20"/>
        <w:lang w:val="fr-FR"/>
      </w:rPr>
    </w:pPr>
    <w:r w:rsidRPr="00217892">
      <w:rPr>
        <w:rFonts w:cs="Arial"/>
        <w:sz w:val="20"/>
        <w:szCs w:val="20"/>
        <w:lang w:val="fr-FR"/>
      </w:rPr>
      <w:t>IOC</w:t>
    </w:r>
    <w:r w:rsidR="00F50CD1">
      <w:rPr>
        <w:rFonts w:cs="Arial"/>
        <w:sz w:val="20"/>
        <w:szCs w:val="20"/>
        <w:lang w:val="fr-FR"/>
      </w:rPr>
      <w:t>/A</w:t>
    </w:r>
    <w:r>
      <w:rPr>
        <w:rFonts w:cs="Arial"/>
        <w:sz w:val="20"/>
        <w:szCs w:val="20"/>
        <w:lang w:val="fr-FR"/>
      </w:rPr>
      <w:t>-31</w:t>
    </w:r>
    <w:r w:rsidRPr="00217892">
      <w:rPr>
        <w:rFonts w:cs="Arial"/>
        <w:sz w:val="20"/>
        <w:szCs w:val="20"/>
        <w:lang w:val="fr-FR"/>
      </w:rPr>
      <w:t>/</w:t>
    </w:r>
    <w:r>
      <w:rPr>
        <w:rFonts w:cs="Arial"/>
        <w:sz w:val="20"/>
        <w:szCs w:val="20"/>
        <w:lang w:val="fr-FR"/>
      </w:rPr>
      <w:t>4.</w:t>
    </w:r>
    <w:proofErr w:type="gramStart"/>
    <w:r>
      <w:rPr>
        <w:rFonts w:cs="Arial"/>
        <w:sz w:val="20"/>
        <w:szCs w:val="20"/>
        <w:lang w:val="fr-FR"/>
      </w:rPr>
      <w:t>2</w:t>
    </w:r>
    <w:r w:rsidR="009C4E08">
      <w:rPr>
        <w:rFonts w:cs="Arial"/>
        <w:sz w:val="20"/>
        <w:szCs w:val="20"/>
        <w:lang w:val="fr-FR"/>
      </w:rPr>
      <w:t>.</w:t>
    </w:r>
    <w:r w:rsidR="0006656E">
      <w:rPr>
        <w:rFonts w:cs="Arial"/>
        <w:sz w:val="20"/>
        <w:szCs w:val="20"/>
        <w:lang w:val="fr-FR"/>
      </w:rPr>
      <w:t>Doc</w:t>
    </w:r>
    <w:proofErr w:type="gramEnd"/>
  </w:p>
  <w:p w14:paraId="07DD15DD" w14:textId="72B4AEF2" w:rsidR="00C516F7" w:rsidRPr="00556C1E" w:rsidRDefault="00C516F7" w:rsidP="00AC2957">
    <w:pPr>
      <w:pStyle w:val="Header"/>
      <w:spacing w:line="240" w:lineRule="auto"/>
      <w:ind w:left="12474"/>
      <w:rPr>
        <w:rStyle w:val="PageNumber"/>
        <w:rFonts w:cs="Arial"/>
        <w:sz w:val="20"/>
        <w:szCs w:val="20"/>
        <w:lang w:val="fr-FR"/>
      </w:rPr>
    </w:pPr>
    <w:proofErr w:type="spellStart"/>
    <w:r w:rsidRPr="00556C1E">
      <w:rPr>
        <w:rFonts w:cs="Arial"/>
        <w:sz w:val="20"/>
        <w:szCs w:val="20"/>
        <w:lang w:val="fr-FR"/>
      </w:rPr>
      <w:t>ge</w:t>
    </w:r>
    <w:proofErr w:type="spell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sidR="00A14AE8">
      <w:rPr>
        <w:rStyle w:val="PageNumber"/>
        <w:rFonts w:cs="Arial"/>
        <w:noProof/>
        <w:sz w:val="20"/>
        <w:szCs w:val="20"/>
        <w:lang w:val="fr-FR"/>
      </w:rPr>
      <w:t>1</w:t>
    </w:r>
    <w:r w:rsidRPr="00556C1E">
      <w:rPr>
        <w:rStyle w:val="PageNumber"/>
        <w:rFonts w:cs="Arial"/>
        <w:sz w:val="20"/>
        <w:szCs w:val="20"/>
      </w:rPr>
      <w:fldChar w:fldCharType="end"/>
    </w:r>
  </w:p>
  <w:p w14:paraId="479C839F"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71552" behindDoc="0" locked="0" layoutInCell="1" allowOverlap="1" wp14:anchorId="16AF4F09" wp14:editId="5E77BEFF">
              <wp:simplePos x="0" y="0"/>
              <wp:positionH relativeFrom="rightMargin">
                <wp:posOffset>2598420</wp:posOffset>
              </wp:positionH>
              <wp:positionV relativeFrom="page">
                <wp:posOffset>6175375</wp:posOffset>
              </wp:positionV>
              <wp:extent cx="1245235" cy="539750"/>
              <wp:effectExtent l="0" t="8572" r="3492" b="3493"/>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1DA1908E" w14:textId="77777777" w:rsidR="00C516F7" w:rsidRPr="00556C1E" w:rsidRDefault="00C516F7" w:rsidP="00511BDC">
                          <w:pPr>
                            <w:pStyle w:val="Header"/>
                            <w:tabs>
                              <w:tab w:val="clear" w:pos="8306"/>
                            </w:tabs>
                            <w:spacing w:line="240" w:lineRule="auto"/>
                            <w:jc w:val="left"/>
                            <w:rPr>
                              <w:rFonts w:cs="Arial"/>
                              <w:sz w:val="20"/>
                              <w:szCs w:val="20"/>
                              <w:lang w:val="fr-FR"/>
                            </w:rPr>
                          </w:pPr>
                          <w:r w:rsidRPr="00217892">
                            <w:rPr>
                              <w:rFonts w:cs="Arial"/>
                              <w:sz w:val="20"/>
                              <w:szCs w:val="20"/>
                              <w:lang w:val="fr-FR"/>
                            </w:rPr>
                            <w:t>I</w:t>
                          </w:r>
                          <w:r>
                            <w:rPr>
                              <w:rFonts w:cs="Arial"/>
                              <w:sz w:val="20"/>
                              <w:szCs w:val="20"/>
                              <w:lang w:val="fr-FR"/>
                            </w:rPr>
                            <w:t>OC/EC-53/5.1(2</w:t>
                          </w:r>
                          <w:r w:rsidRPr="00217892">
                            <w:rPr>
                              <w:rFonts w:cs="Arial"/>
                              <w:sz w:val="20"/>
                              <w:szCs w:val="20"/>
                              <w:lang w:val="fr-FR"/>
                            </w:rPr>
                            <w:t>)</w:t>
                          </w:r>
                        </w:p>
                        <w:p w14:paraId="5A334C1C" w14:textId="63811D80" w:rsidR="00C516F7" w:rsidRDefault="00C516F7" w:rsidP="00511BDC">
                          <w:pPr>
                            <w:pStyle w:val="Header"/>
                            <w:spacing w:line="240" w:lineRule="auto"/>
                            <w:rPr>
                              <w:rStyle w:val="PageNumber"/>
                              <w:rFonts w:cs="Arial"/>
                              <w:sz w:val="20"/>
                              <w:szCs w:val="20"/>
                            </w:rPr>
                          </w:pPr>
                          <w:r>
                            <w:rPr>
                              <w:rFonts w:cs="Arial"/>
                              <w:sz w:val="20"/>
                              <w:szCs w:val="20"/>
                              <w:lang w:val="fr-FR"/>
                            </w:rPr>
                            <w:t>p</w:t>
                          </w:r>
                          <w:r w:rsidRPr="00556C1E">
                            <w:rPr>
                              <w:rFonts w:cs="Arial"/>
                              <w:sz w:val="20"/>
                              <w:szCs w:val="20"/>
                              <w:lang w:val="fr-FR"/>
                            </w:rPr>
                            <w:t>age </w:t>
                          </w:r>
                          <w:r>
                            <w:rPr>
                              <w:rStyle w:val="PageNumber"/>
                              <w:rFonts w:cs="Arial"/>
                              <w:sz w:val="20"/>
                              <w:szCs w:val="20"/>
                            </w:rPr>
                            <w:fldChar w:fldCharType="begin"/>
                          </w:r>
                          <w:r>
                            <w:rPr>
                              <w:rStyle w:val="PageNumber"/>
                              <w:rFonts w:cs="Arial"/>
                              <w:sz w:val="20"/>
                              <w:szCs w:val="20"/>
                            </w:rPr>
                            <w:instrText xml:space="preserve"> PAGE  \* Arabic </w:instrText>
                          </w:r>
                          <w:r>
                            <w:rPr>
                              <w:rStyle w:val="PageNumber"/>
                              <w:rFonts w:cs="Arial"/>
                              <w:sz w:val="20"/>
                              <w:szCs w:val="20"/>
                            </w:rPr>
                            <w:fldChar w:fldCharType="separate"/>
                          </w:r>
                          <w:r w:rsidR="00A14AE8">
                            <w:rPr>
                              <w:rStyle w:val="PageNumber"/>
                              <w:rFonts w:cs="Arial"/>
                              <w:noProof/>
                              <w:sz w:val="20"/>
                              <w:szCs w:val="20"/>
                            </w:rPr>
                            <w:t>1</w:t>
                          </w:r>
                          <w:r>
                            <w:rPr>
                              <w:rStyle w:val="PageNumber"/>
                              <w:rFonts w:cs="Arial"/>
                              <w:sz w:val="20"/>
                              <w:szCs w:val="20"/>
                            </w:rPr>
                            <w:fldChar w:fldCharType="end"/>
                          </w:r>
                        </w:p>
                        <w:p w14:paraId="7CFBB4AC" w14:textId="77777777" w:rsidR="00C516F7" w:rsidRPr="00511BDC" w:rsidRDefault="00C516F7" w:rsidP="00511BDC">
                          <w:pPr>
                            <w:pStyle w:val="Header"/>
                            <w:spacing w:line="240" w:lineRule="auto"/>
                            <w:rPr>
                              <w:rFonts w:cs="Arial"/>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AF4F09" id="_x0000_t202" coordsize="21600,21600" o:spt="202" path="m,l,21600r21600,l21600,xe">
              <v:stroke joinstyle="miter"/>
              <v:path gradientshapeok="t" o:connecttype="rect"/>
            </v:shapetype>
            <v:shape id="_x0000_s1027" type="#_x0000_t202" style="position:absolute;left:0;text-align:left;margin-left:204.6pt;margin-top:486.25pt;width:98.05pt;height:42.5pt;rotation:90;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" stroked="f">
              <v:textbox style="mso-fit-shape-to-text:t">
                <w:txbxContent>
                  <w:p w14:paraId="1DA1908E" w14:textId="77777777" w:rsidR="00C516F7" w:rsidRPr="00556C1E" w:rsidRDefault="00C516F7" w:rsidP="00511BDC">
                    <w:pPr>
                      <w:pStyle w:val="Header"/>
                      <w:tabs>
                        <w:tab w:val="clear" w:pos="8306"/>
                      </w:tabs>
                      <w:spacing w:line="240" w:lineRule="auto"/>
                      <w:jc w:val="left"/>
                      <w:rPr>
                        <w:rFonts w:cs="Arial"/>
                        <w:sz w:val="20"/>
                        <w:szCs w:val="20"/>
                        <w:lang w:val="fr-FR"/>
                      </w:rPr>
                    </w:pPr>
                    <w:r w:rsidRPr="00217892">
                      <w:rPr>
                        <w:rFonts w:cs="Arial"/>
                        <w:sz w:val="20"/>
                        <w:szCs w:val="20"/>
                        <w:lang w:val="fr-FR"/>
                      </w:rPr>
                      <w:t>I</w:t>
                    </w:r>
                    <w:r>
                      <w:rPr>
                        <w:rFonts w:cs="Arial"/>
                        <w:sz w:val="20"/>
                        <w:szCs w:val="20"/>
                        <w:lang w:val="fr-FR"/>
                      </w:rPr>
                      <w:t>OC/EC-53/5.1(2</w:t>
                    </w:r>
                    <w:r w:rsidRPr="00217892">
                      <w:rPr>
                        <w:rFonts w:cs="Arial"/>
                        <w:sz w:val="20"/>
                        <w:szCs w:val="20"/>
                        <w:lang w:val="fr-FR"/>
                      </w:rPr>
                      <w:t>)</w:t>
                    </w:r>
                  </w:p>
                  <w:p w14:paraId="5A334C1C" w14:textId="63811D80" w:rsidR="00C516F7" w:rsidRDefault="00C516F7" w:rsidP="00511BDC">
                    <w:pPr>
                      <w:pStyle w:val="Header"/>
                      <w:spacing w:line="240" w:lineRule="auto"/>
                      <w:rPr>
                        <w:rStyle w:val="PageNumber"/>
                        <w:rFonts w:cs="Arial"/>
                        <w:sz w:val="20"/>
                        <w:szCs w:val="20"/>
                      </w:rPr>
                    </w:pPr>
                    <w:r>
                      <w:rPr>
                        <w:rFonts w:cs="Arial"/>
                        <w:sz w:val="20"/>
                        <w:szCs w:val="20"/>
                        <w:lang w:val="fr-FR"/>
                      </w:rPr>
                      <w:t>p</w:t>
                    </w:r>
                    <w:r w:rsidRPr="00556C1E">
                      <w:rPr>
                        <w:rFonts w:cs="Arial"/>
                        <w:sz w:val="20"/>
                        <w:szCs w:val="20"/>
                        <w:lang w:val="fr-FR"/>
                      </w:rPr>
                      <w:t>age </w:t>
                    </w:r>
                    <w:r>
                      <w:rPr>
                        <w:rStyle w:val="PageNumber"/>
                        <w:rFonts w:cs="Arial"/>
                        <w:sz w:val="20"/>
                        <w:szCs w:val="20"/>
                      </w:rPr>
                      <w:fldChar w:fldCharType="begin"/>
                    </w:r>
                    <w:r>
                      <w:rPr>
                        <w:rStyle w:val="PageNumber"/>
                        <w:rFonts w:cs="Arial"/>
                        <w:sz w:val="20"/>
                        <w:szCs w:val="20"/>
                      </w:rPr>
                      <w:instrText xml:space="preserve"> PAGE  \* Arabic </w:instrText>
                    </w:r>
                    <w:r>
                      <w:rPr>
                        <w:rStyle w:val="PageNumber"/>
                        <w:rFonts w:cs="Arial"/>
                        <w:sz w:val="20"/>
                        <w:szCs w:val="20"/>
                      </w:rPr>
                      <w:fldChar w:fldCharType="separate"/>
                    </w:r>
                    <w:r w:rsidR="00A14AE8">
                      <w:rPr>
                        <w:rStyle w:val="PageNumber"/>
                        <w:rFonts w:cs="Arial"/>
                        <w:noProof/>
                        <w:sz w:val="20"/>
                        <w:szCs w:val="20"/>
                      </w:rPr>
                      <w:t>1</w:t>
                    </w:r>
                    <w:r>
                      <w:rPr>
                        <w:rStyle w:val="PageNumber"/>
                        <w:rFonts w:cs="Arial"/>
                        <w:sz w:val="20"/>
                        <w:szCs w:val="20"/>
                      </w:rPr>
                      <w:fldChar w:fldCharType="end"/>
                    </w:r>
                  </w:p>
                  <w:p w14:paraId="7CFBB4AC" w14:textId="77777777" w:rsidR="00C516F7" w:rsidRPr="00511BDC" w:rsidRDefault="00C516F7" w:rsidP="00511BDC">
                    <w:pPr>
                      <w:pStyle w:val="Header"/>
                      <w:spacing w:line="240" w:lineRule="auto"/>
                      <w:rPr>
                        <w:rFonts w:cs="Arial"/>
                        <w:sz w:val="20"/>
                        <w:szCs w:val="20"/>
                        <w:lang w:val="fr-FR"/>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08F7"/>
    <w:multiLevelType w:val="hybridMultilevel"/>
    <w:tmpl w:val="E8128BEE"/>
    <w:lvl w:ilvl="0" w:tplc="8BFCEA7A">
      <w:start w:val="1"/>
      <w:numFmt w:val="bullet"/>
      <w:lvlText w:val=""/>
      <w:lvlJc w:val="left"/>
      <w:pPr>
        <w:ind w:left="1476" w:hanging="360"/>
      </w:pPr>
      <w:rPr>
        <w:rFonts w:ascii="Symbol" w:hAnsi="Symbol" w:hint="default"/>
        <w:lang w:val="en-US"/>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3" w15:restartNumberingAfterBreak="0">
    <w:nsid w:val="07B96742"/>
    <w:multiLevelType w:val="hybridMultilevel"/>
    <w:tmpl w:val="DF9883A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706DD"/>
    <w:multiLevelType w:val="hybridMultilevel"/>
    <w:tmpl w:val="E40E8FFC"/>
    <w:lvl w:ilvl="0" w:tplc="EF461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7A26577"/>
    <w:multiLevelType w:val="hybridMultilevel"/>
    <w:tmpl w:val="F60248D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166BC"/>
    <w:multiLevelType w:val="hybridMultilevel"/>
    <w:tmpl w:val="BC102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2821D7"/>
    <w:multiLevelType w:val="hybridMultilevel"/>
    <w:tmpl w:val="7B526A7C"/>
    <w:lvl w:ilvl="0" w:tplc="7EB09420">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B55F8"/>
    <w:multiLevelType w:val="multilevel"/>
    <w:tmpl w:val="80CEDC08"/>
    <w:lvl w:ilvl="0">
      <w:start w:val="1"/>
      <w:numFmt w:val="decimal"/>
      <w:lvlText w:val="%1."/>
      <w:lvlJc w:val="left"/>
      <w:pPr>
        <w:ind w:left="7470" w:hanging="360"/>
      </w:pPr>
    </w:lvl>
    <w:lvl w:ilvl="1">
      <w:start w:val="1"/>
      <w:numFmt w:val="lowerLetter"/>
      <w:lvlText w:val="%2."/>
      <w:lvlJc w:val="left"/>
      <w:pPr>
        <w:ind w:left="7830" w:hanging="360"/>
      </w:pPr>
    </w:lvl>
    <w:lvl w:ilvl="2">
      <w:start w:val="1"/>
      <w:numFmt w:val="lowerRoman"/>
      <w:lvlText w:val="%3."/>
      <w:lvlJc w:val="right"/>
      <w:pPr>
        <w:ind w:left="8550" w:hanging="180"/>
      </w:pPr>
    </w:lvl>
    <w:lvl w:ilvl="3">
      <w:start w:val="1"/>
      <w:numFmt w:val="decimal"/>
      <w:lvlText w:val="%4."/>
      <w:lvlJc w:val="left"/>
      <w:pPr>
        <w:ind w:left="9270" w:hanging="360"/>
      </w:pPr>
    </w:lvl>
    <w:lvl w:ilvl="4">
      <w:start w:val="1"/>
      <w:numFmt w:val="lowerLetter"/>
      <w:lvlText w:val="%5."/>
      <w:lvlJc w:val="left"/>
      <w:pPr>
        <w:ind w:left="9990" w:hanging="360"/>
      </w:pPr>
    </w:lvl>
    <w:lvl w:ilvl="5">
      <w:start w:val="1"/>
      <w:numFmt w:val="lowerRoman"/>
      <w:lvlText w:val="%6."/>
      <w:lvlJc w:val="right"/>
      <w:pPr>
        <w:ind w:left="10710" w:hanging="180"/>
      </w:pPr>
    </w:lvl>
    <w:lvl w:ilvl="6">
      <w:start w:val="1"/>
      <w:numFmt w:val="decimal"/>
      <w:lvlText w:val="%7."/>
      <w:lvlJc w:val="left"/>
      <w:pPr>
        <w:ind w:left="11430" w:hanging="360"/>
      </w:pPr>
    </w:lvl>
    <w:lvl w:ilvl="7">
      <w:start w:val="1"/>
      <w:numFmt w:val="lowerLetter"/>
      <w:lvlText w:val="%8."/>
      <w:lvlJc w:val="left"/>
      <w:pPr>
        <w:ind w:left="12150" w:hanging="360"/>
      </w:pPr>
    </w:lvl>
    <w:lvl w:ilvl="8">
      <w:start w:val="1"/>
      <w:numFmt w:val="lowerRoman"/>
      <w:lvlText w:val="%9."/>
      <w:lvlJc w:val="right"/>
      <w:pPr>
        <w:ind w:left="12870" w:hanging="180"/>
      </w:pPr>
    </w:lvl>
  </w:abstractNum>
  <w:abstractNum w:abstractNumId="18" w15:restartNumberingAfterBreak="0">
    <w:nsid w:val="2B8A0169"/>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9C1057"/>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2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2"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5"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23036"/>
    <w:multiLevelType w:val="hybridMultilevel"/>
    <w:tmpl w:val="92F08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9F272B"/>
    <w:multiLevelType w:val="hybridMultilevel"/>
    <w:tmpl w:val="DF9883A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6C694E"/>
    <w:multiLevelType w:val="hybridMultilevel"/>
    <w:tmpl w:val="1E3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7134"/>
    <w:multiLevelType w:val="hybridMultilevel"/>
    <w:tmpl w:val="7AC41722"/>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9D5440"/>
    <w:multiLevelType w:val="hybridMultilevel"/>
    <w:tmpl w:val="A1280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7361C6"/>
    <w:multiLevelType w:val="hybridMultilevel"/>
    <w:tmpl w:val="653A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42569"/>
    <w:multiLevelType w:val="hybridMultilevel"/>
    <w:tmpl w:val="2AC0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C78AE"/>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D53DC"/>
    <w:multiLevelType w:val="hybridMultilevel"/>
    <w:tmpl w:val="C026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21"/>
  </w:num>
  <w:num w:numId="2">
    <w:abstractNumId w:val="0"/>
  </w:num>
  <w:num w:numId="3">
    <w:abstractNumId w:val="4"/>
  </w:num>
  <w:num w:numId="4">
    <w:abstractNumId w:val="40"/>
  </w:num>
  <w:num w:numId="5">
    <w:abstractNumId w:val="34"/>
  </w:num>
  <w:num w:numId="6">
    <w:abstractNumId w:val="1"/>
  </w:num>
  <w:num w:numId="7">
    <w:abstractNumId w:val="22"/>
  </w:num>
  <w:num w:numId="8">
    <w:abstractNumId w:val="6"/>
  </w:num>
  <w:num w:numId="9">
    <w:abstractNumId w:val="20"/>
  </w:num>
  <w:num w:numId="10">
    <w:abstractNumId w:val="5"/>
  </w:num>
  <w:num w:numId="11">
    <w:abstractNumId w:val="14"/>
  </w:num>
  <w:num w:numId="12">
    <w:abstractNumId w:val="13"/>
  </w:num>
  <w:num w:numId="13">
    <w:abstractNumId w:val="25"/>
  </w:num>
  <w:num w:numId="14">
    <w:abstractNumId w:val="38"/>
  </w:num>
  <w:num w:numId="15">
    <w:abstractNumId w:val="10"/>
  </w:num>
  <w:num w:numId="16">
    <w:abstractNumId w:val="16"/>
  </w:num>
  <w:num w:numId="17">
    <w:abstractNumId w:val="15"/>
  </w:num>
  <w:num w:numId="18">
    <w:abstractNumId w:val="29"/>
  </w:num>
  <w:num w:numId="19">
    <w:abstractNumId w:val="24"/>
  </w:num>
  <w:num w:numId="20">
    <w:abstractNumId w:val="32"/>
  </w:num>
  <w:num w:numId="21">
    <w:abstractNumId w:val="23"/>
  </w:num>
  <w:num w:numId="22">
    <w:abstractNumId w:val="27"/>
  </w:num>
  <w:num w:numId="23">
    <w:abstractNumId w:val="8"/>
  </w:num>
  <w:num w:numId="24">
    <w:abstractNumId w:val="30"/>
  </w:num>
  <w:num w:numId="25">
    <w:abstractNumId w:val="9"/>
  </w:num>
  <w:num w:numId="26">
    <w:abstractNumId w:val="17"/>
  </w:num>
  <w:num w:numId="27">
    <w:abstractNumId w:val="11"/>
  </w:num>
  <w:num w:numId="28">
    <w:abstractNumId w:val="33"/>
  </w:num>
  <w:num w:numId="29">
    <w:abstractNumId w:val="39"/>
  </w:num>
  <w:num w:numId="30">
    <w:abstractNumId w:val="2"/>
  </w:num>
  <w:num w:numId="31">
    <w:abstractNumId w:val="36"/>
  </w:num>
  <w:num w:numId="32">
    <w:abstractNumId w:val="35"/>
  </w:num>
  <w:num w:numId="33">
    <w:abstractNumId w:val="26"/>
  </w:num>
  <w:num w:numId="34">
    <w:abstractNumId w:val="12"/>
  </w:num>
  <w:num w:numId="35">
    <w:abstractNumId w:val="31"/>
  </w:num>
  <w:num w:numId="36">
    <w:abstractNumId w:val="19"/>
  </w:num>
  <w:num w:numId="37">
    <w:abstractNumId w:val="28"/>
  </w:num>
  <w:num w:numId="38">
    <w:abstractNumId w:val="3"/>
  </w:num>
  <w:num w:numId="39">
    <w:abstractNumId w:val="37"/>
  </w:num>
  <w:num w:numId="40">
    <w:abstractNumId w:val="18"/>
  </w:num>
  <w:num w:numId="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activeWritingStyle w:appName="MSWord" w:lang="zh-CN" w:vendorID="64" w:dllVersion="0"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2376"/>
    <w:rsid w:val="000125CC"/>
    <w:rsid w:val="000125FE"/>
    <w:rsid w:val="000152FB"/>
    <w:rsid w:val="00015336"/>
    <w:rsid w:val="00015EC5"/>
    <w:rsid w:val="00023F8E"/>
    <w:rsid w:val="00025067"/>
    <w:rsid w:val="00027702"/>
    <w:rsid w:val="00031BFF"/>
    <w:rsid w:val="00032FF1"/>
    <w:rsid w:val="00034CA9"/>
    <w:rsid w:val="00040C43"/>
    <w:rsid w:val="00040C74"/>
    <w:rsid w:val="000410FF"/>
    <w:rsid w:val="00042931"/>
    <w:rsid w:val="00044AA1"/>
    <w:rsid w:val="00044F78"/>
    <w:rsid w:val="000466C1"/>
    <w:rsid w:val="00046A42"/>
    <w:rsid w:val="00053F99"/>
    <w:rsid w:val="0005730C"/>
    <w:rsid w:val="00057632"/>
    <w:rsid w:val="00057F1F"/>
    <w:rsid w:val="00062D5E"/>
    <w:rsid w:val="000637CD"/>
    <w:rsid w:val="00064C78"/>
    <w:rsid w:val="00066075"/>
    <w:rsid w:val="0006656E"/>
    <w:rsid w:val="00067F09"/>
    <w:rsid w:val="000701F7"/>
    <w:rsid w:val="00070C91"/>
    <w:rsid w:val="00071027"/>
    <w:rsid w:val="000726BA"/>
    <w:rsid w:val="00075C6D"/>
    <w:rsid w:val="00084E44"/>
    <w:rsid w:val="000862C1"/>
    <w:rsid w:val="00090783"/>
    <w:rsid w:val="00093D61"/>
    <w:rsid w:val="0009605F"/>
    <w:rsid w:val="00096851"/>
    <w:rsid w:val="00097EB9"/>
    <w:rsid w:val="000A0188"/>
    <w:rsid w:val="000A273F"/>
    <w:rsid w:val="000B0A85"/>
    <w:rsid w:val="000B39BC"/>
    <w:rsid w:val="000B54A6"/>
    <w:rsid w:val="000B5A5A"/>
    <w:rsid w:val="000B6635"/>
    <w:rsid w:val="000B7B80"/>
    <w:rsid w:val="000C3567"/>
    <w:rsid w:val="000C401B"/>
    <w:rsid w:val="000C4609"/>
    <w:rsid w:val="000C5D9A"/>
    <w:rsid w:val="000D091A"/>
    <w:rsid w:val="000D4EB8"/>
    <w:rsid w:val="000D5CC2"/>
    <w:rsid w:val="000D7E61"/>
    <w:rsid w:val="000E1C4C"/>
    <w:rsid w:val="000E28D1"/>
    <w:rsid w:val="000E3F50"/>
    <w:rsid w:val="000E481A"/>
    <w:rsid w:val="000E6523"/>
    <w:rsid w:val="000E6F32"/>
    <w:rsid w:val="000F23FF"/>
    <w:rsid w:val="000F5D40"/>
    <w:rsid w:val="000F63B6"/>
    <w:rsid w:val="00100CF1"/>
    <w:rsid w:val="00101338"/>
    <w:rsid w:val="0010401E"/>
    <w:rsid w:val="0011199B"/>
    <w:rsid w:val="00111CC2"/>
    <w:rsid w:val="0012154D"/>
    <w:rsid w:val="00122D7B"/>
    <w:rsid w:val="00124825"/>
    <w:rsid w:val="001255D9"/>
    <w:rsid w:val="00125E26"/>
    <w:rsid w:val="00126B93"/>
    <w:rsid w:val="001270DB"/>
    <w:rsid w:val="00130375"/>
    <w:rsid w:val="0013262B"/>
    <w:rsid w:val="001332B5"/>
    <w:rsid w:val="00134957"/>
    <w:rsid w:val="0013699D"/>
    <w:rsid w:val="00143657"/>
    <w:rsid w:val="00143ECD"/>
    <w:rsid w:val="00147C2F"/>
    <w:rsid w:val="00151B1B"/>
    <w:rsid w:val="00153816"/>
    <w:rsid w:val="00156345"/>
    <w:rsid w:val="00160A8F"/>
    <w:rsid w:val="00163BC1"/>
    <w:rsid w:val="00164453"/>
    <w:rsid w:val="00164DEB"/>
    <w:rsid w:val="00164F21"/>
    <w:rsid w:val="00165F24"/>
    <w:rsid w:val="00166860"/>
    <w:rsid w:val="00166967"/>
    <w:rsid w:val="00176F77"/>
    <w:rsid w:val="0017747E"/>
    <w:rsid w:val="00180A84"/>
    <w:rsid w:val="001848B3"/>
    <w:rsid w:val="001867C5"/>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754A"/>
    <w:rsid w:val="001C7957"/>
    <w:rsid w:val="001D1F2A"/>
    <w:rsid w:val="001D36F1"/>
    <w:rsid w:val="001D4E11"/>
    <w:rsid w:val="001D6238"/>
    <w:rsid w:val="001D6CA9"/>
    <w:rsid w:val="001E0E3F"/>
    <w:rsid w:val="001E64CF"/>
    <w:rsid w:val="001E7B54"/>
    <w:rsid w:val="001F0D76"/>
    <w:rsid w:val="001F230A"/>
    <w:rsid w:val="001F2819"/>
    <w:rsid w:val="001F7F9D"/>
    <w:rsid w:val="0020461E"/>
    <w:rsid w:val="00205B9B"/>
    <w:rsid w:val="00210160"/>
    <w:rsid w:val="002105D3"/>
    <w:rsid w:val="00212203"/>
    <w:rsid w:val="002125C8"/>
    <w:rsid w:val="00212782"/>
    <w:rsid w:val="002139DF"/>
    <w:rsid w:val="00213F64"/>
    <w:rsid w:val="0021475C"/>
    <w:rsid w:val="00217892"/>
    <w:rsid w:val="00217D3E"/>
    <w:rsid w:val="002202DA"/>
    <w:rsid w:val="00220894"/>
    <w:rsid w:val="00223738"/>
    <w:rsid w:val="00230A58"/>
    <w:rsid w:val="00231911"/>
    <w:rsid w:val="00235519"/>
    <w:rsid w:val="00236087"/>
    <w:rsid w:val="0023782D"/>
    <w:rsid w:val="00244DD5"/>
    <w:rsid w:val="00244FE9"/>
    <w:rsid w:val="00245FA7"/>
    <w:rsid w:val="002469DF"/>
    <w:rsid w:val="002475D4"/>
    <w:rsid w:val="00252780"/>
    <w:rsid w:val="0025372B"/>
    <w:rsid w:val="0025545F"/>
    <w:rsid w:val="00257321"/>
    <w:rsid w:val="00257F64"/>
    <w:rsid w:val="00260969"/>
    <w:rsid w:val="002618B7"/>
    <w:rsid w:val="0026202B"/>
    <w:rsid w:val="0026409B"/>
    <w:rsid w:val="00270B43"/>
    <w:rsid w:val="00270B53"/>
    <w:rsid w:val="00271FBB"/>
    <w:rsid w:val="00272760"/>
    <w:rsid w:val="00272BC9"/>
    <w:rsid w:val="00273223"/>
    <w:rsid w:val="00273394"/>
    <w:rsid w:val="00277FAD"/>
    <w:rsid w:val="0028239A"/>
    <w:rsid w:val="00284D6A"/>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1F1D"/>
    <w:rsid w:val="002D3E0C"/>
    <w:rsid w:val="002D4214"/>
    <w:rsid w:val="002D65E1"/>
    <w:rsid w:val="002E228E"/>
    <w:rsid w:val="002E2A2C"/>
    <w:rsid w:val="002E3D9D"/>
    <w:rsid w:val="002E6F9F"/>
    <w:rsid w:val="002F05AC"/>
    <w:rsid w:val="002F17B8"/>
    <w:rsid w:val="002F26C7"/>
    <w:rsid w:val="002F59ED"/>
    <w:rsid w:val="00301A07"/>
    <w:rsid w:val="00303D06"/>
    <w:rsid w:val="0031076A"/>
    <w:rsid w:val="0031078D"/>
    <w:rsid w:val="0031139B"/>
    <w:rsid w:val="0031317B"/>
    <w:rsid w:val="00313E45"/>
    <w:rsid w:val="003157C5"/>
    <w:rsid w:val="00315CE4"/>
    <w:rsid w:val="00317662"/>
    <w:rsid w:val="00320994"/>
    <w:rsid w:val="003214DD"/>
    <w:rsid w:val="00321B19"/>
    <w:rsid w:val="00324672"/>
    <w:rsid w:val="0032563F"/>
    <w:rsid w:val="00327954"/>
    <w:rsid w:val="00331331"/>
    <w:rsid w:val="0033253A"/>
    <w:rsid w:val="00333E34"/>
    <w:rsid w:val="00334720"/>
    <w:rsid w:val="003355EA"/>
    <w:rsid w:val="003413B1"/>
    <w:rsid w:val="00343E5F"/>
    <w:rsid w:val="003465F0"/>
    <w:rsid w:val="0035201C"/>
    <w:rsid w:val="00353764"/>
    <w:rsid w:val="00355915"/>
    <w:rsid w:val="00363E47"/>
    <w:rsid w:val="0036554B"/>
    <w:rsid w:val="00366801"/>
    <w:rsid w:val="00366AB7"/>
    <w:rsid w:val="00371299"/>
    <w:rsid w:val="003731C5"/>
    <w:rsid w:val="003753BC"/>
    <w:rsid w:val="00381F92"/>
    <w:rsid w:val="00384639"/>
    <w:rsid w:val="00386DB2"/>
    <w:rsid w:val="00396755"/>
    <w:rsid w:val="003A0C3E"/>
    <w:rsid w:val="003A4536"/>
    <w:rsid w:val="003A5457"/>
    <w:rsid w:val="003A6C6F"/>
    <w:rsid w:val="003B1117"/>
    <w:rsid w:val="003B1253"/>
    <w:rsid w:val="003B7B57"/>
    <w:rsid w:val="003C5780"/>
    <w:rsid w:val="003D2575"/>
    <w:rsid w:val="003D31A8"/>
    <w:rsid w:val="003D3B99"/>
    <w:rsid w:val="003E3394"/>
    <w:rsid w:val="003E3A84"/>
    <w:rsid w:val="003E4155"/>
    <w:rsid w:val="003E64CD"/>
    <w:rsid w:val="003F5632"/>
    <w:rsid w:val="004005BF"/>
    <w:rsid w:val="004024C7"/>
    <w:rsid w:val="0040336C"/>
    <w:rsid w:val="0040391C"/>
    <w:rsid w:val="004041BF"/>
    <w:rsid w:val="004114F2"/>
    <w:rsid w:val="0041471F"/>
    <w:rsid w:val="00415394"/>
    <w:rsid w:val="00417BE5"/>
    <w:rsid w:val="00417CA7"/>
    <w:rsid w:val="00420219"/>
    <w:rsid w:val="004219E8"/>
    <w:rsid w:val="00421B58"/>
    <w:rsid w:val="00426CB0"/>
    <w:rsid w:val="00426CC1"/>
    <w:rsid w:val="004279B1"/>
    <w:rsid w:val="00427F27"/>
    <w:rsid w:val="004316B4"/>
    <w:rsid w:val="0043316F"/>
    <w:rsid w:val="00433176"/>
    <w:rsid w:val="0043516D"/>
    <w:rsid w:val="00435B90"/>
    <w:rsid w:val="0044056D"/>
    <w:rsid w:val="004430C5"/>
    <w:rsid w:val="00443A7C"/>
    <w:rsid w:val="004504DA"/>
    <w:rsid w:val="004505BA"/>
    <w:rsid w:val="004527D0"/>
    <w:rsid w:val="00454CE0"/>
    <w:rsid w:val="00457B09"/>
    <w:rsid w:val="004643A1"/>
    <w:rsid w:val="004646A1"/>
    <w:rsid w:val="00474B79"/>
    <w:rsid w:val="00484D0B"/>
    <w:rsid w:val="004902A1"/>
    <w:rsid w:val="00490987"/>
    <w:rsid w:val="00491439"/>
    <w:rsid w:val="00492912"/>
    <w:rsid w:val="00493800"/>
    <w:rsid w:val="00497305"/>
    <w:rsid w:val="00497869"/>
    <w:rsid w:val="00497993"/>
    <w:rsid w:val="004A0EEC"/>
    <w:rsid w:val="004A4580"/>
    <w:rsid w:val="004A4B80"/>
    <w:rsid w:val="004A4C48"/>
    <w:rsid w:val="004A4D10"/>
    <w:rsid w:val="004A4FDF"/>
    <w:rsid w:val="004A691A"/>
    <w:rsid w:val="004B3311"/>
    <w:rsid w:val="004B5C1D"/>
    <w:rsid w:val="004C009A"/>
    <w:rsid w:val="004C110A"/>
    <w:rsid w:val="004C3ADF"/>
    <w:rsid w:val="004C54B6"/>
    <w:rsid w:val="004C5FE5"/>
    <w:rsid w:val="004D0732"/>
    <w:rsid w:val="004D212E"/>
    <w:rsid w:val="004D28C4"/>
    <w:rsid w:val="004D41B9"/>
    <w:rsid w:val="004D54E9"/>
    <w:rsid w:val="004D7427"/>
    <w:rsid w:val="004E0B17"/>
    <w:rsid w:val="004E30C4"/>
    <w:rsid w:val="004E3492"/>
    <w:rsid w:val="004E4EFB"/>
    <w:rsid w:val="004E5DC0"/>
    <w:rsid w:val="004F450D"/>
    <w:rsid w:val="004F47B2"/>
    <w:rsid w:val="00500552"/>
    <w:rsid w:val="005015A4"/>
    <w:rsid w:val="005018A5"/>
    <w:rsid w:val="00502B57"/>
    <w:rsid w:val="00504E98"/>
    <w:rsid w:val="00505CCF"/>
    <w:rsid w:val="005061C2"/>
    <w:rsid w:val="0050728D"/>
    <w:rsid w:val="00507B60"/>
    <w:rsid w:val="005103E9"/>
    <w:rsid w:val="005103EA"/>
    <w:rsid w:val="00511BDC"/>
    <w:rsid w:val="00512C73"/>
    <w:rsid w:val="00517970"/>
    <w:rsid w:val="0052098B"/>
    <w:rsid w:val="00521CE6"/>
    <w:rsid w:val="00525EA8"/>
    <w:rsid w:val="00526DF7"/>
    <w:rsid w:val="00531156"/>
    <w:rsid w:val="00534699"/>
    <w:rsid w:val="005349E2"/>
    <w:rsid w:val="005350C2"/>
    <w:rsid w:val="00535534"/>
    <w:rsid w:val="005358B0"/>
    <w:rsid w:val="00535EA9"/>
    <w:rsid w:val="00536B04"/>
    <w:rsid w:val="00542489"/>
    <w:rsid w:val="005442DA"/>
    <w:rsid w:val="005519E0"/>
    <w:rsid w:val="00556C1E"/>
    <w:rsid w:val="00560FA4"/>
    <w:rsid w:val="005638E8"/>
    <w:rsid w:val="00563BAA"/>
    <w:rsid w:val="0056419E"/>
    <w:rsid w:val="005660A2"/>
    <w:rsid w:val="0056735F"/>
    <w:rsid w:val="00577DB8"/>
    <w:rsid w:val="0058095F"/>
    <w:rsid w:val="00585119"/>
    <w:rsid w:val="0059352D"/>
    <w:rsid w:val="00594BD0"/>
    <w:rsid w:val="005A5309"/>
    <w:rsid w:val="005A69BB"/>
    <w:rsid w:val="005B1A87"/>
    <w:rsid w:val="005B3E1C"/>
    <w:rsid w:val="005B6B0F"/>
    <w:rsid w:val="005C60EC"/>
    <w:rsid w:val="005D1540"/>
    <w:rsid w:val="005D2C50"/>
    <w:rsid w:val="005D4B28"/>
    <w:rsid w:val="005D64A3"/>
    <w:rsid w:val="005D6B36"/>
    <w:rsid w:val="005D6DB4"/>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220F3"/>
    <w:rsid w:val="006316F9"/>
    <w:rsid w:val="0063359A"/>
    <w:rsid w:val="0063498A"/>
    <w:rsid w:val="0063526A"/>
    <w:rsid w:val="00635927"/>
    <w:rsid w:val="00637D56"/>
    <w:rsid w:val="00640279"/>
    <w:rsid w:val="006503DB"/>
    <w:rsid w:val="00650CAE"/>
    <w:rsid w:val="00651EE8"/>
    <w:rsid w:val="006530B5"/>
    <w:rsid w:val="00657005"/>
    <w:rsid w:val="0065732A"/>
    <w:rsid w:val="00663442"/>
    <w:rsid w:val="006653A8"/>
    <w:rsid w:val="006667AF"/>
    <w:rsid w:val="00666938"/>
    <w:rsid w:val="00670983"/>
    <w:rsid w:val="00672100"/>
    <w:rsid w:val="00675434"/>
    <w:rsid w:val="00675CBB"/>
    <w:rsid w:val="00682143"/>
    <w:rsid w:val="00682F1F"/>
    <w:rsid w:val="00686350"/>
    <w:rsid w:val="0069055A"/>
    <w:rsid w:val="00691099"/>
    <w:rsid w:val="0069109A"/>
    <w:rsid w:val="0069320F"/>
    <w:rsid w:val="006943EC"/>
    <w:rsid w:val="0069732B"/>
    <w:rsid w:val="006A1E5D"/>
    <w:rsid w:val="006A48F4"/>
    <w:rsid w:val="006A4979"/>
    <w:rsid w:val="006A7D35"/>
    <w:rsid w:val="006B17FF"/>
    <w:rsid w:val="006B7852"/>
    <w:rsid w:val="006B7F15"/>
    <w:rsid w:val="006C3B83"/>
    <w:rsid w:val="006C71DF"/>
    <w:rsid w:val="006D0267"/>
    <w:rsid w:val="006D2330"/>
    <w:rsid w:val="006D2487"/>
    <w:rsid w:val="006D42C5"/>
    <w:rsid w:val="006D44A7"/>
    <w:rsid w:val="006D62BF"/>
    <w:rsid w:val="006D6480"/>
    <w:rsid w:val="006E07C1"/>
    <w:rsid w:val="006E259C"/>
    <w:rsid w:val="006E31C5"/>
    <w:rsid w:val="006E4B24"/>
    <w:rsid w:val="006E6691"/>
    <w:rsid w:val="006E7BE3"/>
    <w:rsid w:val="006F2D9C"/>
    <w:rsid w:val="006F4018"/>
    <w:rsid w:val="006F4D2F"/>
    <w:rsid w:val="006F690B"/>
    <w:rsid w:val="006F7175"/>
    <w:rsid w:val="006F749B"/>
    <w:rsid w:val="00700920"/>
    <w:rsid w:val="007055EE"/>
    <w:rsid w:val="00710E64"/>
    <w:rsid w:val="00711190"/>
    <w:rsid w:val="00711C37"/>
    <w:rsid w:val="0071235B"/>
    <w:rsid w:val="007141B4"/>
    <w:rsid w:val="00714925"/>
    <w:rsid w:val="00715753"/>
    <w:rsid w:val="00720184"/>
    <w:rsid w:val="007201ED"/>
    <w:rsid w:val="007204B5"/>
    <w:rsid w:val="007209E4"/>
    <w:rsid w:val="007213D4"/>
    <w:rsid w:val="007221B6"/>
    <w:rsid w:val="00722480"/>
    <w:rsid w:val="007245CD"/>
    <w:rsid w:val="00724808"/>
    <w:rsid w:val="007276E3"/>
    <w:rsid w:val="00730A1B"/>
    <w:rsid w:val="007315AC"/>
    <w:rsid w:val="007317CE"/>
    <w:rsid w:val="00734777"/>
    <w:rsid w:val="007372EB"/>
    <w:rsid w:val="00745198"/>
    <w:rsid w:val="0074737D"/>
    <w:rsid w:val="00752407"/>
    <w:rsid w:val="00757269"/>
    <w:rsid w:val="007638D3"/>
    <w:rsid w:val="00763E4A"/>
    <w:rsid w:val="00767D29"/>
    <w:rsid w:val="0077334E"/>
    <w:rsid w:val="00773A1C"/>
    <w:rsid w:val="00774A25"/>
    <w:rsid w:val="007769E4"/>
    <w:rsid w:val="00781F9F"/>
    <w:rsid w:val="00782815"/>
    <w:rsid w:val="007849CA"/>
    <w:rsid w:val="00790599"/>
    <w:rsid w:val="007924A3"/>
    <w:rsid w:val="0079321A"/>
    <w:rsid w:val="00793AA1"/>
    <w:rsid w:val="007969B7"/>
    <w:rsid w:val="0079709E"/>
    <w:rsid w:val="007A0AB4"/>
    <w:rsid w:val="007A2D89"/>
    <w:rsid w:val="007A3AFF"/>
    <w:rsid w:val="007A79E6"/>
    <w:rsid w:val="007B6F4B"/>
    <w:rsid w:val="007B71CA"/>
    <w:rsid w:val="007D0D7C"/>
    <w:rsid w:val="007D2FE3"/>
    <w:rsid w:val="007D3F70"/>
    <w:rsid w:val="007D5503"/>
    <w:rsid w:val="007D55EA"/>
    <w:rsid w:val="007D71FE"/>
    <w:rsid w:val="007E1184"/>
    <w:rsid w:val="007E1BA1"/>
    <w:rsid w:val="007E3B78"/>
    <w:rsid w:val="007F0A6A"/>
    <w:rsid w:val="007F43AC"/>
    <w:rsid w:val="007F5DE1"/>
    <w:rsid w:val="007F6743"/>
    <w:rsid w:val="007F6B37"/>
    <w:rsid w:val="008013F8"/>
    <w:rsid w:val="00805B0F"/>
    <w:rsid w:val="008064B5"/>
    <w:rsid w:val="00807E2B"/>
    <w:rsid w:val="008103D1"/>
    <w:rsid w:val="00811CBD"/>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C1A"/>
    <w:rsid w:val="00843A47"/>
    <w:rsid w:val="00846659"/>
    <w:rsid w:val="00853187"/>
    <w:rsid w:val="008550F1"/>
    <w:rsid w:val="00856954"/>
    <w:rsid w:val="00856B73"/>
    <w:rsid w:val="00860379"/>
    <w:rsid w:val="00861016"/>
    <w:rsid w:val="00861590"/>
    <w:rsid w:val="008624E2"/>
    <w:rsid w:val="008626EC"/>
    <w:rsid w:val="00862DAB"/>
    <w:rsid w:val="00863A35"/>
    <w:rsid w:val="008648F2"/>
    <w:rsid w:val="008667DD"/>
    <w:rsid w:val="00870045"/>
    <w:rsid w:val="00871104"/>
    <w:rsid w:val="008720A2"/>
    <w:rsid w:val="00877B4C"/>
    <w:rsid w:val="00880F28"/>
    <w:rsid w:val="00881D74"/>
    <w:rsid w:val="00881DFC"/>
    <w:rsid w:val="008839A7"/>
    <w:rsid w:val="008848F7"/>
    <w:rsid w:val="0088700B"/>
    <w:rsid w:val="008879E6"/>
    <w:rsid w:val="0089351C"/>
    <w:rsid w:val="008962A2"/>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2F7A"/>
    <w:rsid w:val="008D78C3"/>
    <w:rsid w:val="008E3912"/>
    <w:rsid w:val="008E4611"/>
    <w:rsid w:val="008E7A21"/>
    <w:rsid w:val="008E7D58"/>
    <w:rsid w:val="008F3970"/>
    <w:rsid w:val="008F4A73"/>
    <w:rsid w:val="00903DCE"/>
    <w:rsid w:val="00905285"/>
    <w:rsid w:val="00906C9E"/>
    <w:rsid w:val="00906E5D"/>
    <w:rsid w:val="009165F9"/>
    <w:rsid w:val="00921D65"/>
    <w:rsid w:val="00925E0C"/>
    <w:rsid w:val="00933FDE"/>
    <w:rsid w:val="00936F2C"/>
    <w:rsid w:val="009378D7"/>
    <w:rsid w:val="0094014B"/>
    <w:rsid w:val="009477E0"/>
    <w:rsid w:val="00953057"/>
    <w:rsid w:val="009545A0"/>
    <w:rsid w:val="009545F6"/>
    <w:rsid w:val="00954A51"/>
    <w:rsid w:val="00955D1C"/>
    <w:rsid w:val="00957A94"/>
    <w:rsid w:val="00957D29"/>
    <w:rsid w:val="00960BD7"/>
    <w:rsid w:val="00962F56"/>
    <w:rsid w:val="0096314F"/>
    <w:rsid w:val="00963D5B"/>
    <w:rsid w:val="00973E02"/>
    <w:rsid w:val="00973E59"/>
    <w:rsid w:val="00975600"/>
    <w:rsid w:val="009833E1"/>
    <w:rsid w:val="00984E74"/>
    <w:rsid w:val="0098631E"/>
    <w:rsid w:val="0098720D"/>
    <w:rsid w:val="009873EC"/>
    <w:rsid w:val="00987DD4"/>
    <w:rsid w:val="0099241C"/>
    <w:rsid w:val="00992C73"/>
    <w:rsid w:val="00996015"/>
    <w:rsid w:val="009A2C21"/>
    <w:rsid w:val="009A39D8"/>
    <w:rsid w:val="009A3AAC"/>
    <w:rsid w:val="009A53BA"/>
    <w:rsid w:val="009B0249"/>
    <w:rsid w:val="009B0E5E"/>
    <w:rsid w:val="009B19FF"/>
    <w:rsid w:val="009B3334"/>
    <w:rsid w:val="009B35D7"/>
    <w:rsid w:val="009B4498"/>
    <w:rsid w:val="009B573D"/>
    <w:rsid w:val="009B66AE"/>
    <w:rsid w:val="009B77DC"/>
    <w:rsid w:val="009C06EA"/>
    <w:rsid w:val="009C4E08"/>
    <w:rsid w:val="009D0EB6"/>
    <w:rsid w:val="009D1215"/>
    <w:rsid w:val="009D2F5B"/>
    <w:rsid w:val="009D3FCD"/>
    <w:rsid w:val="009D73C7"/>
    <w:rsid w:val="009E27DF"/>
    <w:rsid w:val="009E36C5"/>
    <w:rsid w:val="009E7415"/>
    <w:rsid w:val="009F0DDF"/>
    <w:rsid w:val="009F33C4"/>
    <w:rsid w:val="009F6CA1"/>
    <w:rsid w:val="009F7ED6"/>
    <w:rsid w:val="00A03125"/>
    <w:rsid w:val="00A0326A"/>
    <w:rsid w:val="00A03C9B"/>
    <w:rsid w:val="00A05A80"/>
    <w:rsid w:val="00A06E67"/>
    <w:rsid w:val="00A07D75"/>
    <w:rsid w:val="00A10341"/>
    <w:rsid w:val="00A11FAA"/>
    <w:rsid w:val="00A1295C"/>
    <w:rsid w:val="00A14AE8"/>
    <w:rsid w:val="00A15ACB"/>
    <w:rsid w:val="00A1617D"/>
    <w:rsid w:val="00A16424"/>
    <w:rsid w:val="00A17B4E"/>
    <w:rsid w:val="00A237B6"/>
    <w:rsid w:val="00A23DF3"/>
    <w:rsid w:val="00A2629D"/>
    <w:rsid w:val="00A273A8"/>
    <w:rsid w:val="00A307EB"/>
    <w:rsid w:val="00A310AD"/>
    <w:rsid w:val="00A36C73"/>
    <w:rsid w:val="00A37FF1"/>
    <w:rsid w:val="00A40438"/>
    <w:rsid w:val="00A432D8"/>
    <w:rsid w:val="00A4351F"/>
    <w:rsid w:val="00A457BC"/>
    <w:rsid w:val="00A56858"/>
    <w:rsid w:val="00A56C7F"/>
    <w:rsid w:val="00A62714"/>
    <w:rsid w:val="00A65DAA"/>
    <w:rsid w:val="00A71451"/>
    <w:rsid w:val="00A719EE"/>
    <w:rsid w:val="00A740DB"/>
    <w:rsid w:val="00A741CA"/>
    <w:rsid w:val="00A80158"/>
    <w:rsid w:val="00A80645"/>
    <w:rsid w:val="00A827C1"/>
    <w:rsid w:val="00A82AA0"/>
    <w:rsid w:val="00A8316A"/>
    <w:rsid w:val="00A832EA"/>
    <w:rsid w:val="00A852C7"/>
    <w:rsid w:val="00A86A47"/>
    <w:rsid w:val="00A86B35"/>
    <w:rsid w:val="00A90726"/>
    <w:rsid w:val="00A94212"/>
    <w:rsid w:val="00A94C29"/>
    <w:rsid w:val="00A951D6"/>
    <w:rsid w:val="00AA08A6"/>
    <w:rsid w:val="00AA5D1E"/>
    <w:rsid w:val="00AA5E9D"/>
    <w:rsid w:val="00AA7F5C"/>
    <w:rsid w:val="00AB22E5"/>
    <w:rsid w:val="00AB27E9"/>
    <w:rsid w:val="00AB60F8"/>
    <w:rsid w:val="00AB7C49"/>
    <w:rsid w:val="00AC11B1"/>
    <w:rsid w:val="00AC1485"/>
    <w:rsid w:val="00AC2957"/>
    <w:rsid w:val="00AC4DEF"/>
    <w:rsid w:val="00AC51F2"/>
    <w:rsid w:val="00AC5857"/>
    <w:rsid w:val="00AC6142"/>
    <w:rsid w:val="00AC6AA2"/>
    <w:rsid w:val="00AC6DC6"/>
    <w:rsid w:val="00AD1F11"/>
    <w:rsid w:val="00AD1FA1"/>
    <w:rsid w:val="00AD2E2C"/>
    <w:rsid w:val="00AE31B6"/>
    <w:rsid w:val="00AE47F1"/>
    <w:rsid w:val="00AE7BC7"/>
    <w:rsid w:val="00AF0EAC"/>
    <w:rsid w:val="00AF5C9D"/>
    <w:rsid w:val="00AF603D"/>
    <w:rsid w:val="00B01D54"/>
    <w:rsid w:val="00B0569F"/>
    <w:rsid w:val="00B11053"/>
    <w:rsid w:val="00B114D1"/>
    <w:rsid w:val="00B12EB4"/>
    <w:rsid w:val="00B130D9"/>
    <w:rsid w:val="00B13250"/>
    <w:rsid w:val="00B13EFE"/>
    <w:rsid w:val="00B20514"/>
    <w:rsid w:val="00B30463"/>
    <w:rsid w:val="00B3245C"/>
    <w:rsid w:val="00B37EED"/>
    <w:rsid w:val="00B47FA5"/>
    <w:rsid w:val="00B50592"/>
    <w:rsid w:val="00B525C8"/>
    <w:rsid w:val="00B53CCD"/>
    <w:rsid w:val="00B5681C"/>
    <w:rsid w:val="00B60A1E"/>
    <w:rsid w:val="00B62B01"/>
    <w:rsid w:val="00B634CE"/>
    <w:rsid w:val="00B654C1"/>
    <w:rsid w:val="00B6590F"/>
    <w:rsid w:val="00B6636C"/>
    <w:rsid w:val="00B673B0"/>
    <w:rsid w:val="00B71183"/>
    <w:rsid w:val="00B748BC"/>
    <w:rsid w:val="00B7566A"/>
    <w:rsid w:val="00B76045"/>
    <w:rsid w:val="00B7778D"/>
    <w:rsid w:val="00B80960"/>
    <w:rsid w:val="00B82287"/>
    <w:rsid w:val="00B84796"/>
    <w:rsid w:val="00B84A1E"/>
    <w:rsid w:val="00B87874"/>
    <w:rsid w:val="00B913F0"/>
    <w:rsid w:val="00B91464"/>
    <w:rsid w:val="00B95CC7"/>
    <w:rsid w:val="00BA18C3"/>
    <w:rsid w:val="00BA60B4"/>
    <w:rsid w:val="00BA7F9B"/>
    <w:rsid w:val="00BB18CA"/>
    <w:rsid w:val="00BB76E3"/>
    <w:rsid w:val="00BC03EB"/>
    <w:rsid w:val="00BC132E"/>
    <w:rsid w:val="00BC243D"/>
    <w:rsid w:val="00BC2A8D"/>
    <w:rsid w:val="00BD09C7"/>
    <w:rsid w:val="00BD0BAC"/>
    <w:rsid w:val="00BD147D"/>
    <w:rsid w:val="00BD454C"/>
    <w:rsid w:val="00BD511A"/>
    <w:rsid w:val="00BD71D6"/>
    <w:rsid w:val="00BD7A1E"/>
    <w:rsid w:val="00BE2839"/>
    <w:rsid w:val="00BE3E8A"/>
    <w:rsid w:val="00BE4ECD"/>
    <w:rsid w:val="00BE6311"/>
    <w:rsid w:val="00BF6F06"/>
    <w:rsid w:val="00BF7235"/>
    <w:rsid w:val="00C021F6"/>
    <w:rsid w:val="00C0575F"/>
    <w:rsid w:val="00C05C0C"/>
    <w:rsid w:val="00C05E41"/>
    <w:rsid w:val="00C0600E"/>
    <w:rsid w:val="00C1100C"/>
    <w:rsid w:val="00C13A0D"/>
    <w:rsid w:val="00C248EE"/>
    <w:rsid w:val="00C27459"/>
    <w:rsid w:val="00C32F83"/>
    <w:rsid w:val="00C3430F"/>
    <w:rsid w:val="00C364B4"/>
    <w:rsid w:val="00C40886"/>
    <w:rsid w:val="00C4373B"/>
    <w:rsid w:val="00C50711"/>
    <w:rsid w:val="00C516F7"/>
    <w:rsid w:val="00C55B74"/>
    <w:rsid w:val="00C55D1F"/>
    <w:rsid w:val="00C56D36"/>
    <w:rsid w:val="00C658A2"/>
    <w:rsid w:val="00C71BD5"/>
    <w:rsid w:val="00C72229"/>
    <w:rsid w:val="00C73040"/>
    <w:rsid w:val="00C734D9"/>
    <w:rsid w:val="00C73D3C"/>
    <w:rsid w:val="00C74A3B"/>
    <w:rsid w:val="00C752FE"/>
    <w:rsid w:val="00C76716"/>
    <w:rsid w:val="00C76D2C"/>
    <w:rsid w:val="00C915F6"/>
    <w:rsid w:val="00C9353F"/>
    <w:rsid w:val="00CA71FC"/>
    <w:rsid w:val="00CB063C"/>
    <w:rsid w:val="00CB3B85"/>
    <w:rsid w:val="00CB529B"/>
    <w:rsid w:val="00CC624D"/>
    <w:rsid w:val="00CD0520"/>
    <w:rsid w:val="00CD54C5"/>
    <w:rsid w:val="00CE0A92"/>
    <w:rsid w:val="00CE3272"/>
    <w:rsid w:val="00CE5D39"/>
    <w:rsid w:val="00CE61A0"/>
    <w:rsid w:val="00CE67C3"/>
    <w:rsid w:val="00CF0C99"/>
    <w:rsid w:val="00CF25D4"/>
    <w:rsid w:val="00CF4B07"/>
    <w:rsid w:val="00CF4DBC"/>
    <w:rsid w:val="00CF79D2"/>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463E9"/>
    <w:rsid w:val="00D47B80"/>
    <w:rsid w:val="00D51CF6"/>
    <w:rsid w:val="00D52D49"/>
    <w:rsid w:val="00D52DBB"/>
    <w:rsid w:val="00D52FA8"/>
    <w:rsid w:val="00D61AF0"/>
    <w:rsid w:val="00D6464B"/>
    <w:rsid w:val="00D70C66"/>
    <w:rsid w:val="00D7301C"/>
    <w:rsid w:val="00D73615"/>
    <w:rsid w:val="00D755C2"/>
    <w:rsid w:val="00D7580A"/>
    <w:rsid w:val="00D761A1"/>
    <w:rsid w:val="00D76BA2"/>
    <w:rsid w:val="00D815DE"/>
    <w:rsid w:val="00D81FE9"/>
    <w:rsid w:val="00D873DE"/>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407B"/>
    <w:rsid w:val="00DD5AD2"/>
    <w:rsid w:val="00DD75EF"/>
    <w:rsid w:val="00DE3E20"/>
    <w:rsid w:val="00DE5499"/>
    <w:rsid w:val="00DE7E7B"/>
    <w:rsid w:val="00DE7FC3"/>
    <w:rsid w:val="00DF02EA"/>
    <w:rsid w:val="00DF123A"/>
    <w:rsid w:val="00DF2691"/>
    <w:rsid w:val="00DF48EA"/>
    <w:rsid w:val="00DF4B34"/>
    <w:rsid w:val="00DF5337"/>
    <w:rsid w:val="00DF709A"/>
    <w:rsid w:val="00DF7398"/>
    <w:rsid w:val="00E01B67"/>
    <w:rsid w:val="00E10712"/>
    <w:rsid w:val="00E124F4"/>
    <w:rsid w:val="00E125F8"/>
    <w:rsid w:val="00E12961"/>
    <w:rsid w:val="00E16B76"/>
    <w:rsid w:val="00E16BA3"/>
    <w:rsid w:val="00E201BC"/>
    <w:rsid w:val="00E202CD"/>
    <w:rsid w:val="00E20D94"/>
    <w:rsid w:val="00E20DE8"/>
    <w:rsid w:val="00E31713"/>
    <w:rsid w:val="00E34C85"/>
    <w:rsid w:val="00E352C0"/>
    <w:rsid w:val="00E35DF0"/>
    <w:rsid w:val="00E362BA"/>
    <w:rsid w:val="00E3687C"/>
    <w:rsid w:val="00E4268C"/>
    <w:rsid w:val="00E46249"/>
    <w:rsid w:val="00E50D17"/>
    <w:rsid w:val="00E50F19"/>
    <w:rsid w:val="00E519F2"/>
    <w:rsid w:val="00E52F25"/>
    <w:rsid w:val="00E54B6B"/>
    <w:rsid w:val="00E55CE3"/>
    <w:rsid w:val="00E5647B"/>
    <w:rsid w:val="00E62991"/>
    <w:rsid w:val="00E75EC9"/>
    <w:rsid w:val="00E80EDA"/>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1E3A"/>
    <w:rsid w:val="00EC2019"/>
    <w:rsid w:val="00EC2E9B"/>
    <w:rsid w:val="00EC3F7F"/>
    <w:rsid w:val="00EC6D03"/>
    <w:rsid w:val="00ED35CB"/>
    <w:rsid w:val="00ED7A21"/>
    <w:rsid w:val="00EE176B"/>
    <w:rsid w:val="00EE2E3C"/>
    <w:rsid w:val="00EE31BE"/>
    <w:rsid w:val="00EE5E0F"/>
    <w:rsid w:val="00EE7834"/>
    <w:rsid w:val="00EF0FE0"/>
    <w:rsid w:val="00EF2B05"/>
    <w:rsid w:val="00EF528E"/>
    <w:rsid w:val="00EF5A59"/>
    <w:rsid w:val="00EF6512"/>
    <w:rsid w:val="00F005CC"/>
    <w:rsid w:val="00F07628"/>
    <w:rsid w:val="00F11232"/>
    <w:rsid w:val="00F13272"/>
    <w:rsid w:val="00F13664"/>
    <w:rsid w:val="00F136DE"/>
    <w:rsid w:val="00F145CF"/>
    <w:rsid w:val="00F16243"/>
    <w:rsid w:val="00F17279"/>
    <w:rsid w:val="00F20449"/>
    <w:rsid w:val="00F23D99"/>
    <w:rsid w:val="00F33C28"/>
    <w:rsid w:val="00F33FB9"/>
    <w:rsid w:val="00F40B6B"/>
    <w:rsid w:val="00F4161F"/>
    <w:rsid w:val="00F4176B"/>
    <w:rsid w:val="00F452B4"/>
    <w:rsid w:val="00F45F3F"/>
    <w:rsid w:val="00F4630C"/>
    <w:rsid w:val="00F471FD"/>
    <w:rsid w:val="00F50248"/>
    <w:rsid w:val="00F50269"/>
    <w:rsid w:val="00F50CD1"/>
    <w:rsid w:val="00F528F5"/>
    <w:rsid w:val="00F52E7C"/>
    <w:rsid w:val="00F53DE7"/>
    <w:rsid w:val="00F560A1"/>
    <w:rsid w:val="00F57257"/>
    <w:rsid w:val="00F610A3"/>
    <w:rsid w:val="00F61C39"/>
    <w:rsid w:val="00F64AD6"/>
    <w:rsid w:val="00F74106"/>
    <w:rsid w:val="00F744EA"/>
    <w:rsid w:val="00F76D5B"/>
    <w:rsid w:val="00F80961"/>
    <w:rsid w:val="00F82727"/>
    <w:rsid w:val="00F82802"/>
    <w:rsid w:val="00F86ED1"/>
    <w:rsid w:val="00F87EAE"/>
    <w:rsid w:val="00F87EAF"/>
    <w:rsid w:val="00F92A37"/>
    <w:rsid w:val="00F930ED"/>
    <w:rsid w:val="00F93CD0"/>
    <w:rsid w:val="00F967E4"/>
    <w:rsid w:val="00FA044A"/>
    <w:rsid w:val="00FA2C9C"/>
    <w:rsid w:val="00FA3145"/>
    <w:rsid w:val="00FA3243"/>
    <w:rsid w:val="00FA50DE"/>
    <w:rsid w:val="00FA5C92"/>
    <w:rsid w:val="00FA67A1"/>
    <w:rsid w:val="00FA782E"/>
    <w:rsid w:val="00FB02EE"/>
    <w:rsid w:val="00FB1725"/>
    <w:rsid w:val="00FB1C87"/>
    <w:rsid w:val="00FB379B"/>
    <w:rsid w:val="00FB4708"/>
    <w:rsid w:val="00FB4A94"/>
    <w:rsid w:val="00FC09F7"/>
    <w:rsid w:val="00FC1CC0"/>
    <w:rsid w:val="00FC3530"/>
    <w:rsid w:val="00FC39DF"/>
    <w:rsid w:val="00FC4348"/>
    <w:rsid w:val="00FC6937"/>
    <w:rsid w:val="00FC7AF3"/>
    <w:rsid w:val="00FD04EB"/>
    <w:rsid w:val="00FD4BF1"/>
    <w:rsid w:val="00FE2012"/>
    <w:rsid w:val="00FE7C2B"/>
    <w:rsid w:val="00FE7EEE"/>
    <w:rsid w:val="00FE7FE8"/>
    <w:rsid w:val="00FF3E11"/>
    <w:rsid w:val="00FF3F63"/>
    <w:rsid w:val="00FF4A36"/>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aliases w:val="ft,DSE note,single space,footnote text,fn,Footnote Text Char1,Footnote Text Char2 Char,Footnote Text Char1 Char Char,Footnote Text Char2 Char Char Char,Footnote Text Char1 Char Char Char Char,AD,A,FN,Footnote Text Char Char,f"/>
    <w:basedOn w:val="Normal"/>
    <w:link w:val="FootnoteTextChar"/>
    <w:uiPriority w:val="99"/>
    <w:qFormat/>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rsid w:val="00BF69FE"/>
    <w:rPr>
      <w:sz w:val="20"/>
      <w:szCs w:val="20"/>
      <w:lang w:val="x-none"/>
    </w:rPr>
  </w:style>
  <w:style w:type="character" w:customStyle="1" w:styleId="CommentTextChar">
    <w:name w:val="Comment Text Char"/>
    <w:link w:val="CommentText"/>
    <w:uiPriority w:val="99"/>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aliases w:val="ft Char,DSE note Char,single space Char,footnote text Char,fn Char,Footnote Text Char1 Char,Footnote Text Char2 Char Char,Footnote Text Char1 Char Char Char,Footnote Text Char2 Char Char Char Char,AD Char,A Char,FN Char,f Char"/>
    <w:basedOn w:val="DefaultParagraphFont"/>
    <w:link w:val="FootnoteText"/>
    <w:uiPriority w:val="99"/>
    <w:rsid w:val="00B71183"/>
    <w:rPr>
      <w:rFonts w:ascii="Arial" w:hAnsi="Arial"/>
      <w:snapToGrid w:val="0"/>
      <w:lang w:eastAsia="en-US"/>
    </w:rPr>
  </w:style>
  <w:style w:type="table" w:styleId="TableGrid">
    <w:name w:val="Table Grid"/>
    <w:basedOn w:val="TableNormal"/>
    <w:uiPriority w:val="39"/>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COI"/>
    <w:link w:val="ParaCOICar"/>
    <w:qFormat/>
    <w:rsid w:val="00A03125"/>
    <w:pPr>
      <w:tabs>
        <w:tab w:val="left" w:pos="709"/>
      </w:tabs>
      <w:autoSpaceDE/>
      <w:autoSpaceDN/>
      <w:snapToGrid w:val="0"/>
      <w:spacing w:after="240"/>
    </w:pPr>
    <w:rPr>
      <w:rFonts w:eastAsia="Times New Roman" w:cs="Times New Roman"/>
      <w:b w:val="0"/>
      <w:noProof w:val="0"/>
      <w:snapToGrid w:val="0"/>
      <w:lang w:val="en-GB" w:eastAsia="zh-CN"/>
    </w:rPr>
  </w:style>
  <w:style w:type="character" w:customStyle="1" w:styleId="ParaCOICar">
    <w:name w:val="Para COI Car"/>
    <w:link w:val="ParaCOI"/>
    <w:rsid w:val="00A03125"/>
    <w:rPr>
      <w:rFonts w:ascii="Arial" w:hAnsi="Arial"/>
      <w:snapToGrid w:val="0"/>
      <w:sz w:val="22"/>
      <w:szCs w:val="22"/>
    </w:rPr>
  </w:style>
  <w:style w:type="character" w:customStyle="1" w:styleId="MargeCar">
    <w:name w:val="Marge Car"/>
    <w:locked/>
    <w:rsid w:val="004C110A"/>
    <w:rPr>
      <w:rFonts w:eastAsia="Times New Roman"/>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4C110A"/>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character" w:customStyle="1" w:styleId="UnresolvedMention2">
    <w:name w:val="Unresolved Mention2"/>
    <w:basedOn w:val="DefaultParagraphFont"/>
    <w:uiPriority w:val="99"/>
    <w:semiHidden/>
    <w:unhideWhenUsed/>
    <w:rsid w:val="0099241C"/>
    <w:rPr>
      <w:color w:val="605E5C"/>
      <w:shd w:val="clear" w:color="auto" w:fill="E1DFDD"/>
    </w:rPr>
  </w:style>
  <w:style w:type="character" w:styleId="UnresolvedMention">
    <w:name w:val="Unresolved Mention"/>
    <w:basedOn w:val="DefaultParagraphFont"/>
    <w:uiPriority w:val="99"/>
    <w:semiHidden/>
    <w:unhideWhenUsed/>
    <w:rsid w:val="0098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86213">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55624420">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6882215">
      <w:bodyDiv w:val="1"/>
      <w:marLeft w:val="0"/>
      <w:marRight w:val="0"/>
      <w:marTop w:val="0"/>
      <w:marBottom w:val="0"/>
      <w:divBdr>
        <w:top w:val="none" w:sz="0" w:space="0" w:color="auto"/>
        <w:left w:val="none" w:sz="0" w:space="0" w:color="auto"/>
        <w:bottom w:val="none" w:sz="0" w:space="0" w:color="auto"/>
        <w:right w:val="none" w:sz="0" w:space="0" w:color="auto"/>
      </w:divBdr>
    </w:div>
    <w:div w:id="1031690147">
      <w:bodyDiv w:val="1"/>
      <w:marLeft w:val="0"/>
      <w:marRight w:val="0"/>
      <w:marTop w:val="0"/>
      <w:marBottom w:val="0"/>
      <w:divBdr>
        <w:top w:val="none" w:sz="0" w:space="0" w:color="auto"/>
        <w:left w:val="none" w:sz="0" w:space="0" w:color="auto"/>
        <w:bottom w:val="none" w:sz="0" w:space="0" w:color="auto"/>
        <w:right w:val="none" w:sz="0" w:space="0" w:color="auto"/>
      </w:divBdr>
    </w:div>
    <w:div w:id="1325357249">
      <w:bodyDiv w:val="1"/>
      <w:marLeft w:val="0"/>
      <w:marRight w:val="0"/>
      <w:marTop w:val="0"/>
      <w:marBottom w:val="0"/>
      <w:divBdr>
        <w:top w:val="none" w:sz="0" w:space="0" w:color="auto"/>
        <w:left w:val="none" w:sz="0" w:space="0" w:color="auto"/>
        <w:bottom w:val="none" w:sz="0" w:space="0" w:color="auto"/>
        <w:right w:val="none" w:sz="0" w:space="0" w:color="auto"/>
      </w:divBdr>
    </w:div>
    <w:div w:id="1463037062">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051758419">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esdoc.unesco.org/ark:/48223/pf0000375848.locale=fr" TargetMode="External"/><Relationship Id="rId18" Type="http://schemas.openxmlformats.org/officeDocument/2006/relationships/hyperlink" Target="http://legacy.ioc-unesco.org/index.php?option=com_oe&amp;task=viewDocumentRecord&amp;docID=24888"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unesdoc.unesco.org/ark:/48223/pf0000375756.locale=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jpg"/><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un.org/bbn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oc-unesco.org/index.php?option=com_oe&amp;task=viewDocumentRecord&amp;docID=9281" TargetMode="External"/><Relationship Id="rId22" Type="http://schemas.openxmlformats.org/officeDocument/2006/relationships/image" Target="media/image3.jpg"/><Relationship Id="rId27" Type="http://schemas.openxmlformats.org/officeDocument/2006/relationships/chart" Target="charts/chart3.xm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40</a:t>
            </a:r>
            <a:r>
              <a:rPr lang="fr-FR" baseline="0"/>
              <a:t> C/5 IBF by function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clean!$S$26:$S$27</c:f>
              <c:strCache>
                <c:ptCount val="2"/>
                <c:pt idx="0">
                  <c:v>40 C/5</c:v>
                </c:pt>
                <c:pt idx="1">
                  <c:v>RB</c:v>
                </c:pt>
              </c:strCache>
            </c:strRef>
          </c:tx>
          <c:spPr>
            <a:solidFill>
              <a:srgbClr val="002060"/>
            </a:solidFill>
            <a:ln>
              <a:noFill/>
            </a:ln>
            <a:effectLst/>
          </c:spPr>
          <c:invertIfNegative val="0"/>
          <c:cat>
            <c:strRef>
              <c:f>clean!$R$28:$R$34</c:f>
              <c:strCache>
                <c:ptCount val="6"/>
                <c:pt idx="0">
                  <c:v>A</c:v>
                </c:pt>
                <c:pt idx="1">
                  <c:v>B</c:v>
                </c:pt>
                <c:pt idx="2">
                  <c:v>C</c:v>
                </c:pt>
                <c:pt idx="3">
                  <c:v>D</c:v>
                </c:pt>
                <c:pt idx="4">
                  <c:v>E</c:v>
                </c:pt>
                <c:pt idx="5">
                  <c:v>F</c:v>
                </c:pt>
              </c:strCache>
            </c:strRef>
          </c:cat>
          <c:val>
            <c:numRef>
              <c:f>clean!$S$28:$S$34</c:f>
              <c:numCache>
                <c:formatCode>#,##0</c:formatCode>
                <c:ptCount val="6"/>
                <c:pt idx="0">
                  <c:v>205000</c:v>
                </c:pt>
                <c:pt idx="1">
                  <c:v>567000</c:v>
                </c:pt>
                <c:pt idx="2">
                  <c:v>450000</c:v>
                </c:pt>
                <c:pt idx="3">
                  <c:v>267000</c:v>
                </c:pt>
                <c:pt idx="4">
                  <c:v>547908</c:v>
                </c:pt>
                <c:pt idx="5">
                  <c:v>394100</c:v>
                </c:pt>
              </c:numCache>
            </c:numRef>
          </c:val>
          <c:extLst>
            <c:ext xmlns:c16="http://schemas.microsoft.com/office/drawing/2014/chart" uri="{C3380CC4-5D6E-409C-BE32-E72D297353CC}">
              <c16:uniqueId val="{00000000-7FB9-4004-AA2D-836D9B3896AD}"/>
            </c:ext>
          </c:extLst>
        </c:ser>
        <c:ser>
          <c:idx val="1"/>
          <c:order val="1"/>
          <c:tx>
            <c:strRef>
              <c:f>clean!$T$26:$T$27</c:f>
              <c:strCache>
                <c:ptCount val="2"/>
                <c:pt idx="0">
                  <c:v>40 C/5</c:v>
                </c:pt>
                <c:pt idx="1">
                  <c:v>VC in hand</c:v>
                </c:pt>
              </c:strCache>
            </c:strRef>
          </c:tx>
          <c:spPr>
            <a:solidFill>
              <a:schemeClr val="tx2">
                <a:lumMod val="60000"/>
                <a:lumOff val="4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clean!$T$28:$T$34</c:f>
              <c:numCache>
                <c:formatCode>#,##0</c:formatCode>
                <c:ptCount val="6"/>
                <c:pt idx="0">
                  <c:v>50000</c:v>
                </c:pt>
                <c:pt idx="1">
                  <c:v>220000</c:v>
                </c:pt>
                <c:pt idx="2">
                  <c:v>550000</c:v>
                </c:pt>
                <c:pt idx="4">
                  <c:v>1630000</c:v>
                </c:pt>
                <c:pt idx="5">
                  <c:v>150000</c:v>
                </c:pt>
              </c:numCache>
            </c:numRef>
          </c:val>
          <c:extLst>
            <c:ext xmlns:c16="http://schemas.microsoft.com/office/drawing/2014/chart" uri="{C3380CC4-5D6E-409C-BE32-E72D297353CC}">
              <c16:uniqueId val="{00000001-7FB9-4004-AA2D-836D9B3896AD}"/>
            </c:ext>
          </c:extLst>
        </c:ser>
        <c:ser>
          <c:idx val="2"/>
          <c:order val="2"/>
          <c:tx>
            <c:strRef>
              <c:f>clean!$U$26:$U$27</c:f>
              <c:strCache>
                <c:ptCount val="2"/>
                <c:pt idx="0">
                  <c:v>40 C/5</c:v>
                </c:pt>
                <c:pt idx="1">
                  <c:v>VC gap</c:v>
                </c:pt>
              </c:strCache>
            </c:strRef>
          </c:tx>
          <c:spPr>
            <a:solidFill>
              <a:schemeClr val="tx2">
                <a:lumMod val="20000"/>
                <a:lumOff val="8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clean!$U$28:$U$34</c:f>
              <c:numCache>
                <c:formatCode>#,##0</c:formatCode>
                <c:ptCount val="6"/>
                <c:pt idx="0">
                  <c:v>994000</c:v>
                </c:pt>
                <c:pt idx="1">
                  <c:v>1722200</c:v>
                </c:pt>
                <c:pt idx="2">
                  <c:v>2130000</c:v>
                </c:pt>
                <c:pt idx="3">
                  <c:v>2016000</c:v>
                </c:pt>
                <c:pt idx="4">
                  <c:v>4123000</c:v>
                </c:pt>
                <c:pt idx="5">
                  <c:v>2175000</c:v>
                </c:pt>
              </c:numCache>
            </c:numRef>
          </c:val>
          <c:extLst>
            <c:ext xmlns:c16="http://schemas.microsoft.com/office/drawing/2014/chart" uri="{C3380CC4-5D6E-409C-BE32-E72D297353CC}">
              <c16:uniqueId val="{00000002-7FB9-4004-AA2D-836D9B3896AD}"/>
            </c:ext>
          </c:extLst>
        </c:ser>
        <c:dLbls>
          <c:showLegendKey val="0"/>
          <c:showVal val="0"/>
          <c:showCatName val="0"/>
          <c:showSerName val="0"/>
          <c:showPercent val="0"/>
          <c:showBubbleSize val="0"/>
        </c:dLbls>
        <c:gapWidth val="150"/>
        <c:overlap val="100"/>
        <c:axId val="557397968"/>
        <c:axId val="557396328"/>
      </c:barChart>
      <c:catAx>
        <c:axId val="5573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96328"/>
        <c:crosses val="autoZero"/>
        <c:auto val="1"/>
        <c:lblAlgn val="ctr"/>
        <c:lblOffset val="100"/>
        <c:noMultiLvlLbl val="0"/>
      </c:catAx>
      <c:valAx>
        <c:axId val="557396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39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Draft</a:t>
            </a:r>
            <a:r>
              <a:rPr lang="fr-FR" baseline="0"/>
              <a:t> 41 C/5 IBF by function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clean!$W$26:$W$27</c:f>
              <c:strCache>
                <c:ptCount val="2"/>
                <c:pt idx="0">
                  <c:v>41 C/5</c:v>
                </c:pt>
                <c:pt idx="1">
                  <c:v>RB</c:v>
                </c:pt>
              </c:strCache>
            </c:strRef>
          </c:tx>
          <c:spPr>
            <a:solidFill>
              <a:srgbClr val="002060"/>
            </a:solidFill>
            <a:ln>
              <a:noFill/>
            </a:ln>
            <a:effectLst/>
          </c:spPr>
          <c:invertIfNegative val="0"/>
          <c:cat>
            <c:strRef>
              <c:f>clean!$V$28:$V$34</c:f>
              <c:strCache>
                <c:ptCount val="6"/>
                <c:pt idx="0">
                  <c:v>A</c:v>
                </c:pt>
                <c:pt idx="1">
                  <c:v>B</c:v>
                </c:pt>
                <c:pt idx="2">
                  <c:v>C</c:v>
                </c:pt>
                <c:pt idx="3">
                  <c:v>D</c:v>
                </c:pt>
                <c:pt idx="4">
                  <c:v>E</c:v>
                </c:pt>
                <c:pt idx="5">
                  <c:v>F</c:v>
                </c:pt>
              </c:strCache>
            </c:strRef>
          </c:cat>
          <c:val>
            <c:numRef>
              <c:f>clean!$W$28:$W$34</c:f>
              <c:numCache>
                <c:formatCode>#,##0</c:formatCode>
                <c:ptCount val="6"/>
                <c:pt idx="0">
                  <c:v>135745</c:v>
                </c:pt>
                <c:pt idx="1">
                  <c:v>503204.76375538419</c:v>
                </c:pt>
                <c:pt idx="2">
                  <c:v>261045.49418721293</c:v>
                </c:pt>
                <c:pt idx="3">
                  <c:v>136235</c:v>
                </c:pt>
                <c:pt idx="4">
                  <c:v>448760</c:v>
                </c:pt>
                <c:pt idx="5">
                  <c:v>228418.0983841531</c:v>
                </c:pt>
              </c:numCache>
            </c:numRef>
          </c:val>
          <c:extLst>
            <c:ext xmlns:c16="http://schemas.microsoft.com/office/drawing/2014/chart" uri="{C3380CC4-5D6E-409C-BE32-E72D297353CC}">
              <c16:uniqueId val="{00000000-E420-470D-82D5-8A1D4DC34A91}"/>
            </c:ext>
          </c:extLst>
        </c:ser>
        <c:ser>
          <c:idx val="1"/>
          <c:order val="1"/>
          <c:tx>
            <c:strRef>
              <c:f>clean!$X$26:$X$27</c:f>
              <c:strCache>
                <c:ptCount val="2"/>
                <c:pt idx="0">
                  <c:v>41 C/5</c:v>
                </c:pt>
                <c:pt idx="1">
                  <c:v>VC in hand</c:v>
                </c:pt>
              </c:strCache>
            </c:strRef>
          </c:tx>
          <c:spPr>
            <a:solidFill>
              <a:schemeClr val="tx2">
                <a:lumMod val="60000"/>
                <a:lumOff val="4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clean!$X$28:$X$34</c:f>
              <c:numCache>
                <c:formatCode>#,##0</c:formatCode>
                <c:ptCount val="6"/>
                <c:pt idx="0">
                  <c:v>203400</c:v>
                </c:pt>
                <c:pt idx="1">
                  <c:v>1714500</c:v>
                </c:pt>
                <c:pt idx="2">
                  <c:v>578977</c:v>
                </c:pt>
                <c:pt idx="3">
                  <c:v>171980</c:v>
                </c:pt>
                <c:pt idx="4">
                  <c:v>515400</c:v>
                </c:pt>
                <c:pt idx="5">
                  <c:v>1201983</c:v>
                </c:pt>
              </c:numCache>
            </c:numRef>
          </c:val>
          <c:extLst>
            <c:ext xmlns:c16="http://schemas.microsoft.com/office/drawing/2014/chart" uri="{C3380CC4-5D6E-409C-BE32-E72D297353CC}">
              <c16:uniqueId val="{00000001-E420-470D-82D5-8A1D4DC34A91}"/>
            </c:ext>
          </c:extLst>
        </c:ser>
        <c:ser>
          <c:idx val="2"/>
          <c:order val="2"/>
          <c:tx>
            <c:strRef>
              <c:f>clean!$Y$26:$Y$27</c:f>
              <c:strCache>
                <c:ptCount val="2"/>
                <c:pt idx="0">
                  <c:v>41 C/5</c:v>
                </c:pt>
                <c:pt idx="1">
                  <c:v>VC gap</c:v>
                </c:pt>
              </c:strCache>
            </c:strRef>
          </c:tx>
          <c:spPr>
            <a:solidFill>
              <a:schemeClr val="tx2">
                <a:lumMod val="20000"/>
                <a:lumOff val="8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clean!$Y$28:$Y$34</c:f>
              <c:numCache>
                <c:formatCode>#,##0</c:formatCode>
                <c:ptCount val="6"/>
                <c:pt idx="0">
                  <c:v>550000</c:v>
                </c:pt>
                <c:pt idx="1">
                  <c:v>3382000</c:v>
                </c:pt>
                <c:pt idx="2">
                  <c:v>3000000</c:v>
                </c:pt>
                <c:pt idx="3">
                  <c:v>900000</c:v>
                </c:pt>
                <c:pt idx="4">
                  <c:v>5436000</c:v>
                </c:pt>
                <c:pt idx="5">
                  <c:v>2925000</c:v>
                </c:pt>
              </c:numCache>
            </c:numRef>
          </c:val>
          <c:extLst>
            <c:ext xmlns:c16="http://schemas.microsoft.com/office/drawing/2014/chart" uri="{C3380CC4-5D6E-409C-BE32-E72D297353CC}">
              <c16:uniqueId val="{00000002-E420-470D-82D5-8A1D4DC34A91}"/>
            </c:ext>
          </c:extLst>
        </c:ser>
        <c:dLbls>
          <c:showLegendKey val="0"/>
          <c:showVal val="0"/>
          <c:showCatName val="0"/>
          <c:showSerName val="0"/>
          <c:showPercent val="0"/>
          <c:showBubbleSize val="0"/>
        </c:dLbls>
        <c:gapWidth val="150"/>
        <c:overlap val="100"/>
        <c:axId val="553738928"/>
        <c:axId val="553737288"/>
      </c:barChart>
      <c:catAx>
        <c:axId val="5537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737288"/>
        <c:crosses val="autoZero"/>
        <c:auto val="1"/>
        <c:lblAlgn val="ctr"/>
        <c:lblOffset val="100"/>
        <c:noMultiLvlLbl val="0"/>
      </c:catAx>
      <c:valAx>
        <c:axId val="553737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73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Contributions</a:t>
            </a:r>
            <a:r>
              <a:rPr lang="fr-FR" baseline="0"/>
              <a:t> to Gender Equality, Africa &amp; SIDS</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35208098987627"/>
          <c:y val="4.1666666666666664E-2"/>
          <c:w val="0.84531872646353989"/>
          <c:h val="0.73577136191309422"/>
        </c:manualLayout>
      </c:layout>
      <c:barChart>
        <c:barDir val="col"/>
        <c:grouping val="stacked"/>
        <c:varyColors val="0"/>
        <c:ser>
          <c:idx val="0"/>
          <c:order val="0"/>
          <c:tx>
            <c:strRef>
              <c:f>clean!$M$81</c:f>
              <c:strCache>
                <c:ptCount val="1"/>
                <c:pt idx="0">
                  <c:v>RB</c:v>
                </c:pt>
              </c:strCache>
            </c:strRef>
          </c:tx>
          <c:spPr>
            <a:solidFill>
              <a:srgbClr val="002060"/>
            </a:solidFill>
            <a:ln>
              <a:noFill/>
            </a:ln>
            <a:effectLst/>
          </c:spPr>
          <c:invertIfNegative val="0"/>
          <c:cat>
            <c:strRef>
              <c:f>clean!$L$82:$L$84</c:f>
              <c:strCache>
                <c:ptCount val="3"/>
                <c:pt idx="0">
                  <c:v>Gender Equality</c:v>
                </c:pt>
                <c:pt idx="1">
                  <c:v>Africa</c:v>
                </c:pt>
                <c:pt idx="2">
                  <c:v>SIDS</c:v>
                </c:pt>
              </c:strCache>
            </c:strRef>
          </c:cat>
          <c:val>
            <c:numRef>
              <c:f>clean!$M$82:$M$84</c:f>
              <c:numCache>
                <c:formatCode>#,##0</c:formatCode>
                <c:ptCount val="3"/>
                <c:pt idx="0">
                  <c:v>1333754.96</c:v>
                </c:pt>
                <c:pt idx="1">
                  <c:v>2523920.3383918852</c:v>
                </c:pt>
                <c:pt idx="2">
                  <c:v>2297589.6712653502</c:v>
                </c:pt>
              </c:numCache>
            </c:numRef>
          </c:val>
          <c:extLst>
            <c:ext xmlns:c16="http://schemas.microsoft.com/office/drawing/2014/chart" uri="{C3380CC4-5D6E-409C-BE32-E72D297353CC}">
              <c16:uniqueId val="{00000000-AA94-496A-A788-25A2A6EB376D}"/>
            </c:ext>
          </c:extLst>
        </c:ser>
        <c:ser>
          <c:idx val="1"/>
          <c:order val="1"/>
          <c:tx>
            <c:strRef>
              <c:f>clean!$N$81</c:f>
              <c:strCache>
                <c:ptCount val="1"/>
                <c:pt idx="0">
                  <c:v>VC in hand</c:v>
                </c:pt>
              </c:strCache>
            </c:strRef>
          </c:tx>
          <c:spPr>
            <a:solidFill>
              <a:schemeClr val="tx2">
                <a:lumMod val="60000"/>
                <a:lumOff val="40000"/>
              </a:schemeClr>
            </a:solidFill>
            <a:ln>
              <a:noFill/>
            </a:ln>
            <a:effectLst/>
          </c:spPr>
          <c:invertIfNegative val="0"/>
          <c:cat>
            <c:strRef>
              <c:f>clean!$L$82:$L$84</c:f>
              <c:strCache>
                <c:ptCount val="3"/>
                <c:pt idx="0">
                  <c:v>Gender Equality</c:v>
                </c:pt>
                <c:pt idx="1">
                  <c:v>Africa</c:v>
                </c:pt>
                <c:pt idx="2">
                  <c:v>SIDS</c:v>
                </c:pt>
              </c:strCache>
            </c:strRef>
          </c:cat>
          <c:val>
            <c:numRef>
              <c:f>clean!$N$82:$N$84</c:f>
              <c:numCache>
                <c:formatCode>#,##0</c:formatCode>
                <c:ptCount val="3"/>
                <c:pt idx="0">
                  <c:v>526350</c:v>
                </c:pt>
                <c:pt idx="1">
                  <c:v>964970</c:v>
                </c:pt>
                <c:pt idx="2">
                  <c:v>877250</c:v>
                </c:pt>
              </c:numCache>
            </c:numRef>
          </c:val>
          <c:extLst>
            <c:ext xmlns:c16="http://schemas.microsoft.com/office/drawing/2014/chart" uri="{C3380CC4-5D6E-409C-BE32-E72D297353CC}">
              <c16:uniqueId val="{00000001-AA94-496A-A788-25A2A6EB376D}"/>
            </c:ext>
          </c:extLst>
        </c:ser>
        <c:ser>
          <c:idx val="2"/>
          <c:order val="2"/>
          <c:tx>
            <c:strRef>
              <c:f>clean!$O$81</c:f>
              <c:strCache>
                <c:ptCount val="1"/>
                <c:pt idx="0">
                  <c:v>VC gap</c:v>
                </c:pt>
              </c:strCache>
            </c:strRef>
          </c:tx>
          <c:spPr>
            <a:solidFill>
              <a:schemeClr val="tx2">
                <a:lumMod val="20000"/>
                <a:lumOff val="80000"/>
              </a:schemeClr>
            </a:solidFill>
            <a:ln>
              <a:noFill/>
            </a:ln>
            <a:effectLst/>
          </c:spPr>
          <c:invertIfNegative val="0"/>
          <c:cat>
            <c:strRef>
              <c:f>clean!$L$82:$L$84</c:f>
              <c:strCache>
                <c:ptCount val="3"/>
                <c:pt idx="0">
                  <c:v>Gender Equality</c:v>
                </c:pt>
                <c:pt idx="1">
                  <c:v>Africa</c:v>
                </c:pt>
                <c:pt idx="2">
                  <c:v>SIDS</c:v>
                </c:pt>
              </c:strCache>
            </c:strRef>
          </c:cat>
          <c:val>
            <c:numRef>
              <c:f>clean!$O$82:$O$84</c:f>
              <c:numCache>
                <c:formatCode>#,##0</c:formatCode>
                <c:ptCount val="3"/>
                <c:pt idx="0">
                  <c:v>1943160</c:v>
                </c:pt>
                <c:pt idx="1">
                  <c:v>3562460</c:v>
                </c:pt>
                <c:pt idx="2">
                  <c:v>3238600</c:v>
                </c:pt>
              </c:numCache>
            </c:numRef>
          </c:val>
          <c:extLst>
            <c:ext xmlns:c16="http://schemas.microsoft.com/office/drawing/2014/chart" uri="{C3380CC4-5D6E-409C-BE32-E72D297353CC}">
              <c16:uniqueId val="{00000002-AA94-496A-A788-25A2A6EB376D}"/>
            </c:ext>
          </c:extLst>
        </c:ser>
        <c:dLbls>
          <c:showLegendKey val="0"/>
          <c:showVal val="0"/>
          <c:showCatName val="0"/>
          <c:showSerName val="0"/>
          <c:showPercent val="0"/>
          <c:showBubbleSize val="0"/>
        </c:dLbls>
        <c:gapWidth val="150"/>
        <c:overlap val="100"/>
        <c:axId val="547149152"/>
        <c:axId val="547156040"/>
      </c:barChart>
      <c:catAx>
        <c:axId val="54714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56040"/>
        <c:crosses val="autoZero"/>
        <c:auto val="1"/>
        <c:lblAlgn val="ctr"/>
        <c:lblOffset val="100"/>
        <c:noMultiLvlLbl val="0"/>
      </c:catAx>
      <c:valAx>
        <c:axId val="54715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2.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FAAD-7B20-4211-B09D-B7C788959941}">
  <ds:schemaRefs>
    <ds:schemaRef ds:uri="http://schemas.openxmlformats.org/officeDocument/2006/bibliography"/>
  </ds:schemaRefs>
</ds:datastoreItem>
</file>

<file path=customXml/itemProps4.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6.xml><?xml version="1.0" encoding="utf-8"?>
<ds:datastoreItem xmlns:ds="http://schemas.openxmlformats.org/officeDocument/2006/customXml" ds:itemID="{2CDC8C2F-8F82-4C50-A94B-3701ADC6FB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Template WD-EC47.dotx</Template>
  <TotalTime>4</TotalTime>
  <Pages>16</Pages>
  <Words>5831</Words>
  <Characters>34244</Characters>
  <Application>Microsoft Office Word</Application>
  <DocSecurity>0</DocSecurity>
  <Lines>285</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39996</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2</cp:revision>
  <cp:lastPrinted>2021-05-11T07:41:00Z</cp:lastPrinted>
  <dcterms:created xsi:type="dcterms:W3CDTF">2021-05-11T08:23:00Z</dcterms:created>
  <dcterms:modified xsi:type="dcterms:W3CDTF">2021-05-11T08:23:00Z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