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884D3" w14:textId="0E4415F8" w:rsidR="00662F46" w:rsidRPr="00662F46" w:rsidRDefault="00662F46" w:rsidP="00662F46">
      <w:pPr>
        <w:spacing w:after="240"/>
        <w:jc w:val="center"/>
        <w:rPr>
          <w:rFonts w:ascii="Arial" w:hAnsi="Arial" w:cs="Arial"/>
          <w:bCs/>
          <w:sz w:val="22"/>
          <w:szCs w:val="22"/>
          <w:u w:val="single"/>
        </w:rPr>
      </w:pPr>
      <w:r w:rsidRPr="00662F46">
        <w:rPr>
          <w:rFonts w:ascii="Arial" w:hAnsi="Arial" w:cs="Arial"/>
          <w:bCs/>
          <w:sz w:val="22"/>
          <w:szCs w:val="22"/>
          <w:u w:val="single"/>
        </w:rPr>
        <w:t>Резолюция EC-53/2</w:t>
      </w:r>
    </w:p>
    <w:p w14:paraId="759A5F0F" w14:textId="6918C05C" w:rsidR="00D53493" w:rsidRPr="00662F46" w:rsidRDefault="00D53493" w:rsidP="00662F46">
      <w:pPr>
        <w:spacing w:after="240"/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662F46">
        <w:rPr>
          <w:rFonts w:ascii="Arial" w:hAnsi="Arial" w:cs="Arial"/>
          <w:b/>
          <w:bCs/>
          <w:sz w:val="22"/>
          <w:szCs w:val="22"/>
        </w:rPr>
        <w:t>АСПЕКТЫ ДЕЯТЕЛЬНОСТИ КОМИССИИ, КАСАЮЩИЕСЯ УПРАВЛЕНИЯ И ПОДГОТОВКИ ПРОГРАММЫ И БЮДЖЕТА</w:t>
      </w:r>
    </w:p>
    <w:p w14:paraId="3E3DBC35" w14:textId="77777777" w:rsidR="00D53493" w:rsidRPr="00662F46" w:rsidRDefault="00D53493" w:rsidP="00662F46">
      <w:pPr>
        <w:spacing w:after="240"/>
        <w:jc w:val="both"/>
        <w:rPr>
          <w:rFonts w:ascii="Arial" w:eastAsia="Calibri" w:hAnsi="Arial" w:cs="Arial"/>
          <w:sz w:val="22"/>
          <w:szCs w:val="22"/>
        </w:rPr>
      </w:pPr>
      <w:r w:rsidRPr="00662F46">
        <w:rPr>
          <w:rFonts w:ascii="Arial" w:hAnsi="Arial" w:cs="Arial"/>
          <w:sz w:val="22"/>
          <w:szCs w:val="22"/>
        </w:rPr>
        <w:t>Исполнительный совет,</w:t>
      </w:r>
    </w:p>
    <w:p w14:paraId="616A1D89" w14:textId="77777777" w:rsidR="00D53493" w:rsidRPr="00662F46" w:rsidRDefault="00D53493" w:rsidP="00662F46">
      <w:pPr>
        <w:pStyle w:val="b"/>
        <w:tabs>
          <w:tab w:val="clear" w:pos="1134"/>
        </w:tabs>
        <w:ind w:left="0" w:firstLine="0"/>
        <w:rPr>
          <w:rFonts w:ascii="Arial" w:eastAsia="Calibri" w:hAnsi="Arial" w:cs="Arial"/>
          <w:sz w:val="22"/>
          <w:szCs w:val="22"/>
        </w:rPr>
      </w:pPr>
      <w:r w:rsidRPr="00662F46">
        <w:rPr>
          <w:rFonts w:ascii="Arial" w:hAnsi="Arial" w:cs="Arial"/>
          <w:b/>
          <w:sz w:val="22"/>
          <w:szCs w:val="22"/>
        </w:rPr>
        <w:t>рассмотрев</w:t>
      </w:r>
      <w:r w:rsidRPr="00662F46">
        <w:rPr>
          <w:rFonts w:ascii="Arial" w:hAnsi="Arial" w:cs="Arial"/>
          <w:sz w:val="22"/>
          <w:szCs w:val="22"/>
        </w:rPr>
        <w:t xml:space="preserve"> документы:</w:t>
      </w:r>
    </w:p>
    <w:p w14:paraId="3EFBFA45" w14:textId="0DC87EE6" w:rsidR="00D53493" w:rsidRPr="00662F46" w:rsidRDefault="00D27947" w:rsidP="00662F46">
      <w:pPr>
        <w:numPr>
          <w:ilvl w:val="1"/>
          <w:numId w:val="4"/>
        </w:numPr>
        <w:tabs>
          <w:tab w:val="clear" w:pos="567"/>
        </w:tabs>
        <w:snapToGrid/>
        <w:spacing w:after="240"/>
        <w:ind w:left="1134" w:hanging="567"/>
        <w:jc w:val="both"/>
        <w:rPr>
          <w:rFonts w:ascii="Arial" w:eastAsia="Calibri" w:hAnsi="Arial" w:cs="Arial"/>
          <w:sz w:val="22"/>
          <w:szCs w:val="22"/>
        </w:rPr>
      </w:pPr>
      <w:hyperlink r:id="rId8" w:history="1">
        <w:r w:rsidR="008D1E0F" w:rsidRPr="00662F46">
          <w:rPr>
            <w:rStyle w:val="Hyperlink"/>
            <w:rFonts w:cs="Arial"/>
            <w:szCs w:val="22"/>
            <w:u w:val="none"/>
          </w:rPr>
          <w:t>IOC/EC-53/3.1.Doc(2)</w:t>
        </w:r>
      </w:hyperlink>
      <w:r w:rsidR="008D1E0F" w:rsidRPr="00662F46">
        <w:rPr>
          <w:rFonts w:ascii="Arial" w:hAnsi="Arial" w:cs="Arial"/>
          <w:sz w:val="22"/>
          <w:szCs w:val="22"/>
        </w:rPr>
        <w:t xml:space="preserve"> – Доклад об исполнении бюджета в 2018</w:t>
      </w:r>
      <w:r w:rsidR="000D37D3" w:rsidRPr="00662F46">
        <w:rPr>
          <w:rFonts w:ascii="Arial" w:hAnsi="Arial" w:cs="Arial"/>
          <w:sz w:val="22"/>
          <w:szCs w:val="22"/>
        </w:rPr>
        <w:t>-</w:t>
      </w:r>
      <w:r w:rsidR="008D1E0F" w:rsidRPr="00662F46">
        <w:rPr>
          <w:rFonts w:ascii="Arial" w:hAnsi="Arial" w:cs="Arial"/>
          <w:sz w:val="22"/>
          <w:szCs w:val="22"/>
        </w:rPr>
        <w:t>2019 гг. и общей структуре бюджета на 2020–2021 гг.,</w:t>
      </w:r>
    </w:p>
    <w:p w14:paraId="63BCF950" w14:textId="0A4FB7A5" w:rsidR="00D53493" w:rsidRPr="00BA1623" w:rsidRDefault="00BA1623" w:rsidP="00BA1623">
      <w:pPr>
        <w:numPr>
          <w:ilvl w:val="1"/>
          <w:numId w:val="4"/>
        </w:numPr>
        <w:tabs>
          <w:tab w:val="clear" w:pos="567"/>
        </w:tabs>
        <w:snapToGrid/>
        <w:spacing w:after="240"/>
        <w:ind w:left="1134" w:hanging="567"/>
        <w:jc w:val="both"/>
        <w:rPr>
          <w:rFonts w:ascii="Arial" w:eastAsia="Calibri" w:hAnsi="Arial" w:cs="Arial"/>
          <w:sz w:val="22"/>
          <w:szCs w:val="22"/>
        </w:rPr>
      </w:pPr>
      <w:hyperlink r:id="rId9" w:history="1">
        <w:r w:rsidRPr="00D27947">
          <w:rPr>
            <w:rStyle w:val="Hyperlink"/>
            <w:rFonts w:eastAsia="Calibri" w:cs="Arial"/>
            <w:szCs w:val="22"/>
            <w:u w:val="none"/>
          </w:rPr>
          <w:t>IOC/EC-53/5.1.Doc(1)</w:t>
        </w:r>
      </w:hyperlink>
      <w:r w:rsidRPr="00D27947">
        <w:rPr>
          <w:rFonts w:ascii="Arial" w:eastAsia="Calibri" w:hAnsi="Arial" w:cs="Arial"/>
          <w:sz w:val="22"/>
          <w:szCs w:val="22"/>
          <w:lang w:val="es-ES"/>
        </w:rPr>
        <w:t xml:space="preserve"> –</w:t>
      </w:r>
      <w:r>
        <w:rPr>
          <w:rFonts w:ascii="Arial" w:eastAsia="Calibri" w:hAnsi="Arial" w:cs="Arial"/>
          <w:sz w:val="22"/>
          <w:szCs w:val="22"/>
          <w:lang w:val="es-ES"/>
        </w:rPr>
        <w:t xml:space="preserve"> </w:t>
      </w:r>
      <w:r w:rsidR="008D1E0F" w:rsidRPr="00BA1623">
        <w:rPr>
          <w:rFonts w:ascii="Arial" w:hAnsi="Arial" w:cs="Arial"/>
          <w:sz w:val="22"/>
          <w:szCs w:val="22"/>
        </w:rPr>
        <w:t>Проект среднесрочной стратегии МОК на 2022</w:t>
      </w:r>
      <w:r w:rsidR="000D37D3" w:rsidRPr="00BA1623">
        <w:rPr>
          <w:rFonts w:ascii="Arial" w:hAnsi="Arial" w:cs="Arial"/>
          <w:sz w:val="22"/>
          <w:szCs w:val="22"/>
        </w:rPr>
        <w:t>-</w:t>
      </w:r>
      <w:r w:rsidR="008D1E0F" w:rsidRPr="00BA1623">
        <w:rPr>
          <w:rFonts w:ascii="Arial" w:hAnsi="Arial" w:cs="Arial"/>
          <w:sz w:val="22"/>
          <w:szCs w:val="22"/>
        </w:rPr>
        <w:t>2029 гг.,</w:t>
      </w:r>
    </w:p>
    <w:p w14:paraId="63B56081" w14:textId="6F666B1B" w:rsidR="00D53493" w:rsidRPr="00662F46" w:rsidRDefault="00D27947" w:rsidP="00BA1623">
      <w:pPr>
        <w:numPr>
          <w:ilvl w:val="1"/>
          <w:numId w:val="4"/>
        </w:numPr>
        <w:tabs>
          <w:tab w:val="clear" w:pos="567"/>
        </w:tabs>
        <w:snapToGrid/>
        <w:spacing w:after="240"/>
        <w:ind w:left="1134" w:hanging="567"/>
        <w:jc w:val="both"/>
        <w:rPr>
          <w:rFonts w:ascii="Arial" w:eastAsia="Calibri" w:hAnsi="Arial" w:cs="Arial"/>
          <w:sz w:val="22"/>
          <w:szCs w:val="22"/>
        </w:rPr>
      </w:pPr>
      <w:hyperlink r:id="rId10" w:history="1">
        <w:r w:rsidR="008D1E0F" w:rsidRPr="00662F46">
          <w:rPr>
            <w:rStyle w:val="Hyperlink"/>
            <w:rFonts w:cs="Arial"/>
            <w:szCs w:val="22"/>
            <w:u w:val="none"/>
          </w:rPr>
          <w:t>IOC/EC-53/5.1.Doc(2)</w:t>
        </w:r>
      </w:hyperlink>
      <w:r w:rsidR="008D1E0F" w:rsidRPr="00662F46">
        <w:rPr>
          <w:rFonts w:ascii="Arial" w:hAnsi="Arial" w:cs="Arial"/>
          <w:sz w:val="22"/>
          <w:szCs w:val="22"/>
        </w:rPr>
        <w:t xml:space="preserve"> </w:t>
      </w:r>
      <w:r w:rsidR="008D1E0F" w:rsidRPr="00662F46">
        <w:rPr>
          <w:rFonts w:ascii="Arial" w:hAnsi="Arial" w:cs="Arial"/>
          <w:color w:val="000000" w:themeColor="text1"/>
          <w:sz w:val="22"/>
          <w:szCs w:val="22"/>
        </w:rPr>
        <w:t xml:space="preserve">и </w:t>
      </w:r>
      <w:proofErr w:type="spellStart"/>
      <w:r w:rsidR="008D1E0F" w:rsidRPr="00662F46">
        <w:rPr>
          <w:rFonts w:ascii="Arial" w:hAnsi="Arial" w:cs="Arial"/>
          <w:color w:val="000000" w:themeColor="text1"/>
          <w:sz w:val="22"/>
          <w:szCs w:val="22"/>
        </w:rPr>
        <w:t>Corr</w:t>
      </w:r>
      <w:proofErr w:type="spellEnd"/>
      <w:r w:rsidR="008D1E0F" w:rsidRPr="00662F46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8D1E0F" w:rsidRPr="00662F46">
        <w:rPr>
          <w:rFonts w:ascii="Arial" w:hAnsi="Arial" w:cs="Arial"/>
          <w:sz w:val="22"/>
          <w:szCs w:val="22"/>
        </w:rPr>
        <w:t>– Проект программы и бюджета на 2022</w:t>
      </w:r>
      <w:r w:rsidR="000D37D3" w:rsidRPr="00662F46">
        <w:rPr>
          <w:rFonts w:ascii="Arial" w:hAnsi="Arial" w:cs="Arial"/>
          <w:sz w:val="22"/>
          <w:szCs w:val="22"/>
        </w:rPr>
        <w:t>-</w:t>
      </w:r>
      <w:r w:rsidR="008D1E0F" w:rsidRPr="00662F46">
        <w:rPr>
          <w:rFonts w:ascii="Arial" w:hAnsi="Arial" w:cs="Arial"/>
          <w:sz w:val="22"/>
          <w:szCs w:val="22"/>
        </w:rPr>
        <w:t>2025 гг.,</w:t>
      </w:r>
    </w:p>
    <w:p w14:paraId="40442B07" w14:textId="7121C74A" w:rsidR="00D53493" w:rsidRPr="00662F46" w:rsidRDefault="00D53493" w:rsidP="00662F46">
      <w:pPr>
        <w:pStyle w:val="ListParagraph"/>
        <w:numPr>
          <w:ilvl w:val="2"/>
          <w:numId w:val="4"/>
        </w:numPr>
        <w:spacing w:after="240"/>
        <w:ind w:left="0" w:firstLine="0"/>
        <w:contextualSpacing w:val="0"/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662F46">
        <w:rPr>
          <w:rFonts w:ascii="Arial" w:hAnsi="Arial" w:cs="Arial"/>
          <w:b/>
          <w:bCs/>
          <w:sz w:val="22"/>
          <w:szCs w:val="22"/>
        </w:rPr>
        <w:t>Доклад об исполнении бюджета в 2018</w:t>
      </w:r>
      <w:r w:rsidR="000D37D3" w:rsidRPr="00662F46">
        <w:rPr>
          <w:rFonts w:ascii="Arial" w:hAnsi="Arial" w:cs="Arial"/>
          <w:b/>
          <w:bCs/>
          <w:sz w:val="22"/>
          <w:szCs w:val="22"/>
        </w:rPr>
        <w:t>-</w:t>
      </w:r>
      <w:r w:rsidRPr="00662F46">
        <w:rPr>
          <w:rFonts w:ascii="Arial" w:hAnsi="Arial" w:cs="Arial"/>
          <w:b/>
          <w:bCs/>
          <w:sz w:val="22"/>
          <w:szCs w:val="22"/>
        </w:rPr>
        <w:t xml:space="preserve">2019 гг. </w:t>
      </w:r>
      <w:r w:rsidR="00FF01D5" w:rsidRPr="00662F46">
        <w:rPr>
          <w:rFonts w:ascii="Arial" w:hAnsi="Arial" w:cs="Arial"/>
          <w:b/>
          <w:bCs/>
          <w:sz w:val="22"/>
          <w:szCs w:val="22"/>
        </w:rPr>
        <w:br/>
      </w:r>
      <w:r w:rsidRPr="00662F46">
        <w:rPr>
          <w:rFonts w:ascii="Arial" w:hAnsi="Arial" w:cs="Arial"/>
          <w:b/>
          <w:bCs/>
          <w:sz w:val="22"/>
          <w:szCs w:val="22"/>
        </w:rPr>
        <w:t>и общей структуре бюджета на 2020</w:t>
      </w:r>
      <w:r w:rsidR="000D37D3" w:rsidRPr="00662F46">
        <w:rPr>
          <w:rFonts w:ascii="Arial" w:hAnsi="Arial" w:cs="Arial"/>
          <w:b/>
          <w:bCs/>
          <w:sz w:val="22"/>
          <w:szCs w:val="22"/>
        </w:rPr>
        <w:t>-</w:t>
      </w:r>
      <w:r w:rsidRPr="00662F46">
        <w:rPr>
          <w:rFonts w:ascii="Arial" w:hAnsi="Arial" w:cs="Arial"/>
          <w:b/>
          <w:bCs/>
          <w:sz w:val="22"/>
          <w:szCs w:val="22"/>
        </w:rPr>
        <w:t>2021 гг.</w:t>
      </w:r>
    </w:p>
    <w:p w14:paraId="5A6356DF" w14:textId="72499561" w:rsidR="00D53493" w:rsidRPr="00662F46" w:rsidRDefault="00D53493" w:rsidP="00662F46">
      <w:pPr>
        <w:pStyle w:val="b"/>
        <w:tabs>
          <w:tab w:val="clear" w:pos="1134"/>
        </w:tabs>
        <w:ind w:left="0" w:firstLine="0"/>
        <w:rPr>
          <w:rFonts w:ascii="Arial" w:eastAsia="Calibri" w:hAnsi="Arial" w:cs="Arial"/>
          <w:sz w:val="22"/>
          <w:szCs w:val="22"/>
        </w:rPr>
      </w:pPr>
      <w:r w:rsidRPr="00662F46">
        <w:rPr>
          <w:rFonts w:ascii="Arial" w:hAnsi="Arial" w:cs="Arial"/>
          <w:b/>
          <w:sz w:val="22"/>
          <w:szCs w:val="22"/>
        </w:rPr>
        <w:t>подтверждает</w:t>
      </w:r>
      <w:r w:rsidRPr="00662F46">
        <w:rPr>
          <w:rFonts w:ascii="Arial" w:hAnsi="Arial" w:cs="Arial"/>
          <w:sz w:val="22"/>
          <w:szCs w:val="22"/>
        </w:rPr>
        <w:t>, что бюджет МОК на 2018-2019 гг., представленный в Части I документа IOC/EC-53/3.</w:t>
      </w:r>
      <w:proofErr w:type="gramStart"/>
      <w:r w:rsidRPr="00662F46">
        <w:rPr>
          <w:rFonts w:ascii="Arial" w:hAnsi="Arial" w:cs="Arial"/>
          <w:sz w:val="22"/>
          <w:szCs w:val="22"/>
        </w:rPr>
        <w:t>1.Doc</w:t>
      </w:r>
      <w:proofErr w:type="gramEnd"/>
      <w:r w:rsidRPr="00662F46">
        <w:rPr>
          <w:rFonts w:ascii="Arial" w:hAnsi="Arial" w:cs="Arial"/>
          <w:sz w:val="22"/>
          <w:szCs w:val="22"/>
        </w:rPr>
        <w:t>(2), был исполнен в соответствии с утвержденными Программой и бюджетом на 2018</w:t>
      </w:r>
      <w:r w:rsidR="000419D6" w:rsidRPr="00662F46">
        <w:rPr>
          <w:rFonts w:ascii="Arial" w:hAnsi="Arial" w:cs="Arial"/>
          <w:sz w:val="22"/>
          <w:szCs w:val="22"/>
        </w:rPr>
        <w:t>-</w:t>
      </w:r>
      <w:r w:rsidRPr="00662F46">
        <w:rPr>
          <w:rFonts w:ascii="Arial" w:hAnsi="Arial" w:cs="Arial"/>
          <w:sz w:val="22"/>
          <w:szCs w:val="22"/>
        </w:rPr>
        <w:t>2019 гг. (документ 39 C/5, план расходов в объеме 518 млн. долл.) и бюджетными ассигнованиями, утвержденными Ассамблеей МОК на ее 29-й сессии (IOC</w:t>
      </w:r>
      <w:r w:rsidR="000D37D3" w:rsidRPr="00662F46">
        <w:rPr>
          <w:rFonts w:ascii="Arial" w:hAnsi="Arial" w:cs="Arial"/>
          <w:sz w:val="22"/>
          <w:szCs w:val="22"/>
        </w:rPr>
        <w:noBreakHyphen/>
      </w:r>
      <w:r w:rsidRPr="00662F46">
        <w:rPr>
          <w:rFonts w:ascii="Arial" w:hAnsi="Arial" w:cs="Arial"/>
          <w:sz w:val="22"/>
          <w:szCs w:val="22"/>
        </w:rPr>
        <w:t>XXIX/2 Annex 5 Rev.2) в резолюции XXIX-2;</w:t>
      </w:r>
    </w:p>
    <w:p w14:paraId="300891C3" w14:textId="26633ADD" w:rsidR="00D53493" w:rsidRPr="00662F46" w:rsidRDefault="00D53493" w:rsidP="00662F46">
      <w:pPr>
        <w:pStyle w:val="b"/>
        <w:tabs>
          <w:tab w:val="clear" w:pos="1134"/>
        </w:tabs>
        <w:ind w:left="0" w:firstLine="0"/>
        <w:rPr>
          <w:rFonts w:ascii="Arial" w:eastAsia="Calibri" w:hAnsi="Arial" w:cs="Arial"/>
          <w:sz w:val="22"/>
          <w:szCs w:val="22"/>
        </w:rPr>
      </w:pPr>
      <w:r w:rsidRPr="00662F46">
        <w:rPr>
          <w:rFonts w:ascii="Arial" w:hAnsi="Arial" w:cs="Arial"/>
          <w:b/>
          <w:sz w:val="22"/>
          <w:szCs w:val="22"/>
        </w:rPr>
        <w:t>отмечает</w:t>
      </w:r>
      <w:r w:rsidRPr="00662F46">
        <w:rPr>
          <w:rFonts w:ascii="Arial" w:hAnsi="Arial" w:cs="Arial"/>
          <w:sz w:val="22"/>
          <w:szCs w:val="22"/>
        </w:rPr>
        <w:t>, что общий уровень выполнения установленных на двухлетний период 2018</w:t>
      </w:r>
      <w:r w:rsidR="004B57FD" w:rsidRPr="00662F46">
        <w:rPr>
          <w:rFonts w:ascii="Arial" w:hAnsi="Arial" w:cs="Arial"/>
          <w:sz w:val="22"/>
          <w:szCs w:val="22"/>
        </w:rPr>
        <w:t>-</w:t>
      </w:r>
      <w:r w:rsidRPr="00662F46">
        <w:rPr>
          <w:rFonts w:ascii="Arial" w:hAnsi="Arial" w:cs="Arial"/>
          <w:sz w:val="22"/>
          <w:szCs w:val="22"/>
        </w:rPr>
        <w:t>2019 гг. показателей мобилизации внеб</w:t>
      </w:r>
      <w:bookmarkStart w:id="0" w:name="_GoBack"/>
      <w:bookmarkEnd w:id="0"/>
      <w:r w:rsidRPr="00662F46">
        <w:rPr>
          <w:rFonts w:ascii="Arial" w:hAnsi="Arial" w:cs="Arial"/>
          <w:sz w:val="22"/>
          <w:szCs w:val="22"/>
        </w:rPr>
        <w:t>юджетных ресурсов составил 73%, при этом отмечались существенные различия на уровне функциональных направлений деятельности Комиссии;</w:t>
      </w:r>
    </w:p>
    <w:p w14:paraId="53CCBD21" w14:textId="2FFF4FEF" w:rsidR="00D53493" w:rsidRPr="00662F46" w:rsidRDefault="00D53493" w:rsidP="00662F46">
      <w:pPr>
        <w:pStyle w:val="b"/>
        <w:tabs>
          <w:tab w:val="clear" w:pos="1134"/>
        </w:tabs>
        <w:ind w:left="0" w:firstLine="0"/>
        <w:rPr>
          <w:rFonts w:ascii="Arial" w:eastAsia="Calibri" w:hAnsi="Arial" w:cs="Arial"/>
          <w:sz w:val="22"/>
          <w:szCs w:val="22"/>
        </w:rPr>
      </w:pPr>
      <w:r w:rsidRPr="00662F46">
        <w:rPr>
          <w:rFonts w:ascii="Arial" w:hAnsi="Arial" w:cs="Arial"/>
          <w:b/>
          <w:sz w:val="22"/>
          <w:szCs w:val="22"/>
        </w:rPr>
        <w:t>благодарит</w:t>
      </w:r>
      <w:r w:rsidRPr="00662F46">
        <w:rPr>
          <w:rFonts w:ascii="Arial" w:hAnsi="Arial" w:cs="Arial"/>
          <w:sz w:val="22"/>
          <w:szCs w:val="22"/>
        </w:rPr>
        <w:t xml:space="preserve"> государства-члены, предоставившие внебюджетные средства на осуществление программы в 2018-2020 гг. и выразившие готовность оказать финансовую поддержку в 2021 г.;</w:t>
      </w:r>
    </w:p>
    <w:p w14:paraId="70808C47" w14:textId="177340E4" w:rsidR="00D53493" w:rsidRPr="00662F46" w:rsidRDefault="00D53493" w:rsidP="00662F46">
      <w:pPr>
        <w:pStyle w:val="b"/>
        <w:tabs>
          <w:tab w:val="clear" w:pos="1134"/>
        </w:tabs>
        <w:ind w:left="0" w:firstLine="0"/>
        <w:rPr>
          <w:rFonts w:ascii="Arial" w:eastAsia="Calibri" w:hAnsi="Arial" w:cs="Arial"/>
          <w:sz w:val="22"/>
          <w:szCs w:val="22"/>
        </w:rPr>
      </w:pPr>
      <w:r w:rsidRPr="00662F46">
        <w:rPr>
          <w:rFonts w:ascii="Arial" w:hAnsi="Arial" w:cs="Arial"/>
          <w:b/>
          <w:sz w:val="22"/>
          <w:szCs w:val="22"/>
        </w:rPr>
        <w:t>выражает удовлетворение</w:t>
      </w:r>
      <w:r w:rsidRPr="00662F46">
        <w:rPr>
          <w:rFonts w:ascii="Arial" w:hAnsi="Arial" w:cs="Arial"/>
          <w:sz w:val="22"/>
          <w:szCs w:val="22"/>
        </w:rPr>
        <w:t xml:space="preserve"> тем, что объем Утвержденного комплексного бюджета на 2020</w:t>
      </w:r>
      <w:r w:rsidR="004B57FD" w:rsidRPr="00662F46">
        <w:rPr>
          <w:rFonts w:ascii="Arial" w:hAnsi="Arial" w:cs="Arial"/>
          <w:sz w:val="22"/>
          <w:szCs w:val="22"/>
        </w:rPr>
        <w:t>-</w:t>
      </w:r>
      <w:r w:rsidRPr="00662F46">
        <w:rPr>
          <w:rFonts w:ascii="Arial" w:hAnsi="Arial" w:cs="Arial"/>
          <w:sz w:val="22"/>
          <w:szCs w:val="22"/>
        </w:rPr>
        <w:t>2021 гг., представленного в Части II документа IOC/EC-53/3.1.Doc(2), соответствует сумме бюджетных ассигнований, утвержденных Ассамблеей МОК на ее 30-й сессии (IOC-XXX/2 Annex 9) в резолюции XXX-3 на основе принятого 40-й сессией Генеральной конференции ЮНЕСКО варианта бюджета на 2020</w:t>
      </w:r>
      <w:r w:rsidR="00FF01D5" w:rsidRPr="00662F46">
        <w:rPr>
          <w:rFonts w:ascii="Arial" w:hAnsi="Arial" w:cs="Arial"/>
          <w:sz w:val="22"/>
          <w:szCs w:val="22"/>
        </w:rPr>
        <w:t>-</w:t>
      </w:r>
      <w:r w:rsidRPr="00662F46">
        <w:rPr>
          <w:rFonts w:ascii="Arial" w:hAnsi="Arial" w:cs="Arial"/>
          <w:sz w:val="22"/>
          <w:szCs w:val="22"/>
        </w:rPr>
        <w:t>2021 гг. (40 C/5) с общим объемом бюджетных ассигнований по линии обычной программы в сумме 534,6 млн. долл. США (в том числе 11 075 500 долл. США для МОК);</w:t>
      </w:r>
    </w:p>
    <w:p w14:paraId="0E927236" w14:textId="1EFC8272" w:rsidR="00D53493" w:rsidRPr="00662F46" w:rsidRDefault="00D53493" w:rsidP="00662F46">
      <w:pPr>
        <w:pStyle w:val="b"/>
        <w:tabs>
          <w:tab w:val="clear" w:pos="1134"/>
        </w:tabs>
        <w:ind w:left="0" w:firstLine="0"/>
        <w:rPr>
          <w:rFonts w:ascii="Arial" w:eastAsia="Calibri" w:hAnsi="Arial" w:cs="Arial"/>
          <w:sz w:val="22"/>
          <w:szCs w:val="22"/>
        </w:rPr>
      </w:pPr>
      <w:r w:rsidRPr="00662F46">
        <w:rPr>
          <w:rFonts w:ascii="Arial" w:hAnsi="Arial" w:cs="Arial"/>
          <w:b/>
          <w:sz w:val="22"/>
          <w:szCs w:val="22"/>
        </w:rPr>
        <w:t>принимает во внимание</w:t>
      </w:r>
      <w:r w:rsidRPr="00662F46">
        <w:rPr>
          <w:rFonts w:ascii="Arial" w:hAnsi="Arial" w:cs="Arial"/>
          <w:sz w:val="22"/>
          <w:szCs w:val="22"/>
        </w:rPr>
        <w:t xml:space="preserve"> информацию о финансовом положении </w:t>
      </w:r>
      <w:r w:rsidR="00073E47" w:rsidRPr="00662F46">
        <w:rPr>
          <w:rFonts w:ascii="Arial" w:hAnsi="Arial" w:cs="Arial"/>
          <w:sz w:val="22"/>
          <w:szCs w:val="22"/>
        </w:rPr>
        <w:t>МОК</w:t>
      </w:r>
      <w:r w:rsidRPr="00662F46">
        <w:rPr>
          <w:rFonts w:ascii="Arial" w:hAnsi="Arial" w:cs="Arial"/>
          <w:sz w:val="22"/>
          <w:szCs w:val="22"/>
        </w:rPr>
        <w:t>, представленную в Части II документа IOC/EC-53/3.</w:t>
      </w:r>
      <w:proofErr w:type="gramStart"/>
      <w:r w:rsidRPr="00662F46">
        <w:rPr>
          <w:rFonts w:ascii="Arial" w:hAnsi="Arial" w:cs="Arial"/>
          <w:sz w:val="22"/>
          <w:szCs w:val="22"/>
        </w:rPr>
        <w:t>1.Doc</w:t>
      </w:r>
      <w:proofErr w:type="gramEnd"/>
      <w:r w:rsidRPr="00662F46">
        <w:rPr>
          <w:rFonts w:ascii="Arial" w:hAnsi="Arial" w:cs="Arial"/>
          <w:sz w:val="22"/>
          <w:szCs w:val="22"/>
        </w:rPr>
        <w:t>(2), в том числе в отношении прогнозируемых в 2020</w:t>
      </w:r>
      <w:r w:rsidR="00A00760" w:rsidRPr="00662F46">
        <w:rPr>
          <w:rFonts w:ascii="Arial" w:hAnsi="Arial" w:cs="Arial"/>
          <w:sz w:val="22"/>
          <w:szCs w:val="22"/>
        </w:rPr>
        <w:t>-</w:t>
      </w:r>
      <w:r w:rsidRPr="00662F46">
        <w:rPr>
          <w:rFonts w:ascii="Arial" w:hAnsi="Arial" w:cs="Arial"/>
          <w:sz w:val="22"/>
          <w:szCs w:val="22"/>
        </w:rPr>
        <w:t>2021 гг. расходов по линии специального счета МОК, а также информацию о последствиях пандемии COVID-19 для выполнения программы, представленную в обновленном варианте доклада Исполнительного секретаря МОК;</w:t>
      </w:r>
    </w:p>
    <w:p w14:paraId="2334432E" w14:textId="77777777" w:rsidR="00D53493" w:rsidRPr="00662F46" w:rsidRDefault="00D53493" w:rsidP="00662F46">
      <w:pPr>
        <w:pStyle w:val="b"/>
        <w:tabs>
          <w:tab w:val="clear" w:pos="1134"/>
        </w:tabs>
        <w:ind w:left="0" w:firstLine="0"/>
        <w:rPr>
          <w:rFonts w:ascii="Arial" w:eastAsia="Calibri" w:hAnsi="Arial" w:cs="Arial"/>
          <w:sz w:val="22"/>
          <w:szCs w:val="22"/>
        </w:rPr>
      </w:pPr>
      <w:r w:rsidRPr="00662F46">
        <w:rPr>
          <w:rFonts w:ascii="Arial" w:hAnsi="Arial" w:cs="Arial"/>
          <w:b/>
          <w:sz w:val="22"/>
          <w:szCs w:val="22"/>
        </w:rPr>
        <w:t>призывает</w:t>
      </w:r>
      <w:r w:rsidRPr="00662F46">
        <w:rPr>
          <w:rFonts w:ascii="Arial" w:hAnsi="Arial" w:cs="Arial"/>
          <w:sz w:val="22"/>
          <w:szCs w:val="22"/>
        </w:rPr>
        <w:t xml:space="preserve"> все государства-члены предоставлять добровольные взносы, с тем чтобы обеспечить достижение в полном объеме коллективно согласованных целевых показателей по привлечению внебюджетных средств, предпочтительно на Специальный счет МОК;</w:t>
      </w:r>
    </w:p>
    <w:p w14:paraId="27021314" w14:textId="3294BE54" w:rsidR="00D53493" w:rsidRPr="00662F46" w:rsidRDefault="00D53493" w:rsidP="00662F46">
      <w:pPr>
        <w:pStyle w:val="b"/>
        <w:tabs>
          <w:tab w:val="clear" w:pos="1134"/>
        </w:tabs>
        <w:ind w:left="0" w:firstLine="0"/>
        <w:rPr>
          <w:rFonts w:ascii="Arial" w:eastAsia="Calibri" w:hAnsi="Arial" w:cs="Arial"/>
          <w:sz w:val="22"/>
          <w:szCs w:val="22"/>
        </w:rPr>
      </w:pPr>
      <w:r w:rsidRPr="00662F46">
        <w:rPr>
          <w:rFonts w:ascii="Arial" w:hAnsi="Arial" w:cs="Arial"/>
          <w:b/>
          <w:sz w:val="22"/>
          <w:szCs w:val="22"/>
        </w:rPr>
        <w:lastRenderedPageBreak/>
        <w:t>просит</w:t>
      </w:r>
      <w:r w:rsidRPr="00662F46">
        <w:rPr>
          <w:rFonts w:ascii="Arial" w:hAnsi="Arial" w:cs="Arial"/>
          <w:sz w:val="22"/>
          <w:szCs w:val="22"/>
        </w:rPr>
        <w:t xml:space="preserve"> Исполнительного секретаря МОК продолжить усилия по привлечению дополнительных добровольных взносов, в том числе со стороны частных структур и других партнеров, для обеспечения полного выполнения плановых целевых показателей Комиссии на 2020</w:t>
      </w:r>
      <w:r w:rsidR="00A00760" w:rsidRPr="00662F46">
        <w:rPr>
          <w:rFonts w:ascii="Arial" w:hAnsi="Arial" w:cs="Arial"/>
          <w:sz w:val="22"/>
          <w:szCs w:val="22"/>
        </w:rPr>
        <w:t>-</w:t>
      </w:r>
      <w:r w:rsidRPr="00662F46">
        <w:rPr>
          <w:rFonts w:ascii="Arial" w:hAnsi="Arial" w:cs="Arial"/>
          <w:sz w:val="22"/>
          <w:szCs w:val="22"/>
        </w:rPr>
        <w:t>2021 гг.;</w:t>
      </w:r>
    </w:p>
    <w:p w14:paraId="15A2B82A" w14:textId="7F3003C1" w:rsidR="00D53493" w:rsidRPr="00662F46" w:rsidRDefault="00D53493" w:rsidP="00662F46">
      <w:pPr>
        <w:pStyle w:val="ListParagraph"/>
        <w:numPr>
          <w:ilvl w:val="2"/>
          <w:numId w:val="4"/>
        </w:numPr>
        <w:spacing w:after="240"/>
        <w:ind w:left="0" w:firstLine="0"/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662F46">
        <w:rPr>
          <w:rFonts w:ascii="Arial" w:hAnsi="Arial" w:cs="Arial"/>
          <w:b/>
          <w:bCs/>
          <w:sz w:val="22"/>
          <w:szCs w:val="22"/>
        </w:rPr>
        <w:t>Проект среднесрочной стратегии на 2022-2029 гг.</w:t>
      </w:r>
    </w:p>
    <w:p w14:paraId="1E7FEB31" w14:textId="1FA2D5BD" w:rsidR="00D53493" w:rsidRPr="00662F46" w:rsidRDefault="00D53493" w:rsidP="00662F46">
      <w:pPr>
        <w:pStyle w:val="b"/>
        <w:tabs>
          <w:tab w:val="clear" w:pos="1134"/>
        </w:tabs>
        <w:ind w:left="0" w:firstLine="0"/>
        <w:rPr>
          <w:rFonts w:ascii="Arial" w:eastAsia="Calibri" w:hAnsi="Arial" w:cs="Arial"/>
          <w:sz w:val="22"/>
          <w:szCs w:val="22"/>
        </w:rPr>
      </w:pPr>
      <w:r w:rsidRPr="00662F46">
        <w:rPr>
          <w:rFonts w:ascii="Arial" w:hAnsi="Arial" w:cs="Arial"/>
          <w:b/>
          <w:sz w:val="22"/>
          <w:szCs w:val="22"/>
        </w:rPr>
        <w:t>одобряет</w:t>
      </w:r>
      <w:r w:rsidRPr="00662F46">
        <w:rPr>
          <w:rFonts w:ascii="Arial" w:hAnsi="Arial" w:cs="Arial"/>
          <w:sz w:val="22"/>
          <w:szCs w:val="22"/>
        </w:rPr>
        <w:t xml:space="preserve"> изменения и улучшения, внесенные Секретариатом в проект среднесрочной стратегии МОК (ССС) на 2022-2029 гг., содержащийся в документе IOC/EC-53/5.</w:t>
      </w:r>
      <w:proofErr w:type="gramStart"/>
      <w:r w:rsidRPr="00662F46">
        <w:rPr>
          <w:rFonts w:ascii="Arial" w:hAnsi="Arial" w:cs="Arial"/>
          <w:sz w:val="22"/>
          <w:szCs w:val="22"/>
        </w:rPr>
        <w:t>1.Doc</w:t>
      </w:r>
      <w:proofErr w:type="gramEnd"/>
      <w:r w:rsidRPr="00662F46">
        <w:rPr>
          <w:rFonts w:ascii="Arial" w:hAnsi="Arial" w:cs="Arial"/>
          <w:sz w:val="22"/>
          <w:szCs w:val="22"/>
        </w:rPr>
        <w:t>(1), в соответствии с рекомендациями, сформулированными Ассамблеей МОК на ее 30</w:t>
      </w:r>
      <w:r w:rsidR="00045E72" w:rsidRPr="00662F46">
        <w:rPr>
          <w:rFonts w:ascii="Arial" w:hAnsi="Arial" w:cs="Arial"/>
          <w:sz w:val="22"/>
          <w:szCs w:val="22"/>
        </w:rPr>
        <w:noBreakHyphen/>
      </w:r>
      <w:r w:rsidRPr="00662F46">
        <w:rPr>
          <w:rFonts w:ascii="Arial" w:hAnsi="Arial" w:cs="Arial"/>
          <w:sz w:val="22"/>
          <w:szCs w:val="22"/>
        </w:rPr>
        <w:t>й</w:t>
      </w:r>
      <w:r w:rsidR="00045E72" w:rsidRPr="00662F46">
        <w:rPr>
          <w:rFonts w:ascii="Arial" w:hAnsi="Arial" w:cs="Arial"/>
          <w:sz w:val="22"/>
          <w:szCs w:val="22"/>
        </w:rPr>
        <w:t> </w:t>
      </w:r>
      <w:r w:rsidRPr="00662F46">
        <w:rPr>
          <w:rFonts w:ascii="Arial" w:hAnsi="Arial" w:cs="Arial"/>
          <w:sz w:val="22"/>
          <w:szCs w:val="22"/>
        </w:rPr>
        <w:t>сессии в резолюции XXX-3;</w:t>
      </w:r>
    </w:p>
    <w:p w14:paraId="2C6E78AA" w14:textId="25C2FFFD" w:rsidR="00D53493" w:rsidRPr="00662F46" w:rsidRDefault="00D53493" w:rsidP="00662F46">
      <w:pPr>
        <w:pStyle w:val="b"/>
        <w:tabs>
          <w:tab w:val="clear" w:pos="1134"/>
        </w:tabs>
        <w:ind w:left="0" w:firstLine="0"/>
        <w:rPr>
          <w:rFonts w:ascii="Arial" w:eastAsia="Calibri" w:hAnsi="Arial" w:cs="Arial"/>
          <w:sz w:val="22"/>
          <w:szCs w:val="22"/>
        </w:rPr>
      </w:pPr>
      <w:r w:rsidRPr="00662F46">
        <w:rPr>
          <w:rFonts w:ascii="Arial" w:hAnsi="Arial" w:cs="Arial"/>
          <w:b/>
          <w:sz w:val="22"/>
          <w:szCs w:val="22"/>
        </w:rPr>
        <w:t>выражает удовлетворение</w:t>
      </w:r>
      <w:r w:rsidRPr="00662F46">
        <w:rPr>
          <w:rFonts w:ascii="Arial" w:hAnsi="Arial" w:cs="Arial"/>
          <w:sz w:val="22"/>
          <w:szCs w:val="22"/>
        </w:rPr>
        <w:t xml:space="preserve"> тем, что при подготовке указанного документа были использованы идеи и предложения, представленные </w:t>
      </w:r>
      <w:proofErr w:type="gramStart"/>
      <w:r w:rsidRPr="00662F46">
        <w:rPr>
          <w:rFonts w:ascii="Arial" w:hAnsi="Arial" w:cs="Arial"/>
          <w:sz w:val="22"/>
          <w:szCs w:val="22"/>
        </w:rPr>
        <w:t>должностными лицами</w:t>
      </w:r>
      <w:proofErr w:type="gramEnd"/>
      <w:r w:rsidRPr="00662F46">
        <w:rPr>
          <w:rFonts w:ascii="Arial" w:hAnsi="Arial" w:cs="Arial"/>
          <w:sz w:val="22"/>
          <w:szCs w:val="22"/>
        </w:rPr>
        <w:t xml:space="preserve"> МОК на их ежегодном совещании 13-14 января 2020 г., а также результаты межсессионных консультаций в рамках Межсессионной финансовой консультативной группы (МФКГ);</w:t>
      </w:r>
    </w:p>
    <w:p w14:paraId="2517DEA3" w14:textId="77777777" w:rsidR="00D53493" w:rsidRPr="00662F46" w:rsidRDefault="00D53493" w:rsidP="00662F46">
      <w:pPr>
        <w:pStyle w:val="b"/>
        <w:tabs>
          <w:tab w:val="clear" w:pos="1134"/>
        </w:tabs>
        <w:ind w:left="0" w:firstLine="0"/>
        <w:rPr>
          <w:rFonts w:ascii="Arial" w:eastAsia="Calibri" w:hAnsi="Arial" w:cs="Arial"/>
          <w:sz w:val="22"/>
          <w:szCs w:val="22"/>
        </w:rPr>
      </w:pPr>
      <w:r w:rsidRPr="00662F46">
        <w:rPr>
          <w:rFonts w:ascii="Arial" w:hAnsi="Arial" w:cs="Arial"/>
          <w:b/>
          <w:sz w:val="22"/>
          <w:szCs w:val="22"/>
        </w:rPr>
        <w:t>призывает</w:t>
      </w:r>
      <w:r w:rsidRPr="00662F46">
        <w:rPr>
          <w:rFonts w:ascii="Arial" w:hAnsi="Arial" w:cs="Arial"/>
          <w:sz w:val="22"/>
          <w:szCs w:val="22"/>
        </w:rPr>
        <w:t xml:space="preserve"> к рассмотрению и принятию окончательной версии среднесрочной стратегии на 2022–2029 гг. на 31-й сессии Ассамблеи МОК в 2021 г.;</w:t>
      </w:r>
    </w:p>
    <w:p w14:paraId="5D1DEDEB" w14:textId="4E572484" w:rsidR="00D53493" w:rsidRPr="00662F46" w:rsidRDefault="00D53493" w:rsidP="00662F46">
      <w:pPr>
        <w:pStyle w:val="ListParagraph"/>
        <w:spacing w:after="240"/>
        <w:ind w:left="0"/>
        <w:contextualSpacing w:val="0"/>
        <w:jc w:val="both"/>
        <w:rPr>
          <w:rFonts w:ascii="Arial" w:eastAsia="Calibri" w:hAnsi="Arial" w:cs="Arial"/>
          <w:sz w:val="22"/>
          <w:szCs w:val="22"/>
        </w:rPr>
      </w:pPr>
      <w:r w:rsidRPr="00662F46">
        <w:rPr>
          <w:rFonts w:ascii="Arial" w:hAnsi="Arial" w:cs="Arial"/>
          <w:b/>
          <w:sz w:val="22"/>
          <w:szCs w:val="22"/>
        </w:rPr>
        <w:t>рекомендует</w:t>
      </w:r>
      <w:r w:rsidRPr="00662F46">
        <w:rPr>
          <w:rFonts w:ascii="Arial" w:hAnsi="Arial" w:cs="Arial"/>
          <w:sz w:val="22"/>
          <w:szCs w:val="22"/>
        </w:rPr>
        <w:t xml:space="preserve"> учесть следующие комментарии при разработке пересмотренного варианта проекта среднесрочной стратегии на 2022</w:t>
      </w:r>
      <w:r w:rsidR="00A153B5" w:rsidRPr="00662F46">
        <w:rPr>
          <w:rFonts w:ascii="Arial" w:hAnsi="Arial" w:cs="Arial"/>
          <w:sz w:val="22"/>
          <w:szCs w:val="22"/>
        </w:rPr>
        <w:t>-</w:t>
      </w:r>
      <w:r w:rsidRPr="00662F46">
        <w:rPr>
          <w:rFonts w:ascii="Arial" w:hAnsi="Arial" w:cs="Arial"/>
          <w:sz w:val="22"/>
          <w:szCs w:val="22"/>
        </w:rPr>
        <w:t>2029 гг., который будет вынесен на повторное рассмотрение МФКГ в межсессионный период, предшествующий 31-й сессии Ассамблеи МОК:</w:t>
      </w:r>
    </w:p>
    <w:p w14:paraId="0615305C" w14:textId="760957A9" w:rsidR="001903A0" w:rsidRPr="00662F46" w:rsidRDefault="00FB3BEB" w:rsidP="00662F46">
      <w:pPr>
        <w:numPr>
          <w:ilvl w:val="1"/>
          <w:numId w:val="7"/>
        </w:numPr>
        <w:tabs>
          <w:tab w:val="clear" w:pos="567"/>
        </w:tabs>
        <w:spacing w:after="240"/>
        <w:ind w:left="1134" w:hanging="567"/>
        <w:jc w:val="both"/>
        <w:rPr>
          <w:rFonts w:ascii="Arial" w:eastAsia="Calibri" w:hAnsi="Arial" w:cs="Arial"/>
          <w:sz w:val="22"/>
          <w:szCs w:val="22"/>
        </w:rPr>
      </w:pPr>
      <w:r w:rsidRPr="00662F46">
        <w:rPr>
          <w:rFonts w:ascii="Arial" w:hAnsi="Arial" w:cs="Arial"/>
          <w:sz w:val="22"/>
          <w:szCs w:val="22"/>
        </w:rPr>
        <w:t>Пересмотреть таблицу «Функциональные области и примеры деятельности МОК, связанной с оказанием поддержки» на стр. 9, в частности, для включения в нее проектов Системы глобальных наблюдений за океаном (ГСНО) в регионе МОКАРИБ и деятельности, касающейся обеспечения готовности к цунами;</w:t>
      </w:r>
    </w:p>
    <w:p w14:paraId="2182F217" w14:textId="24A8CF9D" w:rsidR="00FB3BEB" w:rsidRPr="00662F46" w:rsidRDefault="0080412A" w:rsidP="00662F46">
      <w:pPr>
        <w:pStyle w:val="ListParagraph"/>
        <w:tabs>
          <w:tab w:val="clear" w:pos="567"/>
        </w:tabs>
        <w:spacing w:after="240"/>
        <w:ind w:left="1134" w:hanging="567"/>
        <w:contextualSpacing w:val="0"/>
        <w:jc w:val="both"/>
        <w:rPr>
          <w:rFonts w:ascii="Arial" w:eastAsia="Calibri" w:hAnsi="Arial" w:cs="Arial"/>
          <w:sz w:val="22"/>
          <w:szCs w:val="22"/>
        </w:rPr>
      </w:pPr>
      <w:r w:rsidRPr="00662F46">
        <w:rPr>
          <w:rFonts w:ascii="Arial" w:hAnsi="Arial" w:cs="Arial"/>
          <w:sz w:val="22"/>
          <w:szCs w:val="22"/>
        </w:rPr>
        <w:t>(ii)</w:t>
      </w:r>
      <w:r w:rsidRPr="00662F46">
        <w:rPr>
          <w:rFonts w:ascii="Arial" w:hAnsi="Arial" w:cs="Arial"/>
          <w:sz w:val="22"/>
          <w:szCs w:val="22"/>
        </w:rPr>
        <w:tab/>
        <w:t>Отразить в пункте 13 важность деятельности по обеспечению готовности к цунами для малых островных развивающихся государств (МОСРГ);</w:t>
      </w:r>
    </w:p>
    <w:p w14:paraId="6534F0B3" w14:textId="77777777" w:rsidR="007F0FF4" w:rsidRPr="00662F46" w:rsidRDefault="00FB3BEB" w:rsidP="00662F46">
      <w:pPr>
        <w:pStyle w:val="ListParagraph"/>
        <w:numPr>
          <w:ilvl w:val="1"/>
          <w:numId w:val="10"/>
        </w:numPr>
        <w:tabs>
          <w:tab w:val="clear" w:pos="567"/>
        </w:tabs>
        <w:spacing w:after="240"/>
        <w:ind w:left="1134" w:hanging="56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662F46">
        <w:rPr>
          <w:rFonts w:ascii="Arial" w:hAnsi="Arial" w:cs="Arial"/>
          <w:color w:val="000000"/>
          <w:sz w:val="22"/>
          <w:szCs w:val="22"/>
        </w:rPr>
        <w:t xml:space="preserve">Отразить необходимость оказания государствам-членам содействия в оценке значимости связанных с океаном научных исследований, экосистем, благ и услуг, в подготовке национальных докладов о состоянии морского хозяйства и в оценке связанных с океаном и климатом рисков, с целью демонстрации важности финансовой поддержки </w:t>
      </w:r>
      <w:proofErr w:type="spellStart"/>
      <w:r w:rsidRPr="00662F46">
        <w:rPr>
          <w:rFonts w:ascii="Arial" w:hAnsi="Arial" w:cs="Arial"/>
          <w:color w:val="000000"/>
          <w:sz w:val="22"/>
          <w:szCs w:val="22"/>
        </w:rPr>
        <w:t>природоориентированных</w:t>
      </w:r>
      <w:proofErr w:type="spellEnd"/>
      <w:r w:rsidRPr="00662F46">
        <w:rPr>
          <w:rFonts w:ascii="Arial" w:hAnsi="Arial" w:cs="Arial"/>
          <w:color w:val="000000"/>
          <w:sz w:val="22"/>
          <w:szCs w:val="22"/>
        </w:rPr>
        <w:t xml:space="preserve"> решений в сфере адаптации к изменению климата, а также для всестороннего учета связанных с океаном аспектов в планах по обеспечению устойчивого экономического развития.</w:t>
      </w:r>
    </w:p>
    <w:p w14:paraId="75465764" w14:textId="16D94557" w:rsidR="00F35026" w:rsidRPr="00662F46" w:rsidRDefault="00F35026" w:rsidP="00662F46">
      <w:pPr>
        <w:pStyle w:val="ListParagraph"/>
        <w:numPr>
          <w:ilvl w:val="1"/>
          <w:numId w:val="10"/>
        </w:numPr>
        <w:tabs>
          <w:tab w:val="clear" w:pos="567"/>
        </w:tabs>
        <w:snapToGrid/>
        <w:spacing w:after="240"/>
        <w:ind w:left="1134" w:hanging="567"/>
        <w:contextualSpacing w:val="0"/>
        <w:jc w:val="both"/>
        <w:rPr>
          <w:rFonts w:ascii="Arial" w:hAnsi="Arial" w:cs="Arial"/>
          <w:iCs/>
          <w:sz w:val="22"/>
          <w:szCs w:val="22"/>
        </w:rPr>
      </w:pPr>
      <w:r w:rsidRPr="00662F46">
        <w:rPr>
          <w:rFonts w:ascii="Arial" w:hAnsi="Arial" w:cs="Arial"/>
          <w:sz w:val="22"/>
          <w:szCs w:val="22"/>
        </w:rPr>
        <w:t xml:space="preserve">Используя свои программы, сети и технические возможности в области развития потенциала (Система океанографических данных и </w:t>
      </w:r>
      <w:proofErr w:type="gramStart"/>
      <w:r w:rsidRPr="00662F46">
        <w:rPr>
          <w:rFonts w:ascii="Arial" w:hAnsi="Arial" w:cs="Arial"/>
          <w:sz w:val="22"/>
          <w:szCs w:val="22"/>
        </w:rPr>
        <w:t>информации</w:t>
      </w:r>
      <w:proofErr w:type="gramEnd"/>
      <w:r w:rsidRPr="00662F46">
        <w:rPr>
          <w:rFonts w:ascii="Arial" w:hAnsi="Arial" w:cs="Arial"/>
          <w:sz w:val="22"/>
          <w:szCs w:val="22"/>
        </w:rPr>
        <w:t xml:space="preserve"> и вспомогательные мероприятия), МОК обеспечит более эффективное распространение информации о существующих потребностях и инициативах в области развития потенциала, в том числе о возможностях, открывающихся по линии двустороннего взаимодействия и многосторонних механизмов, а также о возможностях, предоставляемых межправительственными организациями.</w:t>
      </w:r>
      <w:r w:rsidRPr="00662F46">
        <w:rPr>
          <w:rFonts w:ascii="Arial" w:hAnsi="Arial" w:cs="Arial"/>
          <w:iCs/>
          <w:sz w:val="22"/>
          <w:szCs w:val="22"/>
        </w:rPr>
        <w:t xml:space="preserve"> Такая информационная поддержка будет дополнять усилия МОК, направленные на содействие разработке в рамках Конвенции Организации Объединенных Наций по морскому праву международного юридически обязательного документа в целях сохранения и устойчивого использовани</w:t>
      </w:r>
      <w:r w:rsidR="00A00760" w:rsidRPr="00662F46">
        <w:rPr>
          <w:rFonts w:ascii="Arial" w:hAnsi="Arial" w:cs="Arial"/>
          <w:iCs/>
          <w:sz w:val="22"/>
          <w:szCs w:val="22"/>
        </w:rPr>
        <w:t>я</w:t>
      </w:r>
      <w:r w:rsidRPr="00662F46">
        <w:rPr>
          <w:rFonts w:ascii="Arial" w:hAnsi="Arial" w:cs="Arial"/>
          <w:iCs/>
          <w:sz w:val="22"/>
          <w:szCs w:val="22"/>
        </w:rPr>
        <w:t xml:space="preserve"> морского биоразнообразия в районах за пределами национальной юрисдикции, и сможет </w:t>
      </w:r>
      <w:r w:rsidRPr="00662F46">
        <w:rPr>
          <w:rFonts w:ascii="Arial" w:hAnsi="Arial" w:cs="Arial"/>
          <w:iCs/>
          <w:sz w:val="22"/>
          <w:szCs w:val="22"/>
        </w:rPr>
        <w:lastRenderedPageBreak/>
        <w:t>быть обеспечена путем постановки амбициозных целей в области взаимодействия в рамках среднесрочной стратегии.</w:t>
      </w:r>
    </w:p>
    <w:p w14:paraId="536836D6" w14:textId="07B458AD" w:rsidR="00D53493" w:rsidRPr="00662F46" w:rsidRDefault="00D53493" w:rsidP="00662F46">
      <w:pPr>
        <w:pStyle w:val="b"/>
        <w:tabs>
          <w:tab w:val="clear" w:pos="1134"/>
        </w:tabs>
        <w:ind w:left="0" w:firstLine="0"/>
        <w:rPr>
          <w:rFonts w:ascii="Arial" w:eastAsia="Calibri" w:hAnsi="Arial" w:cs="Arial"/>
          <w:sz w:val="22"/>
          <w:szCs w:val="22"/>
        </w:rPr>
      </w:pPr>
      <w:r w:rsidRPr="00662F46">
        <w:rPr>
          <w:rFonts w:ascii="Arial" w:hAnsi="Arial" w:cs="Arial"/>
          <w:b/>
          <w:sz w:val="22"/>
          <w:szCs w:val="22"/>
        </w:rPr>
        <w:t>просит</w:t>
      </w:r>
      <w:r w:rsidRPr="00662F46">
        <w:rPr>
          <w:rFonts w:ascii="Arial" w:hAnsi="Arial" w:cs="Arial"/>
          <w:sz w:val="22"/>
          <w:szCs w:val="22"/>
        </w:rPr>
        <w:t xml:space="preserve"> Исполнительного секретаря МОК подготовить новый пересмотренный вариант проекта среднесрочной стратегии на 2022–2029 гг., принимая во внимание мнения и замечания, сформулированные государствами-членами в ходе текущей сессии, для его повторного обсуждения МФКГ в межсессионный период, а также должностными лицами МОК на их ежегодном совещании в 2021 г. до представления проекта на рассмотрение и утверждение 31-й сессией Ассамблеи МОК в 2021 г.;</w:t>
      </w:r>
    </w:p>
    <w:p w14:paraId="600C7F77" w14:textId="27A32259" w:rsidR="00D53493" w:rsidRPr="00662F46" w:rsidRDefault="004D6C13" w:rsidP="00662F46">
      <w:pPr>
        <w:pStyle w:val="ListParagraph"/>
        <w:numPr>
          <w:ilvl w:val="2"/>
          <w:numId w:val="4"/>
        </w:numPr>
        <w:spacing w:after="240"/>
        <w:ind w:left="0" w:firstLine="0"/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662F46">
        <w:rPr>
          <w:rFonts w:ascii="Arial" w:hAnsi="Arial" w:cs="Arial"/>
          <w:b/>
          <w:bCs/>
          <w:sz w:val="22"/>
          <w:szCs w:val="22"/>
        </w:rPr>
        <w:t>Проект программы и бюджета на 2022-2025 гг.</w:t>
      </w:r>
    </w:p>
    <w:p w14:paraId="5A82DC42" w14:textId="7EAA3361" w:rsidR="00D53493" w:rsidRPr="00662F46" w:rsidRDefault="00D53493" w:rsidP="00662F46">
      <w:pPr>
        <w:pStyle w:val="b"/>
        <w:tabs>
          <w:tab w:val="clear" w:pos="1134"/>
        </w:tabs>
        <w:ind w:left="0" w:firstLine="0"/>
        <w:rPr>
          <w:rFonts w:ascii="Arial" w:eastAsia="Calibri" w:hAnsi="Arial" w:cs="Arial"/>
          <w:sz w:val="22"/>
          <w:szCs w:val="22"/>
        </w:rPr>
      </w:pPr>
      <w:r w:rsidRPr="00662F46">
        <w:rPr>
          <w:rFonts w:ascii="Arial" w:hAnsi="Arial" w:cs="Arial"/>
          <w:b/>
          <w:sz w:val="22"/>
          <w:szCs w:val="22"/>
        </w:rPr>
        <w:t>выражает признательность</w:t>
      </w:r>
      <w:r w:rsidRPr="00662F46">
        <w:rPr>
          <w:rFonts w:ascii="Arial" w:hAnsi="Arial" w:cs="Arial"/>
          <w:sz w:val="22"/>
          <w:szCs w:val="22"/>
        </w:rPr>
        <w:t xml:space="preserve"> Секретариату МОК за полезный и актуальный анализ итогов выполнения программы МОК, представленный в Докладе о стратегических результатах и содержащийся в Части I документа </w:t>
      </w:r>
      <w:hyperlink r:id="rId11" w:history="1">
        <w:r w:rsidRPr="00662F46">
          <w:rPr>
            <w:rStyle w:val="Hyperlink"/>
            <w:rFonts w:cs="Arial"/>
            <w:szCs w:val="22"/>
          </w:rPr>
          <w:t>IOC/EC-53/5.1.Doc(2)</w:t>
        </w:r>
      </w:hyperlink>
      <w:r w:rsidRPr="00662F46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662F46">
        <w:rPr>
          <w:rFonts w:ascii="Arial" w:hAnsi="Arial" w:cs="Arial"/>
          <w:sz w:val="22"/>
          <w:szCs w:val="22"/>
        </w:rPr>
        <w:t>Corr</w:t>
      </w:r>
      <w:proofErr w:type="spellEnd"/>
      <w:r w:rsidRPr="00662F46">
        <w:rPr>
          <w:rFonts w:ascii="Arial" w:hAnsi="Arial" w:cs="Arial"/>
          <w:sz w:val="22"/>
          <w:szCs w:val="22"/>
        </w:rPr>
        <w:t xml:space="preserve">., что позволило государствам-членам критически проанализировать и повторно оценить программные цели </w:t>
      </w:r>
      <w:r w:rsidR="005A4EEC" w:rsidRPr="00662F46">
        <w:rPr>
          <w:rFonts w:ascii="Arial" w:hAnsi="Arial" w:cs="Arial"/>
          <w:sz w:val="22"/>
          <w:szCs w:val="22"/>
        </w:rPr>
        <w:t>МОК</w:t>
      </w:r>
      <w:r w:rsidRPr="00662F46">
        <w:rPr>
          <w:rFonts w:ascii="Arial" w:hAnsi="Arial" w:cs="Arial"/>
          <w:sz w:val="22"/>
          <w:szCs w:val="22"/>
        </w:rPr>
        <w:t>, в том числе на предмет возможной переориентации, укрепления или завершения программ;</w:t>
      </w:r>
    </w:p>
    <w:p w14:paraId="6948BC9F" w14:textId="2CBA9567" w:rsidR="00D53493" w:rsidRPr="00662F46" w:rsidRDefault="00D53493" w:rsidP="00662F46">
      <w:pPr>
        <w:pStyle w:val="b"/>
        <w:tabs>
          <w:tab w:val="clear" w:pos="1134"/>
        </w:tabs>
        <w:ind w:left="0" w:firstLine="0"/>
        <w:rPr>
          <w:rFonts w:ascii="Arial" w:eastAsia="Calibri" w:hAnsi="Arial" w:cs="Arial"/>
          <w:sz w:val="22"/>
          <w:szCs w:val="22"/>
        </w:rPr>
      </w:pPr>
      <w:r w:rsidRPr="00662F46">
        <w:rPr>
          <w:rFonts w:ascii="Arial" w:hAnsi="Arial" w:cs="Arial"/>
          <w:b/>
          <w:sz w:val="22"/>
          <w:szCs w:val="22"/>
        </w:rPr>
        <w:t>одобряет</w:t>
      </w:r>
      <w:r w:rsidRPr="00662F46">
        <w:rPr>
          <w:rFonts w:ascii="Arial" w:hAnsi="Arial" w:cs="Arial"/>
          <w:sz w:val="22"/>
          <w:szCs w:val="22"/>
        </w:rPr>
        <w:t xml:space="preserve"> подход МОК к подготовке проекта программы и бюджета на 2022-2025 гг. (проект документа 41 С/5), предложенный в документе </w:t>
      </w:r>
      <w:hyperlink r:id="rId12" w:history="1">
        <w:r w:rsidRPr="00662F46">
          <w:rPr>
            <w:rStyle w:val="Hyperlink"/>
            <w:rFonts w:cs="Arial"/>
            <w:szCs w:val="22"/>
          </w:rPr>
          <w:t>IOC/EC-53/5.1.Doc(2)</w:t>
        </w:r>
      </w:hyperlink>
      <w:r w:rsidRPr="00662F46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662F46">
        <w:rPr>
          <w:rFonts w:ascii="Arial" w:hAnsi="Arial" w:cs="Arial"/>
          <w:sz w:val="22"/>
          <w:szCs w:val="22"/>
        </w:rPr>
        <w:t>Corr</w:t>
      </w:r>
      <w:proofErr w:type="spellEnd"/>
      <w:r w:rsidRPr="00662F46">
        <w:rPr>
          <w:rFonts w:ascii="Arial" w:hAnsi="Arial" w:cs="Arial"/>
          <w:sz w:val="22"/>
          <w:szCs w:val="22"/>
        </w:rPr>
        <w:t>. в соответствии с приоритетами, установленными в резолюции XXVIII-3 Ассамблеи МОК, и целями высокого уровня, сформулированными в проекте среднесрочной стратегии МОК на 2022-2029 гг.;</w:t>
      </w:r>
    </w:p>
    <w:p w14:paraId="78F3F5E7" w14:textId="77777777" w:rsidR="007F0FF4" w:rsidRPr="00662F46" w:rsidRDefault="000743BB" w:rsidP="00662F46">
      <w:pPr>
        <w:pStyle w:val="b"/>
        <w:tabs>
          <w:tab w:val="clear" w:pos="1134"/>
        </w:tabs>
        <w:ind w:left="0" w:firstLine="0"/>
        <w:rPr>
          <w:rFonts w:ascii="Arial" w:hAnsi="Arial" w:cs="Arial"/>
          <w:sz w:val="22"/>
          <w:szCs w:val="22"/>
        </w:rPr>
      </w:pPr>
      <w:r w:rsidRPr="00662F46">
        <w:rPr>
          <w:rFonts w:ascii="Arial" w:hAnsi="Arial" w:cs="Arial"/>
          <w:b/>
          <w:sz w:val="22"/>
          <w:szCs w:val="22"/>
        </w:rPr>
        <w:t>рекомендует</w:t>
      </w:r>
      <w:r w:rsidRPr="00662F46">
        <w:rPr>
          <w:rFonts w:ascii="Arial" w:hAnsi="Arial" w:cs="Arial"/>
          <w:sz w:val="22"/>
          <w:szCs w:val="22"/>
        </w:rPr>
        <w:t xml:space="preserve"> Секретариату МОК придерживаться руководящих принципов подготовки программы и бюджета при формулировании развернутого предложения по проекту документа 41 С/5, которые представлены в приложении 1 к настоящей резолюции;</w:t>
      </w:r>
    </w:p>
    <w:p w14:paraId="69610F79" w14:textId="77777777" w:rsidR="007F0FF4" w:rsidRPr="00662F46" w:rsidRDefault="00D53493" w:rsidP="00662F46">
      <w:pPr>
        <w:pStyle w:val="b"/>
        <w:tabs>
          <w:tab w:val="clear" w:pos="1134"/>
        </w:tabs>
        <w:ind w:left="0" w:firstLine="0"/>
        <w:rPr>
          <w:rFonts w:ascii="Arial" w:eastAsia="Calibri" w:hAnsi="Arial" w:cs="Arial"/>
          <w:sz w:val="22"/>
          <w:szCs w:val="22"/>
        </w:rPr>
      </w:pPr>
      <w:r w:rsidRPr="00662F46">
        <w:rPr>
          <w:rFonts w:ascii="Arial" w:hAnsi="Arial" w:cs="Arial"/>
          <w:b/>
          <w:sz w:val="22"/>
          <w:szCs w:val="22"/>
        </w:rPr>
        <w:t>утверждает</w:t>
      </w:r>
      <w:r w:rsidRPr="00662F46">
        <w:rPr>
          <w:rFonts w:ascii="Arial" w:hAnsi="Arial" w:cs="Arial"/>
          <w:sz w:val="22"/>
          <w:szCs w:val="22"/>
        </w:rPr>
        <w:t xml:space="preserve"> следующую формулировку показателя эффективности деятельности МОК в 2022-2025 гг.:</w:t>
      </w:r>
    </w:p>
    <w:p w14:paraId="2AB8F770" w14:textId="77777777" w:rsidR="007F0FF4" w:rsidRPr="00662F46" w:rsidRDefault="00C063AC" w:rsidP="00662F46">
      <w:pPr>
        <w:pStyle w:val="ListParagraph"/>
        <w:spacing w:after="240"/>
        <w:ind w:left="1134"/>
        <w:contextualSpacing w:val="0"/>
        <w:jc w:val="both"/>
        <w:rPr>
          <w:rFonts w:ascii="Arial" w:hAnsi="Arial" w:cs="Arial"/>
          <w:sz w:val="22"/>
          <w:szCs w:val="22"/>
        </w:rPr>
      </w:pPr>
      <w:r w:rsidRPr="00662F46">
        <w:rPr>
          <w:rFonts w:ascii="Arial" w:hAnsi="Arial" w:cs="Arial"/>
          <w:sz w:val="22"/>
          <w:szCs w:val="22"/>
          <w:shd w:val="clear" w:color="auto" w:fill="FFFFFF"/>
        </w:rPr>
        <w:t>«Оказание государствам-членам критически значимой поддержки в деле укрепления их потенциала в области морских научных исследований, генерирования знаний, а также разработки и применения научно обоснованных инструментов, процедур и подходов, которые позволили бы переломить тенденции, касающиеся ухудшения состояния океана, и ускорили бы переход к сбалансированному управлению связанными с океаном рисками и возможностями»;</w:t>
      </w:r>
    </w:p>
    <w:p w14:paraId="0C3A0188" w14:textId="4B9B953C" w:rsidR="00D53493" w:rsidRPr="00662F46" w:rsidRDefault="00D53493" w:rsidP="00662F46">
      <w:pPr>
        <w:pStyle w:val="b"/>
        <w:tabs>
          <w:tab w:val="clear" w:pos="1134"/>
        </w:tabs>
        <w:ind w:left="0" w:firstLine="0"/>
        <w:rPr>
          <w:rFonts w:ascii="Arial" w:eastAsia="Calibri" w:hAnsi="Arial" w:cs="Arial"/>
          <w:sz w:val="22"/>
          <w:szCs w:val="22"/>
        </w:rPr>
      </w:pPr>
      <w:r w:rsidRPr="00662F46">
        <w:rPr>
          <w:rFonts w:ascii="Arial" w:hAnsi="Arial" w:cs="Arial"/>
          <w:b/>
          <w:sz w:val="22"/>
          <w:szCs w:val="22"/>
        </w:rPr>
        <w:t>подчеркивает</w:t>
      </w:r>
      <w:r w:rsidRPr="00662F46">
        <w:rPr>
          <w:rFonts w:ascii="Arial" w:hAnsi="Arial" w:cs="Arial"/>
          <w:sz w:val="22"/>
          <w:szCs w:val="22"/>
        </w:rPr>
        <w:t xml:space="preserve"> важность наличия у МОК соответствующей стратегии и необходимых ресурсов как в рамках бюджета обычной программы, так и в виде добровольных взносов, для выполнения отведенной ей роли в проведении Десятилетия ООН, посвященного науке об океане в интересах устойчивого развития (2021-2030 гг.), именуемого далее «Десятилетие»;</w:t>
      </w:r>
    </w:p>
    <w:p w14:paraId="28597794" w14:textId="77777777" w:rsidR="00D53493" w:rsidRPr="00662F46" w:rsidRDefault="00D53493" w:rsidP="00662F46">
      <w:pPr>
        <w:pStyle w:val="b"/>
        <w:tabs>
          <w:tab w:val="clear" w:pos="1134"/>
        </w:tabs>
        <w:ind w:left="0" w:firstLine="0"/>
        <w:rPr>
          <w:rFonts w:ascii="Arial" w:eastAsia="Calibri" w:hAnsi="Arial" w:cs="Arial"/>
          <w:sz w:val="22"/>
          <w:szCs w:val="22"/>
        </w:rPr>
      </w:pPr>
      <w:r w:rsidRPr="00662F46">
        <w:rPr>
          <w:rFonts w:ascii="Arial" w:hAnsi="Arial" w:cs="Arial"/>
          <w:b/>
          <w:sz w:val="22"/>
          <w:szCs w:val="22"/>
        </w:rPr>
        <w:t>просит</w:t>
      </w:r>
      <w:r w:rsidRPr="00662F46">
        <w:rPr>
          <w:rFonts w:ascii="Arial" w:hAnsi="Arial" w:cs="Arial"/>
          <w:sz w:val="22"/>
          <w:szCs w:val="22"/>
        </w:rPr>
        <w:t xml:space="preserve"> Исполнительного секретаря МОК:</w:t>
      </w:r>
    </w:p>
    <w:p w14:paraId="0B4D32F3" w14:textId="5D642129" w:rsidR="00D53493" w:rsidRPr="00662F46" w:rsidRDefault="00D53493" w:rsidP="00662F46">
      <w:pPr>
        <w:pStyle w:val="b"/>
        <w:numPr>
          <w:ilvl w:val="0"/>
          <w:numId w:val="8"/>
        </w:numPr>
        <w:tabs>
          <w:tab w:val="clear" w:pos="-737"/>
          <w:tab w:val="clear" w:pos="1134"/>
        </w:tabs>
        <w:ind w:left="1134" w:hanging="567"/>
        <w:rPr>
          <w:rFonts w:ascii="Arial" w:eastAsia="Calibri" w:hAnsi="Arial" w:cs="Arial"/>
          <w:sz w:val="22"/>
          <w:szCs w:val="22"/>
        </w:rPr>
      </w:pPr>
      <w:r w:rsidRPr="00662F46">
        <w:rPr>
          <w:rFonts w:ascii="Arial" w:hAnsi="Arial" w:cs="Arial"/>
          <w:sz w:val="22"/>
          <w:szCs w:val="22"/>
        </w:rPr>
        <w:t xml:space="preserve">на основании обсуждений и решений, принятых </w:t>
      </w:r>
      <w:proofErr w:type="gramStart"/>
      <w:r w:rsidRPr="00662F46">
        <w:rPr>
          <w:rFonts w:ascii="Arial" w:hAnsi="Arial" w:cs="Arial"/>
          <w:sz w:val="22"/>
          <w:szCs w:val="22"/>
        </w:rPr>
        <w:t>Исполнительным советом</w:t>
      </w:r>
      <w:proofErr w:type="gramEnd"/>
      <w:r w:rsidRPr="00662F46">
        <w:rPr>
          <w:rFonts w:ascii="Arial" w:hAnsi="Arial" w:cs="Arial"/>
          <w:sz w:val="22"/>
          <w:szCs w:val="22"/>
        </w:rPr>
        <w:t xml:space="preserve"> МОК на этой сессии, и в тесном сотрудничестве с должностными лицами МОК подготовить полностью проработанный проект программы и бюджета на 2022-2025 гг. (проект документа 41 C/5), включая исчерпывающую стратегию осуществления с использованием концептуальной структуры функциональных областей, показателей результатов деятельности и целевых показателей, для его представления на 31</w:t>
      </w:r>
      <w:r w:rsidR="003A62D4" w:rsidRPr="00662F46">
        <w:rPr>
          <w:rFonts w:ascii="Arial" w:hAnsi="Arial" w:cs="Arial"/>
          <w:sz w:val="22"/>
          <w:szCs w:val="22"/>
        </w:rPr>
        <w:noBreakHyphen/>
      </w:r>
      <w:r w:rsidRPr="00662F46">
        <w:rPr>
          <w:rFonts w:ascii="Arial" w:hAnsi="Arial" w:cs="Arial"/>
          <w:sz w:val="22"/>
          <w:szCs w:val="22"/>
        </w:rPr>
        <w:t>й</w:t>
      </w:r>
      <w:r w:rsidR="003A62D4" w:rsidRPr="00662F46">
        <w:rPr>
          <w:rFonts w:ascii="Arial" w:hAnsi="Arial" w:cs="Arial"/>
          <w:sz w:val="22"/>
          <w:szCs w:val="22"/>
        </w:rPr>
        <w:t> </w:t>
      </w:r>
      <w:r w:rsidRPr="00662F46">
        <w:rPr>
          <w:rFonts w:ascii="Arial" w:hAnsi="Arial" w:cs="Arial"/>
          <w:sz w:val="22"/>
          <w:szCs w:val="22"/>
        </w:rPr>
        <w:t>сессии Ассамблеи МОК;</w:t>
      </w:r>
    </w:p>
    <w:p w14:paraId="2BA84103" w14:textId="77777777" w:rsidR="00D53493" w:rsidRPr="00662F46" w:rsidRDefault="00D53493" w:rsidP="00662F46">
      <w:pPr>
        <w:pStyle w:val="b"/>
        <w:numPr>
          <w:ilvl w:val="0"/>
          <w:numId w:val="8"/>
        </w:numPr>
        <w:tabs>
          <w:tab w:val="clear" w:pos="-737"/>
          <w:tab w:val="clear" w:pos="1134"/>
        </w:tabs>
        <w:ind w:left="1134" w:hanging="567"/>
        <w:rPr>
          <w:rFonts w:ascii="Arial" w:eastAsia="Calibri" w:hAnsi="Arial" w:cs="Arial"/>
          <w:sz w:val="22"/>
          <w:szCs w:val="22"/>
        </w:rPr>
      </w:pPr>
      <w:r w:rsidRPr="00662F46">
        <w:rPr>
          <w:rFonts w:ascii="Arial" w:hAnsi="Arial" w:cs="Arial"/>
          <w:sz w:val="22"/>
          <w:szCs w:val="22"/>
        </w:rPr>
        <w:lastRenderedPageBreak/>
        <w:t>представить на 31-й сессии Ассамблеи МОК смету необходимого для обеспечения оптимального функционирования МОК бюджета, с тем чтобы помочь им определить возможности выделения дополнительных ресурсов и их объем;</w:t>
      </w:r>
    </w:p>
    <w:p w14:paraId="70D2D46C" w14:textId="77777777" w:rsidR="00D53493" w:rsidRPr="00662F46" w:rsidRDefault="00D53493" w:rsidP="00662F46">
      <w:pPr>
        <w:pStyle w:val="b"/>
        <w:numPr>
          <w:ilvl w:val="0"/>
          <w:numId w:val="8"/>
        </w:numPr>
        <w:tabs>
          <w:tab w:val="clear" w:pos="-737"/>
          <w:tab w:val="clear" w:pos="1134"/>
        </w:tabs>
        <w:ind w:left="1134" w:hanging="567"/>
        <w:rPr>
          <w:rFonts w:ascii="Arial" w:eastAsia="Calibri" w:hAnsi="Arial" w:cs="Arial"/>
          <w:sz w:val="22"/>
          <w:szCs w:val="22"/>
        </w:rPr>
      </w:pPr>
      <w:r w:rsidRPr="00662F46">
        <w:rPr>
          <w:rFonts w:ascii="Arial" w:hAnsi="Arial" w:cs="Arial"/>
          <w:sz w:val="22"/>
          <w:szCs w:val="22"/>
        </w:rPr>
        <w:t>информировать должностных лиц МОК и государства-члены о процессе утверждения ЮНЕСКО документа 41 C/5;</w:t>
      </w:r>
    </w:p>
    <w:p w14:paraId="632C263F" w14:textId="2EB5B16B" w:rsidR="00D53493" w:rsidRPr="00662F46" w:rsidRDefault="00D53493" w:rsidP="00662F46">
      <w:pPr>
        <w:pStyle w:val="ListParagraph"/>
        <w:numPr>
          <w:ilvl w:val="0"/>
          <w:numId w:val="8"/>
        </w:numPr>
        <w:tabs>
          <w:tab w:val="clear" w:pos="567"/>
        </w:tabs>
        <w:spacing w:after="240"/>
        <w:ind w:left="1134" w:hanging="567"/>
        <w:contextualSpacing w:val="0"/>
        <w:jc w:val="both"/>
        <w:rPr>
          <w:rFonts w:ascii="Arial" w:eastAsia="Calibri" w:hAnsi="Arial" w:cs="Arial"/>
          <w:sz w:val="22"/>
          <w:szCs w:val="22"/>
        </w:rPr>
      </w:pPr>
      <w:r w:rsidRPr="00662F46">
        <w:rPr>
          <w:rFonts w:ascii="Arial" w:hAnsi="Arial" w:cs="Arial"/>
          <w:sz w:val="22"/>
          <w:szCs w:val="22"/>
        </w:rPr>
        <w:t>оказывать поддержку работе МФКГ путем своевременного предоставления информации о процессе подготовки программы и бюджета ЮНЕСКО;</w:t>
      </w:r>
    </w:p>
    <w:p w14:paraId="2FC43832" w14:textId="77777777" w:rsidR="00D53493" w:rsidRPr="00662F46" w:rsidRDefault="00D53493" w:rsidP="00662F46">
      <w:pPr>
        <w:pStyle w:val="b"/>
        <w:tabs>
          <w:tab w:val="clear" w:pos="1134"/>
        </w:tabs>
        <w:ind w:left="0" w:firstLine="0"/>
        <w:rPr>
          <w:rFonts w:ascii="Arial" w:eastAsia="Calibri" w:hAnsi="Arial" w:cs="Arial"/>
          <w:sz w:val="22"/>
          <w:szCs w:val="22"/>
        </w:rPr>
      </w:pPr>
      <w:r w:rsidRPr="00662F46">
        <w:rPr>
          <w:rFonts w:ascii="Arial" w:hAnsi="Arial" w:cs="Arial"/>
          <w:b/>
          <w:sz w:val="22"/>
          <w:szCs w:val="22"/>
        </w:rPr>
        <w:t>предлагает</w:t>
      </w:r>
      <w:r w:rsidRPr="00662F46">
        <w:rPr>
          <w:rFonts w:ascii="Arial" w:hAnsi="Arial" w:cs="Arial"/>
          <w:sz w:val="22"/>
          <w:szCs w:val="22"/>
        </w:rPr>
        <w:t xml:space="preserve"> Генеральному директору ЮНЕСКО:</w:t>
      </w:r>
    </w:p>
    <w:p w14:paraId="3CD67D9B" w14:textId="17CC7DE6" w:rsidR="007F0FF4" w:rsidRPr="00662F46" w:rsidRDefault="00D53493" w:rsidP="00662F46">
      <w:pPr>
        <w:numPr>
          <w:ilvl w:val="1"/>
          <w:numId w:val="5"/>
        </w:numPr>
        <w:tabs>
          <w:tab w:val="clear" w:pos="567"/>
        </w:tabs>
        <w:spacing w:after="240"/>
        <w:ind w:left="1134" w:hanging="567"/>
        <w:jc w:val="both"/>
        <w:rPr>
          <w:rFonts w:ascii="Arial" w:eastAsia="Calibri" w:hAnsi="Arial" w:cs="Arial"/>
          <w:sz w:val="22"/>
          <w:szCs w:val="22"/>
        </w:rPr>
      </w:pPr>
      <w:r w:rsidRPr="00662F46">
        <w:rPr>
          <w:rFonts w:ascii="Arial" w:hAnsi="Arial" w:cs="Arial"/>
          <w:sz w:val="22"/>
          <w:szCs w:val="22"/>
        </w:rPr>
        <w:t>продолжить работу над привлечением ресурсов для МОК в рамках документа 41</w:t>
      </w:r>
      <w:r w:rsidR="00A153B5" w:rsidRPr="00662F46">
        <w:rPr>
          <w:rFonts w:ascii="Arial" w:hAnsi="Arial" w:cs="Arial"/>
          <w:sz w:val="22"/>
          <w:szCs w:val="22"/>
        </w:rPr>
        <w:t> </w:t>
      </w:r>
      <w:r w:rsidRPr="00662F46">
        <w:rPr>
          <w:rFonts w:ascii="Arial" w:hAnsi="Arial" w:cs="Arial"/>
          <w:sz w:val="22"/>
          <w:szCs w:val="22"/>
        </w:rPr>
        <w:t xml:space="preserve">C/5, с тем чтобы </w:t>
      </w:r>
      <w:r w:rsidR="005A4EEC" w:rsidRPr="00662F46">
        <w:rPr>
          <w:rFonts w:ascii="Arial" w:hAnsi="Arial" w:cs="Arial"/>
          <w:sz w:val="22"/>
          <w:szCs w:val="22"/>
        </w:rPr>
        <w:t>МОК</w:t>
      </w:r>
      <w:r w:rsidRPr="00662F46">
        <w:rPr>
          <w:rFonts w:ascii="Arial" w:hAnsi="Arial" w:cs="Arial"/>
          <w:sz w:val="22"/>
          <w:szCs w:val="22"/>
        </w:rPr>
        <w:t xml:space="preserve"> была способна решать стоящие перед ней задачи, количество которых постоянно растет, и расставлять текущие и вновь возникающие приоритеты, включая те из них, которые связаны с реализацией целей в области устойчивого развития и проведением Десятилетия;</w:t>
      </w:r>
    </w:p>
    <w:p w14:paraId="31336ADF" w14:textId="77777777" w:rsidR="007F0FF4" w:rsidRPr="00662F46" w:rsidRDefault="00D53493" w:rsidP="00662F46">
      <w:pPr>
        <w:numPr>
          <w:ilvl w:val="1"/>
          <w:numId w:val="5"/>
        </w:numPr>
        <w:tabs>
          <w:tab w:val="clear" w:pos="567"/>
        </w:tabs>
        <w:spacing w:after="240"/>
        <w:ind w:left="1134" w:hanging="567"/>
        <w:jc w:val="both"/>
        <w:rPr>
          <w:rFonts w:ascii="Arial" w:eastAsia="Calibri" w:hAnsi="Arial" w:cs="Arial"/>
          <w:sz w:val="22"/>
          <w:szCs w:val="22"/>
        </w:rPr>
      </w:pPr>
      <w:r w:rsidRPr="00662F46">
        <w:rPr>
          <w:rFonts w:ascii="Arial" w:hAnsi="Arial" w:cs="Arial"/>
          <w:sz w:val="22"/>
          <w:szCs w:val="22"/>
        </w:rPr>
        <w:t>не допустить сокращения бюджетных ассигнований МОК, утвержденных в документе 41 С/5, за счет перенаправления средств в другие части бюджета ЮНЕСКО;</w:t>
      </w:r>
    </w:p>
    <w:p w14:paraId="7AD49C64" w14:textId="0B9D6B8B" w:rsidR="00D53493" w:rsidRPr="00662F46" w:rsidRDefault="00D773C8" w:rsidP="00662F46">
      <w:pPr>
        <w:pStyle w:val="b"/>
        <w:tabs>
          <w:tab w:val="clear" w:pos="1134"/>
        </w:tabs>
        <w:ind w:left="0" w:firstLine="0"/>
        <w:rPr>
          <w:rFonts w:ascii="Arial" w:eastAsia="Calibri" w:hAnsi="Arial" w:cs="Arial"/>
          <w:sz w:val="22"/>
          <w:szCs w:val="22"/>
        </w:rPr>
      </w:pPr>
      <w:r w:rsidRPr="00662F46">
        <w:rPr>
          <w:rFonts w:ascii="Arial" w:hAnsi="Arial" w:cs="Arial"/>
          <w:b/>
          <w:sz w:val="22"/>
          <w:szCs w:val="22"/>
        </w:rPr>
        <w:t>рекомендует</w:t>
      </w:r>
      <w:r w:rsidRPr="00662F46">
        <w:rPr>
          <w:rFonts w:ascii="Arial" w:hAnsi="Arial" w:cs="Arial"/>
          <w:sz w:val="22"/>
          <w:szCs w:val="22"/>
        </w:rPr>
        <w:t xml:space="preserve"> государствам-членам:</w:t>
      </w:r>
    </w:p>
    <w:p w14:paraId="4980AB87" w14:textId="38E9178E" w:rsidR="00D53493" w:rsidRPr="00662F46" w:rsidRDefault="00D53493" w:rsidP="00662F46">
      <w:pPr>
        <w:numPr>
          <w:ilvl w:val="1"/>
          <w:numId w:val="6"/>
        </w:numPr>
        <w:tabs>
          <w:tab w:val="clear" w:pos="567"/>
        </w:tabs>
        <w:spacing w:after="240"/>
        <w:ind w:left="1134" w:hanging="567"/>
        <w:jc w:val="both"/>
        <w:rPr>
          <w:rFonts w:ascii="Arial" w:eastAsia="Calibri" w:hAnsi="Arial" w:cs="Arial"/>
          <w:sz w:val="22"/>
          <w:szCs w:val="22"/>
        </w:rPr>
      </w:pPr>
      <w:r w:rsidRPr="00662F46">
        <w:rPr>
          <w:rFonts w:ascii="Arial" w:hAnsi="Arial" w:cs="Arial"/>
          <w:sz w:val="22"/>
          <w:szCs w:val="22"/>
        </w:rPr>
        <w:t>продолжать отстаивать перед Генеральным директором ЮНЕСКО и руководящими органами ЮНЕСКО важность МОК как органа с автономным функционированием в рамках ЮНЕСКО, подчеркивая, в частности, ценность вклада МОК в деятельность ЮНЕСКО и в поддержку устойчивого развития;</w:t>
      </w:r>
    </w:p>
    <w:p w14:paraId="684135FA" w14:textId="3D506DD0" w:rsidR="00D53493" w:rsidRPr="00662F46" w:rsidRDefault="00D53493" w:rsidP="00662F46">
      <w:pPr>
        <w:numPr>
          <w:ilvl w:val="1"/>
          <w:numId w:val="6"/>
        </w:numPr>
        <w:tabs>
          <w:tab w:val="clear" w:pos="567"/>
        </w:tabs>
        <w:spacing w:after="240"/>
        <w:ind w:left="1134" w:hanging="567"/>
        <w:jc w:val="both"/>
        <w:rPr>
          <w:rFonts w:ascii="Arial" w:eastAsia="Calibri" w:hAnsi="Arial" w:cs="Arial"/>
          <w:sz w:val="22"/>
          <w:szCs w:val="22"/>
        </w:rPr>
      </w:pPr>
      <w:r w:rsidRPr="00662F46">
        <w:rPr>
          <w:rFonts w:ascii="Arial" w:hAnsi="Arial" w:cs="Arial"/>
          <w:sz w:val="22"/>
          <w:szCs w:val="22"/>
        </w:rPr>
        <w:t>поддерживать упрочнение положения МОК в процессе обсуждения проекта среднесрочной стратегии ЮНЕСКО на 2022-2029 гг. и проекта программы и бюджета на 2022-2025 гг. (проект документа 41 C/5);</w:t>
      </w:r>
    </w:p>
    <w:p w14:paraId="28C0B327" w14:textId="61397E85" w:rsidR="00D53493" w:rsidRPr="00662F46" w:rsidRDefault="00D53493" w:rsidP="00662F46">
      <w:pPr>
        <w:numPr>
          <w:ilvl w:val="1"/>
          <w:numId w:val="6"/>
        </w:numPr>
        <w:tabs>
          <w:tab w:val="clear" w:pos="567"/>
        </w:tabs>
        <w:spacing w:after="240"/>
        <w:ind w:left="1134" w:hanging="567"/>
        <w:jc w:val="both"/>
        <w:rPr>
          <w:rFonts w:ascii="Arial" w:eastAsia="Calibri" w:hAnsi="Arial" w:cs="Arial"/>
          <w:sz w:val="22"/>
          <w:szCs w:val="22"/>
        </w:rPr>
      </w:pPr>
      <w:r w:rsidRPr="00662F46">
        <w:rPr>
          <w:rFonts w:ascii="Arial" w:hAnsi="Arial" w:cs="Arial"/>
          <w:sz w:val="22"/>
          <w:szCs w:val="22"/>
        </w:rPr>
        <w:t>увеличить объемы предоставляемых ими добровольных взносов в поддержку МОК в условиях расширения стоящих перед Комиссией задач, предпочтительно на специальный счет МОК, а также, в числе прочего, предоставляемой Секретариату МОК поддержки в натуральной форме, например, в виде временного предоставления персонала (путем непосредственной либо дистанционной работы в Секретариате);</w:t>
      </w:r>
    </w:p>
    <w:p w14:paraId="03A5B843" w14:textId="771DBE98" w:rsidR="00D53493" w:rsidRPr="00662F46" w:rsidRDefault="00D53493" w:rsidP="00662F46">
      <w:pPr>
        <w:pStyle w:val="ListParagraph"/>
        <w:numPr>
          <w:ilvl w:val="2"/>
          <w:numId w:val="4"/>
        </w:numPr>
        <w:spacing w:after="240"/>
        <w:ind w:hanging="2790"/>
        <w:contextualSpacing w:val="0"/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662F46">
        <w:rPr>
          <w:rFonts w:ascii="Arial" w:hAnsi="Arial" w:cs="Arial"/>
          <w:b/>
          <w:bCs/>
          <w:sz w:val="22"/>
          <w:szCs w:val="22"/>
        </w:rPr>
        <w:t>Управление и методы работы</w:t>
      </w:r>
    </w:p>
    <w:p w14:paraId="50472689" w14:textId="77777777" w:rsidR="00D53493" w:rsidRPr="00662F46" w:rsidRDefault="00D53493" w:rsidP="00662F46">
      <w:pPr>
        <w:pStyle w:val="b"/>
        <w:tabs>
          <w:tab w:val="clear" w:pos="1134"/>
        </w:tabs>
        <w:ind w:left="0" w:firstLine="0"/>
        <w:rPr>
          <w:rFonts w:ascii="Arial" w:eastAsia="Calibri" w:hAnsi="Arial" w:cs="Arial"/>
          <w:sz w:val="22"/>
          <w:szCs w:val="22"/>
        </w:rPr>
      </w:pPr>
      <w:r w:rsidRPr="00662F46">
        <w:rPr>
          <w:rFonts w:ascii="Arial" w:hAnsi="Arial" w:cs="Arial"/>
          <w:b/>
          <w:sz w:val="22"/>
          <w:szCs w:val="22"/>
        </w:rPr>
        <w:t>напоминает</w:t>
      </w:r>
      <w:r w:rsidRPr="00662F46">
        <w:rPr>
          <w:rFonts w:ascii="Arial" w:hAnsi="Arial" w:cs="Arial"/>
          <w:sz w:val="22"/>
          <w:szCs w:val="22"/>
        </w:rPr>
        <w:t>, что в своей резолюции XXX-3, принятой на 30-й сессии, Ассамблея МОК предложила МФКГ «продолжить анализ передовой практики для дальнейшего повышения эффективности совещаний руководящих органов МОК»;</w:t>
      </w:r>
    </w:p>
    <w:p w14:paraId="549E469C" w14:textId="570D2CE3" w:rsidR="00D53493" w:rsidRPr="00662F46" w:rsidRDefault="00D53493" w:rsidP="00662F46">
      <w:pPr>
        <w:pStyle w:val="b"/>
        <w:tabs>
          <w:tab w:val="clear" w:pos="1134"/>
        </w:tabs>
        <w:ind w:left="0" w:firstLine="0"/>
        <w:rPr>
          <w:rFonts w:ascii="Arial" w:eastAsia="Calibri" w:hAnsi="Arial" w:cs="Arial"/>
          <w:sz w:val="22"/>
          <w:szCs w:val="22"/>
        </w:rPr>
      </w:pPr>
      <w:r w:rsidRPr="00662F46">
        <w:rPr>
          <w:rFonts w:ascii="Arial" w:hAnsi="Arial" w:cs="Arial"/>
          <w:b/>
          <w:sz w:val="22"/>
          <w:szCs w:val="22"/>
        </w:rPr>
        <w:t>отмечает</w:t>
      </w:r>
      <w:r w:rsidRPr="00662F46">
        <w:rPr>
          <w:rFonts w:ascii="Arial" w:hAnsi="Arial" w:cs="Arial"/>
          <w:sz w:val="22"/>
          <w:szCs w:val="22"/>
        </w:rPr>
        <w:t>, что пандемия COVID-19 привлекла внимание к необходимости пересмотра и, возможно, обновления правил процедуры МОК для приведения их в соответствие и их адаптацию к преобладающим в системе Организации Объединенных Наций передовым методам работы, касающимся проведения онлайновых совещаний, которые способствовали бы продуманному и своевременному принятию решений государствами-членами;</w:t>
      </w:r>
    </w:p>
    <w:p w14:paraId="5707BDA4" w14:textId="741566C7" w:rsidR="00B5070E" w:rsidRPr="00662F46" w:rsidRDefault="00D53493" w:rsidP="00662F46">
      <w:pPr>
        <w:pStyle w:val="b"/>
        <w:tabs>
          <w:tab w:val="clear" w:pos="1134"/>
        </w:tabs>
        <w:ind w:left="0" w:firstLine="0"/>
        <w:rPr>
          <w:rFonts w:ascii="Arial" w:hAnsi="Arial" w:cs="Arial"/>
          <w:sz w:val="22"/>
          <w:szCs w:val="22"/>
        </w:rPr>
      </w:pPr>
      <w:r w:rsidRPr="00662F46">
        <w:rPr>
          <w:rFonts w:ascii="Arial" w:hAnsi="Arial" w:cs="Arial"/>
          <w:b/>
          <w:sz w:val="22"/>
          <w:szCs w:val="22"/>
        </w:rPr>
        <w:lastRenderedPageBreak/>
        <w:t>предлагает</w:t>
      </w:r>
      <w:r w:rsidRPr="00662F46">
        <w:rPr>
          <w:rFonts w:ascii="Arial" w:hAnsi="Arial" w:cs="Arial"/>
          <w:sz w:val="22"/>
          <w:szCs w:val="22"/>
        </w:rPr>
        <w:t xml:space="preserve"> МФКГ приступить к изучению этого вопроса в тесном сотрудничестве с должностными лицами МОК и юрисконсультом ЮНЕСКО и представить предварительный пакет предложений на рассмотрение на 31-й сессии Ассамблеи МОК в 2021 г.</w:t>
      </w:r>
    </w:p>
    <w:p w14:paraId="7414E4EA" w14:textId="77777777" w:rsidR="005A7FE7" w:rsidRPr="00662F46" w:rsidRDefault="005A7FE7" w:rsidP="00662F46">
      <w:pPr>
        <w:pStyle w:val="b"/>
        <w:tabs>
          <w:tab w:val="clear" w:pos="1134"/>
        </w:tabs>
        <w:ind w:left="0" w:firstLine="0"/>
        <w:rPr>
          <w:rFonts w:ascii="Arial" w:eastAsia="Calibri" w:hAnsi="Arial" w:cs="Arial"/>
          <w:sz w:val="22"/>
          <w:szCs w:val="22"/>
        </w:rPr>
      </w:pPr>
    </w:p>
    <w:p w14:paraId="1BB80004" w14:textId="6CD16043" w:rsidR="005A7FE7" w:rsidRPr="00662F46" w:rsidRDefault="005A7FE7" w:rsidP="00662F46">
      <w:pPr>
        <w:tabs>
          <w:tab w:val="clear" w:pos="567"/>
        </w:tabs>
        <w:snapToGrid/>
        <w:spacing w:after="240"/>
        <w:jc w:val="center"/>
        <w:rPr>
          <w:rFonts w:ascii="Arial" w:eastAsiaTheme="minorHAnsi" w:hAnsi="Arial" w:cs="Arial"/>
          <w:snapToGrid/>
          <w:sz w:val="22"/>
          <w:szCs w:val="22"/>
          <w:u w:val="single"/>
          <w:lang w:val="es-ES"/>
        </w:rPr>
      </w:pPr>
      <w:r w:rsidRPr="00662F46">
        <w:rPr>
          <w:rFonts w:ascii="Arial" w:eastAsiaTheme="minorHAnsi" w:hAnsi="Arial" w:cs="Arial"/>
          <w:snapToGrid/>
          <w:sz w:val="22"/>
          <w:szCs w:val="22"/>
          <w:u w:val="single"/>
        </w:rPr>
        <w:t xml:space="preserve">Приложение I к резолюции </w:t>
      </w:r>
      <w:r w:rsidRPr="00662F46">
        <w:rPr>
          <w:rFonts w:ascii="Arial" w:eastAsiaTheme="minorHAnsi" w:hAnsi="Arial" w:cs="Arial"/>
          <w:snapToGrid/>
          <w:sz w:val="22"/>
          <w:szCs w:val="22"/>
          <w:u w:val="single"/>
          <w:lang w:val="es-ES"/>
        </w:rPr>
        <w:t>EC-53/2</w:t>
      </w:r>
    </w:p>
    <w:p w14:paraId="13DD4DF3" w14:textId="77777777" w:rsidR="000419D6" w:rsidRPr="00662F46" w:rsidRDefault="000419D6" w:rsidP="00662F46">
      <w:pPr>
        <w:tabs>
          <w:tab w:val="clear" w:pos="567"/>
        </w:tabs>
        <w:snapToGrid/>
        <w:spacing w:after="240"/>
        <w:jc w:val="center"/>
        <w:rPr>
          <w:rFonts w:ascii="Arial" w:eastAsiaTheme="minorHAnsi" w:hAnsi="Arial" w:cs="Arial"/>
          <w:b/>
          <w:snapToGrid/>
          <w:sz w:val="22"/>
          <w:szCs w:val="22"/>
        </w:rPr>
      </w:pPr>
      <w:r w:rsidRPr="00662F46">
        <w:rPr>
          <w:rFonts w:ascii="Arial" w:eastAsiaTheme="minorHAnsi" w:hAnsi="Arial" w:cs="Arial"/>
          <w:b/>
          <w:snapToGrid/>
          <w:sz w:val="22"/>
          <w:szCs w:val="22"/>
        </w:rPr>
        <w:t>РУКОВОДЯЩИЕ ПРИНЦИПЫ ПОДГОТОВКИ ПРОГРАММ И БЮДЖЕТА</w:t>
      </w:r>
    </w:p>
    <w:p w14:paraId="748CD92E" w14:textId="7FE3F5BF" w:rsidR="00E45B08" w:rsidRPr="00662F46" w:rsidRDefault="00E45B08" w:rsidP="00662F46">
      <w:pPr>
        <w:pStyle w:val="ListParagraph"/>
        <w:numPr>
          <w:ilvl w:val="0"/>
          <w:numId w:val="11"/>
        </w:numPr>
        <w:tabs>
          <w:tab w:val="clear" w:pos="567"/>
        </w:tabs>
        <w:snapToGrid/>
        <w:spacing w:after="240"/>
        <w:ind w:left="851" w:hanging="851"/>
        <w:contextualSpacing w:val="0"/>
        <w:jc w:val="both"/>
        <w:rPr>
          <w:rFonts w:ascii="Arial" w:hAnsi="Arial" w:cs="Arial"/>
          <w:snapToGrid/>
          <w:sz w:val="22"/>
          <w:szCs w:val="22"/>
        </w:rPr>
      </w:pPr>
      <w:r w:rsidRPr="00662F46">
        <w:rPr>
          <w:rFonts w:ascii="Arial" w:hAnsi="Arial" w:cs="Arial"/>
          <w:sz w:val="22"/>
          <w:szCs w:val="22"/>
        </w:rPr>
        <w:t>Обеспечение целенаправленного руководства в тех областях, где МОК отводится четкая руководящая роль/ответственность за ту или иную программу;</w:t>
      </w:r>
    </w:p>
    <w:p w14:paraId="5A74B5A4" w14:textId="6374AC42" w:rsidR="00E45B08" w:rsidRPr="00662F46" w:rsidRDefault="00E45B08" w:rsidP="00662F46">
      <w:pPr>
        <w:pStyle w:val="ListParagraph"/>
        <w:numPr>
          <w:ilvl w:val="0"/>
          <w:numId w:val="11"/>
        </w:numPr>
        <w:tabs>
          <w:tab w:val="clear" w:pos="567"/>
        </w:tabs>
        <w:snapToGrid/>
        <w:spacing w:after="240"/>
        <w:ind w:left="851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662F46">
        <w:rPr>
          <w:rFonts w:ascii="Arial" w:hAnsi="Arial" w:cs="Arial"/>
          <w:sz w:val="22"/>
          <w:szCs w:val="22"/>
        </w:rPr>
        <w:t>Выполнение МОК своего межправительственного мандата: обеспечение не подлежащих сокращению расходов на управление и проведение совещаний вспомогательных органов, выполнение уставных требований и обязательств перед партнерами и другими учреждениями системы ООН с учетом, в том числе, их последствий в плане затрат рабочего времени сотрудников;</w:t>
      </w:r>
    </w:p>
    <w:p w14:paraId="2C041807" w14:textId="0E3D05C3" w:rsidR="000419D6" w:rsidRPr="00662F46" w:rsidRDefault="000419D6" w:rsidP="00662F46">
      <w:pPr>
        <w:numPr>
          <w:ilvl w:val="0"/>
          <w:numId w:val="11"/>
        </w:numPr>
        <w:tabs>
          <w:tab w:val="clear" w:pos="567"/>
        </w:tabs>
        <w:snapToGrid/>
        <w:spacing w:after="240"/>
        <w:ind w:left="851" w:hanging="851"/>
        <w:jc w:val="both"/>
        <w:rPr>
          <w:rFonts w:ascii="Arial" w:eastAsiaTheme="minorHAnsi" w:hAnsi="Arial" w:cs="Arial"/>
          <w:snapToGrid/>
          <w:sz w:val="22"/>
          <w:szCs w:val="22"/>
        </w:rPr>
      </w:pPr>
      <w:r w:rsidRPr="00662F46">
        <w:rPr>
          <w:rFonts w:ascii="Arial" w:eastAsiaTheme="minorHAnsi" w:hAnsi="Arial" w:cs="Arial"/>
          <w:snapToGrid/>
          <w:sz w:val="22"/>
          <w:szCs w:val="22"/>
        </w:rPr>
        <w:t xml:space="preserve">Оказание правительствам содействия в деятельности на национальном уровне и укрепление региональных вспомогательных органов </w:t>
      </w:r>
      <w:r w:rsidR="00716DEF" w:rsidRPr="00662F46">
        <w:rPr>
          <w:rFonts w:ascii="Arial" w:eastAsiaTheme="minorHAnsi" w:hAnsi="Arial" w:cs="Arial"/>
          <w:snapToGrid/>
          <w:sz w:val="22"/>
          <w:szCs w:val="22"/>
        </w:rPr>
        <w:t>МОК</w:t>
      </w:r>
      <w:r w:rsidRPr="00662F46">
        <w:rPr>
          <w:rFonts w:ascii="Arial" w:eastAsiaTheme="minorHAnsi" w:hAnsi="Arial" w:cs="Arial"/>
          <w:snapToGrid/>
          <w:sz w:val="22"/>
          <w:szCs w:val="22"/>
        </w:rPr>
        <w:t>;</w:t>
      </w:r>
    </w:p>
    <w:p w14:paraId="341A9996" w14:textId="77777777" w:rsidR="000419D6" w:rsidRPr="00662F46" w:rsidRDefault="000419D6" w:rsidP="00662F46">
      <w:pPr>
        <w:numPr>
          <w:ilvl w:val="0"/>
          <w:numId w:val="11"/>
        </w:numPr>
        <w:tabs>
          <w:tab w:val="clear" w:pos="567"/>
        </w:tabs>
        <w:snapToGrid/>
        <w:spacing w:after="240"/>
        <w:ind w:left="851" w:hanging="851"/>
        <w:jc w:val="both"/>
        <w:rPr>
          <w:rFonts w:ascii="Arial" w:eastAsiaTheme="minorHAnsi" w:hAnsi="Arial" w:cs="Arial"/>
          <w:snapToGrid/>
          <w:sz w:val="22"/>
          <w:szCs w:val="22"/>
        </w:rPr>
      </w:pPr>
      <w:r w:rsidRPr="00662F46">
        <w:rPr>
          <w:rFonts w:ascii="Arial" w:eastAsiaTheme="minorHAnsi" w:hAnsi="Arial" w:cs="Arial"/>
          <w:snapToGrid/>
          <w:sz w:val="22"/>
          <w:szCs w:val="22"/>
        </w:rPr>
        <w:t>Учет масштабов участия государств-членов (инклюзивность);</w:t>
      </w:r>
    </w:p>
    <w:p w14:paraId="7B82EF8C" w14:textId="77777777" w:rsidR="000419D6" w:rsidRPr="00662F46" w:rsidRDefault="000419D6" w:rsidP="00662F46">
      <w:pPr>
        <w:numPr>
          <w:ilvl w:val="0"/>
          <w:numId w:val="11"/>
        </w:numPr>
        <w:tabs>
          <w:tab w:val="clear" w:pos="567"/>
        </w:tabs>
        <w:snapToGrid/>
        <w:spacing w:after="240"/>
        <w:ind w:left="851" w:hanging="851"/>
        <w:jc w:val="both"/>
        <w:rPr>
          <w:rFonts w:ascii="Arial" w:eastAsiaTheme="minorHAnsi" w:hAnsi="Arial" w:cs="Arial"/>
          <w:snapToGrid/>
          <w:sz w:val="22"/>
          <w:szCs w:val="22"/>
        </w:rPr>
      </w:pPr>
      <w:r w:rsidRPr="00662F46">
        <w:rPr>
          <w:rFonts w:ascii="Arial" w:eastAsiaTheme="minorHAnsi" w:hAnsi="Arial" w:cs="Arial"/>
          <w:snapToGrid/>
          <w:sz w:val="22"/>
          <w:szCs w:val="22"/>
        </w:rPr>
        <w:t>Обеспечение максимального синергетического эффекта взаимодействия между программами и взаимосвязанными функциональными направлениями деятельности ЮНЕСКО и МОК;</w:t>
      </w:r>
    </w:p>
    <w:p w14:paraId="692CC8D1" w14:textId="77777777" w:rsidR="000419D6" w:rsidRPr="00662F46" w:rsidRDefault="000419D6" w:rsidP="00662F46">
      <w:pPr>
        <w:numPr>
          <w:ilvl w:val="0"/>
          <w:numId w:val="11"/>
        </w:numPr>
        <w:tabs>
          <w:tab w:val="clear" w:pos="567"/>
        </w:tabs>
        <w:snapToGrid/>
        <w:spacing w:after="240"/>
        <w:ind w:left="851" w:hanging="851"/>
        <w:jc w:val="both"/>
        <w:rPr>
          <w:rFonts w:ascii="Arial" w:eastAsiaTheme="minorHAnsi" w:hAnsi="Arial" w:cs="Arial"/>
          <w:snapToGrid/>
          <w:sz w:val="22"/>
          <w:szCs w:val="22"/>
        </w:rPr>
      </w:pPr>
      <w:r w:rsidRPr="00662F46">
        <w:rPr>
          <w:rFonts w:ascii="Arial" w:eastAsiaTheme="minorHAnsi" w:hAnsi="Arial" w:cs="Arial"/>
          <w:snapToGrid/>
          <w:sz w:val="22"/>
          <w:szCs w:val="22"/>
        </w:rPr>
        <w:t>Сохранение/поддержка основных программ с одновременным привлечением внебюджетных средств на мероприятия, связанные с развитием потенциала;</w:t>
      </w:r>
    </w:p>
    <w:p w14:paraId="7620D69C" w14:textId="77777777" w:rsidR="000419D6" w:rsidRPr="00662F46" w:rsidRDefault="000419D6" w:rsidP="00662F46">
      <w:pPr>
        <w:numPr>
          <w:ilvl w:val="0"/>
          <w:numId w:val="11"/>
        </w:numPr>
        <w:tabs>
          <w:tab w:val="clear" w:pos="567"/>
        </w:tabs>
        <w:snapToGrid/>
        <w:spacing w:after="240"/>
        <w:ind w:left="851" w:hanging="851"/>
        <w:jc w:val="both"/>
        <w:rPr>
          <w:rFonts w:ascii="Arial" w:eastAsiaTheme="minorHAnsi" w:hAnsi="Arial" w:cs="Arial"/>
          <w:snapToGrid/>
          <w:sz w:val="22"/>
          <w:szCs w:val="22"/>
        </w:rPr>
      </w:pPr>
      <w:r w:rsidRPr="00662F46">
        <w:rPr>
          <w:rFonts w:ascii="Arial" w:eastAsiaTheme="minorHAnsi" w:hAnsi="Arial" w:cs="Arial"/>
          <w:snapToGrid/>
          <w:sz w:val="22"/>
          <w:szCs w:val="22"/>
        </w:rPr>
        <w:t>Предоставление начального финансирования, (которое, с большой долей вероятности, позволит привлечь внебюджетные средства), на осуществление новых программ, имеющих потенциальное долгосрочное воздействие, а также на решение возникающих актуальных проблем в сфере морских научных исследований;</w:t>
      </w:r>
    </w:p>
    <w:p w14:paraId="64D612F5" w14:textId="77777777" w:rsidR="000419D6" w:rsidRPr="00662F46" w:rsidRDefault="000419D6" w:rsidP="00662F46">
      <w:pPr>
        <w:numPr>
          <w:ilvl w:val="0"/>
          <w:numId w:val="11"/>
        </w:numPr>
        <w:tabs>
          <w:tab w:val="clear" w:pos="567"/>
        </w:tabs>
        <w:snapToGrid/>
        <w:spacing w:after="240"/>
        <w:ind w:left="851" w:hanging="851"/>
        <w:jc w:val="both"/>
        <w:rPr>
          <w:rFonts w:ascii="Arial" w:eastAsiaTheme="minorHAnsi" w:hAnsi="Arial" w:cs="Arial"/>
          <w:snapToGrid/>
          <w:sz w:val="22"/>
          <w:szCs w:val="22"/>
        </w:rPr>
      </w:pPr>
      <w:r w:rsidRPr="00662F46">
        <w:rPr>
          <w:rFonts w:ascii="Arial" w:eastAsiaTheme="minorHAnsi" w:hAnsi="Arial" w:cs="Arial"/>
          <w:snapToGrid/>
          <w:sz w:val="22"/>
          <w:szCs w:val="22"/>
        </w:rPr>
        <w:t>Обеспечение баланса между активным взаимодействием МОК с мореведческим сообществом и четкой ориентацией этого взаимодействия на прикладные исследования и услуги;</w:t>
      </w:r>
    </w:p>
    <w:p w14:paraId="03A23D9D" w14:textId="77777777" w:rsidR="000419D6" w:rsidRPr="00662F46" w:rsidRDefault="000419D6" w:rsidP="00662F46">
      <w:pPr>
        <w:numPr>
          <w:ilvl w:val="0"/>
          <w:numId w:val="11"/>
        </w:numPr>
        <w:tabs>
          <w:tab w:val="clear" w:pos="567"/>
        </w:tabs>
        <w:snapToGrid/>
        <w:spacing w:after="240"/>
        <w:ind w:left="851" w:hanging="851"/>
        <w:jc w:val="both"/>
        <w:rPr>
          <w:rFonts w:ascii="Arial" w:eastAsiaTheme="minorHAnsi" w:hAnsi="Arial" w:cs="Arial"/>
          <w:snapToGrid/>
          <w:sz w:val="22"/>
          <w:szCs w:val="22"/>
        </w:rPr>
      </w:pPr>
      <w:r w:rsidRPr="00662F46">
        <w:rPr>
          <w:rFonts w:ascii="Arial" w:eastAsiaTheme="minorHAnsi" w:hAnsi="Arial" w:cs="Arial"/>
          <w:snapToGrid/>
          <w:sz w:val="22"/>
          <w:szCs w:val="22"/>
        </w:rPr>
        <w:t>Программы должны способствовать налаживанию активного партнерского взаимодействия, которое обеспечило бы более высокую степень финансовой устойчивости при возникновении сложностей с финансированием и стимулировало бы партнеров к тому, чтобы взять на себя более существенную часть поддержки в рамках этих программ при условии соблюдения ими целей и принципов, утвержденных руководящими органами МОК, а также их реагирования на соответствующие просьбы Секретариата МОК;</w:t>
      </w:r>
    </w:p>
    <w:p w14:paraId="02226623" w14:textId="77777777" w:rsidR="000419D6" w:rsidRPr="00662F46" w:rsidRDefault="000419D6" w:rsidP="00662F46">
      <w:pPr>
        <w:numPr>
          <w:ilvl w:val="0"/>
          <w:numId w:val="11"/>
        </w:numPr>
        <w:tabs>
          <w:tab w:val="clear" w:pos="567"/>
        </w:tabs>
        <w:snapToGrid/>
        <w:spacing w:after="240"/>
        <w:ind w:left="851" w:hanging="851"/>
        <w:jc w:val="both"/>
        <w:rPr>
          <w:rFonts w:ascii="Arial" w:eastAsiaTheme="minorHAnsi" w:hAnsi="Arial" w:cs="Arial"/>
          <w:snapToGrid/>
          <w:sz w:val="22"/>
          <w:szCs w:val="22"/>
        </w:rPr>
      </w:pPr>
      <w:r w:rsidRPr="00662F46">
        <w:rPr>
          <w:rFonts w:ascii="Arial" w:eastAsiaTheme="minorHAnsi" w:hAnsi="Arial" w:cs="Arial"/>
          <w:snapToGrid/>
          <w:sz w:val="22"/>
          <w:szCs w:val="22"/>
        </w:rPr>
        <w:t xml:space="preserve">Определение государств-членов, желающих создать финансируемые и укомплектованные кадрами бюро, которые смогли бы взять на себя более существенную часть деятельности в рамках соответствующей программы МОК, основываясь на положительно зарекомендовавших себя подходах, при условии уважения этими государствами-членами целей и соблюдения ими принципов, </w:t>
      </w:r>
      <w:r w:rsidRPr="00662F46">
        <w:rPr>
          <w:rFonts w:ascii="Arial" w:eastAsiaTheme="minorHAnsi" w:hAnsi="Arial" w:cs="Arial"/>
          <w:snapToGrid/>
          <w:sz w:val="22"/>
          <w:szCs w:val="22"/>
        </w:rPr>
        <w:lastRenderedPageBreak/>
        <w:t>утвержденных руководящими органами МОК, а также их реагирования на соответствующие просьбы Секретариата МОК;</w:t>
      </w:r>
    </w:p>
    <w:p w14:paraId="7CB505BB" w14:textId="77777777" w:rsidR="000419D6" w:rsidRPr="00662F46" w:rsidRDefault="000419D6" w:rsidP="00662F46">
      <w:pPr>
        <w:numPr>
          <w:ilvl w:val="0"/>
          <w:numId w:val="11"/>
        </w:numPr>
        <w:tabs>
          <w:tab w:val="clear" w:pos="567"/>
        </w:tabs>
        <w:snapToGrid/>
        <w:spacing w:after="240"/>
        <w:ind w:left="851" w:hanging="851"/>
        <w:jc w:val="both"/>
        <w:rPr>
          <w:rFonts w:ascii="Arial" w:eastAsiaTheme="minorHAnsi" w:hAnsi="Arial" w:cs="Arial"/>
          <w:snapToGrid/>
          <w:sz w:val="22"/>
          <w:szCs w:val="22"/>
        </w:rPr>
      </w:pPr>
      <w:r w:rsidRPr="00662F46">
        <w:rPr>
          <w:rFonts w:ascii="Arial" w:eastAsiaTheme="minorHAnsi" w:hAnsi="Arial" w:cs="Arial"/>
          <w:snapToGrid/>
          <w:sz w:val="22"/>
          <w:szCs w:val="22"/>
        </w:rPr>
        <w:t>Определение мероприятий, которые могут быть осуществлены за счет внебюджетного финансирования и взносов в натуральной форме, и в соответствии с этим установление приоритетов при выделении ассигнований по линии обычного бюджета на мероприятия и функциональные направления деятельности МОК, которые не могут быть осуществлены за счет внебюджетного финансирования, с тем чтобы обеспечить расходование средств, поступающих как из обычного бюджета, так и из внебюджетных источников таким образом, чтобы стимулировать надлежащее и сбалансированное осуществление МОК всех своих функциональных задач.</w:t>
      </w:r>
    </w:p>
    <w:p w14:paraId="26A9D042" w14:textId="77777777" w:rsidR="000419D6" w:rsidRPr="00662F46" w:rsidRDefault="000419D6" w:rsidP="00662F46">
      <w:pPr>
        <w:tabs>
          <w:tab w:val="clear" w:pos="567"/>
        </w:tabs>
        <w:snapToGrid/>
        <w:spacing w:after="240"/>
        <w:jc w:val="both"/>
        <w:rPr>
          <w:rFonts w:ascii="Arial" w:eastAsiaTheme="minorHAnsi" w:hAnsi="Arial" w:cs="Arial"/>
          <w:snapToGrid/>
          <w:sz w:val="22"/>
          <w:szCs w:val="22"/>
        </w:rPr>
      </w:pPr>
    </w:p>
    <w:sectPr w:rsidR="000419D6" w:rsidRPr="00662F46" w:rsidSect="005A7FE7">
      <w:headerReference w:type="even" r:id="rId13"/>
      <w:headerReference w:type="default" r:id="rId14"/>
      <w:footerReference w:type="even" r:id="rId15"/>
      <w:pgSz w:w="11907" w:h="16840" w:code="9"/>
      <w:pgMar w:top="1134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41EFC5" w14:textId="77777777" w:rsidR="001C76D4" w:rsidRDefault="001C76D4" w:rsidP="006D0597">
      <w:r>
        <w:separator/>
      </w:r>
    </w:p>
  </w:endnote>
  <w:endnote w:type="continuationSeparator" w:id="0">
    <w:p w14:paraId="798760AB" w14:textId="77777777" w:rsidR="001C76D4" w:rsidRDefault="001C76D4" w:rsidP="006D0597">
      <w:r>
        <w:continuationSeparator/>
      </w:r>
    </w:p>
  </w:endnote>
  <w:endnote w:type="continuationNotice" w:id="1">
    <w:p w14:paraId="30E94374" w14:textId="77777777" w:rsidR="001C76D4" w:rsidRDefault="001C76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D8DAEC" w14:textId="2E168EC9" w:rsidR="006D0597" w:rsidRPr="00C84C61" w:rsidRDefault="006D0597" w:rsidP="00C84C61">
    <w:pPr>
      <w:pStyle w:val="Footer"/>
      <w:rPr>
        <w:rFonts w:asciiTheme="minorBidi" w:hAnsiTheme="minorBidi" w:cstheme="minorBidi"/>
        <w:sz w:val="22"/>
        <w:szCs w:val="22"/>
      </w:rPr>
    </w:pPr>
  </w:p>
  <w:p w14:paraId="66877487" w14:textId="77777777" w:rsidR="006D0597" w:rsidRDefault="006D05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AFB0EF" w14:textId="77777777" w:rsidR="001C76D4" w:rsidRDefault="001C76D4" w:rsidP="006D0597">
      <w:r>
        <w:separator/>
      </w:r>
    </w:p>
  </w:footnote>
  <w:footnote w:type="continuationSeparator" w:id="0">
    <w:p w14:paraId="38804900" w14:textId="77777777" w:rsidR="001C76D4" w:rsidRDefault="001C76D4" w:rsidP="006D0597">
      <w:r>
        <w:continuationSeparator/>
      </w:r>
    </w:p>
  </w:footnote>
  <w:footnote w:type="continuationNotice" w:id="1">
    <w:p w14:paraId="5E1FAD22" w14:textId="77777777" w:rsidR="001C76D4" w:rsidRDefault="001C76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42503F" w14:textId="7F6E057E" w:rsidR="00662F46" w:rsidRDefault="00662F46" w:rsidP="006C55E5">
    <w:pPr>
      <w:rPr>
        <w:rFonts w:ascii="Arial" w:hAnsi="Arial"/>
        <w:bCs/>
        <w:sz w:val="22"/>
        <w:szCs w:val="22"/>
      </w:rPr>
    </w:pPr>
    <w:r w:rsidRPr="00662F46">
      <w:rPr>
        <w:rFonts w:ascii="Arial" w:hAnsi="Arial"/>
        <w:bCs/>
        <w:sz w:val="22"/>
        <w:szCs w:val="22"/>
      </w:rPr>
      <w:t>IOC Resolution EC-53/2</w:t>
    </w:r>
  </w:p>
  <w:p w14:paraId="2DC3DB26" w14:textId="62AED3A7" w:rsidR="006D0597" w:rsidRDefault="00662F46" w:rsidP="006C55E5">
    <w:pPr>
      <w:rPr>
        <w:rFonts w:ascii="Arial" w:hAnsi="Arial" w:cs="Arial"/>
        <w:bCs/>
        <w:sz w:val="22"/>
        <w:szCs w:val="22"/>
      </w:rPr>
    </w:pPr>
    <w:r>
      <w:rPr>
        <w:rFonts w:ascii="Arial" w:hAnsi="Arial"/>
        <w:bCs/>
        <w:sz w:val="22"/>
        <w:szCs w:val="22"/>
      </w:rPr>
      <w:t>стр.</w:t>
    </w:r>
    <w:r w:rsidR="006D0597" w:rsidRPr="006D0597">
      <w:rPr>
        <w:rFonts w:ascii="Arial" w:hAnsi="Arial" w:cs="Arial"/>
        <w:bCs/>
        <w:sz w:val="22"/>
        <w:szCs w:val="22"/>
      </w:rPr>
      <w:fldChar w:fldCharType="begin"/>
    </w:r>
    <w:r w:rsidR="006D0597" w:rsidRPr="006D0597">
      <w:rPr>
        <w:rFonts w:ascii="Arial" w:hAnsi="Arial" w:cs="Arial"/>
        <w:bCs/>
        <w:sz w:val="22"/>
        <w:szCs w:val="22"/>
      </w:rPr>
      <w:instrText xml:space="preserve"> PAGE   \* MERGEFORMAT </w:instrText>
    </w:r>
    <w:r w:rsidR="006D0597" w:rsidRPr="006D0597">
      <w:rPr>
        <w:rFonts w:ascii="Arial" w:hAnsi="Arial" w:cs="Arial"/>
        <w:bCs/>
        <w:sz w:val="22"/>
        <w:szCs w:val="22"/>
      </w:rPr>
      <w:fldChar w:fldCharType="separate"/>
    </w:r>
    <w:r w:rsidR="00D27947">
      <w:rPr>
        <w:rFonts w:ascii="Arial" w:hAnsi="Arial" w:cs="Arial"/>
        <w:bCs/>
        <w:noProof/>
        <w:sz w:val="22"/>
        <w:szCs w:val="22"/>
      </w:rPr>
      <w:t>6</w:t>
    </w:r>
    <w:r w:rsidR="006D0597" w:rsidRPr="006D0597">
      <w:rPr>
        <w:rFonts w:ascii="Arial" w:hAnsi="Arial" w:cs="Arial"/>
        <w:bCs/>
        <w:sz w:val="22"/>
        <w:szCs w:val="22"/>
      </w:rPr>
      <w:fldChar w:fldCharType="end"/>
    </w:r>
  </w:p>
  <w:p w14:paraId="0EC46686" w14:textId="77777777" w:rsidR="00662F46" w:rsidRPr="006C55E5" w:rsidRDefault="00662F46" w:rsidP="006C55E5">
    <w:pPr>
      <w:rPr>
        <w:rFonts w:ascii="Arial" w:hAnsi="Arial" w:cs="Arial"/>
        <w:bCs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44005" w14:textId="77777777" w:rsidR="005A7FE7" w:rsidRPr="005A7FE7" w:rsidRDefault="005A7FE7" w:rsidP="005A7FE7">
    <w:pPr>
      <w:jc w:val="right"/>
      <w:rPr>
        <w:rFonts w:ascii="Arial" w:hAnsi="Arial"/>
        <w:bCs/>
        <w:sz w:val="20"/>
        <w:szCs w:val="20"/>
      </w:rPr>
    </w:pPr>
    <w:r w:rsidRPr="005A7FE7">
      <w:rPr>
        <w:rFonts w:ascii="Arial" w:hAnsi="Arial"/>
        <w:bCs/>
        <w:sz w:val="20"/>
        <w:szCs w:val="20"/>
      </w:rPr>
      <w:t>IOC Resolution EC-53/2</w:t>
    </w:r>
  </w:p>
  <w:p w14:paraId="1D3F2606" w14:textId="0E38F307" w:rsidR="006D0597" w:rsidRPr="005A7FE7" w:rsidRDefault="005A7FE7" w:rsidP="005A7FE7">
    <w:pPr>
      <w:ind w:left="993" w:firstLine="5953"/>
      <w:rPr>
        <w:rFonts w:ascii="Arial" w:hAnsi="Arial" w:cs="Arial"/>
        <w:bCs/>
        <w:sz w:val="20"/>
        <w:szCs w:val="20"/>
      </w:rPr>
    </w:pPr>
    <w:proofErr w:type="spellStart"/>
    <w:r w:rsidRPr="005A7FE7">
      <w:rPr>
        <w:rFonts w:ascii="Arial" w:hAnsi="Arial"/>
        <w:bCs/>
        <w:sz w:val="20"/>
        <w:szCs w:val="20"/>
        <w:lang w:val="es-ES"/>
      </w:rPr>
      <w:t>стр</w:t>
    </w:r>
    <w:proofErr w:type="spellEnd"/>
    <w:r w:rsidRPr="005A7FE7">
      <w:rPr>
        <w:rFonts w:ascii="Arial" w:hAnsi="Arial"/>
        <w:bCs/>
        <w:sz w:val="20"/>
        <w:szCs w:val="20"/>
        <w:lang w:val="es-ES"/>
      </w:rPr>
      <w:t xml:space="preserve">. </w:t>
    </w:r>
    <w:r w:rsidR="006D0597" w:rsidRPr="005A7FE7">
      <w:rPr>
        <w:rFonts w:ascii="Arial" w:hAnsi="Arial" w:cs="Arial"/>
        <w:bCs/>
        <w:sz w:val="20"/>
        <w:szCs w:val="20"/>
      </w:rPr>
      <w:fldChar w:fldCharType="begin"/>
    </w:r>
    <w:r w:rsidR="006D0597" w:rsidRPr="005A7FE7">
      <w:rPr>
        <w:rFonts w:ascii="Arial" w:hAnsi="Arial" w:cs="Arial"/>
        <w:bCs/>
        <w:sz w:val="20"/>
        <w:szCs w:val="20"/>
      </w:rPr>
      <w:instrText xml:space="preserve"> PAGE   \* MERGEFORMAT </w:instrText>
    </w:r>
    <w:r w:rsidR="006D0597" w:rsidRPr="005A7FE7">
      <w:rPr>
        <w:rFonts w:ascii="Arial" w:hAnsi="Arial" w:cs="Arial"/>
        <w:bCs/>
        <w:sz w:val="20"/>
        <w:szCs w:val="20"/>
      </w:rPr>
      <w:fldChar w:fldCharType="separate"/>
    </w:r>
    <w:r w:rsidR="00D27947">
      <w:rPr>
        <w:rFonts w:ascii="Arial" w:hAnsi="Arial" w:cs="Arial"/>
        <w:bCs/>
        <w:noProof/>
        <w:sz w:val="20"/>
        <w:szCs w:val="20"/>
      </w:rPr>
      <w:t>5</w:t>
    </w:r>
    <w:r w:rsidR="006D0597" w:rsidRPr="005A7FE7">
      <w:rPr>
        <w:rFonts w:ascii="Arial" w:hAnsi="Arial" w:cs="Arial"/>
        <w:bCs/>
        <w:sz w:val="20"/>
        <w:szCs w:val="20"/>
      </w:rPr>
      <w:fldChar w:fldCharType="end"/>
    </w:r>
  </w:p>
  <w:p w14:paraId="40EDF979" w14:textId="77777777" w:rsidR="005A7FE7" w:rsidRPr="006C55E5" w:rsidRDefault="005A7FE7" w:rsidP="006C55E5">
    <w:pPr>
      <w:ind w:left="993"/>
      <w:jc w:val="right"/>
      <w:rPr>
        <w:rFonts w:ascii="Arial" w:hAnsi="Arial" w:cs="Arial"/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0"/>
    <w:multiLevelType w:val="multilevel"/>
    <w:tmpl w:val="0DB4EF34"/>
    <w:lvl w:ilvl="0">
      <w:start w:val="1"/>
      <w:numFmt w:val="decimal"/>
      <w:pStyle w:val="Heading1"/>
      <w:lvlText w:val="%1."/>
      <w:lvlJc w:val="left"/>
      <w:pPr>
        <w:tabs>
          <w:tab w:val="num" w:pos="2989"/>
        </w:tabs>
        <w:ind w:left="2989" w:hanging="709"/>
      </w:pPr>
      <w:rPr>
        <w:rFonts w:ascii="Arial" w:hAnsi="Arial" w:hint="default"/>
        <w:b/>
        <w:i w:val="0"/>
        <w:color w:val="000000"/>
        <w:sz w:val="22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1"/>
      <w:lvlText w:val="%2.%1.%3"/>
      <w:lvlJc w:val="left"/>
      <w:pPr>
        <w:tabs>
          <w:tab w:val="num" w:pos="1419"/>
        </w:tabs>
        <w:ind w:left="1419" w:hanging="709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1A4252B"/>
    <w:multiLevelType w:val="multilevel"/>
    <w:tmpl w:val="8F5C5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lowerRoman"/>
      <w:lvlText w:val="(%2)"/>
      <w:lvlJc w:val="left"/>
      <w:pPr>
        <w:ind w:left="1440" w:hanging="360"/>
      </w:pPr>
      <w:rPr>
        <w:rFonts w:hint="default"/>
        <w:b w:val="0"/>
        <w:i w:val="0"/>
        <w:u w:val="none"/>
      </w:rPr>
    </w:lvl>
    <w:lvl w:ilvl="2">
      <w:start w:val="4"/>
      <w:numFmt w:val="upperRoman"/>
      <w:lvlText w:val="%3."/>
      <w:lvlJc w:val="left"/>
      <w:pPr>
        <w:ind w:left="279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40B4842"/>
    <w:multiLevelType w:val="multilevel"/>
    <w:tmpl w:val="8370C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(%2)"/>
      <w:lvlJc w:val="left"/>
      <w:pPr>
        <w:ind w:left="1440" w:hanging="360"/>
      </w:pPr>
      <w:rPr>
        <w:rFonts w:hint="default"/>
        <w:b w:val="0"/>
        <w:i w:val="0"/>
        <w:u w:val="none"/>
      </w:rPr>
    </w:lvl>
    <w:lvl w:ilvl="2">
      <w:start w:val="1"/>
      <w:numFmt w:val="upperRoman"/>
      <w:lvlText w:val="%3."/>
      <w:lvlJc w:val="left"/>
      <w:pPr>
        <w:ind w:left="279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751969"/>
    <w:multiLevelType w:val="multilevel"/>
    <w:tmpl w:val="8D1E4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lowerRoman"/>
      <w:lvlText w:val="(%2)"/>
      <w:lvlJc w:val="left"/>
      <w:pPr>
        <w:ind w:left="1440" w:hanging="360"/>
      </w:pPr>
      <w:rPr>
        <w:rFonts w:hint="default"/>
        <w:b w:val="0"/>
        <w:i w:val="0"/>
        <w:u w:val="none"/>
      </w:rPr>
    </w:lvl>
    <w:lvl w:ilvl="2">
      <w:start w:val="1"/>
      <w:numFmt w:val="upperRoman"/>
      <w:lvlText w:val="%3."/>
      <w:lvlJc w:val="left"/>
      <w:pPr>
        <w:ind w:left="279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0E7022F6"/>
    <w:multiLevelType w:val="hybridMultilevel"/>
    <w:tmpl w:val="78D644C0"/>
    <w:lvl w:ilvl="0" w:tplc="AECAF180">
      <w:start w:val="1"/>
      <w:numFmt w:val="lowerRoman"/>
      <w:lvlText w:val="(%1)"/>
      <w:lvlJc w:val="left"/>
      <w:pPr>
        <w:ind w:left="2421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781" w:hanging="360"/>
      </w:pPr>
    </w:lvl>
    <w:lvl w:ilvl="2" w:tplc="040C001B" w:tentative="1">
      <w:start w:val="1"/>
      <w:numFmt w:val="lowerRoman"/>
      <w:lvlText w:val="%3."/>
      <w:lvlJc w:val="right"/>
      <w:pPr>
        <w:ind w:left="3501" w:hanging="180"/>
      </w:pPr>
    </w:lvl>
    <w:lvl w:ilvl="3" w:tplc="040C000F" w:tentative="1">
      <w:start w:val="1"/>
      <w:numFmt w:val="decimal"/>
      <w:lvlText w:val="%4."/>
      <w:lvlJc w:val="left"/>
      <w:pPr>
        <w:ind w:left="4221" w:hanging="360"/>
      </w:pPr>
    </w:lvl>
    <w:lvl w:ilvl="4" w:tplc="040C0019" w:tentative="1">
      <w:start w:val="1"/>
      <w:numFmt w:val="lowerLetter"/>
      <w:lvlText w:val="%5."/>
      <w:lvlJc w:val="left"/>
      <w:pPr>
        <w:ind w:left="4941" w:hanging="360"/>
      </w:pPr>
    </w:lvl>
    <w:lvl w:ilvl="5" w:tplc="040C001B" w:tentative="1">
      <w:start w:val="1"/>
      <w:numFmt w:val="lowerRoman"/>
      <w:lvlText w:val="%6."/>
      <w:lvlJc w:val="right"/>
      <w:pPr>
        <w:ind w:left="5661" w:hanging="180"/>
      </w:pPr>
    </w:lvl>
    <w:lvl w:ilvl="6" w:tplc="040C000F" w:tentative="1">
      <w:start w:val="1"/>
      <w:numFmt w:val="decimal"/>
      <w:lvlText w:val="%7."/>
      <w:lvlJc w:val="left"/>
      <w:pPr>
        <w:ind w:left="6381" w:hanging="360"/>
      </w:pPr>
    </w:lvl>
    <w:lvl w:ilvl="7" w:tplc="040C0019" w:tentative="1">
      <w:start w:val="1"/>
      <w:numFmt w:val="lowerLetter"/>
      <w:lvlText w:val="%8."/>
      <w:lvlJc w:val="left"/>
      <w:pPr>
        <w:ind w:left="7101" w:hanging="360"/>
      </w:pPr>
    </w:lvl>
    <w:lvl w:ilvl="8" w:tplc="040C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1A9166BC"/>
    <w:multiLevelType w:val="hybridMultilevel"/>
    <w:tmpl w:val="D2BE6D6A"/>
    <w:lvl w:ilvl="0" w:tplc="1E1A5676">
      <w:start w:val="1"/>
      <w:numFmt w:val="decimal"/>
      <w:lvlText w:val="%1."/>
      <w:lvlJc w:val="left"/>
      <w:pPr>
        <w:ind w:left="720" w:hanging="360"/>
      </w:pPr>
      <w:rPr>
        <w:rFonts w:asciiTheme="minorBidi" w:eastAsiaTheme="minorHAnsi" w:hAnsiTheme="minorBid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33398"/>
    <w:multiLevelType w:val="hybridMultilevel"/>
    <w:tmpl w:val="A2760588"/>
    <w:lvl w:ilvl="0" w:tplc="86BC5C9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i w:val="0"/>
        <w:sz w:val="22"/>
        <w:szCs w:val="22"/>
        <w:lang w:val="en-US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9F0891"/>
    <w:multiLevelType w:val="multilevel"/>
    <w:tmpl w:val="8FB0B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37487F3C"/>
    <w:multiLevelType w:val="multilevel"/>
    <w:tmpl w:val="C9FE9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(%2)"/>
      <w:lvlJc w:val="left"/>
      <w:pPr>
        <w:ind w:left="1440" w:hanging="360"/>
      </w:pPr>
      <w:rPr>
        <w:rFonts w:hint="default"/>
        <w:b w:val="0"/>
        <w:i w:val="0"/>
        <w:u w:val="none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A04F76"/>
    <w:multiLevelType w:val="multilevel"/>
    <w:tmpl w:val="C9FE9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(%2)"/>
      <w:lvlJc w:val="left"/>
      <w:pPr>
        <w:ind w:left="1440" w:hanging="360"/>
      </w:pPr>
      <w:rPr>
        <w:rFonts w:hint="default"/>
        <w:b w:val="0"/>
        <w:i w:val="0"/>
        <w:u w:val="none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3C11E7"/>
    <w:multiLevelType w:val="multilevel"/>
    <w:tmpl w:val="C9FE9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(%2)"/>
      <w:lvlJc w:val="left"/>
      <w:pPr>
        <w:ind w:left="1440" w:hanging="360"/>
      </w:pPr>
      <w:rPr>
        <w:rFonts w:hint="default"/>
        <w:b w:val="0"/>
        <w:i w:val="0"/>
        <w:u w:val="none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E257D6"/>
    <w:multiLevelType w:val="multilevel"/>
    <w:tmpl w:val="B6AEA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002"/>
        </w:tabs>
        <w:ind w:left="1002" w:hanging="576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6EB14BA4"/>
    <w:multiLevelType w:val="hybridMultilevel"/>
    <w:tmpl w:val="E7AA129A"/>
    <w:lvl w:ilvl="0" w:tplc="2386149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2"/>
  </w:num>
  <w:num w:numId="5">
    <w:abstractNumId w:val="10"/>
  </w:num>
  <w:num w:numId="6">
    <w:abstractNumId w:val="8"/>
  </w:num>
  <w:num w:numId="7">
    <w:abstractNumId w:val="9"/>
  </w:num>
  <w:num w:numId="8">
    <w:abstractNumId w:val="4"/>
  </w:num>
  <w:num w:numId="9">
    <w:abstractNumId w:val="6"/>
  </w:num>
  <w:num w:numId="10">
    <w:abstractNumId w:val="3"/>
  </w:num>
  <w:num w:numId="11">
    <w:abstractNumId w:val="5"/>
  </w:num>
  <w:num w:numId="12">
    <w:abstractNumId w:val="1"/>
  </w:num>
  <w:num w:numId="13">
    <w:abstractNumId w:val="12"/>
  </w:num>
  <w:num w:numId="1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567"/>
  <w:autoHyphenation/>
  <w:hyphenationZone w:val="425"/>
  <w:doNotHyphenateCaps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493"/>
    <w:rsid w:val="00002B42"/>
    <w:rsid w:val="0002089D"/>
    <w:rsid w:val="00036A5B"/>
    <w:rsid w:val="00036F78"/>
    <w:rsid w:val="000419D6"/>
    <w:rsid w:val="00043C54"/>
    <w:rsid w:val="00044F46"/>
    <w:rsid w:val="00045E72"/>
    <w:rsid w:val="00047244"/>
    <w:rsid w:val="00072EAE"/>
    <w:rsid w:val="00073E47"/>
    <w:rsid w:val="000743BB"/>
    <w:rsid w:val="000747D1"/>
    <w:rsid w:val="000A73D8"/>
    <w:rsid w:val="000A7F61"/>
    <w:rsid w:val="000D249F"/>
    <w:rsid w:val="000D37D3"/>
    <w:rsid w:val="000D6434"/>
    <w:rsid w:val="000E344F"/>
    <w:rsid w:val="00122495"/>
    <w:rsid w:val="00127609"/>
    <w:rsid w:val="00152BAA"/>
    <w:rsid w:val="00153381"/>
    <w:rsid w:val="00157D10"/>
    <w:rsid w:val="001903A0"/>
    <w:rsid w:val="00194CE1"/>
    <w:rsid w:val="001B1B3B"/>
    <w:rsid w:val="001C0D97"/>
    <w:rsid w:val="001C76D4"/>
    <w:rsid w:val="001D0CD8"/>
    <w:rsid w:val="001E34AB"/>
    <w:rsid w:val="001F3F56"/>
    <w:rsid w:val="00222214"/>
    <w:rsid w:val="00271989"/>
    <w:rsid w:val="00291205"/>
    <w:rsid w:val="00291C31"/>
    <w:rsid w:val="002A1E26"/>
    <w:rsid w:val="002A467C"/>
    <w:rsid w:val="002B0AD4"/>
    <w:rsid w:val="002B5650"/>
    <w:rsid w:val="002C1CE1"/>
    <w:rsid w:val="002D3B3E"/>
    <w:rsid w:val="002D47A6"/>
    <w:rsid w:val="002F4995"/>
    <w:rsid w:val="00314CA0"/>
    <w:rsid w:val="00331026"/>
    <w:rsid w:val="003539CC"/>
    <w:rsid w:val="003574E2"/>
    <w:rsid w:val="00371CCD"/>
    <w:rsid w:val="00387CF2"/>
    <w:rsid w:val="00394092"/>
    <w:rsid w:val="003A4DED"/>
    <w:rsid w:val="003A62D4"/>
    <w:rsid w:val="003C5CB6"/>
    <w:rsid w:val="003D4FC0"/>
    <w:rsid w:val="003E3AC9"/>
    <w:rsid w:val="003F2754"/>
    <w:rsid w:val="004057BB"/>
    <w:rsid w:val="0041087D"/>
    <w:rsid w:val="004302F9"/>
    <w:rsid w:val="004548D3"/>
    <w:rsid w:val="00473E15"/>
    <w:rsid w:val="00482DAE"/>
    <w:rsid w:val="0049425E"/>
    <w:rsid w:val="004A0A45"/>
    <w:rsid w:val="004B4881"/>
    <w:rsid w:val="004B57FD"/>
    <w:rsid w:val="004C3CE8"/>
    <w:rsid w:val="004D6C13"/>
    <w:rsid w:val="004E7E5B"/>
    <w:rsid w:val="00513DF3"/>
    <w:rsid w:val="00532C23"/>
    <w:rsid w:val="005353C2"/>
    <w:rsid w:val="00571AC5"/>
    <w:rsid w:val="00577C2E"/>
    <w:rsid w:val="00581141"/>
    <w:rsid w:val="0058717E"/>
    <w:rsid w:val="005A4EEC"/>
    <w:rsid w:val="005A7FE7"/>
    <w:rsid w:val="005C5FF8"/>
    <w:rsid w:val="005E0B8A"/>
    <w:rsid w:val="005E62DC"/>
    <w:rsid w:val="005F4B89"/>
    <w:rsid w:val="005F4DFB"/>
    <w:rsid w:val="006278BC"/>
    <w:rsid w:val="006343D3"/>
    <w:rsid w:val="00643DC1"/>
    <w:rsid w:val="00662F46"/>
    <w:rsid w:val="0068597B"/>
    <w:rsid w:val="006974A9"/>
    <w:rsid w:val="006A6D43"/>
    <w:rsid w:val="006B2514"/>
    <w:rsid w:val="006C55E5"/>
    <w:rsid w:val="006D0597"/>
    <w:rsid w:val="006F4EF7"/>
    <w:rsid w:val="006F5709"/>
    <w:rsid w:val="006F6055"/>
    <w:rsid w:val="00714601"/>
    <w:rsid w:val="00716DEF"/>
    <w:rsid w:val="00755D90"/>
    <w:rsid w:val="007602AB"/>
    <w:rsid w:val="0076504D"/>
    <w:rsid w:val="00782DE6"/>
    <w:rsid w:val="007B148E"/>
    <w:rsid w:val="007B1F03"/>
    <w:rsid w:val="007C467F"/>
    <w:rsid w:val="007D1B26"/>
    <w:rsid w:val="007E3A84"/>
    <w:rsid w:val="007E4FDA"/>
    <w:rsid w:val="007F0FF4"/>
    <w:rsid w:val="008003D0"/>
    <w:rsid w:val="0080412A"/>
    <w:rsid w:val="00815464"/>
    <w:rsid w:val="00837448"/>
    <w:rsid w:val="0084747B"/>
    <w:rsid w:val="00854458"/>
    <w:rsid w:val="00856599"/>
    <w:rsid w:val="00891A3F"/>
    <w:rsid w:val="008A1868"/>
    <w:rsid w:val="008C49B8"/>
    <w:rsid w:val="008D1E0F"/>
    <w:rsid w:val="008E3DD4"/>
    <w:rsid w:val="00924048"/>
    <w:rsid w:val="00934CDA"/>
    <w:rsid w:val="00942222"/>
    <w:rsid w:val="0096068C"/>
    <w:rsid w:val="00990FF7"/>
    <w:rsid w:val="00991DE0"/>
    <w:rsid w:val="00996BFF"/>
    <w:rsid w:val="009C4BCE"/>
    <w:rsid w:val="009E1650"/>
    <w:rsid w:val="009E7DA6"/>
    <w:rsid w:val="009F1985"/>
    <w:rsid w:val="009F44AF"/>
    <w:rsid w:val="00A00760"/>
    <w:rsid w:val="00A153B5"/>
    <w:rsid w:val="00A279AB"/>
    <w:rsid w:val="00A3677E"/>
    <w:rsid w:val="00A464CC"/>
    <w:rsid w:val="00A714D1"/>
    <w:rsid w:val="00A74B43"/>
    <w:rsid w:val="00AB0788"/>
    <w:rsid w:val="00AC0A18"/>
    <w:rsid w:val="00AC29F1"/>
    <w:rsid w:val="00B01A7E"/>
    <w:rsid w:val="00B42117"/>
    <w:rsid w:val="00B5070E"/>
    <w:rsid w:val="00B528F5"/>
    <w:rsid w:val="00B60569"/>
    <w:rsid w:val="00B70367"/>
    <w:rsid w:val="00B705A8"/>
    <w:rsid w:val="00B71151"/>
    <w:rsid w:val="00BA1623"/>
    <w:rsid w:val="00BA2656"/>
    <w:rsid w:val="00BA42EF"/>
    <w:rsid w:val="00BB0F29"/>
    <w:rsid w:val="00BC2C20"/>
    <w:rsid w:val="00BC76A6"/>
    <w:rsid w:val="00C039DF"/>
    <w:rsid w:val="00C063AC"/>
    <w:rsid w:val="00C1352A"/>
    <w:rsid w:val="00C203B4"/>
    <w:rsid w:val="00C20B3B"/>
    <w:rsid w:val="00C62D6D"/>
    <w:rsid w:val="00C82158"/>
    <w:rsid w:val="00C84C61"/>
    <w:rsid w:val="00C85745"/>
    <w:rsid w:val="00C874E2"/>
    <w:rsid w:val="00C9293A"/>
    <w:rsid w:val="00C9755D"/>
    <w:rsid w:val="00CB078A"/>
    <w:rsid w:val="00CD214B"/>
    <w:rsid w:val="00CE79CB"/>
    <w:rsid w:val="00CF4B94"/>
    <w:rsid w:val="00D015B0"/>
    <w:rsid w:val="00D27947"/>
    <w:rsid w:val="00D3722D"/>
    <w:rsid w:val="00D42A63"/>
    <w:rsid w:val="00D53493"/>
    <w:rsid w:val="00D556B7"/>
    <w:rsid w:val="00D62192"/>
    <w:rsid w:val="00D66411"/>
    <w:rsid w:val="00D773C8"/>
    <w:rsid w:val="00DA4CD1"/>
    <w:rsid w:val="00DB6350"/>
    <w:rsid w:val="00DC270F"/>
    <w:rsid w:val="00DE04BD"/>
    <w:rsid w:val="00DE65CE"/>
    <w:rsid w:val="00E011DB"/>
    <w:rsid w:val="00E26FBF"/>
    <w:rsid w:val="00E31C92"/>
    <w:rsid w:val="00E33778"/>
    <w:rsid w:val="00E41C4C"/>
    <w:rsid w:val="00E4329D"/>
    <w:rsid w:val="00E45B08"/>
    <w:rsid w:val="00E63726"/>
    <w:rsid w:val="00EB0F4F"/>
    <w:rsid w:val="00EB1CC9"/>
    <w:rsid w:val="00EB2553"/>
    <w:rsid w:val="00EE24C9"/>
    <w:rsid w:val="00F06A2B"/>
    <w:rsid w:val="00F127FC"/>
    <w:rsid w:val="00F35026"/>
    <w:rsid w:val="00F420AB"/>
    <w:rsid w:val="00F45C06"/>
    <w:rsid w:val="00F57DDF"/>
    <w:rsid w:val="00F6037B"/>
    <w:rsid w:val="00F77B03"/>
    <w:rsid w:val="00FB28BD"/>
    <w:rsid w:val="00FB3BEB"/>
    <w:rsid w:val="00FD20DC"/>
    <w:rsid w:val="00FF01D5"/>
    <w:rsid w:val="00FF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E1CCC89"/>
  <w15:chartTrackingRefBased/>
  <w15:docId w15:val="{C4311C63-A251-4B06-86FD-9FD5A47E8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3493"/>
    <w:pPr>
      <w:tabs>
        <w:tab w:val="left" w:pos="567"/>
      </w:tabs>
      <w:snapToGrid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Heading1">
    <w:name w:val="heading 1"/>
    <w:basedOn w:val="Normal"/>
    <w:next w:val="Heading2"/>
    <w:link w:val="Heading1Char"/>
    <w:autoRedefine/>
    <w:qFormat/>
    <w:rsid w:val="00BC76A6"/>
    <w:pPr>
      <w:keepNext/>
      <w:keepLines/>
      <w:numPr>
        <w:numId w:val="1"/>
      </w:numPr>
      <w:spacing w:after="240"/>
      <w:ind w:left="2988"/>
      <w:outlineLvl w:val="0"/>
    </w:pPr>
    <w:rPr>
      <w:rFonts w:cstheme="minorBidi"/>
      <w:b/>
      <w:bCs/>
      <w:caps/>
      <w:snapToGrid/>
      <w:kern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C0D97"/>
    <w:pPr>
      <w:keepNext/>
      <w:keepLines/>
      <w:numPr>
        <w:ilvl w:val="1"/>
        <w:numId w:val="2"/>
      </w:numPr>
      <w:spacing w:before="40"/>
      <w:outlineLvl w:val="1"/>
    </w:pPr>
    <w:rPr>
      <w:rFonts w:eastAsiaTheme="majorEastAsia" w:cstheme="majorBidi"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9"/>
    <w:qFormat/>
    <w:rsid w:val="00153381"/>
    <w:pPr>
      <w:keepNext/>
      <w:numPr>
        <w:ilvl w:val="3"/>
        <w:numId w:val="3"/>
      </w:numPr>
      <w:tabs>
        <w:tab w:val="num" w:pos="864"/>
      </w:tabs>
      <w:spacing w:after="240"/>
      <w:ind w:left="862" w:hanging="862"/>
      <w:outlineLvl w:val="3"/>
    </w:pPr>
    <w:rPr>
      <w:rFonts w:eastAsia="MS Mincho" w:cstheme="minorBidi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C0D97"/>
    <w:rPr>
      <w:rFonts w:ascii="Arial" w:eastAsiaTheme="majorEastAsia" w:hAnsi="Arial" w:cstheme="majorBidi"/>
      <w:szCs w:val="26"/>
      <w:lang w:val="ru-RU" w:eastAsia="ja-JP"/>
    </w:rPr>
  </w:style>
  <w:style w:type="character" w:styleId="Hyperlink">
    <w:name w:val="Hyperlink"/>
    <w:basedOn w:val="DefaultParagraphFont"/>
    <w:unhideWhenUsed/>
    <w:qFormat/>
    <w:rsid w:val="00AB0788"/>
    <w:rPr>
      <w:rFonts w:ascii="Arial" w:hAnsi="Arial"/>
      <w:color w:val="0000FF"/>
      <w:sz w:val="22"/>
      <w:u w:val="single"/>
    </w:rPr>
  </w:style>
  <w:style w:type="paragraph" w:customStyle="1" w:styleId="Links">
    <w:name w:val="Links"/>
    <w:basedOn w:val="Normal"/>
    <w:qFormat/>
    <w:rsid w:val="00AB0788"/>
    <w:pPr>
      <w:autoSpaceDE w:val="0"/>
      <w:autoSpaceDN w:val="0"/>
      <w:adjustRightInd w:val="0"/>
      <w:spacing w:after="240"/>
      <w:jc w:val="both"/>
    </w:pPr>
    <w:rPr>
      <w:rFonts w:cs="Arial"/>
      <w:color w:val="4472C4" w:themeColor="accent5"/>
      <w:szCs w:val="22"/>
    </w:rPr>
  </w:style>
  <w:style w:type="character" w:customStyle="1" w:styleId="Heading1Char">
    <w:name w:val="Heading 1 Char"/>
    <w:link w:val="Heading1"/>
    <w:rsid w:val="00BC76A6"/>
    <w:rPr>
      <w:rFonts w:ascii="Arial" w:eastAsia="Times New Roman" w:hAnsi="Arial"/>
      <w:b/>
      <w:bCs/>
      <w:caps/>
      <w:snapToGrid w:val="0"/>
      <w:kern w:val="28"/>
      <w:szCs w:val="24"/>
      <w:lang w:val="ru-RU"/>
    </w:rPr>
  </w:style>
  <w:style w:type="paragraph" w:styleId="DocumentMap">
    <w:name w:val="Document Map"/>
    <w:basedOn w:val="Normal"/>
    <w:link w:val="DocumentMapChar"/>
    <w:autoRedefine/>
    <w:uiPriority w:val="99"/>
    <w:rsid w:val="00153381"/>
    <w:pPr>
      <w:widowControl w:val="0"/>
      <w:shd w:val="clear" w:color="auto" w:fill="000080"/>
      <w:adjustRightInd w:val="0"/>
      <w:spacing w:after="240"/>
      <w:jc w:val="both"/>
      <w:textAlignment w:val="baseline"/>
    </w:pPr>
    <w:rPr>
      <w:rFonts w:cs="Tahoma"/>
      <w:szCs w:val="22"/>
      <w:lang w:eastAsia="en-AU"/>
    </w:rPr>
  </w:style>
  <w:style w:type="character" w:customStyle="1" w:styleId="DocumentMapChar">
    <w:name w:val="Document Map Char"/>
    <w:link w:val="DocumentMap"/>
    <w:uiPriority w:val="99"/>
    <w:rsid w:val="00153381"/>
    <w:rPr>
      <w:rFonts w:ascii="Arial" w:hAnsi="Arial" w:cs="Tahoma"/>
      <w:shd w:val="clear" w:color="auto" w:fill="000080"/>
      <w:lang w:val="ru-RU" w:eastAsia="en-AU"/>
    </w:rPr>
  </w:style>
  <w:style w:type="character" w:customStyle="1" w:styleId="Heading4Char">
    <w:name w:val="Heading 4 Char"/>
    <w:link w:val="Heading4"/>
    <w:uiPriority w:val="99"/>
    <w:rsid w:val="00153381"/>
    <w:rPr>
      <w:rFonts w:ascii="Arial" w:eastAsia="MS Mincho" w:hAnsi="Arial"/>
      <w:bCs/>
      <w:i/>
      <w:szCs w:val="28"/>
      <w:lang w:val="ru-RU" w:eastAsia="ja-JP"/>
    </w:rPr>
  </w:style>
  <w:style w:type="paragraph" w:customStyle="1" w:styleId="b">
    <w:name w:val="(b)"/>
    <w:basedOn w:val="Normal"/>
    <w:rsid w:val="00D53493"/>
    <w:pPr>
      <w:tabs>
        <w:tab w:val="clear" w:pos="567"/>
        <w:tab w:val="left" w:pos="-737"/>
        <w:tab w:val="left" w:pos="1134"/>
      </w:tabs>
      <w:spacing w:after="240"/>
      <w:ind w:left="1134" w:hanging="567"/>
      <w:jc w:val="both"/>
    </w:pPr>
  </w:style>
  <w:style w:type="paragraph" w:styleId="ListParagraph">
    <w:name w:val="List Paragraph"/>
    <w:basedOn w:val="Normal"/>
    <w:uiPriority w:val="34"/>
    <w:qFormat/>
    <w:rsid w:val="00D53493"/>
    <w:pPr>
      <w:ind w:left="720"/>
      <w:contextualSpacing/>
    </w:pPr>
  </w:style>
  <w:style w:type="paragraph" w:styleId="Header">
    <w:name w:val="header"/>
    <w:basedOn w:val="Normal"/>
    <w:link w:val="HeaderChar"/>
    <w:rsid w:val="00D53493"/>
    <w:pPr>
      <w:tabs>
        <w:tab w:val="clear" w:pos="567"/>
        <w:tab w:val="center" w:pos="4153"/>
        <w:tab w:val="right" w:pos="8306"/>
      </w:tabs>
      <w:snapToGrid/>
      <w:jc w:val="both"/>
    </w:pPr>
    <w:rPr>
      <w:snapToGrid/>
      <w:szCs w:val="20"/>
    </w:rPr>
  </w:style>
  <w:style w:type="character" w:customStyle="1" w:styleId="HeaderChar">
    <w:name w:val="Header Char"/>
    <w:basedOn w:val="DefaultParagraphFont"/>
    <w:link w:val="Header"/>
    <w:rsid w:val="00D53493"/>
    <w:rPr>
      <w:rFonts w:ascii="Times New Roman" w:eastAsia="Times New Roman" w:hAnsi="Times New Roman" w:cs="Times New Roman"/>
      <w:sz w:val="24"/>
      <w:szCs w:val="20"/>
      <w:lang w:val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BC2C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2C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C20"/>
    <w:rPr>
      <w:rFonts w:ascii="Times New Roman" w:eastAsia="Times New Roman" w:hAnsi="Times New Roman" w:cs="Times New Roman"/>
      <w:snapToGrid w:val="0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2C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2C20"/>
    <w:rPr>
      <w:rFonts w:ascii="Times New Roman" w:eastAsia="Times New Roman" w:hAnsi="Times New Roman" w:cs="Times New Roman"/>
      <w:b/>
      <w:bCs/>
      <w:snapToGrid w:val="0"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2C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C20"/>
    <w:rPr>
      <w:rFonts w:ascii="Segoe UI" w:eastAsia="Times New Roman" w:hAnsi="Segoe UI" w:cs="Segoe UI"/>
      <w:snapToGrid w:val="0"/>
      <w:sz w:val="18"/>
      <w:szCs w:val="18"/>
      <w:lang w:val="ru-RU"/>
    </w:rPr>
  </w:style>
  <w:style w:type="paragraph" w:customStyle="1" w:styleId="Default">
    <w:name w:val="Default"/>
    <w:rsid w:val="00FB28BD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D0597"/>
    <w:pPr>
      <w:tabs>
        <w:tab w:val="clear" w:pos="567"/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597"/>
    <w:rPr>
      <w:rFonts w:ascii="Times New Roman" w:eastAsia="Times New Roman" w:hAnsi="Times New Roman" w:cs="Times New Roman"/>
      <w:snapToGrid w:val="0"/>
      <w:sz w:val="24"/>
      <w:szCs w:val="24"/>
      <w:lang w:val="ru-RU"/>
    </w:rPr>
  </w:style>
  <w:style w:type="character" w:styleId="FollowedHyperlink">
    <w:name w:val="FollowedHyperlink"/>
    <w:basedOn w:val="DefaultParagraphFont"/>
    <w:uiPriority w:val="99"/>
    <w:semiHidden/>
    <w:unhideWhenUsed/>
    <w:rsid w:val="00BA16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4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oc-unesco.org/index.php?option=com_oe&amp;task=viewDocumentRecord&amp;docID=26809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oc-unesco.org/index.php?option=com_oe&amp;task=viewDocumentRecord&amp;docID=2668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oc-unesco.org/index.php?option=com_oe&amp;task=viewDocumentRecord&amp;docID=26684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ioc-unesco.org/index.php?option=com_oe&amp;task=viewDocumentRecord&amp;docID=2668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gacy.ioc-unesco.org/index.php?option=com_oe&amp;task=viewDocumentRecord&amp;docID=26828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63F29-D287-410A-AE4B-C1135F22E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2186</Words>
  <Characters>12462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Проект резолюции EC-53/[5.2]</vt:lpstr>
    </vt:vector>
  </TitlesOfParts>
  <Company>UNESCO</Company>
  <LinksUpToDate>false</LinksUpToDate>
  <CharactersWithSpaces>14619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резолюции EC-53/[5.2]</dc:title>
  <dc:subject>IOC/EC-53/DR.5.2</dc:subject>
  <dc:creator>Pastor Reyes, Ingrid</dc:creator>
  <cp:keywords/>
  <dc:description/>
  <cp:lastModifiedBy>Pastor Reyes, Ingrid</cp:lastModifiedBy>
  <cp:revision>6</cp:revision>
  <cp:lastPrinted>2021-02-10T09:33:00Z</cp:lastPrinted>
  <dcterms:created xsi:type="dcterms:W3CDTF">2021-02-10T09:21:00Z</dcterms:created>
  <dcterms:modified xsi:type="dcterms:W3CDTF">2021-02-10T09:37:00Z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bDCPMS">
    <vt:lpwstr>2100341</vt:lpwstr>
  </property>
  <property fmtid="{D5CDD505-2E9C-101B-9397-08002B2CF9AE}" pid="3" name="Language">
    <vt:lpwstr>R</vt:lpwstr>
  </property>
</Properties>
</file>