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3D75F" w14:textId="77777777" w:rsidR="008A659E" w:rsidRDefault="009D5625" w:rsidP="008A659E">
      <w:r>
        <w:t xml:space="preserve">Extract from </w:t>
      </w:r>
      <w:hyperlink r:id="rId5" w:history="1">
        <w:r w:rsidRPr="00910B11">
          <w:rPr>
            <w:rStyle w:val="Hyperlink"/>
          </w:rPr>
          <w:t>IOC-30 Action Paper</w:t>
        </w:r>
      </w:hyperlink>
      <w:bookmarkStart w:id="0" w:name="_Toc2766673"/>
    </w:p>
    <w:p w14:paraId="43D01E7B" w14:textId="77777777" w:rsidR="008A659E" w:rsidRDefault="008A659E" w:rsidP="008A659E">
      <w:pPr>
        <w:rPr>
          <w:b/>
        </w:rPr>
      </w:pPr>
    </w:p>
    <w:p w14:paraId="28F1E835" w14:textId="328F7033" w:rsidR="008A659E" w:rsidRPr="008A659E" w:rsidRDefault="008A659E" w:rsidP="008A659E">
      <w:bookmarkStart w:id="1" w:name="_GoBack"/>
      <w:bookmarkEnd w:id="1"/>
      <w:r>
        <w:rPr>
          <w:b/>
        </w:rPr>
        <w:t xml:space="preserve">7.1.1  </w:t>
      </w:r>
      <w:r w:rsidRPr="00730E28">
        <w:rPr>
          <w:b/>
        </w:rPr>
        <w:t xml:space="preserve">GOOS: Strategy, Implementation, and Governance </w:t>
      </w:r>
      <w:r w:rsidRPr="00730E28">
        <w:rPr>
          <w:b/>
        </w:rPr>
        <w:br/>
      </w:r>
      <w:r w:rsidRPr="00CC01ED">
        <w:rPr>
          <w:rFonts w:cs="Arial"/>
          <w:bCs/>
          <w:sz w:val="20"/>
          <w:szCs w:val="20"/>
        </w:rPr>
        <w:t>[Rule of Procedure 8.1(a); EC-LI/Dec.5.3]</w:t>
      </w:r>
      <w:bookmarkEnd w:id="0"/>
    </w:p>
    <w:tbl>
      <w:tblPr>
        <w:tblW w:w="9430" w:type="dxa"/>
        <w:tblLook w:val="0000" w:firstRow="0" w:lastRow="0" w:firstColumn="0" w:lastColumn="0" w:noHBand="0" w:noVBand="0"/>
      </w:tblPr>
      <w:tblGrid>
        <w:gridCol w:w="1548"/>
        <w:gridCol w:w="720"/>
        <w:gridCol w:w="2390"/>
        <w:gridCol w:w="3413"/>
        <w:gridCol w:w="1359"/>
      </w:tblGrid>
      <w:tr w:rsidR="008A659E" w:rsidRPr="0076041F" w14:paraId="484E94C7" w14:textId="77777777" w:rsidTr="00E847DE">
        <w:tblPrEx>
          <w:tblCellMar>
            <w:top w:w="0" w:type="dxa"/>
            <w:bottom w:w="0" w:type="dxa"/>
          </w:tblCellMar>
        </w:tblPrEx>
        <w:trPr>
          <w:trHeight w:val="304"/>
        </w:trPr>
        <w:tc>
          <w:tcPr>
            <w:tcW w:w="2268" w:type="dxa"/>
            <w:gridSpan w:val="2"/>
            <w:shd w:val="clear" w:color="auto" w:fill="FFFF99"/>
            <w:tcMar>
              <w:top w:w="57" w:type="dxa"/>
              <w:bottom w:w="57" w:type="dxa"/>
            </w:tcMar>
          </w:tcPr>
          <w:p w14:paraId="636606CE" w14:textId="77777777" w:rsidR="008A659E" w:rsidRDefault="008A659E" w:rsidP="00E847DE">
            <w:pPr>
              <w:rPr>
                <w:rFonts w:ascii="Arial" w:hAnsi="Arial" w:cs="Arial"/>
                <w:i/>
                <w:color w:val="000000"/>
                <w:sz w:val="20"/>
                <w:szCs w:val="20"/>
                <w:u w:val="single"/>
              </w:rPr>
            </w:pPr>
            <w:r>
              <w:rPr>
                <w:rFonts w:ascii="Arial" w:hAnsi="Arial" w:cs="Arial"/>
                <w:i/>
                <w:color w:val="000000"/>
                <w:sz w:val="20"/>
                <w:szCs w:val="20"/>
                <w:u w:val="single"/>
              </w:rPr>
              <w:t>Working document:</w:t>
            </w:r>
          </w:p>
          <w:p w14:paraId="5C1FE699" w14:textId="77777777" w:rsidR="008A659E" w:rsidRPr="0076041F" w:rsidRDefault="008A659E" w:rsidP="00E847DE">
            <w:pPr>
              <w:rPr>
                <w:rFonts w:ascii="Arial" w:hAnsi="Arial" w:cs="Arial"/>
                <w:i/>
                <w:color w:val="000000"/>
                <w:sz w:val="20"/>
                <w:szCs w:val="20"/>
                <w:u w:val="single"/>
              </w:rPr>
            </w:pPr>
          </w:p>
        </w:tc>
        <w:tc>
          <w:tcPr>
            <w:tcW w:w="2390" w:type="dxa"/>
            <w:shd w:val="clear" w:color="auto" w:fill="FFFF99"/>
            <w:tcMar>
              <w:top w:w="57" w:type="dxa"/>
              <w:bottom w:w="57" w:type="dxa"/>
            </w:tcMar>
          </w:tcPr>
          <w:p w14:paraId="4EDE6CA6" w14:textId="77777777" w:rsidR="008A659E" w:rsidRPr="0076041F" w:rsidRDefault="008A659E" w:rsidP="00E847DE">
            <w:pPr>
              <w:rPr>
                <w:rFonts w:ascii="Arial" w:hAnsi="Arial" w:cs="Arial"/>
                <w:color w:val="000000"/>
                <w:sz w:val="20"/>
                <w:szCs w:val="20"/>
              </w:rPr>
            </w:pPr>
            <w:r w:rsidRPr="0076041F">
              <w:rPr>
                <w:rFonts w:ascii="Arial" w:hAnsi="Arial" w:cs="Arial"/>
                <w:color w:val="000000"/>
                <w:sz w:val="20"/>
                <w:szCs w:val="20"/>
              </w:rPr>
              <w:t>IOC-XX</w:t>
            </w:r>
            <w:r>
              <w:rPr>
                <w:rFonts w:ascii="Arial" w:hAnsi="Arial" w:cs="Arial"/>
                <w:color w:val="000000"/>
                <w:sz w:val="20"/>
                <w:szCs w:val="20"/>
              </w:rPr>
              <w:t>X/2 Annex 4</w:t>
            </w:r>
          </w:p>
        </w:tc>
        <w:tc>
          <w:tcPr>
            <w:tcW w:w="4772" w:type="dxa"/>
            <w:gridSpan w:val="2"/>
            <w:shd w:val="clear" w:color="auto" w:fill="FFFF99"/>
            <w:tcMar>
              <w:top w:w="57" w:type="dxa"/>
              <w:bottom w:w="57" w:type="dxa"/>
            </w:tcMar>
          </w:tcPr>
          <w:p w14:paraId="45FAF9D1" w14:textId="77777777" w:rsidR="008A659E" w:rsidRPr="0076041F" w:rsidRDefault="008A659E" w:rsidP="00E847DE">
            <w:pPr>
              <w:rPr>
                <w:rFonts w:ascii="Arial" w:hAnsi="Arial" w:cs="Arial"/>
                <w:color w:val="000000"/>
                <w:sz w:val="20"/>
                <w:szCs w:val="20"/>
              </w:rPr>
            </w:pPr>
            <w:r w:rsidRPr="008669D9">
              <w:rPr>
                <w:rFonts w:ascii="Arial" w:hAnsi="Arial" w:cs="Arial"/>
                <w:color w:val="000000"/>
                <w:sz w:val="20"/>
                <w:szCs w:val="20"/>
              </w:rPr>
              <w:t>Global Ocean Observing System (GOOS) 2030 Strategy</w:t>
            </w:r>
          </w:p>
        </w:tc>
      </w:tr>
      <w:tr w:rsidR="008A659E" w:rsidRPr="0076041F" w14:paraId="012DCFAE" w14:textId="77777777" w:rsidTr="00E847DE">
        <w:tblPrEx>
          <w:tblCellMar>
            <w:top w:w="0" w:type="dxa"/>
            <w:bottom w:w="0" w:type="dxa"/>
          </w:tblCellMar>
        </w:tblPrEx>
        <w:trPr>
          <w:trHeight w:val="304"/>
        </w:trPr>
        <w:tc>
          <w:tcPr>
            <w:tcW w:w="2268" w:type="dxa"/>
            <w:gridSpan w:val="2"/>
            <w:shd w:val="clear" w:color="auto" w:fill="FFFF99"/>
            <w:tcMar>
              <w:top w:w="57" w:type="dxa"/>
              <w:bottom w:w="57" w:type="dxa"/>
            </w:tcMar>
          </w:tcPr>
          <w:p w14:paraId="09AE6592" w14:textId="77777777" w:rsidR="008A659E" w:rsidRDefault="008A659E" w:rsidP="00E847DE">
            <w:pPr>
              <w:rPr>
                <w:rFonts w:ascii="Arial" w:hAnsi="Arial" w:cs="Arial"/>
                <w:i/>
                <w:color w:val="000000"/>
                <w:sz w:val="20"/>
                <w:szCs w:val="20"/>
                <w:u w:val="single"/>
              </w:rPr>
            </w:pPr>
          </w:p>
        </w:tc>
        <w:tc>
          <w:tcPr>
            <w:tcW w:w="2390" w:type="dxa"/>
            <w:shd w:val="clear" w:color="auto" w:fill="FFFF99"/>
            <w:tcMar>
              <w:top w:w="57" w:type="dxa"/>
              <w:bottom w:w="57" w:type="dxa"/>
            </w:tcMar>
          </w:tcPr>
          <w:p w14:paraId="027B4C43" w14:textId="77777777" w:rsidR="008A659E" w:rsidRPr="00730135" w:rsidRDefault="008A659E" w:rsidP="00E847DE">
            <w:pPr>
              <w:rPr>
                <w:rFonts w:ascii="Arial" w:hAnsi="Arial" w:cs="Arial"/>
                <w:color w:val="000000"/>
                <w:sz w:val="20"/>
                <w:szCs w:val="20"/>
              </w:rPr>
            </w:pPr>
            <w:r>
              <w:rPr>
                <w:rFonts w:ascii="Arial" w:hAnsi="Arial" w:cs="Arial"/>
                <w:color w:val="000000"/>
                <w:sz w:val="20"/>
                <w:szCs w:val="20"/>
              </w:rPr>
              <w:t>IOC-XXX/2 Annex 5</w:t>
            </w:r>
          </w:p>
        </w:tc>
        <w:tc>
          <w:tcPr>
            <w:tcW w:w="4772" w:type="dxa"/>
            <w:gridSpan w:val="2"/>
            <w:shd w:val="clear" w:color="auto" w:fill="FFFF99"/>
            <w:tcMar>
              <w:top w:w="57" w:type="dxa"/>
              <w:bottom w:w="57" w:type="dxa"/>
            </w:tcMar>
          </w:tcPr>
          <w:p w14:paraId="4F295EFC" w14:textId="77777777" w:rsidR="008A659E" w:rsidRPr="008669D9" w:rsidRDefault="008A659E" w:rsidP="00E847DE">
            <w:pPr>
              <w:rPr>
                <w:rFonts w:ascii="Arial" w:hAnsi="Arial" w:cs="Arial"/>
                <w:color w:val="000000"/>
                <w:sz w:val="20"/>
                <w:szCs w:val="20"/>
              </w:rPr>
            </w:pPr>
            <w:r w:rsidRPr="00730135">
              <w:rPr>
                <w:rFonts w:ascii="Arial" w:hAnsi="Arial" w:cs="Arial"/>
                <w:color w:val="000000"/>
                <w:sz w:val="20"/>
                <w:szCs w:val="20"/>
              </w:rPr>
              <w:t>Summary GOOS Implementation Plan</w:t>
            </w:r>
          </w:p>
        </w:tc>
      </w:tr>
      <w:tr w:rsidR="008A659E" w:rsidRPr="0076041F" w14:paraId="1B739A81" w14:textId="77777777" w:rsidTr="00E847DE">
        <w:tblPrEx>
          <w:tblCellMar>
            <w:top w:w="0" w:type="dxa"/>
            <w:bottom w:w="0" w:type="dxa"/>
          </w:tblCellMar>
        </w:tblPrEx>
        <w:trPr>
          <w:trHeight w:val="304"/>
        </w:trPr>
        <w:tc>
          <w:tcPr>
            <w:tcW w:w="2268" w:type="dxa"/>
            <w:gridSpan w:val="2"/>
            <w:shd w:val="clear" w:color="auto" w:fill="FFCC99"/>
            <w:tcMar>
              <w:top w:w="57" w:type="dxa"/>
              <w:bottom w:w="57" w:type="dxa"/>
            </w:tcMar>
          </w:tcPr>
          <w:p w14:paraId="5585006E" w14:textId="77777777" w:rsidR="008A659E" w:rsidRPr="0076041F" w:rsidRDefault="008A659E" w:rsidP="00E847DE">
            <w:pPr>
              <w:rPr>
                <w:rFonts w:ascii="Arial" w:hAnsi="Arial" w:cs="Arial"/>
                <w:i/>
                <w:color w:val="000000"/>
                <w:sz w:val="20"/>
                <w:szCs w:val="20"/>
                <w:u w:val="single"/>
              </w:rPr>
            </w:pPr>
            <w:r w:rsidRPr="0076041F">
              <w:rPr>
                <w:rFonts w:ascii="Arial" w:hAnsi="Arial" w:cs="Arial"/>
                <w:i/>
                <w:color w:val="000000"/>
                <w:sz w:val="20"/>
                <w:szCs w:val="20"/>
                <w:u w:val="single"/>
              </w:rPr>
              <w:t>Information:</w:t>
            </w:r>
            <w:r w:rsidRPr="0076041F">
              <w:rPr>
                <w:rFonts w:ascii="Arial" w:hAnsi="Arial" w:cs="Arial"/>
                <w:color w:val="000000"/>
                <w:sz w:val="20"/>
                <w:szCs w:val="20"/>
                <w:highlight w:val="green"/>
              </w:rPr>
              <w:t xml:space="preserve"> </w:t>
            </w:r>
          </w:p>
        </w:tc>
        <w:tc>
          <w:tcPr>
            <w:tcW w:w="2390" w:type="dxa"/>
            <w:shd w:val="clear" w:color="auto" w:fill="auto"/>
            <w:tcMar>
              <w:top w:w="57" w:type="dxa"/>
              <w:bottom w:w="57" w:type="dxa"/>
            </w:tcMar>
          </w:tcPr>
          <w:p w14:paraId="6A6E5AF8" w14:textId="77777777" w:rsidR="008A659E" w:rsidRPr="00391A17" w:rsidRDefault="008A659E" w:rsidP="00E847DE">
            <w:pPr>
              <w:rPr>
                <w:rFonts w:ascii="Arial" w:hAnsi="Arial" w:cs="Arial"/>
                <w:color w:val="000000"/>
                <w:sz w:val="20"/>
                <w:szCs w:val="20"/>
              </w:rPr>
            </w:pPr>
            <w:r>
              <w:rPr>
                <w:rFonts w:ascii="Arial" w:hAnsi="Arial" w:cs="Arial"/>
                <w:color w:val="000000"/>
                <w:sz w:val="20"/>
                <w:szCs w:val="20"/>
              </w:rPr>
              <w:t>IOC/INF-1376</w:t>
            </w:r>
          </w:p>
        </w:tc>
        <w:tc>
          <w:tcPr>
            <w:tcW w:w="4772" w:type="dxa"/>
            <w:gridSpan w:val="2"/>
            <w:shd w:val="clear" w:color="auto" w:fill="auto"/>
            <w:tcMar>
              <w:top w:w="57" w:type="dxa"/>
              <w:bottom w:w="57" w:type="dxa"/>
            </w:tcMar>
          </w:tcPr>
          <w:p w14:paraId="26A4CDB0" w14:textId="77777777" w:rsidR="008A659E" w:rsidRPr="00391A17" w:rsidRDefault="008A659E" w:rsidP="00E847DE">
            <w:pPr>
              <w:spacing w:after="60"/>
              <w:rPr>
                <w:rFonts w:ascii="Arial" w:hAnsi="Arial" w:cs="Arial"/>
                <w:color w:val="000000"/>
                <w:sz w:val="20"/>
                <w:szCs w:val="20"/>
              </w:rPr>
            </w:pPr>
            <w:r w:rsidRPr="00730135">
              <w:rPr>
                <w:rFonts w:ascii="Arial" w:hAnsi="Arial" w:cs="Arial"/>
                <w:color w:val="000000"/>
                <w:sz w:val="20"/>
                <w:szCs w:val="20"/>
              </w:rPr>
              <w:t>G</w:t>
            </w:r>
            <w:r>
              <w:rPr>
                <w:rFonts w:ascii="Arial" w:hAnsi="Arial" w:cs="Arial"/>
                <w:color w:val="000000"/>
                <w:sz w:val="20"/>
                <w:szCs w:val="20"/>
              </w:rPr>
              <w:t xml:space="preserve">lobal </w:t>
            </w:r>
            <w:r w:rsidRPr="00730135">
              <w:rPr>
                <w:rFonts w:ascii="Arial" w:hAnsi="Arial" w:cs="Arial"/>
                <w:color w:val="000000"/>
                <w:sz w:val="20"/>
                <w:szCs w:val="20"/>
              </w:rPr>
              <w:t>O</w:t>
            </w:r>
            <w:r>
              <w:rPr>
                <w:rFonts w:ascii="Arial" w:hAnsi="Arial" w:cs="Arial"/>
                <w:color w:val="000000"/>
                <w:sz w:val="20"/>
                <w:szCs w:val="20"/>
              </w:rPr>
              <w:t xml:space="preserve">cean </w:t>
            </w:r>
            <w:r w:rsidRPr="00730135">
              <w:rPr>
                <w:rFonts w:ascii="Arial" w:hAnsi="Arial" w:cs="Arial"/>
                <w:color w:val="000000"/>
                <w:sz w:val="20"/>
                <w:szCs w:val="20"/>
              </w:rPr>
              <w:t>O</w:t>
            </w:r>
            <w:r>
              <w:rPr>
                <w:rFonts w:ascii="Arial" w:hAnsi="Arial" w:cs="Arial"/>
                <w:color w:val="000000"/>
                <w:sz w:val="20"/>
                <w:szCs w:val="20"/>
              </w:rPr>
              <w:t xml:space="preserve">bservation </w:t>
            </w:r>
            <w:r w:rsidRPr="00730135">
              <w:rPr>
                <w:rFonts w:ascii="Arial" w:hAnsi="Arial" w:cs="Arial"/>
                <w:color w:val="000000"/>
                <w:sz w:val="20"/>
                <w:szCs w:val="20"/>
              </w:rPr>
              <w:t>S</w:t>
            </w:r>
            <w:r>
              <w:rPr>
                <w:rFonts w:ascii="Arial" w:hAnsi="Arial" w:cs="Arial"/>
                <w:color w:val="000000"/>
                <w:sz w:val="20"/>
                <w:szCs w:val="20"/>
              </w:rPr>
              <w:t>ystem</w:t>
            </w:r>
            <w:r w:rsidRPr="00730135">
              <w:rPr>
                <w:rFonts w:ascii="Arial" w:hAnsi="Arial" w:cs="Arial"/>
                <w:color w:val="000000"/>
                <w:sz w:val="20"/>
                <w:szCs w:val="20"/>
              </w:rPr>
              <w:t xml:space="preserve"> Implementation Plan</w:t>
            </w:r>
          </w:p>
        </w:tc>
      </w:tr>
      <w:tr w:rsidR="008A659E" w:rsidRPr="0076041F" w14:paraId="1786C09D" w14:textId="77777777" w:rsidTr="00E847DE">
        <w:tblPrEx>
          <w:tblCellMar>
            <w:top w:w="0" w:type="dxa"/>
            <w:bottom w:w="0" w:type="dxa"/>
          </w:tblCellMar>
        </w:tblPrEx>
        <w:trPr>
          <w:trHeight w:val="304"/>
        </w:trPr>
        <w:tc>
          <w:tcPr>
            <w:tcW w:w="2268" w:type="dxa"/>
            <w:gridSpan w:val="2"/>
            <w:shd w:val="clear" w:color="auto" w:fill="FFCC99"/>
            <w:tcMar>
              <w:top w:w="57" w:type="dxa"/>
              <w:bottom w:w="57" w:type="dxa"/>
            </w:tcMar>
          </w:tcPr>
          <w:p w14:paraId="3CFAF7DE" w14:textId="77777777" w:rsidR="008A659E" w:rsidRPr="0076041F" w:rsidRDefault="008A659E" w:rsidP="00E847DE">
            <w:pPr>
              <w:rPr>
                <w:rFonts w:ascii="Arial" w:hAnsi="Arial" w:cs="Arial"/>
                <w:i/>
                <w:color w:val="000000"/>
                <w:sz w:val="20"/>
                <w:szCs w:val="20"/>
                <w:u w:val="single"/>
              </w:rPr>
            </w:pPr>
          </w:p>
        </w:tc>
        <w:tc>
          <w:tcPr>
            <w:tcW w:w="2390" w:type="dxa"/>
            <w:shd w:val="clear" w:color="auto" w:fill="auto"/>
            <w:tcMar>
              <w:top w:w="57" w:type="dxa"/>
              <w:bottom w:w="57" w:type="dxa"/>
            </w:tcMar>
          </w:tcPr>
          <w:p w14:paraId="0303D18D" w14:textId="77777777" w:rsidR="008A659E" w:rsidRPr="00CC01ED" w:rsidRDefault="008A659E" w:rsidP="00E847DE">
            <w:pPr>
              <w:rPr>
                <w:rFonts w:ascii="Arial" w:hAnsi="Arial" w:cs="Arial"/>
                <w:i/>
                <w:color w:val="000000"/>
                <w:sz w:val="20"/>
                <w:szCs w:val="20"/>
              </w:rPr>
            </w:pPr>
            <w:r>
              <w:rPr>
                <w:rFonts w:ascii="Arial" w:hAnsi="Arial" w:cs="Arial"/>
                <w:color w:val="000000"/>
                <w:sz w:val="20"/>
                <w:szCs w:val="20"/>
              </w:rPr>
              <w:t xml:space="preserve">Brad DeYoung et al. </w:t>
            </w:r>
            <w:r>
              <w:rPr>
                <w:rFonts w:ascii="Arial" w:hAnsi="Arial" w:cs="Arial"/>
                <w:i/>
                <w:color w:val="000000"/>
                <w:sz w:val="20"/>
                <w:szCs w:val="20"/>
              </w:rPr>
              <w:t>Frontiers in Marine Science. 2019</w:t>
            </w:r>
          </w:p>
        </w:tc>
        <w:tc>
          <w:tcPr>
            <w:tcW w:w="4772" w:type="dxa"/>
            <w:gridSpan w:val="2"/>
            <w:shd w:val="clear" w:color="auto" w:fill="auto"/>
            <w:tcMar>
              <w:top w:w="57" w:type="dxa"/>
              <w:bottom w:w="57" w:type="dxa"/>
            </w:tcMar>
          </w:tcPr>
          <w:p w14:paraId="448AAFCA" w14:textId="77777777" w:rsidR="008A659E" w:rsidRPr="00730135" w:rsidRDefault="008A659E" w:rsidP="00E847DE">
            <w:pPr>
              <w:spacing w:after="60"/>
              <w:rPr>
                <w:rFonts w:ascii="Arial" w:hAnsi="Arial" w:cs="Arial"/>
                <w:color w:val="000000"/>
                <w:sz w:val="20"/>
                <w:szCs w:val="20"/>
              </w:rPr>
            </w:pPr>
            <w:r w:rsidRPr="00127C30">
              <w:rPr>
                <w:rFonts w:ascii="Arial" w:hAnsi="Arial" w:cs="Arial"/>
                <w:color w:val="000000"/>
                <w:sz w:val="20"/>
                <w:szCs w:val="20"/>
              </w:rPr>
              <w:t>All-Atlantic Ocean Observing System vision document</w:t>
            </w:r>
          </w:p>
        </w:tc>
      </w:tr>
      <w:tr w:rsidR="008A659E" w:rsidRPr="0076041F" w14:paraId="2FC67355" w14:textId="77777777" w:rsidTr="00E847DE">
        <w:tblPrEx>
          <w:tblCellMar>
            <w:top w:w="0" w:type="dxa"/>
            <w:bottom w:w="0" w:type="dxa"/>
          </w:tblCellMar>
        </w:tblPrEx>
        <w:trPr>
          <w:trHeight w:val="304"/>
        </w:trPr>
        <w:tc>
          <w:tcPr>
            <w:tcW w:w="2268" w:type="dxa"/>
            <w:gridSpan w:val="2"/>
            <w:shd w:val="clear" w:color="auto" w:fill="FFCC99"/>
            <w:tcMar>
              <w:top w:w="57" w:type="dxa"/>
              <w:bottom w:w="57" w:type="dxa"/>
            </w:tcMar>
          </w:tcPr>
          <w:p w14:paraId="2798048E" w14:textId="77777777" w:rsidR="008A659E" w:rsidRPr="0076041F" w:rsidRDefault="008A659E" w:rsidP="00E847DE">
            <w:pPr>
              <w:rPr>
                <w:rFonts w:ascii="Arial" w:hAnsi="Arial" w:cs="Arial"/>
                <w:i/>
                <w:color w:val="000000"/>
                <w:sz w:val="20"/>
                <w:szCs w:val="20"/>
                <w:u w:val="single"/>
              </w:rPr>
            </w:pPr>
          </w:p>
        </w:tc>
        <w:tc>
          <w:tcPr>
            <w:tcW w:w="2390" w:type="dxa"/>
            <w:shd w:val="clear" w:color="auto" w:fill="auto"/>
            <w:tcMar>
              <w:top w:w="57" w:type="dxa"/>
              <w:bottom w:w="57" w:type="dxa"/>
            </w:tcMar>
          </w:tcPr>
          <w:p w14:paraId="0DF373EF" w14:textId="77777777" w:rsidR="008A659E" w:rsidRDefault="008A659E" w:rsidP="00E847DE">
            <w:pPr>
              <w:rPr>
                <w:rFonts w:ascii="Arial" w:hAnsi="Arial" w:cs="Arial"/>
                <w:color w:val="000000"/>
                <w:sz w:val="20"/>
                <w:szCs w:val="20"/>
              </w:rPr>
            </w:pPr>
            <w:r w:rsidRPr="00B3234E">
              <w:rPr>
                <w:rFonts w:ascii="Arial" w:hAnsi="Arial" w:cs="Arial"/>
                <w:color w:val="000000"/>
                <w:sz w:val="20"/>
                <w:szCs w:val="20"/>
              </w:rPr>
              <w:t>WMO Draft Resolution 6.1(3)/4 (Cg-18)</w:t>
            </w:r>
          </w:p>
        </w:tc>
        <w:tc>
          <w:tcPr>
            <w:tcW w:w="4772" w:type="dxa"/>
            <w:gridSpan w:val="2"/>
            <w:shd w:val="clear" w:color="auto" w:fill="auto"/>
            <w:tcMar>
              <w:top w:w="57" w:type="dxa"/>
              <w:bottom w:w="57" w:type="dxa"/>
            </w:tcMar>
          </w:tcPr>
          <w:p w14:paraId="4FB36214" w14:textId="77777777" w:rsidR="008A659E" w:rsidRPr="00730135" w:rsidRDefault="008A659E" w:rsidP="00E847DE">
            <w:pPr>
              <w:spacing w:after="60"/>
              <w:rPr>
                <w:rFonts w:ascii="Arial" w:hAnsi="Arial" w:cs="Arial"/>
                <w:color w:val="000000"/>
                <w:sz w:val="20"/>
                <w:szCs w:val="20"/>
              </w:rPr>
            </w:pPr>
            <w:r w:rsidRPr="00B3234E">
              <w:rPr>
                <w:rFonts w:ascii="Arial" w:hAnsi="Arial" w:cs="Arial"/>
                <w:color w:val="000000"/>
                <w:sz w:val="20"/>
                <w:szCs w:val="20"/>
              </w:rPr>
              <w:t>Ocean observations in support of Earth System Prediction and WMO support to GOOS Strategy 2030 (incl. Tropical Pacific Observing System 2020)</w:t>
            </w:r>
          </w:p>
        </w:tc>
      </w:tr>
      <w:tr w:rsidR="008A659E" w:rsidRPr="0076041F" w14:paraId="066AAADA" w14:textId="77777777" w:rsidTr="00E847DE">
        <w:tblPrEx>
          <w:tblCellMar>
            <w:top w:w="0" w:type="dxa"/>
            <w:bottom w:w="0" w:type="dxa"/>
          </w:tblCellMar>
        </w:tblPrEx>
        <w:trPr>
          <w:trHeight w:val="304"/>
        </w:trPr>
        <w:tc>
          <w:tcPr>
            <w:tcW w:w="2268" w:type="dxa"/>
            <w:gridSpan w:val="2"/>
            <w:shd w:val="clear" w:color="auto" w:fill="FFCC99"/>
            <w:tcMar>
              <w:top w:w="57" w:type="dxa"/>
              <w:bottom w:w="57" w:type="dxa"/>
            </w:tcMar>
          </w:tcPr>
          <w:p w14:paraId="6B434417" w14:textId="77777777" w:rsidR="008A659E" w:rsidRPr="0076041F" w:rsidRDefault="008A659E" w:rsidP="00E847DE">
            <w:pPr>
              <w:rPr>
                <w:rFonts w:ascii="Arial" w:hAnsi="Arial" w:cs="Arial"/>
                <w:i/>
                <w:color w:val="000000"/>
                <w:sz w:val="20"/>
                <w:szCs w:val="20"/>
                <w:u w:val="single"/>
              </w:rPr>
            </w:pPr>
          </w:p>
        </w:tc>
        <w:tc>
          <w:tcPr>
            <w:tcW w:w="2390" w:type="dxa"/>
            <w:shd w:val="clear" w:color="auto" w:fill="auto"/>
            <w:tcMar>
              <w:top w:w="57" w:type="dxa"/>
              <w:bottom w:w="57" w:type="dxa"/>
            </w:tcMar>
          </w:tcPr>
          <w:p w14:paraId="0E9819C0" w14:textId="77777777" w:rsidR="008A659E" w:rsidRDefault="008A659E" w:rsidP="00E847DE">
            <w:pPr>
              <w:rPr>
                <w:rFonts w:ascii="Arial" w:hAnsi="Arial" w:cs="Arial"/>
                <w:color w:val="000000"/>
                <w:sz w:val="20"/>
                <w:szCs w:val="20"/>
              </w:rPr>
            </w:pPr>
            <w:r w:rsidRPr="00B3234E">
              <w:rPr>
                <w:rFonts w:ascii="Arial" w:hAnsi="Arial" w:cs="Arial"/>
                <w:color w:val="000000"/>
                <w:sz w:val="20"/>
                <w:szCs w:val="20"/>
              </w:rPr>
              <w:t>WMO Draft Resolution 6.1(3)/2 (Cg-18)</w:t>
            </w:r>
          </w:p>
        </w:tc>
        <w:tc>
          <w:tcPr>
            <w:tcW w:w="4772" w:type="dxa"/>
            <w:gridSpan w:val="2"/>
            <w:shd w:val="clear" w:color="auto" w:fill="auto"/>
            <w:tcMar>
              <w:top w:w="57" w:type="dxa"/>
              <w:bottom w:w="57" w:type="dxa"/>
            </w:tcMar>
          </w:tcPr>
          <w:p w14:paraId="7C2083BC" w14:textId="77777777" w:rsidR="008A659E" w:rsidRPr="00730135" w:rsidRDefault="008A659E" w:rsidP="00E847DE">
            <w:pPr>
              <w:spacing w:after="60"/>
              <w:rPr>
                <w:rFonts w:ascii="Arial" w:hAnsi="Arial" w:cs="Arial"/>
                <w:color w:val="000000"/>
                <w:sz w:val="20"/>
                <w:szCs w:val="20"/>
              </w:rPr>
            </w:pPr>
            <w:r w:rsidRPr="00B3234E">
              <w:rPr>
                <w:rFonts w:ascii="Arial" w:hAnsi="Arial" w:cs="Arial"/>
                <w:color w:val="000000"/>
                <w:sz w:val="20"/>
                <w:szCs w:val="20"/>
              </w:rPr>
              <w:t>Ensuring Adequate Marine Meteorological and Oceanographic Observations and Data Coverage for the Safety of Navigation and the Protection of Life and Property in Coastal and Offshore Areas</w:t>
            </w:r>
          </w:p>
        </w:tc>
      </w:tr>
      <w:tr w:rsidR="008A659E" w:rsidRPr="0076041F" w14:paraId="040A4235" w14:textId="77777777" w:rsidTr="00E847DE">
        <w:tblPrEx>
          <w:tblCellMar>
            <w:top w:w="0" w:type="dxa"/>
            <w:bottom w:w="0" w:type="dxa"/>
          </w:tblCellMar>
        </w:tblPrEx>
        <w:trPr>
          <w:trHeight w:val="304"/>
        </w:trPr>
        <w:tc>
          <w:tcPr>
            <w:tcW w:w="2268" w:type="dxa"/>
            <w:gridSpan w:val="2"/>
            <w:shd w:val="clear" w:color="auto" w:fill="FFCC99"/>
            <w:tcMar>
              <w:top w:w="57" w:type="dxa"/>
              <w:bottom w:w="57" w:type="dxa"/>
            </w:tcMar>
          </w:tcPr>
          <w:p w14:paraId="452921DF" w14:textId="77777777" w:rsidR="008A659E" w:rsidRPr="0076041F" w:rsidRDefault="008A659E" w:rsidP="00E847DE">
            <w:pPr>
              <w:rPr>
                <w:rFonts w:ascii="Arial" w:hAnsi="Arial" w:cs="Arial"/>
                <w:i/>
                <w:color w:val="000000"/>
                <w:sz w:val="20"/>
                <w:szCs w:val="20"/>
                <w:u w:val="single"/>
              </w:rPr>
            </w:pPr>
          </w:p>
        </w:tc>
        <w:tc>
          <w:tcPr>
            <w:tcW w:w="2390" w:type="dxa"/>
            <w:shd w:val="clear" w:color="auto" w:fill="auto"/>
            <w:tcMar>
              <w:top w:w="57" w:type="dxa"/>
              <w:bottom w:w="57" w:type="dxa"/>
            </w:tcMar>
          </w:tcPr>
          <w:p w14:paraId="56053616" w14:textId="77777777" w:rsidR="008A659E" w:rsidRDefault="008A659E" w:rsidP="00E847DE">
            <w:pPr>
              <w:rPr>
                <w:rFonts w:ascii="Arial" w:hAnsi="Arial" w:cs="Arial"/>
                <w:color w:val="000000"/>
                <w:sz w:val="20"/>
                <w:szCs w:val="20"/>
              </w:rPr>
            </w:pPr>
            <w:r w:rsidRPr="00B3234E">
              <w:rPr>
                <w:rFonts w:ascii="Arial" w:hAnsi="Arial" w:cs="Arial"/>
                <w:color w:val="000000"/>
                <w:sz w:val="20"/>
                <w:szCs w:val="20"/>
              </w:rPr>
              <w:t>WMO Draft Resolution 6.1(3)/3 (Cg-18)</w:t>
            </w:r>
          </w:p>
        </w:tc>
        <w:tc>
          <w:tcPr>
            <w:tcW w:w="4772" w:type="dxa"/>
            <w:gridSpan w:val="2"/>
            <w:shd w:val="clear" w:color="auto" w:fill="auto"/>
            <w:tcMar>
              <w:top w:w="57" w:type="dxa"/>
              <w:bottom w:w="57" w:type="dxa"/>
            </w:tcMar>
          </w:tcPr>
          <w:p w14:paraId="20F8CE2C" w14:textId="77777777" w:rsidR="008A659E" w:rsidRPr="00730135" w:rsidRDefault="008A659E" w:rsidP="00E847DE">
            <w:pPr>
              <w:spacing w:after="60"/>
              <w:rPr>
                <w:rFonts w:ascii="Arial" w:hAnsi="Arial" w:cs="Arial"/>
                <w:color w:val="000000"/>
                <w:sz w:val="20"/>
                <w:szCs w:val="20"/>
              </w:rPr>
            </w:pPr>
            <w:r w:rsidRPr="00B3234E">
              <w:rPr>
                <w:rFonts w:ascii="Arial" w:hAnsi="Arial" w:cs="Arial"/>
                <w:color w:val="000000"/>
                <w:sz w:val="20"/>
                <w:szCs w:val="20"/>
              </w:rPr>
              <w:t>Future Collaboration Between WMO and IOC Regarding Facilitating the Making of Oceanographic Observations in Coastal Regions in Support of Earth System Prediction and Climate Services</w:t>
            </w:r>
          </w:p>
        </w:tc>
      </w:tr>
      <w:tr w:rsidR="008A659E" w:rsidRPr="0076041F" w14:paraId="4A5FBE5C" w14:textId="77777777" w:rsidTr="00E847DE">
        <w:tblPrEx>
          <w:tblCellMar>
            <w:top w:w="0" w:type="dxa"/>
            <w:bottom w:w="0" w:type="dxa"/>
          </w:tblCellMar>
        </w:tblPrEx>
        <w:trPr>
          <w:trHeight w:val="304"/>
        </w:trPr>
        <w:tc>
          <w:tcPr>
            <w:tcW w:w="2268" w:type="dxa"/>
            <w:gridSpan w:val="2"/>
            <w:shd w:val="clear" w:color="auto" w:fill="DEEAF6"/>
            <w:tcMar>
              <w:top w:w="57" w:type="dxa"/>
              <w:bottom w:w="57" w:type="dxa"/>
            </w:tcMar>
          </w:tcPr>
          <w:p w14:paraId="189AA507" w14:textId="77777777" w:rsidR="008A659E" w:rsidRPr="0076041F" w:rsidRDefault="008A659E" w:rsidP="00E847DE">
            <w:pPr>
              <w:rPr>
                <w:rFonts w:ascii="Arial" w:hAnsi="Arial" w:cs="Arial"/>
                <w:i/>
                <w:color w:val="000000"/>
                <w:sz w:val="20"/>
                <w:szCs w:val="20"/>
                <w:u w:val="single"/>
              </w:rPr>
            </w:pPr>
            <w:r>
              <w:rPr>
                <w:rFonts w:ascii="Arial" w:hAnsi="Arial" w:cs="Arial"/>
                <w:i/>
                <w:color w:val="000000"/>
                <w:sz w:val="20"/>
                <w:szCs w:val="20"/>
                <w:u w:val="single"/>
              </w:rPr>
              <w:t>References:</w:t>
            </w:r>
          </w:p>
        </w:tc>
        <w:tc>
          <w:tcPr>
            <w:tcW w:w="2390" w:type="dxa"/>
            <w:shd w:val="clear" w:color="auto" w:fill="FFFFFF"/>
            <w:tcMar>
              <w:top w:w="57" w:type="dxa"/>
              <w:bottom w:w="57" w:type="dxa"/>
            </w:tcMar>
          </w:tcPr>
          <w:p w14:paraId="7FB9B2BD" w14:textId="77777777" w:rsidR="008A659E" w:rsidRDefault="008A659E" w:rsidP="00E847DE">
            <w:pPr>
              <w:rPr>
                <w:rFonts w:ascii="Arial" w:hAnsi="Arial" w:cs="Arial"/>
                <w:color w:val="000000"/>
                <w:sz w:val="20"/>
                <w:szCs w:val="20"/>
              </w:rPr>
            </w:pPr>
            <w:r>
              <w:rPr>
                <w:rFonts w:ascii="Arial" w:hAnsi="Arial" w:cs="Arial"/>
                <w:color w:val="000000"/>
                <w:sz w:val="20"/>
                <w:szCs w:val="20"/>
              </w:rPr>
              <w:t>TPOS2020</w:t>
            </w:r>
          </w:p>
        </w:tc>
        <w:tc>
          <w:tcPr>
            <w:tcW w:w="4772" w:type="dxa"/>
            <w:gridSpan w:val="2"/>
            <w:shd w:val="clear" w:color="auto" w:fill="FFFFFF"/>
            <w:tcMar>
              <w:top w:w="57" w:type="dxa"/>
              <w:bottom w:w="57" w:type="dxa"/>
            </w:tcMar>
          </w:tcPr>
          <w:p w14:paraId="120AFB84" w14:textId="77777777" w:rsidR="008A659E" w:rsidRPr="00730135" w:rsidRDefault="008A659E" w:rsidP="00E847DE">
            <w:pPr>
              <w:spacing w:after="60"/>
              <w:rPr>
                <w:rFonts w:ascii="Arial" w:hAnsi="Arial" w:cs="Arial"/>
                <w:color w:val="000000"/>
                <w:sz w:val="20"/>
                <w:szCs w:val="20"/>
              </w:rPr>
            </w:pPr>
            <w:r>
              <w:rPr>
                <w:rFonts w:ascii="Arial" w:hAnsi="Arial" w:cs="Arial"/>
                <w:color w:val="000000"/>
                <w:sz w:val="20"/>
                <w:szCs w:val="20"/>
              </w:rPr>
              <w:t>Second</w:t>
            </w:r>
            <w:r w:rsidRPr="00730135">
              <w:rPr>
                <w:rFonts w:ascii="Arial" w:hAnsi="Arial" w:cs="Arial"/>
                <w:color w:val="000000"/>
                <w:sz w:val="20"/>
                <w:szCs w:val="20"/>
              </w:rPr>
              <w:t xml:space="preserve"> report </w:t>
            </w:r>
            <w:r>
              <w:rPr>
                <w:rFonts w:ascii="Arial" w:hAnsi="Arial" w:cs="Arial"/>
                <w:color w:val="000000"/>
                <w:sz w:val="20"/>
                <w:szCs w:val="20"/>
              </w:rPr>
              <w:t xml:space="preserve">of the </w:t>
            </w:r>
            <w:r w:rsidRPr="00730135">
              <w:rPr>
                <w:rFonts w:ascii="Arial" w:hAnsi="Arial" w:cs="Arial"/>
                <w:color w:val="000000"/>
                <w:sz w:val="20"/>
                <w:szCs w:val="20"/>
              </w:rPr>
              <w:t>T</w:t>
            </w:r>
            <w:r>
              <w:rPr>
                <w:rFonts w:ascii="Arial" w:hAnsi="Arial" w:cs="Arial"/>
                <w:color w:val="000000"/>
                <w:sz w:val="20"/>
                <w:szCs w:val="20"/>
              </w:rPr>
              <w:t>ropical Pacific Observing System 2020</w:t>
            </w:r>
          </w:p>
        </w:tc>
      </w:tr>
      <w:tr w:rsidR="008A659E" w:rsidRPr="0076041F" w14:paraId="1526D5B0" w14:textId="77777777" w:rsidTr="00E847DE">
        <w:tblPrEx>
          <w:tblCellMar>
            <w:top w:w="0" w:type="dxa"/>
            <w:bottom w:w="0" w:type="dxa"/>
          </w:tblCellMar>
        </w:tblPrEx>
        <w:trPr>
          <w:gridAfter w:val="1"/>
          <w:wAfter w:w="1359" w:type="dxa"/>
          <w:trHeight w:hRule="exact" w:val="60"/>
        </w:trPr>
        <w:tc>
          <w:tcPr>
            <w:tcW w:w="1548" w:type="dxa"/>
            <w:shd w:val="clear" w:color="auto" w:fill="auto"/>
            <w:tcMar>
              <w:top w:w="0" w:type="dxa"/>
              <w:bottom w:w="0" w:type="dxa"/>
            </w:tcMar>
          </w:tcPr>
          <w:p w14:paraId="5616AD3B" w14:textId="77777777" w:rsidR="008A659E" w:rsidRPr="0076041F" w:rsidRDefault="008A659E" w:rsidP="00E847DE">
            <w:pPr>
              <w:rPr>
                <w:rFonts w:ascii="Arial" w:hAnsi="Arial" w:cs="Arial"/>
                <w:i/>
                <w:color w:val="000000"/>
                <w:sz w:val="20"/>
                <w:szCs w:val="20"/>
                <w:u w:val="single"/>
              </w:rPr>
            </w:pPr>
          </w:p>
        </w:tc>
        <w:tc>
          <w:tcPr>
            <w:tcW w:w="6523" w:type="dxa"/>
            <w:gridSpan w:val="3"/>
            <w:shd w:val="clear" w:color="auto" w:fill="auto"/>
            <w:tcMar>
              <w:top w:w="0" w:type="dxa"/>
              <w:bottom w:w="0" w:type="dxa"/>
            </w:tcMar>
          </w:tcPr>
          <w:p w14:paraId="3F009A28" w14:textId="77777777" w:rsidR="008A659E" w:rsidRPr="0076041F" w:rsidRDefault="008A659E" w:rsidP="00E847DE">
            <w:pPr>
              <w:rPr>
                <w:rFonts w:ascii="Arial" w:hAnsi="Arial" w:cs="Arial"/>
                <w:color w:val="000000"/>
                <w:sz w:val="20"/>
                <w:szCs w:val="20"/>
              </w:rPr>
            </w:pPr>
          </w:p>
        </w:tc>
      </w:tr>
      <w:tr w:rsidR="008A659E" w:rsidRPr="0076041F" w14:paraId="4059B613" w14:textId="77777777" w:rsidTr="00E847DE">
        <w:tblPrEx>
          <w:tblCellMar>
            <w:top w:w="0" w:type="dxa"/>
            <w:bottom w:w="0" w:type="dxa"/>
          </w:tblCellMar>
        </w:tblPrEx>
        <w:trPr>
          <w:gridAfter w:val="1"/>
          <w:wAfter w:w="1359" w:type="dxa"/>
          <w:trHeight w:hRule="exact" w:val="60"/>
        </w:trPr>
        <w:tc>
          <w:tcPr>
            <w:tcW w:w="1548" w:type="dxa"/>
            <w:shd w:val="clear" w:color="auto" w:fill="auto"/>
            <w:tcMar>
              <w:top w:w="0" w:type="dxa"/>
              <w:bottom w:w="0" w:type="dxa"/>
            </w:tcMar>
          </w:tcPr>
          <w:p w14:paraId="0DE07CA9" w14:textId="77777777" w:rsidR="008A659E" w:rsidRPr="0076041F" w:rsidRDefault="008A659E" w:rsidP="00E847DE">
            <w:pPr>
              <w:rPr>
                <w:rFonts w:ascii="Arial" w:hAnsi="Arial" w:cs="Arial"/>
                <w:i/>
                <w:color w:val="000000"/>
                <w:sz w:val="20"/>
                <w:szCs w:val="20"/>
                <w:u w:val="single"/>
              </w:rPr>
            </w:pPr>
          </w:p>
        </w:tc>
        <w:tc>
          <w:tcPr>
            <w:tcW w:w="6523" w:type="dxa"/>
            <w:gridSpan w:val="3"/>
            <w:shd w:val="clear" w:color="auto" w:fill="auto"/>
            <w:tcMar>
              <w:top w:w="0" w:type="dxa"/>
              <w:bottom w:w="0" w:type="dxa"/>
            </w:tcMar>
          </w:tcPr>
          <w:p w14:paraId="781B09F3" w14:textId="77777777" w:rsidR="008A659E" w:rsidRPr="0076041F" w:rsidRDefault="008A659E" w:rsidP="00E847DE">
            <w:pPr>
              <w:rPr>
                <w:rFonts w:ascii="Arial" w:hAnsi="Arial" w:cs="Arial"/>
                <w:color w:val="000000"/>
                <w:sz w:val="20"/>
                <w:szCs w:val="20"/>
              </w:rPr>
            </w:pPr>
          </w:p>
        </w:tc>
      </w:tr>
    </w:tbl>
    <w:p w14:paraId="4CAAC80D" w14:textId="77777777" w:rsidR="008A659E" w:rsidRDefault="008A659E" w:rsidP="008A659E"/>
    <w:p w14:paraId="4EC969B2" w14:textId="77777777" w:rsidR="008A659E" w:rsidRPr="00B3234E" w:rsidRDefault="008A659E" w:rsidP="008A659E">
      <w:pPr>
        <w:pStyle w:val="ListParagraph1"/>
        <w:numPr>
          <w:ilvl w:val="0"/>
          <w:numId w:val="1"/>
        </w:numPr>
        <w:tabs>
          <w:tab w:val="left" w:pos="709"/>
        </w:tabs>
        <w:spacing w:after="240"/>
        <w:ind w:hanging="720"/>
        <w:contextualSpacing w:val="0"/>
        <w:rPr>
          <w:rFonts w:ascii="Arial" w:hAnsi="Arial" w:cs="Arial"/>
          <w:sz w:val="22"/>
          <w:szCs w:val="22"/>
          <w:lang w:val="en-US"/>
        </w:rPr>
      </w:pPr>
      <w:proofErr w:type="spellStart"/>
      <w:r>
        <w:rPr>
          <w:rFonts w:ascii="Arial" w:hAnsi="Arial" w:cs="Arial"/>
          <w:sz w:val="22"/>
          <w:szCs w:val="22"/>
          <w:lang w:val="en-US"/>
        </w:rPr>
        <w:t>Mr</w:t>
      </w:r>
      <w:proofErr w:type="spellEnd"/>
      <w:r>
        <w:rPr>
          <w:rFonts w:ascii="Arial" w:hAnsi="Arial" w:cs="Arial"/>
          <w:sz w:val="22"/>
          <w:szCs w:val="22"/>
          <w:lang w:val="en-US"/>
        </w:rPr>
        <w:t> </w:t>
      </w:r>
      <w:r w:rsidRPr="00B3234E">
        <w:rPr>
          <w:rFonts w:ascii="Arial" w:hAnsi="Arial" w:cs="Arial"/>
          <w:sz w:val="22"/>
          <w:szCs w:val="22"/>
          <w:lang w:val="en-US"/>
        </w:rPr>
        <w:t xml:space="preserve">Toste </w:t>
      </w:r>
      <w:proofErr w:type="spellStart"/>
      <w:r w:rsidRPr="00B3234E">
        <w:rPr>
          <w:rFonts w:ascii="Arial" w:hAnsi="Arial" w:cs="Arial"/>
          <w:sz w:val="22"/>
          <w:szCs w:val="22"/>
          <w:lang w:val="en-US"/>
        </w:rPr>
        <w:t>Tanhua</w:t>
      </w:r>
      <w:proofErr w:type="spellEnd"/>
      <w:r w:rsidRPr="00B3234E">
        <w:rPr>
          <w:rFonts w:ascii="Arial" w:hAnsi="Arial" w:cs="Arial"/>
          <w:sz w:val="22"/>
          <w:szCs w:val="22"/>
          <w:lang w:val="en-US"/>
        </w:rPr>
        <w:t>, co-chair of the GOOS Steering Committee (SC), introduced this item.</w:t>
      </w:r>
    </w:p>
    <w:p w14:paraId="1FE8BCBD" w14:textId="77777777" w:rsidR="008A659E" w:rsidRPr="00B3234E" w:rsidRDefault="008A659E" w:rsidP="008A659E">
      <w:pPr>
        <w:pStyle w:val="ListParagraph1"/>
        <w:numPr>
          <w:ilvl w:val="0"/>
          <w:numId w:val="1"/>
        </w:numPr>
        <w:tabs>
          <w:tab w:val="left" w:pos="709"/>
        </w:tabs>
        <w:spacing w:after="240"/>
        <w:ind w:hanging="720"/>
        <w:contextualSpacing w:val="0"/>
        <w:rPr>
          <w:rFonts w:ascii="Arial" w:hAnsi="Arial" w:cs="Arial"/>
          <w:sz w:val="22"/>
          <w:szCs w:val="22"/>
          <w:lang w:val="en-US"/>
        </w:rPr>
      </w:pPr>
      <w:r w:rsidRPr="00B3234E">
        <w:rPr>
          <w:rFonts w:ascii="Arial" w:hAnsi="Arial" w:cs="Arial"/>
          <w:sz w:val="22"/>
          <w:szCs w:val="22"/>
          <w:lang w:val="en-US"/>
        </w:rPr>
        <w:t xml:space="preserve">He recalled that a draft Global Ocean Observing System 2030 Strategy (IOC/EC-LI/2 Annex 8) was presented to the IOC Executive Council </w:t>
      </w:r>
      <w:r>
        <w:rPr>
          <w:rFonts w:ascii="Arial" w:hAnsi="Arial" w:cs="Arial"/>
          <w:sz w:val="22"/>
          <w:szCs w:val="22"/>
          <w:lang w:val="en-US"/>
        </w:rPr>
        <w:t xml:space="preserve">at its </w:t>
      </w:r>
      <w:r w:rsidRPr="00B3234E">
        <w:rPr>
          <w:rFonts w:ascii="Arial" w:hAnsi="Arial" w:cs="Arial"/>
          <w:sz w:val="22"/>
          <w:szCs w:val="22"/>
          <w:lang w:val="en-US"/>
        </w:rPr>
        <w:t xml:space="preserve">51st </w:t>
      </w:r>
      <w:r>
        <w:rPr>
          <w:rFonts w:ascii="Arial" w:hAnsi="Arial" w:cs="Arial"/>
          <w:sz w:val="22"/>
          <w:szCs w:val="22"/>
          <w:lang w:val="en-US"/>
        </w:rPr>
        <w:t>s</w:t>
      </w:r>
      <w:r w:rsidRPr="00B3234E">
        <w:rPr>
          <w:rFonts w:ascii="Arial" w:hAnsi="Arial" w:cs="Arial"/>
          <w:sz w:val="22"/>
          <w:szCs w:val="22"/>
          <w:lang w:val="en-US"/>
        </w:rPr>
        <w:t xml:space="preserve">ession in 2018, and Member States were asked to provide comments on it through </w:t>
      </w:r>
      <w:hyperlink r:id="rId6" w:history="1">
        <w:r w:rsidRPr="00450686">
          <w:rPr>
            <w:rStyle w:val="Hyperlink"/>
            <w:rFonts w:ascii="Arial" w:hAnsi="Arial" w:cs="Arial"/>
            <w:sz w:val="22"/>
            <w:szCs w:val="22"/>
            <w:lang w:val="en-US"/>
          </w:rPr>
          <w:t>IOC Circular Letter 2726</w:t>
        </w:r>
      </w:hyperlink>
      <w:r w:rsidRPr="00B3234E">
        <w:rPr>
          <w:rFonts w:ascii="Arial" w:hAnsi="Arial" w:cs="Arial"/>
          <w:sz w:val="22"/>
          <w:szCs w:val="22"/>
          <w:lang w:val="en-US"/>
        </w:rPr>
        <w:t xml:space="preserve"> (8 August 2018). The revised strategy, now presented for final approval as IOC-XXX/2 Annex </w:t>
      </w:r>
      <w:r>
        <w:rPr>
          <w:rFonts w:ascii="Arial" w:hAnsi="Arial" w:cs="Arial"/>
          <w:sz w:val="22"/>
          <w:szCs w:val="22"/>
          <w:lang w:val="en-US"/>
        </w:rPr>
        <w:t>4</w:t>
      </w:r>
      <w:r w:rsidRPr="00B3234E">
        <w:rPr>
          <w:rFonts w:ascii="Arial" w:hAnsi="Arial" w:cs="Arial"/>
          <w:sz w:val="22"/>
          <w:szCs w:val="22"/>
          <w:lang w:val="en-US"/>
        </w:rPr>
        <w:t>, has a broad vision for a fully integrated global ocean observing system that delivers the essential information needed for our sustainable development, safety, wellbeing and prosperity. The strategy details a more focused mission to lead the ocean observing community and create the partnerships to grow GOOS. Eleven Strategic Objectives provide guidance on priorities for the work of GOOS at global and regional levels, and in interactions with national ocean observing activities.</w:t>
      </w:r>
    </w:p>
    <w:p w14:paraId="3E9D67CA" w14:textId="77777777" w:rsidR="008A659E" w:rsidRPr="00B3234E" w:rsidRDefault="008A659E" w:rsidP="008A659E">
      <w:pPr>
        <w:pStyle w:val="ListParagraph1"/>
        <w:numPr>
          <w:ilvl w:val="0"/>
          <w:numId w:val="1"/>
        </w:numPr>
        <w:tabs>
          <w:tab w:val="left" w:pos="709"/>
        </w:tabs>
        <w:spacing w:after="240"/>
        <w:ind w:hanging="720"/>
        <w:contextualSpacing w:val="0"/>
        <w:rPr>
          <w:rFonts w:ascii="Arial" w:hAnsi="Arial" w:cs="Arial"/>
          <w:sz w:val="22"/>
          <w:szCs w:val="22"/>
          <w:lang w:val="en-US"/>
        </w:rPr>
      </w:pPr>
      <w:r w:rsidRPr="00B3234E">
        <w:rPr>
          <w:rFonts w:ascii="Arial" w:hAnsi="Arial" w:cs="Arial"/>
          <w:sz w:val="22"/>
          <w:szCs w:val="22"/>
          <w:lang w:val="en-US"/>
        </w:rPr>
        <w:t>GOOS continues to develop an Implementation Plan (IOC/INF-</w:t>
      </w:r>
      <w:r>
        <w:rPr>
          <w:rFonts w:ascii="Arial" w:hAnsi="Arial" w:cs="Arial"/>
          <w:sz w:val="22"/>
          <w:szCs w:val="22"/>
          <w:lang w:val="en-US"/>
        </w:rPr>
        <w:t>1376</w:t>
      </w:r>
      <w:r w:rsidRPr="00B3234E">
        <w:rPr>
          <w:rFonts w:ascii="Arial" w:hAnsi="Arial" w:cs="Arial"/>
          <w:sz w:val="22"/>
          <w:szCs w:val="22"/>
          <w:lang w:val="en-US"/>
        </w:rPr>
        <w:t xml:space="preserve">) against the Strategic Objectives, which will be an evolving document focused on near-term actions. In accordance with IOC Resolution XXVI-8 (2011), a summary (IOC-XXX/2 Annex </w:t>
      </w:r>
      <w:r>
        <w:rPr>
          <w:rFonts w:ascii="Arial" w:hAnsi="Arial" w:cs="Arial"/>
          <w:sz w:val="22"/>
          <w:szCs w:val="22"/>
          <w:lang w:val="en-US"/>
        </w:rPr>
        <w:t>5</w:t>
      </w:r>
      <w:r w:rsidRPr="00B3234E">
        <w:rPr>
          <w:rFonts w:ascii="Arial" w:hAnsi="Arial" w:cs="Arial"/>
          <w:sz w:val="22"/>
          <w:szCs w:val="22"/>
          <w:lang w:val="en-US"/>
        </w:rPr>
        <w:t>) is presented for approval as the GOOS Workplan for 2020</w:t>
      </w:r>
      <w:r>
        <w:rPr>
          <w:rFonts w:ascii="Arial" w:hAnsi="Arial" w:cs="Arial"/>
          <w:sz w:val="22"/>
          <w:szCs w:val="22"/>
          <w:lang w:val="en-US"/>
        </w:rPr>
        <w:t>–</w:t>
      </w:r>
      <w:r w:rsidRPr="00B3234E">
        <w:rPr>
          <w:rFonts w:ascii="Arial" w:hAnsi="Arial" w:cs="Arial"/>
          <w:sz w:val="22"/>
          <w:szCs w:val="22"/>
          <w:lang w:val="en-US"/>
        </w:rPr>
        <w:t xml:space="preserve">2021, and is focused on priority strategic objectives. </w:t>
      </w:r>
    </w:p>
    <w:p w14:paraId="37A39503" w14:textId="77777777" w:rsidR="008A659E" w:rsidRPr="00B3234E" w:rsidRDefault="008A659E" w:rsidP="008A659E">
      <w:pPr>
        <w:pStyle w:val="ListParagraph1"/>
        <w:numPr>
          <w:ilvl w:val="0"/>
          <w:numId w:val="1"/>
        </w:numPr>
        <w:tabs>
          <w:tab w:val="left" w:pos="709"/>
        </w:tabs>
        <w:spacing w:after="240"/>
        <w:ind w:hanging="720"/>
        <w:contextualSpacing w:val="0"/>
        <w:rPr>
          <w:rFonts w:ascii="Arial" w:hAnsi="Arial" w:cs="Arial"/>
          <w:sz w:val="22"/>
          <w:szCs w:val="22"/>
          <w:lang w:val="en-US"/>
        </w:rPr>
      </w:pPr>
      <w:r w:rsidRPr="00B3234E">
        <w:rPr>
          <w:rFonts w:ascii="Arial" w:hAnsi="Arial" w:cs="Arial"/>
          <w:sz w:val="22"/>
          <w:szCs w:val="22"/>
          <w:lang w:val="en-US"/>
        </w:rPr>
        <w:t>Building on existing close links between GOOS and the JCOMM Observations Coordination Group, GOOS stands ready to incorporate appropriate JCOMM functions and activities on observation and operational ocean forecasting systems (Draft Resolution IOC-XXX/5.1). In the context of the reform of WMO constituent bodies including JCOMM (item 5.1) and an ocean observing community-wide reflection on the organization of ocean observations at global, regional, and national levels at the OceanObs'19 Conference (16</w:t>
      </w:r>
      <w:r>
        <w:rPr>
          <w:rFonts w:ascii="Arial" w:hAnsi="Arial" w:cs="Arial"/>
          <w:sz w:val="22"/>
          <w:szCs w:val="22"/>
          <w:lang w:val="en-US"/>
        </w:rPr>
        <w:t>–</w:t>
      </w:r>
      <w:r w:rsidRPr="00B3234E">
        <w:rPr>
          <w:rFonts w:ascii="Arial" w:hAnsi="Arial" w:cs="Arial"/>
          <w:sz w:val="22"/>
          <w:szCs w:val="22"/>
          <w:lang w:val="en-US"/>
        </w:rPr>
        <w:t xml:space="preserve">20 September 2019, </w:t>
      </w:r>
      <w:r w:rsidRPr="00B3234E">
        <w:rPr>
          <w:rFonts w:ascii="Arial" w:hAnsi="Arial" w:cs="Arial"/>
          <w:sz w:val="22"/>
          <w:szCs w:val="22"/>
          <w:lang w:val="en-US"/>
        </w:rPr>
        <w:lastRenderedPageBreak/>
        <w:t>Honolulu, USA), and recognizing the challenges in achieving the ambitious strategic objectives outlined in the GOOS 2030 Strategy, the GOOS Steering Committee is preparing to engage in a broader reflection on the governance of GOOS with its co-sponsors, to be brought to future IOC governing body meetings for decision.</w:t>
      </w:r>
    </w:p>
    <w:p w14:paraId="19986BC2" w14:textId="77777777" w:rsidR="008A659E" w:rsidRPr="00B3234E" w:rsidRDefault="008A659E" w:rsidP="008A659E">
      <w:pPr>
        <w:pStyle w:val="ListParagraph1"/>
        <w:numPr>
          <w:ilvl w:val="0"/>
          <w:numId w:val="1"/>
        </w:numPr>
        <w:tabs>
          <w:tab w:val="left" w:pos="709"/>
        </w:tabs>
        <w:spacing w:after="240"/>
        <w:ind w:hanging="720"/>
        <w:contextualSpacing w:val="0"/>
        <w:rPr>
          <w:rFonts w:ascii="Arial" w:hAnsi="Arial" w:cs="Arial"/>
          <w:sz w:val="22"/>
          <w:szCs w:val="22"/>
          <w:lang w:val="en-US"/>
        </w:rPr>
      </w:pPr>
      <w:proofErr w:type="spellStart"/>
      <w:r>
        <w:rPr>
          <w:rFonts w:ascii="Arial" w:hAnsi="Arial" w:cs="Arial"/>
          <w:sz w:val="22"/>
          <w:szCs w:val="22"/>
          <w:lang w:val="en-US"/>
        </w:rPr>
        <w:t>Mr</w:t>
      </w:r>
      <w:proofErr w:type="spellEnd"/>
      <w:r>
        <w:rPr>
          <w:rFonts w:ascii="Arial" w:hAnsi="Arial" w:cs="Arial"/>
          <w:sz w:val="22"/>
          <w:szCs w:val="22"/>
          <w:lang w:val="en-US"/>
        </w:rPr>
        <w:t> </w:t>
      </w:r>
      <w:proofErr w:type="spellStart"/>
      <w:r w:rsidRPr="00B3234E">
        <w:rPr>
          <w:rFonts w:ascii="Arial" w:hAnsi="Arial" w:cs="Arial"/>
          <w:sz w:val="22"/>
          <w:szCs w:val="22"/>
          <w:lang w:val="en-US"/>
        </w:rPr>
        <w:t>Tanhua</w:t>
      </w:r>
      <w:proofErr w:type="spellEnd"/>
      <w:r w:rsidRPr="00B3234E">
        <w:rPr>
          <w:rFonts w:ascii="Arial" w:hAnsi="Arial" w:cs="Arial"/>
          <w:sz w:val="22"/>
          <w:szCs w:val="22"/>
          <w:lang w:val="en-US"/>
        </w:rPr>
        <w:t xml:space="preserve"> described two GOOS-related projects: the EC H2020 funded AtlantOS project and the Tropical Pacific Observing System in 2020 (TPOS 2020) project. AtlantOS has contributed to the development of a vision for an All-Atlantic Ocean Observing System as a contribution to GOOS, and was seeking to develop mechanisms to engage with Member State agencies and organizations around the Atlantic Basin. The TPOS 2020 Second Report focused on design recommendations for tropical Pacific observations, with the primary goals of improving climate outlook and forecasts, as well as detecting climate change and its consequences.</w:t>
      </w:r>
    </w:p>
    <w:p w14:paraId="076AB8E3" w14:textId="77777777" w:rsidR="008A659E" w:rsidRDefault="008A659E" w:rsidP="008A659E">
      <w:pPr>
        <w:pStyle w:val="ListParagraph1"/>
        <w:numPr>
          <w:ilvl w:val="0"/>
          <w:numId w:val="1"/>
        </w:numPr>
        <w:tabs>
          <w:tab w:val="left" w:pos="709"/>
        </w:tabs>
        <w:spacing w:after="240"/>
        <w:ind w:hanging="720"/>
        <w:contextualSpacing w:val="0"/>
        <w:rPr>
          <w:rFonts w:ascii="Arial" w:hAnsi="Arial" w:cs="Arial"/>
          <w:sz w:val="22"/>
          <w:szCs w:val="22"/>
          <w:lang w:val="en-US"/>
        </w:rPr>
      </w:pPr>
      <w:proofErr w:type="spellStart"/>
      <w:r>
        <w:rPr>
          <w:rFonts w:ascii="Arial" w:hAnsi="Arial" w:cs="Arial"/>
          <w:sz w:val="22"/>
          <w:szCs w:val="22"/>
          <w:lang w:val="en-US"/>
        </w:rPr>
        <w:t>Mr</w:t>
      </w:r>
      <w:proofErr w:type="spellEnd"/>
      <w:r>
        <w:rPr>
          <w:rFonts w:ascii="Arial" w:hAnsi="Arial" w:cs="Arial"/>
          <w:sz w:val="22"/>
          <w:szCs w:val="22"/>
          <w:lang w:val="en-US"/>
        </w:rPr>
        <w:t> </w:t>
      </w:r>
      <w:proofErr w:type="spellStart"/>
      <w:r w:rsidRPr="00B3234E">
        <w:rPr>
          <w:rFonts w:ascii="Arial" w:hAnsi="Arial" w:cs="Arial"/>
          <w:sz w:val="22"/>
          <w:szCs w:val="22"/>
          <w:lang w:val="en-US"/>
        </w:rPr>
        <w:t>Tanhua</w:t>
      </w:r>
      <w:proofErr w:type="spellEnd"/>
      <w:r w:rsidRPr="00B3234E">
        <w:rPr>
          <w:rFonts w:ascii="Arial" w:hAnsi="Arial" w:cs="Arial"/>
          <w:sz w:val="22"/>
          <w:szCs w:val="22"/>
          <w:lang w:val="en-US"/>
        </w:rPr>
        <w:t xml:space="preserve"> highlighted three resolutions adopted by the 18th World Meteorological Congress. The first is focused on GOOS</w:t>
      </w:r>
      <w:r>
        <w:rPr>
          <w:rFonts w:ascii="Arial" w:hAnsi="Arial" w:cs="Arial"/>
          <w:sz w:val="22"/>
          <w:szCs w:val="22"/>
          <w:lang w:val="en-US"/>
        </w:rPr>
        <w:t xml:space="preserve">: </w:t>
      </w:r>
      <w:r w:rsidRPr="00B3234E">
        <w:rPr>
          <w:rFonts w:ascii="Arial" w:hAnsi="Arial" w:cs="Arial"/>
          <w:sz w:val="22"/>
          <w:szCs w:val="22"/>
          <w:lang w:val="en-US"/>
        </w:rPr>
        <w:t>approves the GOOS 2030 Strategy, subject to its parallel approval by this Assembly</w:t>
      </w:r>
      <w:r>
        <w:rPr>
          <w:rFonts w:ascii="Arial" w:hAnsi="Arial" w:cs="Arial"/>
          <w:sz w:val="22"/>
          <w:szCs w:val="22"/>
          <w:lang w:val="en-US"/>
        </w:rPr>
        <w:t>;</w:t>
      </w:r>
      <w:r w:rsidRPr="00B3234E">
        <w:rPr>
          <w:rFonts w:ascii="Arial" w:hAnsi="Arial" w:cs="Arial"/>
          <w:sz w:val="22"/>
          <w:szCs w:val="22"/>
          <w:lang w:val="en-US"/>
        </w:rPr>
        <w:t xml:space="preserve"> decides to contribute to implementation of the strategy</w:t>
      </w:r>
      <w:r>
        <w:rPr>
          <w:rFonts w:ascii="Arial" w:hAnsi="Arial" w:cs="Arial"/>
          <w:sz w:val="22"/>
          <w:szCs w:val="22"/>
          <w:lang w:val="en-US"/>
        </w:rPr>
        <w:t>;</w:t>
      </w:r>
      <w:r w:rsidRPr="00B3234E">
        <w:rPr>
          <w:rFonts w:ascii="Arial" w:hAnsi="Arial" w:cs="Arial"/>
          <w:sz w:val="22"/>
          <w:szCs w:val="22"/>
          <w:lang w:val="en-US"/>
        </w:rPr>
        <w:t xml:space="preserve"> and supports establishment of a node of a distributed GOOS Office located within </w:t>
      </w:r>
      <w:r>
        <w:rPr>
          <w:rFonts w:ascii="Arial" w:hAnsi="Arial" w:cs="Arial"/>
          <w:sz w:val="22"/>
          <w:szCs w:val="22"/>
          <w:lang w:val="en-US"/>
        </w:rPr>
        <w:t xml:space="preserve">the </w:t>
      </w:r>
      <w:r w:rsidRPr="00B3234E">
        <w:rPr>
          <w:rFonts w:ascii="Arial" w:hAnsi="Arial" w:cs="Arial"/>
          <w:sz w:val="22"/>
          <w:szCs w:val="22"/>
          <w:lang w:val="en-US"/>
        </w:rPr>
        <w:t>WMO</w:t>
      </w:r>
      <w:r>
        <w:rPr>
          <w:rFonts w:ascii="Arial" w:hAnsi="Arial" w:cs="Arial"/>
          <w:sz w:val="22"/>
          <w:szCs w:val="22"/>
          <w:lang w:val="en-US"/>
        </w:rPr>
        <w:t xml:space="preserve"> Secretariat</w:t>
      </w:r>
      <w:r w:rsidRPr="00B3234E">
        <w:rPr>
          <w:rFonts w:ascii="Arial" w:hAnsi="Arial" w:cs="Arial"/>
          <w:sz w:val="22"/>
          <w:szCs w:val="22"/>
          <w:lang w:val="en-US"/>
        </w:rPr>
        <w:t xml:space="preserve">. It also supports the recommendations of the Second Report of TPOS 2020. </w:t>
      </w:r>
      <w:r>
        <w:rPr>
          <w:rFonts w:ascii="Arial" w:hAnsi="Arial" w:cs="Arial"/>
          <w:sz w:val="22"/>
          <w:szCs w:val="22"/>
          <w:lang w:val="en-US"/>
        </w:rPr>
        <w:t xml:space="preserve">The </w:t>
      </w:r>
      <w:r w:rsidRPr="00B3234E">
        <w:rPr>
          <w:rFonts w:ascii="Arial" w:hAnsi="Arial" w:cs="Arial"/>
          <w:sz w:val="22"/>
          <w:szCs w:val="22"/>
          <w:lang w:val="en-US"/>
        </w:rPr>
        <w:t xml:space="preserve">second </w:t>
      </w:r>
      <w:r>
        <w:rPr>
          <w:rFonts w:ascii="Arial" w:hAnsi="Arial" w:cs="Arial"/>
          <w:sz w:val="22"/>
          <w:szCs w:val="22"/>
          <w:lang w:val="en-US"/>
        </w:rPr>
        <w:t xml:space="preserve">resolutions </w:t>
      </w:r>
      <w:r w:rsidRPr="00B3234E">
        <w:rPr>
          <w:rFonts w:ascii="Arial" w:hAnsi="Arial" w:cs="Arial"/>
          <w:sz w:val="22"/>
          <w:szCs w:val="22"/>
          <w:lang w:val="en-US"/>
        </w:rPr>
        <w:t xml:space="preserve">reaffirms the importance of marine meteorological observations, including those in Exclusive Economic Zones (EEZs), used operationally by WMO Members to provide services in support of safety of navigation and the protection of life and property in coastal and offshore areas, and clarifies the legal regime under which the Voluntary Operating Ship Scheme and surface observing platforms operate. The third </w:t>
      </w:r>
      <w:r>
        <w:rPr>
          <w:rFonts w:ascii="Arial" w:hAnsi="Arial" w:cs="Arial"/>
          <w:sz w:val="22"/>
          <w:szCs w:val="22"/>
          <w:lang w:val="en-US"/>
        </w:rPr>
        <w:t xml:space="preserve">one </w:t>
      </w:r>
      <w:r w:rsidRPr="00B3234E">
        <w:rPr>
          <w:rFonts w:ascii="Arial" w:hAnsi="Arial" w:cs="Arial"/>
          <w:sz w:val="22"/>
          <w:szCs w:val="22"/>
          <w:lang w:val="en-US"/>
        </w:rPr>
        <w:t>notes a 20-year history of work by the IOC to develop a cooperative framework regarding the sharing of ocean data in EEZs (IOC Resolutions XX-6 and EC-XLI.4, and Decision IOC/EC-LI/4.8), recognizes that WMO's operational forecast models and serv</w:t>
      </w:r>
      <w:r>
        <w:rPr>
          <w:rFonts w:ascii="Arial" w:hAnsi="Arial" w:cs="Arial"/>
          <w:sz w:val="22"/>
          <w:szCs w:val="22"/>
          <w:lang w:val="en-US"/>
        </w:rPr>
        <w:t>ic</w:t>
      </w:r>
      <w:r w:rsidRPr="00B3234E">
        <w:rPr>
          <w:rFonts w:ascii="Arial" w:hAnsi="Arial" w:cs="Arial"/>
          <w:sz w:val="22"/>
          <w:szCs w:val="22"/>
          <w:lang w:val="en-US"/>
        </w:rPr>
        <w:t xml:space="preserve">es increasingly rely on sustained global data streams of subsurface observations, and decides to identify the requirements for subsurface ocean variables to improve the quality of these forecasts and services, work closely with IOC in order to explore mechanisms that make the highest-impact subsurface ocean data freely available, and build the capacity of all </w:t>
      </w:r>
      <w:r>
        <w:rPr>
          <w:rFonts w:ascii="Arial" w:hAnsi="Arial" w:cs="Arial"/>
          <w:sz w:val="22"/>
          <w:szCs w:val="22"/>
          <w:lang w:val="en-US"/>
        </w:rPr>
        <w:t xml:space="preserve">WMO </w:t>
      </w:r>
      <w:r w:rsidRPr="00B3234E">
        <w:rPr>
          <w:rFonts w:ascii="Arial" w:hAnsi="Arial" w:cs="Arial"/>
          <w:sz w:val="22"/>
          <w:szCs w:val="22"/>
          <w:lang w:val="en-US"/>
        </w:rPr>
        <w:t>Members to use the resulting forecast systems and services. He noted work by the JCOMM Observations Coordination Group and GOOS that surveyed ocean observing networks on the impediments they faced in taking observations within EEZs in full compliance with the provisions of UNCLOS.</w:t>
      </w:r>
    </w:p>
    <w:tbl>
      <w:tblPr>
        <w:tblW w:w="0" w:type="auto"/>
        <w:tblInd w:w="108" w:type="dxa"/>
        <w:shd w:val="clear" w:color="auto" w:fill="CCFFCC"/>
        <w:tblLook w:val="0000" w:firstRow="0" w:lastRow="0" w:firstColumn="0" w:lastColumn="0" w:noHBand="0" w:noVBand="0"/>
      </w:tblPr>
      <w:tblGrid>
        <w:gridCol w:w="8958"/>
      </w:tblGrid>
      <w:tr w:rsidR="008A659E" w:rsidRPr="0076041F" w14:paraId="73893B10" w14:textId="77777777" w:rsidTr="00E847DE">
        <w:tblPrEx>
          <w:tblCellMar>
            <w:top w:w="0" w:type="dxa"/>
            <w:bottom w:w="0" w:type="dxa"/>
          </w:tblCellMar>
        </w:tblPrEx>
        <w:tc>
          <w:tcPr>
            <w:tcW w:w="9315" w:type="dxa"/>
            <w:shd w:val="clear" w:color="auto" w:fill="CCFFCC"/>
            <w:tcMar>
              <w:top w:w="113" w:type="dxa"/>
              <w:bottom w:w="113" w:type="dxa"/>
            </w:tcMar>
          </w:tcPr>
          <w:p w14:paraId="244393EA" w14:textId="77777777" w:rsidR="008A659E" w:rsidRPr="0076041F" w:rsidRDefault="008A659E" w:rsidP="00E847DE">
            <w:pPr>
              <w:spacing w:after="240"/>
              <w:rPr>
                <w:rFonts w:ascii="Arial" w:eastAsia="Calibri" w:hAnsi="Arial" w:cs="Arial"/>
                <w:b/>
                <w:sz w:val="22"/>
              </w:rPr>
            </w:pPr>
            <w:r>
              <w:rPr>
                <w:rFonts w:ascii="Arial" w:eastAsia="Calibri" w:hAnsi="Arial" w:cs="Arial"/>
                <w:b/>
                <w:sz w:val="22"/>
              </w:rPr>
              <w:t>IOC-XXX, Dec. 7.1.1</w:t>
            </w:r>
          </w:p>
          <w:p w14:paraId="4F8E3B5E" w14:textId="77777777" w:rsidR="008A659E" w:rsidRPr="008669D9" w:rsidRDefault="008A659E" w:rsidP="00E847DE">
            <w:pPr>
              <w:spacing w:after="120"/>
              <w:jc w:val="center"/>
              <w:rPr>
                <w:rFonts w:ascii="Arial" w:hAnsi="Arial" w:cs="Arial"/>
                <w:b/>
                <w:bCs/>
                <w:iCs/>
                <w:color w:val="000000"/>
                <w:sz w:val="22"/>
                <w:szCs w:val="22"/>
              </w:rPr>
            </w:pPr>
            <w:r w:rsidRPr="00127C30">
              <w:rPr>
                <w:rFonts w:ascii="Arial" w:hAnsi="Arial" w:cs="Arial"/>
                <w:b/>
                <w:bCs/>
                <w:iCs/>
                <w:color w:val="000000"/>
                <w:sz w:val="22"/>
                <w:szCs w:val="22"/>
              </w:rPr>
              <w:t>The Global Ocean Observing System</w:t>
            </w:r>
          </w:p>
          <w:p w14:paraId="1E886A4E" w14:textId="77777777" w:rsidR="008A659E" w:rsidRPr="0076041F" w:rsidRDefault="008A659E" w:rsidP="00E847DE">
            <w:pPr>
              <w:tabs>
                <w:tab w:val="num" w:pos="1400"/>
              </w:tabs>
              <w:spacing w:after="240"/>
              <w:ind w:left="720" w:hanging="720"/>
              <w:jc w:val="both"/>
              <w:rPr>
                <w:rFonts w:ascii="Arial" w:hAnsi="Arial" w:cs="Arial"/>
                <w:iCs/>
                <w:sz w:val="22"/>
                <w:szCs w:val="22"/>
              </w:rPr>
            </w:pPr>
            <w:r w:rsidRPr="0076041F">
              <w:rPr>
                <w:rFonts w:ascii="Arial" w:hAnsi="Arial" w:cs="Arial"/>
                <w:iCs/>
                <w:sz w:val="22"/>
                <w:szCs w:val="22"/>
              </w:rPr>
              <w:t xml:space="preserve">The Assembly, </w:t>
            </w:r>
          </w:p>
          <w:p w14:paraId="7262EE0D"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Noting</w:t>
            </w:r>
            <w:r w:rsidRPr="00CC01ED">
              <w:t xml:space="preserve"> the 18th World Meteorological Congress Resolution 6.1(3)/4 which approved the GOOS 2030 Strategy, subject to its parallel approval this Assembly, supports establishment of a node of a distributed GOOS Office located within WMO, and asks WMO Members to take the take the TPOS 2020 report and its recommendations into account when planning their contribution to the Tropical Pacific Observing System,</w:t>
            </w:r>
          </w:p>
          <w:p w14:paraId="58536002"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Further noting</w:t>
            </w:r>
            <w:r w:rsidRPr="00CC01ED">
              <w:t xml:space="preserve"> Draft Resolution IOC-XXX/5.1, which proposes GOOS taking on primary sponsorship of present observing programme area and operational ocean forecast system bodies in JCOMM, after a transition period and </w:t>
            </w:r>
            <w:r>
              <w:t>JCOMM</w:t>
            </w:r>
            <w:r w:rsidRPr="00CC01ED">
              <w:t xml:space="preserve"> disbandment in 2020,</w:t>
            </w:r>
          </w:p>
          <w:p w14:paraId="11970D2A" w14:textId="77777777" w:rsidR="008A659E" w:rsidRPr="00CC01ED" w:rsidRDefault="008A659E" w:rsidP="00E847DE">
            <w:pPr>
              <w:pStyle w:val="Grilleclaire-Accent31"/>
              <w:tabs>
                <w:tab w:val="clear" w:pos="567"/>
              </w:tabs>
              <w:spacing w:after="240"/>
              <w:ind w:left="0"/>
              <w:contextualSpacing w:val="0"/>
              <w:jc w:val="center"/>
              <w:rPr>
                <w:b/>
              </w:rPr>
            </w:pPr>
            <w:r w:rsidRPr="00CC01ED">
              <w:rPr>
                <w:b/>
              </w:rPr>
              <w:t xml:space="preserve">I. </w:t>
            </w:r>
            <w:r w:rsidRPr="00CC01ED">
              <w:rPr>
                <w:b/>
              </w:rPr>
              <w:br/>
              <w:t>GOOS 2030 Strategy</w:t>
            </w:r>
          </w:p>
          <w:p w14:paraId="6AE0AEF7"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lastRenderedPageBreak/>
              <w:t>Having examined</w:t>
            </w:r>
            <w:r w:rsidRPr="00CC01ED">
              <w:t xml:space="preserve"> IOC-XXX/2 Annex </w:t>
            </w:r>
            <w:r>
              <w:t>4</w:t>
            </w:r>
            <w:r w:rsidRPr="00CC01ED">
              <w:t>,</w:t>
            </w:r>
          </w:p>
          <w:p w14:paraId="48A5281A"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Accepts</w:t>
            </w:r>
            <w:r w:rsidRPr="00CC01ED">
              <w:t xml:space="preserve"> the Global Ocean Observing System 2030 Strategy</w:t>
            </w:r>
            <w:r>
              <w:t>;</w:t>
            </w:r>
            <w:r w:rsidRPr="00CC01ED">
              <w:t xml:space="preserve"> </w:t>
            </w:r>
          </w:p>
          <w:p w14:paraId="0300365B"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Calls</w:t>
            </w:r>
            <w:r w:rsidRPr="00CC01ED">
              <w:t xml:space="preserve"> on other sponsors of GOOS</w:t>
            </w:r>
            <w:r>
              <w:t xml:space="preserve"> - </w:t>
            </w:r>
            <w:r w:rsidRPr="00CC01ED">
              <w:t>the World Meteorological Organization, United Nations Environment, and the International Science Council</w:t>
            </w:r>
            <w:r>
              <w:t xml:space="preserve"> - </w:t>
            </w:r>
            <w:r w:rsidRPr="00CC01ED">
              <w:t>to consider how they will help implement the strategy, and</w:t>
            </w:r>
          </w:p>
          <w:p w14:paraId="3A31EA6B"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 xml:space="preserve">Urges </w:t>
            </w:r>
            <w:r w:rsidRPr="00CC01ED">
              <w:t>Member States to take actions to facilitate its implementation;</w:t>
            </w:r>
          </w:p>
          <w:p w14:paraId="27FAEEE8" w14:textId="77777777" w:rsidR="008A659E" w:rsidRPr="00CC01ED" w:rsidRDefault="008A659E" w:rsidP="00E847DE">
            <w:pPr>
              <w:pStyle w:val="Grilleclaire-Accent31"/>
              <w:tabs>
                <w:tab w:val="clear" w:pos="567"/>
              </w:tabs>
              <w:spacing w:after="240"/>
              <w:ind w:left="25"/>
              <w:contextualSpacing w:val="0"/>
              <w:jc w:val="center"/>
              <w:rPr>
                <w:b/>
              </w:rPr>
            </w:pPr>
            <w:r w:rsidRPr="00CC01ED">
              <w:rPr>
                <w:b/>
              </w:rPr>
              <w:t xml:space="preserve">II. </w:t>
            </w:r>
            <w:r w:rsidRPr="00CC01ED">
              <w:rPr>
                <w:b/>
              </w:rPr>
              <w:br/>
              <w:t>GOOS Workplan</w:t>
            </w:r>
          </w:p>
          <w:p w14:paraId="60ABF134"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Noting</w:t>
            </w:r>
            <w:r w:rsidRPr="00CC01ED">
              <w:t xml:space="preserve"> the broad ambition of the GOOS 2030 Strategy,</w:t>
            </w:r>
          </w:p>
          <w:p w14:paraId="3F513733"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Further</w:t>
            </w:r>
            <w:r w:rsidRPr="00352979">
              <w:rPr>
                <w:u w:val="single"/>
              </w:rPr>
              <w:t xml:space="preserve"> </w:t>
            </w:r>
            <w:r w:rsidRPr="008C5C08">
              <w:rPr>
                <w:u w:val="single"/>
              </w:rPr>
              <w:t>noting</w:t>
            </w:r>
            <w:r w:rsidRPr="00CC01ED">
              <w:t xml:space="preserve"> IOC's recognized role as lead agency for GOOS, and the fundamental role of observations in supporting IOC's Medium-Term Strategy and the developing </w:t>
            </w:r>
            <w:r>
              <w:t xml:space="preserve">UN </w:t>
            </w:r>
            <w:r w:rsidRPr="00CC01ED">
              <w:t>Decade of Ocean Science for Sustainable Development,</w:t>
            </w:r>
          </w:p>
          <w:p w14:paraId="29BF7B2B"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Having examined</w:t>
            </w:r>
            <w:r w:rsidRPr="00CC01ED">
              <w:t xml:space="preserve"> the evolving GOOS Implementation Plan (IOC/INF-</w:t>
            </w:r>
            <w:r>
              <w:t>1376</w:t>
            </w:r>
            <w:r w:rsidRPr="00CC01ED">
              <w:t xml:space="preserve">) and its summary </w:t>
            </w:r>
            <w:r>
              <w:t>(</w:t>
            </w:r>
            <w:r w:rsidRPr="00CC01ED">
              <w:t xml:space="preserve">IOC-XXX/2 Annex </w:t>
            </w:r>
            <w:r>
              <w:t>5)</w:t>
            </w:r>
            <w:r w:rsidRPr="00CC01ED">
              <w:t>,</w:t>
            </w:r>
          </w:p>
          <w:p w14:paraId="31E4D9B8"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Accepts</w:t>
            </w:r>
            <w:r w:rsidRPr="00CC01ED">
              <w:t xml:space="preserve"> with appreciation the Implementation Plan as the GOOS Work</w:t>
            </w:r>
            <w:r w:rsidRPr="007348F7">
              <w:t>p</w:t>
            </w:r>
            <w:r w:rsidRPr="00CC01ED">
              <w:t>lan for the coming intersessional period</w:t>
            </w:r>
            <w:r>
              <w:t>;</w:t>
            </w:r>
          </w:p>
          <w:p w14:paraId="33812B0E"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Notes</w:t>
            </w:r>
            <w:r w:rsidRPr="00CC01ED">
              <w:t xml:space="preserve"> the resourcing requirements that are laid out in the Implementation Plan, and that only a fraction of these </w:t>
            </w:r>
            <w:r>
              <w:t>can be</w:t>
            </w:r>
            <w:r w:rsidRPr="00CC01ED">
              <w:t xml:space="preserve"> supported from draft IOC Programme and Budget allocation for GOOS</w:t>
            </w:r>
            <w:r>
              <w:t>;</w:t>
            </w:r>
          </w:p>
          <w:p w14:paraId="7D5D8F4D"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Further notes</w:t>
            </w:r>
            <w:r w:rsidRPr="00CC01ED">
              <w:t xml:space="preserve"> the need to incorporate appropriate JCOMM decisions and processes regarding observations into GOOS during the transition period leading up to the disbandment of JCOMM</w:t>
            </w:r>
            <w:r>
              <w:t>;</w:t>
            </w:r>
          </w:p>
          <w:p w14:paraId="094F674D"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Expresses</w:t>
            </w:r>
            <w:r w:rsidRPr="00CC01ED">
              <w:t xml:space="preserve"> its appreciation for the in</w:t>
            </w:r>
            <w:r>
              <w:t>-</w:t>
            </w:r>
            <w:r w:rsidRPr="00CC01ED">
              <w:t>kind contributions of Member States that have enabled the development of a distributed GOOS Office</w:t>
            </w:r>
            <w:r>
              <w:t>;</w:t>
            </w:r>
            <w:r w:rsidRPr="00CC01ED">
              <w:t xml:space="preserve"> </w:t>
            </w:r>
          </w:p>
          <w:p w14:paraId="463A9EDC"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Welcomes</w:t>
            </w:r>
            <w:r w:rsidRPr="00CC01ED">
              <w:t xml:space="preserve"> the proposed establishment of a node of the GOOS Office hosted by WMO, and of a G7-GOOS coordination centre </w:t>
            </w:r>
            <w:r>
              <w:t xml:space="preserve">to be </w:t>
            </w:r>
            <w:r w:rsidRPr="00CC01ED">
              <w:t>hosted by the IOC</w:t>
            </w:r>
            <w:r>
              <w:t>;</w:t>
            </w:r>
          </w:p>
          <w:p w14:paraId="51ED2601"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Urges</w:t>
            </w:r>
            <w:r w:rsidRPr="00CC01ED">
              <w:t xml:space="preserve"> Member States to support GOOS through contributions to the IOC Special Account for GOOS, secondments of staff members to the GOOS Office, in-kind support such as hosting meetings or workshops with participant funding, the establishment of GOOS support offices, the funding of GOOS projects, or other means as agreed by the GOOS Steering Committee (SC);</w:t>
            </w:r>
          </w:p>
          <w:p w14:paraId="11D7C42A" w14:textId="77777777" w:rsidR="008A659E" w:rsidRPr="00CC01ED" w:rsidRDefault="008A659E" w:rsidP="00E847DE">
            <w:pPr>
              <w:pStyle w:val="Grilleclaire-Accent31"/>
              <w:tabs>
                <w:tab w:val="clear" w:pos="567"/>
              </w:tabs>
              <w:spacing w:after="240"/>
              <w:ind w:left="25" w:hanging="25"/>
              <w:contextualSpacing w:val="0"/>
              <w:jc w:val="center"/>
              <w:rPr>
                <w:b/>
              </w:rPr>
            </w:pPr>
            <w:r w:rsidRPr="00CC01ED">
              <w:rPr>
                <w:b/>
              </w:rPr>
              <w:t>III.</w:t>
            </w:r>
            <w:r w:rsidRPr="00CC01ED">
              <w:rPr>
                <w:b/>
              </w:rPr>
              <w:br/>
              <w:t>Legacy of Basin-scale observing projects</w:t>
            </w:r>
          </w:p>
          <w:p w14:paraId="1D8D43E5"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Noting</w:t>
            </w:r>
            <w:r w:rsidRPr="00CC01ED">
              <w:t xml:space="preserve"> the vision for an All-Atlantic Ocean Observing System and the TPOS 2020 Second Report, </w:t>
            </w:r>
          </w:p>
          <w:p w14:paraId="4F726A5A"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Calls</w:t>
            </w:r>
            <w:r w:rsidRPr="00CC01ED">
              <w:t xml:space="preserve"> on Member States to take the TPOS 2020 Second Report and its recommendations into account when planning their contribution to the Tropical Pacific Observing System</w:t>
            </w:r>
            <w:r>
              <w:t>;</w:t>
            </w:r>
          </w:p>
          <w:p w14:paraId="7366E771"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lastRenderedPageBreak/>
              <w:t>Calls</w:t>
            </w:r>
            <w:r w:rsidRPr="00CC01ED">
              <w:t xml:space="preserve"> on interested Member States to engage in the development of an All-Atlantic Ocean Observing System as a contribution to GOOS</w:t>
            </w:r>
            <w:r>
              <w:t>;</w:t>
            </w:r>
          </w:p>
          <w:p w14:paraId="4DC9D7B4"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Requests</w:t>
            </w:r>
            <w:r w:rsidRPr="00CC01ED">
              <w:t xml:space="preserve"> the GOOS Steering Committee to consider the legacy of GOOS projects in future proposals to IOC and co-sponsors on the evolution of GOOS;</w:t>
            </w:r>
          </w:p>
          <w:p w14:paraId="536505C2" w14:textId="77777777" w:rsidR="008A659E" w:rsidRPr="00CC01ED" w:rsidRDefault="008A659E" w:rsidP="00E847DE">
            <w:pPr>
              <w:pStyle w:val="Grilleclaire-Accent31"/>
              <w:tabs>
                <w:tab w:val="clear" w:pos="567"/>
              </w:tabs>
              <w:spacing w:after="240"/>
              <w:ind w:left="-257"/>
              <w:contextualSpacing w:val="0"/>
              <w:jc w:val="center"/>
              <w:rPr>
                <w:b/>
              </w:rPr>
            </w:pPr>
            <w:r w:rsidRPr="00CC01ED">
              <w:rPr>
                <w:b/>
              </w:rPr>
              <w:t xml:space="preserve">IV. </w:t>
            </w:r>
            <w:r w:rsidRPr="00CC01ED">
              <w:rPr>
                <w:b/>
              </w:rPr>
              <w:br/>
              <w:t>GOOS SC Regional Membership</w:t>
            </w:r>
          </w:p>
          <w:p w14:paraId="659AB67F" w14:textId="77777777" w:rsidR="008A659E" w:rsidRPr="00CC01ED" w:rsidRDefault="008A659E" w:rsidP="008A659E">
            <w:pPr>
              <w:pStyle w:val="Grilleclaire-Accent31"/>
              <w:numPr>
                <w:ilvl w:val="0"/>
                <w:numId w:val="3"/>
              </w:numPr>
              <w:tabs>
                <w:tab w:val="clear" w:pos="567"/>
              </w:tabs>
              <w:spacing w:after="240"/>
              <w:ind w:left="714" w:hanging="357"/>
              <w:contextualSpacing w:val="0"/>
            </w:pPr>
            <w:r w:rsidRPr="008C5C08">
              <w:rPr>
                <w:u w:val="single"/>
              </w:rPr>
              <w:t>Recalling</w:t>
            </w:r>
            <w:r w:rsidRPr="00CC01ED">
              <w:t xml:space="preserve"> the GOOS SC regional membership appointment defined in IOC Resolution XXVI-8, and further recalling IOC Circular Letter 2762 requesting nominations of experts for appointment by Member State Electoral Groups, </w:t>
            </w:r>
          </w:p>
          <w:p w14:paraId="7B5809DD" w14:textId="77777777" w:rsidR="008A659E" w:rsidRPr="00CC01ED" w:rsidRDefault="008A659E" w:rsidP="008A659E">
            <w:pPr>
              <w:pStyle w:val="Grilleclaire-Accent31"/>
              <w:numPr>
                <w:ilvl w:val="0"/>
                <w:numId w:val="3"/>
              </w:numPr>
              <w:tabs>
                <w:tab w:val="clear" w:pos="567"/>
              </w:tabs>
              <w:spacing w:after="120"/>
              <w:ind w:left="714" w:hanging="357"/>
              <w:contextualSpacing w:val="0"/>
            </w:pPr>
            <w:r w:rsidRPr="008C5C08">
              <w:rPr>
                <w:u w:val="single"/>
              </w:rPr>
              <w:t>Notes</w:t>
            </w:r>
            <w:r w:rsidRPr="00CC01ED">
              <w:t xml:space="preserve"> the appointment by each of the Member State Electoral Groups of a regional expert member of the GOOS SC for 2020</w:t>
            </w:r>
            <w:r>
              <w:t>–</w:t>
            </w:r>
            <w:r w:rsidRPr="00CC01ED">
              <w:t xml:space="preserve">2021: </w:t>
            </w:r>
          </w:p>
          <w:p w14:paraId="7B7F5A6B" w14:textId="77777777" w:rsidR="008A659E" w:rsidRPr="00CC01ED" w:rsidRDefault="008A659E" w:rsidP="00E847DE">
            <w:pPr>
              <w:pStyle w:val="Grilleclaire-Accent31"/>
              <w:tabs>
                <w:tab w:val="clear" w:pos="567"/>
              </w:tabs>
              <w:spacing w:after="120"/>
              <w:ind w:left="714"/>
              <w:contextualSpacing w:val="0"/>
            </w:pPr>
            <w:r w:rsidRPr="00CC01ED">
              <w:t xml:space="preserve">•  ___ (Group I) </w:t>
            </w:r>
          </w:p>
          <w:p w14:paraId="5FBCB3E1" w14:textId="77777777" w:rsidR="008A659E" w:rsidRPr="00CC01ED" w:rsidRDefault="008A659E" w:rsidP="00E847DE">
            <w:pPr>
              <w:pStyle w:val="Grilleclaire-Accent31"/>
              <w:tabs>
                <w:tab w:val="clear" w:pos="567"/>
              </w:tabs>
              <w:spacing w:after="120"/>
              <w:ind w:left="714"/>
              <w:contextualSpacing w:val="0"/>
            </w:pPr>
            <w:r w:rsidRPr="00CC01ED">
              <w:t xml:space="preserve">•  ___ (Group II) </w:t>
            </w:r>
          </w:p>
          <w:p w14:paraId="654DA610" w14:textId="77777777" w:rsidR="008A659E" w:rsidRPr="00CC01ED" w:rsidRDefault="008A659E" w:rsidP="00E847DE">
            <w:pPr>
              <w:pStyle w:val="Grilleclaire-Accent31"/>
              <w:tabs>
                <w:tab w:val="clear" w:pos="567"/>
              </w:tabs>
              <w:spacing w:after="120"/>
              <w:ind w:left="714"/>
              <w:contextualSpacing w:val="0"/>
            </w:pPr>
            <w:r w:rsidRPr="00CC01ED">
              <w:t xml:space="preserve">•  ___ (Group III) </w:t>
            </w:r>
          </w:p>
          <w:p w14:paraId="6EE8A028" w14:textId="77777777" w:rsidR="008A659E" w:rsidRPr="00CC01ED" w:rsidRDefault="008A659E" w:rsidP="00E847DE">
            <w:pPr>
              <w:pStyle w:val="Grilleclaire-Accent31"/>
              <w:tabs>
                <w:tab w:val="clear" w:pos="567"/>
              </w:tabs>
              <w:spacing w:after="120"/>
              <w:ind w:left="714"/>
              <w:contextualSpacing w:val="0"/>
            </w:pPr>
            <w:r w:rsidRPr="00CC01ED">
              <w:t xml:space="preserve">•  ___ (Group IV) </w:t>
            </w:r>
          </w:p>
          <w:p w14:paraId="6D551165" w14:textId="77777777" w:rsidR="008A659E" w:rsidRPr="0076041F" w:rsidRDefault="008A659E" w:rsidP="00E847DE">
            <w:pPr>
              <w:pStyle w:val="Grilleclaire-Accent31"/>
              <w:tabs>
                <w:tab w:val="clear" w:pos="567"/>
              </w:tabs>
              <w:spacing w:after="240"/>
              <w:ind w:left="714"/>
              <w:contextualSpacing w:val="0"/>
            </w:pPr>
            <w:r w:rsidRPr="00CC01ED">
              <w:t xml:space="preserve">•  ___ (Group V) </w:t>
            </w:r>
          </w:p>
        </w:tc>
      </w:tr>
    </w:tbl>
    <w:p w14:paraId="72ABB9E3" w14:textId="77777777" w:rsidR="008A659E" w:rsidRDefault="008A659E" w:rsidP="008A659E">
      <w:pPr>
        <w:pStyle w:val="ListParagraph1"/>
        <w:tabs>
          <w:tab w:val="left" w:pos="709"/>
        </w:tabs>
        <w:ind w:left="-130"/>
        <w:contextualSpacing w:val="0"/>
        <w:rPr>
          <w:rFonts w:ascii="Arial" w:hAnsi="Arial" w:cs="Arial"/>
          <w:sz w:val="22"/>
          <w:szCs w:val="22"/>
        </w:rPr>
      </w:pPr>
      <w:r w:rsidDel="00127C30">
        <w:rPr>
          <w:rFonts w:ascii="Arial" w:hAnsi="Arial" w:cs="Arial"/>
          <w:i/>
        </w:rPr>
        <w:lastRenderedPageBreak/>
        <w:t xml:space="preserve"> </w:t>
      </w:r>
    </w:p>
    <w:p w14:paraId="41073B04" w14:textId="77777777" w:rsidR="008A659E" w:rsidRPr="00974F61" w:rsidRDefault="008A659E" w:rsidP="008A659E">
      <w:pPr>
        <w:pStyle w:val="ListParagraph1"/>
        <w:numPr>
          <w:ilvl w:val="0"/>
          <w:numId w:val="1"/>
        </w:numPr>
        <w:tabs>
          <w:tab w:val="left" w:pos="709"/>
        </w:tabs>
        <w:spacing w:after="240"/>
        <w:ind w:hanging="720"/>
        <w:rPr>
          <w:rFonts w:ascii="Arial" w:hAnsi="Arial" w:cs="Arial"/>
          <w:sz w:val="22"/>
          <w:szCs w:val="22"/>
        </w:rPr>
      </w:pPr>
      <w:r w:rsidRPr="00974F61">
        <w:rPr>
          <w:rFonts w:ascii="Arial" w:hAnsi="Arial" w:cs="Arial"/>
          <w:sz w:val="22"/>
          <w:szCs w:val="22"/>
        </w:rPr>
        <w:t>The representatives of __ Member States took the floor. The following Member States chose to provide records of their plenary intervention on this agenda item for the informational annex to the meeting report: ___________.</w:t>
      </w:r>
    </w:p>
    <w:p w14:paraId="3B42D7CB" w14:textId="77777777" w:rsidR="009D5625" w:rsidRDefault="009D5625"/>
    <w:sectPr w:rsidR="009D5625" w:rsidSect="00EF4E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37D6B"/>
    <w:multiLevelType w:val="hybridMultilevel"/>
    <w:tmpl w:val="97C25A62"/>
    <w:lvl w:ilvl="0" w:tplc="D1728D3A">
      <w:start w:val="1"/>
      <w:numFmt w:val="decimal"/>
      <w:lvlText w:val="%1."/>
      <w:lvlJc w:val="left"/>
      <w:pPr>
        <w:ind w:left="-131" w:hanging="360"/>
      </w:pPr>
      <w:rPr>
        <w:rFonts w:ascii="Arial" w:hAnsi="Arial" w:hint="default"/>
        <w:b w:val="0"/>
        <w:i/>
        <w:sz w:val="20"/>
        <w:szCs w:val="22"/>
      </w:r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 w15:restartNumberingAfterBreak="0">
    <w:nsid w:val="5D3E621D"/>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6FB1257C"/>
    <w:multiLevelType w:val="multilevel"/>
    <w:tmpl w:val="A8C06FD4"/>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1497" w:hanging="504"/>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25"/>
    <w:rsid w:val="0061516E"/>
    <w:rsid w:val="0068126D"/>
    <w:rsid w:val="006B0FCE"/>
    <w:rsid w:val="008712E5"/>
    <w:rsid w:val="008A659E"/>
    <w:rsid w:val="00941B8F"/>
    <w:rsid w:val="00953098"/>
    <w:rsid w:val="009D5625"/>
    <w:rsid w:val="00EF4E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73FA"/>
  <w14:defaultImageDpi w14:val="32767"/>
  <w15:chartTrackingRefBased/>
  <w15:docId w15:val="{7E07ECB2-7BFA-9345-9627-A375694F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625"/>
  </w:style>
  <w:style w:type="paragraph" w:styleId="Heading2">
    <w:name w:val="heading 2"/>
    <w:basedOn w:val="Normal"/>
    <w:next w:val="Normal"/>
    <w:link w:val="Heading2Char"/>
    <w:uiPriority w:val="9"/>
    <w:semiHidden/>
    <w:unhideWhenUsed/>
    <w:qFormat/>
    <w:rsid w:val="008A65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8A659E"/>
    <w:pPr>
      <w:numPr>
        <w:ilvl w:val="2"/>
        <w:numId w:val="2"/>
      </w:numPr>
      <w:tabs>
        <w:tab w:val="left" w:pos="709"/>
      </w:tabs>
      <w:snapToGrid w:val="0"/>
      <w:spacing w:before="0" w:after="240"/>
      <w:outlineLvl w:val="2"/>
    </w:pPr>
    <w:rPr>
      <w:rFonts w:ascii="Arial" w:eastAsia="Times New Roman" w:hAnsi="Arial" w:cs="Times New Roman"/>
      <w:bCs/>
      <w:snapToGrid w:val="0"/>
      <w:color w:val="auto"/>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625"/>
    <w:rPr>
      <w:color w:val="0563C1" w:themeColor="hyperlink"/>
      <w:u w:val="single"/>
    </w:rPr>
  </w:style>
  <w:style w:type="character" w:customStyle="1" w:styleId="Heading3Char">
    <w:name w:val="Heading 3 Char"/>
    <w:basedOn w:val="DefaultParagraphFont"/>
    <w:link w:val="Heading3"/>
    <w:uiPriority w:val="9"/>
    <w:rsid w:val="008A659E"/>
    <w:rPr>
      <w:rFonts w:ascii="Arial" w:eastAsia="Times New Roman" w:hAnsi="Arial" w:cs="Times New Roman"/>
      <w:bCs/>
      <w:snapToGrid w:val="0"/>
      <w:sz w:val="22"/>
      <w:lang w:val="en-GB" w:eastAsia="en-US"/>
    </w:rPr>
  </w:style>
  <w:style w:type="paragraph" w:customStyle="1" w:styleId="ListParagraph1">
    <w:name w:val="List Paragraph1"/>
    <w:basedOn w:val="Normal"/>
    <w:qFormat/>
    <w:rsid w:val="008A659E"/>
    <w:pPr>
      <w:widowControl w:val="0"/>
      <w:autoSpaceDE w:val="0"/>
      <w:autoSpaceDN w:val="0"/>
      <w:adjustRightInd w:val="0"/>
      <w:ind w:left="720"/>
      <w:contextualSpacing/>
      <w:jc w:val="both"/>
    </w:pPr>
    <w:rPr>
      <w:rFonts w:ascii="Times New Roman" w:eastAsia="Times New Roman" w:hAnsi="Times New Roman" w:cs="Times New Roman"/>
      <w:lang w:val="en-GB" w:eastAsia="en-US"/>
    </w:rPr>
  </w:style>
  <w:style w:type="paragraph" w:customStyle="1" w:styleId="Grilleclaire-Accent31">
    <w:name w:val="Grille claire - Accent 31"/>
    <w:basedOn w:val="Normal"/>
    <w:uiPriority w:val="34"/>
    <w:qFormat/>
    <w:rsid w:val="008A659E"/>
    <w:pPr>
      <w:tabs>
        <w:tab w:val="left" w:pos="567"/>
      </w:tabs>
      <w:snapToGrid w:val="0"/>
      <w:ind w:left="720"/>
      <w:contextualSpacing/>
    </w:pPr>
    <w:rPr>
      <w:rFonts w:ascii="Arial" w:eastAsia="Times New Roman" w:hAnsi="Arial" w:cs="Times New Roman"/>
      <w:snapToGrid w:val="0"/>
      <w:sz w:val="22"/>
      <w:lang w:val="en-GB" w:eastAsia="en-US"/>
    </w:rPr>
  </w:style>
  <w:style w:type="character" w:customStyle="1" w:styleId="Heading2Char">
    <w:name w:val="Heading 2 Char"/>
    <w:basedOn w:val="DefaultParagraphFont"/>
    <w:link w:val="Heading2"/>
    <w:uiPriority w:val="9"/>
    <w:semiHidden/>
    <w:rsid w:val="008A659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c-unesco.org/index.php?option=com_oe&amp;task=viewDocumentRecord&amp;docID=22385" TargetMode="External"/><Relationship Id="rId5" Type="http://schemas.openxmlformats.org/officeDocument/2006/relationships/hyperlink" Target="http://ioc-unesco.org/index.php?option=com_oe&amp;task=viewDocumentRecord&amp;docID=243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IOC/UNESCO</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Albert</dc:creator>
  <cp:keywords/>
  <dc:description/>
  <cp:lastModifiedBy>Fischer, Albert</cp:lastModifiedBy>
  <cp:revision>1</cp:revision>
  <dcterms:created xsi:type="dcterms:W3CDTF">2019-04-27T10:58:00Z</dcterms:created>
  <dcterms:modified xsi:type="dcterms:W3CDTF">2019-04-27T12:12:00Z</dcterms:modified>
</cp:coreProperties>
</file>