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C5276" w14:textId="77777777" w:rsidR="00376C4B" w:rsidRDefault="00376C4B" w:rsidP="00422277">
      <w:pPr>
        <w:rPr>
          <w:b/>
        </w:rPr>
      </w:pPr>
    </w:p>
    <w:p w14:paraId="6FA45BEB" w14:textId="13676CE8" w:rsidR="00422277" w:rsidRPr="003A47D9" w:rsidRDefault="00E52F40" w:rsidP="00422277">
      <w:r>
        <w:rPr>
          <w:b/>
        </w:rPr>
        <w:t>Eighth</w:t>
      </w:r>
      <w:r w:rsidR="00422277" w:rsidRPr="003A47D9">
        <w:rPr>
          <w:b/>
        </w:rPr>
        <w:t xml:space="preserve"> Meeting</w:t>
      </w:r>
      <w:r w:rsidR="00422277">
        <w:rPr>
          <w:b/>
        </w:rPr>
        <w:t xml:space="preserve">, </w:t>
      </w:r>
      <w:r w:rsidR="00AE3DE0">
        <w:t xml:space="preserve">1-3 </w:t>
      </w:r>
      <w:r>
        <w:t>May</w:t>
      </w:r>
      <w:r w:rsidR="00AE3DE0">
        <w:t xml:space="preserve"> 201</w:t>
      </w:r>
      <w:r>
        <w:t>9</w:t>
      </w:r>
      <w:r w:rsidR="007C77C5">
        <w:rPr>
          <w:b/>
        </w:rPr>
        <w:br/>
      </w:r>
      <w:hyperlink r:id="rId7" w:history="1">
        <w:r w:rsidR="000106DE">
          <w:rPr>
            <w:rStyle w:val="Hyperlink"/>
          </w:rPr>
          <w:t>goosocean.org/goos-sc-8</w:t>
        </w:r>
      </w:hyperlink>
    </w:p>
    <w:p w14:paraId="0F674BAC" w14:textId="7EA5256E" w:rsidR="00AE3DE0" w:rsidRDefault="00AE3DE0" w:rsidP="00422277">
      <w:pPr>
        <w:pStyle w:val="Heading1"/>
      </w:pPr>
    </w:p>
    <w:p w14:paraId="08CEBE5C" w14:textId="77777777" w:rsidR="00524111" w:rsidRPr="00AE3DE0" w:rsidRDefault="00524111" w:rsidP="00AE3DE0"/>
    <w:p w14:paraId="7E697DB9" w14:textId="0AEFD5A9" w:rsidR="00422277" w:rsidRDefault="00224CCF" w:rsidP="00422277">
      <w:pPr>
        <w:pStyle w:val="Heading1"/>
      </w:pPr>
      <w:r w:rsidRPr="00224CCF">
        <w:rPr>
          <w:lang w:val="en-GB"/>
        </w:rPr>
        <w:t>How to capture the legacy of GOOS Projects?</w:t>
      </w:r>
    </w:p>
    <w:p w14:paraId="30092C27" w14:textId="20C58FFD" w:rsidR="00C863F3" w:rsidRDefault="00C863F3" w:rsidP="00422277">
      <w:pPr>
        <w:rPr>
          <w:i/>
        </w:rPr>
      </w:pPr>
      <w:r>
        <w:rPr>
          <w:i/>
        </w:rPr>
        <w:t>Agenda item:</w:t>
      </w:r>
      <w:r w:rsidR="00224CCF">
        <w:rPr>
          <w:i/>
        </w:rPr>
        <w:t xml:space="preserve"> 7</w:t>
      </w:r>
      <w:r w:rsidR="00793F54">
        <w:rPr>
          <w:i/>
        </w:rPr>
        <w:t xml:space="preserve"> Projects Legacy</w:t>
      </w:r>
      <w:bookmarkStart w:id="0" w:name="_GoBack"/>
      <w:bookmarkEnd w:id="0"/>
    </w:p>
    <w:p w14:paraId="6AEF9714" w14:textId="238F68B2" w:rsidR="00422277" w:rsidRPr="003A47D9" w:rsidRDefault="00793F54" w:rsidP="00422277">
      <w:pPr>
        <w:rPr>
          <w:i/>
        </w:rPr>
      </w:pPr>
      <w:r>
        <w:rPr>
          <w:i/>
        </w:rPr>
        <w:t>26 April 2019</w:t>
      </w:r>
      <w:r w:rsidR="007C77C5">
        <w:rPr>
          <w:i/>
        </w:rPr>
        <w:br/>
        <w:t xml:space="preserve">Prepared by: </w:t>
      </w:r>
      <w:r>
        <w:rPr>
          <w:i/>
        </w:rPr>
        <w:t xml:space="preserve">Hill and </w:t>
      </w:r>
      <w:proofErr w:type="spellStart"/>
      <w:r>
        <w:rPr>
          <w:i/>
        </w:rPr>
        <w:t>Palacz</w:t>
      </w:r>
      <w:proofErr w:type="spellEnd"/>
    </w:p>
    <w:p w14:paraId="0483BBFA" w14:textId="77777777" w:rsidR="00097341" w:rsidRDefault="00097341" w:rsidP="00376C4B">
      <w:pPr>
        <w:spacing w:after="60"/>
      </w:pPr>
    </w:p>
    <w:p w14:paraId="4CCF13E7" w14:textId="77777777" w:rsidR="00524111" w:rsidRDefault="00524111" w:rsidP="00376C4B">
      <w:pPr>
        <w:spacing w:after="60"/>
      </w:pPr>
    </w:p>
    <w:p w14:paraId="648586CE" w14:textId="77777777" w:rsidR="00793F54" w:rsidRPr="00793F54" w:rsidRDefault="00793F54" w:rsidP="00793F54">
      <w:pPr>
        <w:numPr>
          <w:ilvl w:val="0"/>
          <w:numId w:val="43"/>
        </w:numPr>
        <w:spacing w:after="200" w:line="276" w:lineRule="auto"/>
        <w:rPr>
          <w:rFonts w:ascii="Verdana" w:eastAsia="Verdana" w:hAnsi="Verdana" w:cs="Verdana"/>
          <w:b/>
          <w:color w:val="222222"/>
          <w:sz w:val="20"/>
          <w:szCs w:val="20"/>
          <w:highlight w:val="white"/>
          <w:lang w:val="en-GB" w:eastAsia="zh-CN"/>
        </w:rPr>
      </w:pPr>
      <w:r w:rsidRPr="00793F54">
        <w:rPr>
          <w:rFonts w:ascii="Verdana" w:eastAsia="Verdana" w:hAnsi="Verdana" w:cs="Verdana"/>
          <w:b/>
          <w:color w:val="222222"/>
          <w:sz w:val="20"/>
          <w:szCs w:val="20"/>
          <w:highlight w:val="white"/>
          <w:lang w:val="en-GB" w:eastAsia="zh-CN"/>
        </w:rPr>
        <w:t xml:space="preserve">Introduction: GOOS projects and the Framework for Ocean Observing </w:t>
      </w:r>
    </w:p>
    <w:p w14:paraId="719186E4" w14:textId="77777777" w:rsidR="00793F54" w:rsidRPr="00793F54" w:rsidRDefault="00793F54" w:rsidP="00793F54">
      <w:pPr>
        <w:spacing w:after="200" w:line="276" w:lineRule="auto"/>
        <w:rPr>
          <w:rFonts w:ascii="Verdana" w:eastAsia="Verdana" w:hAnsi="Verdana" w:cs="Verdana"/>
          <w:color w:val="222222"/>
          <w:sz w:val="20"/>
          <w:szCs w:val="20"/>
          <w:highlight w:val="white"/>
          <w:lang w:val="en-GB" w:eastAsia="zh-CN"/>
        </w:rPr>
      </w:pPr>
      <w:r w:rsidRPr="00793F54">
        <w:rPr>
          <w:rFonts w:ascii="Verdana" w:eastAsia="Verdana" w:hAnsi="Verdana" w:cs="Verdana"/>
          <w:color w:val="222222"/>
          <w:sz w:val="20"/>
          <w:szCs w:val="20"/>
          <w:highlight w:val="white"/>
          <w:lang w:val="en-GB" w:eastAsia="zh-CN"/>
        </w:rPr>
        <w:t xml:space="preserve">GOOS Projects are aimed at filling identified gaps in the system. They may be Development Projects with a broad scope covering requirements, observations, and data systems universally relevant to GOOS, with a geographic or thematic focus; or Pilot Projects focused on specific areas or systems to improve readiness for sustained observations. (see GOOS Projects principles for affiliation). </w:t>
      </w:r>
    </w:p>
    <w:p w14:paraId="76F0D4E8" w14:textId="77777777" w:rsidR="00793F54" w:rsidRPr="00793F54" w:rsidRDefault="00793F54" w:rsidP="00793F54">
      <w:pPr>
        <w:spacing w:after="200" w:line="276" w:lineRule="auto"/>
        <w:rPr>
          <w:rFonts w:ascii="Arial" w:eastAsia="Arial" w:hAnsi="Arial" w:cs="Arial"/>
          <w:b/>
          <w:color w:val="222222"/>
          <w:sz w:val="20"/>
          <w:szCs w:val="20"/>
          <w:highlight w:val="white"/>
          <w:lang w:val="en-GB" w:eastAsia="zh-CN"/>
        </w:rPr>
      </w:pPr>
      <w:r w:rsidRPr="00793F54">
        <w:rPr>
          <w:rFonts w:ascii="Verdana" w:eastAsia="Verdana" w:hAnsi="Verdana" w:cs="Verdana"/>
          <w:sz w:val="20"/>
          <w:szCs w:val="20"/>
          <w:lang w:val="en-GB" w:eastAsia="zh-CN"/>
        </w:rPr>
        <w:t xml:space="preserve">For GOOS to capture the legacy of GOOS projects, Outcomes/advances can be considered in all steps of the Framework for Ocean Observing (FOO), as well as the approach taken to exercising the FOO process. In addition, some guidance can be identified in areas not covered by the FOO; including governance, prioritisation and facilitating change. </w:t>
      </w:r>
    </w:p>
    <w:p w14:paraId="1024C0B2" w14:textId="77777777" w:rsidR="00793F54" w:rsidRPr="00793F54" w:rsidRDefault="00793F54" w:rsidP="00793F54">
      <w:pPr>
        <w:spacing w:after="200" w:line="276" w:lineRule="auto"/>
        <w:rPr>
          <w:rFonts w:ascii="Verdana" w:eastAsia="Verdana" w:hAnsi="Verdana" w:cs="Verdana"/>
          <w:b/>
          <w:color w:val="222222"/>
          <w:sz w:val="20"/>
          <w:szCs w:val="20"/>
          <w:highlight w:val="white"/>
          <w:lang w:val="en-GB" w:eastAsia="zh-CN"/>
        </w:rPr>
      </w:pPr>
      <w:r w:rsidRPr="00793F54">
        <w:rPr>
          <w:rFonts w:ascii="Verdana" w:eastAsia="Verdana" w:hAnsi="Verdana" w:cs="Verdana"/>
          <w:b/>
          <w:noProof/>
          <w:color w:val="222222"/>
          <w:sz w:val="20"/>
          <w:szCs w:val="20"/>
          <w:highlight w:val="white"/>
          <w:lang w:eastAsia="zh-CN"/>
        </w:rPr>
        <w:drawing>
          <wp:inline distT="114300" distB="114300" distL="114300" distR="114300" wp14:anchorId="534D780A" wp14:editId="5E02FC2F">
            <wp:extent cx="4814888" cy="332723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14888" cy="3327231"/>
                    </a:xfrm>
                    <a:prstGeom prst="rect">
                      <a:avLst/>
                    </a:prstGeom>
                    <a:ln/>
                  </pic:spPr>
                </pic:pic>
              </a:graphicData>
            </a:graphic>
          </wp:inline>
        </w:drawing>
      </w:r>
    </w:p>
    <w:p w14:paraId="6D011C3E" w14:textId="77777777" w:rsidR="00793F54" w:rsidRPr="00793F54" w:rsidRDefault="00793F54" w:rsidP="00793F54">
      <w:pPr>
        <w:spacing w:after="200" w:line="276" w:lineRule="auto"/>
        <w:rPr>
          <w:rFonts w:ascii="Verdana" w:eastAsia="Verdana" w:hAnsi="Verdana" w:cs="Verdana"/>
          <w:i/>
          <w:color w:val="222222"/>
          <w:sz w:val="20"/>
          <w:szCs w:val="20"/>
          <w:highlight w:val="white"/>
          <w:lang w:val="en-GB" w:eastAsia="zh-CN"/>
        </w:rPr>
      </w:pPr>
      <w:r w:rsidRPr="00793F54">
        <w:rPr>
          <w:rFonts w:ascii="Verdana" w:eastAsia="Verdana" w:hAnsi="Verdana" w:cs="Verdana"/>
          <w:i/>
          <w:color w:val="222222"/>
          <w:sz w:val="20"/>
          <w:szCs w:val="20"/>
          <w:highlight w:val="white"/>
          <w:lang w:val="en-GB" w:eastAsia="zh-CN"/>
        </w:rPr>
        <w:t xml:space="preserve">Figure 1. The Framework for Ocean Observing. </w:t>
      </w:r>
    </w:p>
    <w:p w14:paraId="5EA55D79" w14:textId="77777777" w:rsidR="00793F54" w:rsidRPr="00793F54" w:rsidRDefault="00793F54" w:rsidP="00793F54">
      <w:pPr>
        <w:spacing w:after="200" w:line="276" w:lineRule="auto"/>
        <w:rPr>
          <w:rFonts w:ascii="Verdana" w:eastAsia="Verdana" w:hAnsi="Verdana" w:cs="Verdana"/>
          <w:i/>
          <w:color w:val="222222"/>
          <w:sz w:val="20"/>
          <w:szCs w:val="20"/>
          <w:highlight w:val="white"/>
          <w:lang w:val="en-GB" w:eastAsia="zh-CN"/>
        </w:rPr>
      </w:pPr>
    </w:p>
    <w:p w14:paraId="08FFDAFA" w14:textId="77777777" w:rsidR="00793F54" w:rsidRPr="00793F54" w:rsidRDefault="00793F54" w:rsidP="00793F54">
      <w:pPr>
        <w:spacing w:after="200" w:line="276" w:lineRule="auto"/>
        <w:rPr>
          <w:rFonts w:ascii="Verdana" w:eastAsia="Verdana" w:hAnsi="Verdana" w:cs="Verdana"/>
          <w:b/>
          <w:color w:val="222222"/>
          <w:sz w:val="20"/>
          <w:szCs w:val="20"/>
          <w:highlight w:val="white"/>
          <w:lang w:val="en-GB" w:eastAsia="zh-CN"/>
        </w:rPr>
      </w:pPr>
      <w:r w:rsidRPr="00793F54">
        <w:rPr>
          <w:rFonts w:ascii="Verdana" w:eastAsia="Verdana" w:hAnsi="Verdana" w:cs="Verdana"/>
          <w:b/>
          <w:color w:val="222222"/>
          <w:sz w:val="20"/>
          <w:szCs w:val="20"/>
          <w:highlight w:val="white"/>
          <w:lang w:val="en-GB" w:eastAsia="zh-CN"/>
        </w:rPr>
        <w:t xml:space="preserve">2. Outcomes from GOOS Projects - Steps of the FOO. </w:t>
      </w:r>
    </w:p>
    <w:p w14:paraId="5A807180" w14:textId="77777777" w:rsidR="00793F54" w:rsidRPr="00793F54" w:rsidRDefault="00793F54" w:rsidP="00793F54">
      <w:pPr>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2.1. User and Stakeholder needs.</w:t>
      </w:r>
    </w:p>
    <w:p w14:paraId="0C8F1CAF" w14:textId="77777777" w:rsidR="00793F54" w:rsidRPr="00793F54" w:rsidRDefault="00793F54" w:rsidP="00793F54">
      <w:pPr>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Projects need to engage strongly with the stakeholder community to understand users, uses, and their information needs. This information can be useful for understanding the uses and users of GOOS more broadly, and also enables us to engage potentially new stakeholders in championing the need for ocean observations. Project outcomes could be vital to reconciling the national and regional user and stakeholder needs to those considered globally by GOOS.</w:t>
      </w:r>
    </w:p>
    <w:p w14:paraId="694C2F9A" w14:textId="77777777" w:rsidR="00793F54" w:rsidRPr="00793F54" w:rsidRDefault="00793F54" w:rsidP="00793F54">
      <w:pPr>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In order to adapt to changing societal needs, priorities should be given to actions that enable iterative and regular stakeholder and user consultations. Monitoring of changing user needs and their evaluation of information products delivered by the observing system is critical to the closure of the blue value chain.</w:t>
      </w:r>
    </w:p>
    <w:p w14:paraId="2ACB1278" w14:textId="77777777" w:rsidR="00793F54" w:rsidRPr="00793F54" w:rsidRDefault="00793F54" w:rsidP="00793F54">
      <w:pPr>
        <w:pBdr>
          <w:top w:val="single" w:sz="8" w:space="0" w:color="CFE2F3"/>
          <w:left w:val="single" w:sz="8" w:space="0" w:color="CFE2F3"/>
          <w:bottom w:val="single" w:sz="8" w:space="0" w:color="CFE2F3"/>
          <w:right w:val="single" w:sz="8" w:space="0" w:color="CFE2F3"/>
        </w:pBdr>
        <w:shd w:val="clear" w:color="auto" w:fill="C9DAF8"/>
        <w:spacing w:after="200" w:line="276" w:lineRule="auto"/>
        <w:jc w:val="both"/>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Example - AtlantOS Project</w:t>
      </w:r>
    </w:p>
    <w:p w14:paraId="4B90522C" w14:textId="77777777" w:rsidR="00793F54" w:rsidRPr="00793F54" w:rsidRDefault="00793F54" w:rsidP="00793F54">
      <w:pPr>
        <w:pBdr>
          <w:top w:val="single" w:sz="8" w:space="0" w:color="CFE2F3"/>
          <w:left w:val="single" w:sz="8" w:space="0" w:color="CFE2F3"/>
          <w:bottom w:val="single" w:sz="8" w:space="0" w:color="CFE2F3"/>
          <w:right w:val="single" w:sz="8" w:space="0" w:color="CFE2F3"/>
        </w:pBdr>
        <w:shd w:val="clear" w:color="auto" w:fill="C9DAF8"/>
        <w:spacing w:after="200" w:line="276" w:lineRule="auto"/>
        <w:jc w:val="both"/>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 xml:space="preserve">Analysis of the societal requirements for Atlantic Ocean observations can be found in this </w:t>
      </w:r>
      <w:hyperlink r:id="rId9">
        <w:r w:rsidRPr="00793F54">
          <w:rPr>
            <w:rFonts w:ascii="Verdana" w:eastAsia="Verdana" w:hAnsi="Verdana" w:cs="Verdana"/>
            <w:color w:val="1155CC"/>
            <w:sz w:val="20"/>
            <w:szCs w:val="20"/>
            <w:u w:val="single"/>
            <w:lang w:val="en-GB" w:eastAsia="zh-CN"/>
          </w:rPr>
          <w:t>report</w:t>
        </w:r>
      </w:hyperlink>
      <w:r w:rsidRPr="00793F54">
        <w:rPr>
          <w:rFonts w:ascii="Verdana" w:eastAsia="Verdana" w:hAnsi="Verdana" w:cs="Verdana"/>
          <w:sz w:val="20"/>
          <w:szCs w:val="20"/>
          <w:lang w:val="en-GB" w:eastAsia="zh-CN"/>
        </w:rPr>
        <w:t xml:space="preserve">, currently being revised. The project also </w:t>
      </w:r>
      <w:proofErr w:type="spellStart"/>
      <w:r w:rsidRPr="00793F54">
        <w:rPr>
          <w:rFonts w:ascii="Verdana" w:eastAsia="Verdana" w:hAnsi="Verdana" w:cs="Verdana"/>
          <w:sz w:val="20"/>
          <w:szCs w:val="20"/>
          <w:lang w:val="en-GB" w:eastAsia="zh-CN"/>
        </w:rPr>
        <w:t>analyzed</w:t>
      </w:r>
      <w:proofErr w:type="spellEnd"/>
      <w:r w:rsidRPr="00793F54">
        <w:rPr>
          <w:rFonts w:ascii="Verdana" w:eastAsia="Verdana" w:hAnsi="Verdana" w:cs="Verdana"/>
          <w:sz w:val="20"/>
          <w:szCs w:val="20"/>
          <w:lang w:val="en-GB" w:eastAsia="zh-CN"/>
        </w:rPr>
        <w:t xml:space="preserve"> the adequacy of selected information products to meet the user requirements (e.g. deliverable reports </w:t>
      </w:r>
      <w:hyperlink r:id="rId10">
        <w:r w:rsidRPr="00793F54">
          <w:rPr>
            <w:rFonts w:ascii="Verdana" w:eastAsia="Verdana" w:hAnsi="Verdana" w:cs="Verdana"/>
            <w:color w:val="1155CC"/>
            <w:sz w:val="20"/>
            <w:szCs w:val="20"/>
            <w:u w:val="single"/>
            <w:lang w:val="en-GB" w:eastAsia="zh-CN"/>
          </w:rPr>
          <w:t>8.9</w:t>
        </w:r>
      </w:hyperlink>
      <w:r w:rsidRPr="00793F54">
        <w:rPr>
          <w:rFonts w:ascii="Verdana" w:eastAsia="Verdana" w:hAnsi="Verdana" w:cs="Verdana"/>
          <w:sz w:val="20"/>
          <w:szCs w:val="20"/>
          <w:lang w:val="en-GB" w:eastAsia="zh-CN"/>
        </w:rPr>
        <w:t xml:space="preserve">, </w:t>
      </w:r>
      <w:hyperlink r:id="rId11">
        <w:r w:rsidRPr="00793F54">
          <w:rPr>
            <w:rFonts w:ascii="Verdana" w:eastAsia="Verdana" w:hAnsi="Verdana" w:cs="Verdana"/>
            <w:color w:val="1155CC"/>
            <w:sz w:val="20"/>
            <w:szCs w:val="20"/>
            <w:u w:val="single"/>
            <w:lang w:val="en-GB" w:eastAsia="zh-CN"/>
          </w:rPr>
          <w:t>8.11</w:t>
        </w:r>
      </w:hyperlink>
      <w:r w:rsidRPr="00793F54">
        <w:rPr>
          <w:rFonts w:ascii="Verdana" w:eastAsia="Verdana" w:hAnsi="Verdana" w:cs="Verdana"/>
          <w:sz w:val="20"/>
          <w:szCs w:val="20"/>
          <w:lang w:val="en-GB" w:eastAsia="zh-CN"/>
        </w:rPr>
        <w:t xml:space="preserve"> and </w:t>
      </w:r>
      <w:hyperlink r:id="rId12">
        <w:r w:rsidRPr="00793F54">
          <w:rPr>
            <w:rFonts w:ascii="Verdana" w:eastAsia="Verdana" w:hAnsi="Verdana" w:cs="Verdana"/>
            <w:color w:val="1155CC"/>
            <w:sz w:val="20"/>
            <w:szCs w:val="20"/>
            <w:u w:val="single"/>
            <w:lang w:val="en-GB" w:eastAsia="zh-CN"/>
          </w:rPr>
          <w:t>8.16</w:t>
        </w:r>
      </w:hyperlink>
      <w:r w:rsidRPr="00793F54">
        <w:rPr>
          <w:rFonts w:ascii="Verdana" w:eastAsia="Verdana" w:hAnsi="Verdana" w:cs="Verdana"/>
          <w:sz w:val="20"/>
          <w:szCs w:val="20"/>
          <w:lang w:val="en-GB" w:eastAsia="zh-CN"/>
        </w:rPr>
        <w:t xml:space="preserve">). </w:t>
      </w:r>
    </w:p>
    <w:p w14:paraId="7AAD2DE2" w14:textId="77777777" w:rsidR="00793F54" w:rsidRPr="00793F54" w:rsidRDefault="00793F54" w:rsidP="00793F54">
      <w:pPr>
        <w:pBdr>
          <w:top w:val="single" w:sz="8" w:space="0" w:color="CFE2F3"/>
          <w:left w:val="single" w:sz="8" w:space="0" w:color="CFE2F3"/>
          <w:bottom w:val="single" w:sz="8" w:space="0" w:color="CFE2F3"/>
          <w:right w:val="single" w:sz="8" w:space="0" w:color="CFE2F3"/>
        </w:pBdr>
        <w:shd w:val="clear" w:color="auto" w:fill="C9DAF8"/>
        <w:spacing w:after="200" w:line="276" w:lineRule="auto"/>
        <w:jc w:val="both"/>
        <w:rPr>
          <w:rFonts w:ascii="Verdana" w:eastAsia="Verdana" w:hAnsi="Verdana" w:cs="Verdana"/>
          <w:i/>
          <w:sz w:val="20"/>
          <w:szCs w:val="20"/>
          <w:lang w:val="en-GB" w:eastAsia="zh-CN"/>
        </w:rPr>
      </w:pPr>
      <w:r w:rsidRPr="00793F54">
        <w:rPr>
          <w:rFonts w:ascii="Verdana" w:eastAsia="Verdana" w:hAnsi="Verdana" w:cs="Verdana"/>
          <w:sz w:val="20"/>
          <w:szCs w:val="20"/>
          <w:lang w:val="en-GB" w:eastAsia="zh-CN"/>
        </w:rPr>
        <w:t xml:space="preserve">The </w:t>
      </w:r>
      <w:hyperlink r:id="rId13">
        <w:r w:rsidRPr="00793F54">
          <w:rPr>
            <w:rFonts w:ascii="Verdana" w:eastAsia="Verdana" w:hAnsi="Verdana" w:cs="Verdana"/>
            <w:color w:val="1155CC"/>
            <w:sz w:val="20"/>
            <w:szCs w:val="20"/>
            <w:u w:val="single"/>
            <w:lang w:val="en-GB" w:eastAsia="zh-CN"/>
          </w:rPr>
          <w:t>European Strategy for All-Atlantic Ocean Observing System</w:t>
        </w:r>
      </w:hyperlink>
      <w:r w:rsidRPr="00793F54">
        <w:rPr>
          <w:rFonts w:ascii="Verdana" w:eastAsia="Verdana" w:hAnsi="Verdana" w:cs="Verdana"/>
          <w:sz w:val="20"/>
          <w:szCs w:val="20"/>
          <w:lang w:val="en-GB" w:eastAsia="zh-CN"/>
        </w:rPr>
        <w:t>, produced by the AtlantOS project, points at the need to map the requirements of European users</w:t>
      </w:r>
      <w:r w:rsidRPr="00793F54">
        <w:rPr>
          <w:rFonts w:ascii="Verdana" w:eastAsia="Verdana" w:hAnsi="Verdana" w:cs="Verdana"/>
          <w:i/>
          <w:sz w:val="20"/>
          <w:szCs w:val="20"/>
          <w:lang w:val="en-GB" w:eastAsia="zh-CN"/>
        </w:rPr>
        <w:t xml:space="preserve"> “on a biannual basis via dedicated user meetings focussing specifically on delivering information for operational services, climate and marine ecosystem health applications.”</w:t>
      </w:r>
    </w:p>
    <w:p w14:paraId="60C63761" w14:textId="77777777" w:rsidR="00793F54" w:rsidRPr="00793F54" w:rsidRDefault="00793F54" w:rsidP="00793F54">
      <w:pPr>
        <w:pBdr>
          <w:top w:val="single" w:sz="8" w:space="0" w:color="CFE2F3"/>
          <w:left w:val="single" w:sz="8" w:space="0" w:color="CFE2F3"/>
          <w:bottom w:val="single" w:sz="8" w:space="0" w:color="CFE2F3"/>
          <w:right w:val="single" w:sz="8" w:space="0" w:color="CFE2F3"/>
        </w:pBdr>
        <w:shd w:val="clear" w:color="auto" w:fill="C9DAF8"/>
        <w:spacing w:after="200" w:line="276" w:lineRule="auto"/>
        <w:jc w:val="both"/>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 xml:space="preserve">The goal could be realized through actions proposed by the European Ocean Observing System (EOOS) as specified in the </w:t>
      </w:r>
      <w:hyperlink r:id="rId14">
        <w:r w:rsidRPr="00793F54">
          <w:rPr>
            <w:rFonts w:ascii="Verdana" w:eastAsia="Verdana" w:hAnsi="Verdana" w:cs="Verdana"/>
            <w:color w:val="1155CC"/>
            <w:sz w:val="20"/>
            <w:szCs w:val="20"/>
            <w:u w:val="single"/>
            <w:lang w:val="en-GB" w:eastAsia="zh-CN"/>
          </w:rPr>
          <w:t>2018-2022 Strategy and Implementation Plan</w:t>
        </w:r>
      </w:hyperlink>
      <w:r w:rsidRPr="00793F54">
        <w:rPr>
          <w:rFonts w:ascii="Verdana" w:eastAsia="Verdana" w:hAnsi="Verdana" w:cs="Verdana"/>
          <w:sz w:val="20"/>
          <w:szCs w:val="20"/>
          <w:lang w:val="en-GB" w:eastAsia="zh-CN"/>
        </w:rPr>
        <w:t xml:space="preserve">. </w:t>
      </w:r>
    </w:p>
    <w:p w14:paraId="2F475CE1" w14:textId="77777777" w:rsidR="00793F54" w:rsidRPr="00793F54" w:rsidRDefault="00793F54" w:rsidP="00793F54">
      <w:pPr>
        <w:pBdr>
          <w:top w:val="single" w:sz="8" w:space="0" w:color="CFE2F3"/>
          <w:left w:val="single" w:sz="8" w:space="0" w:color="CFE2F3"/>
          <w:bottom w:val="single" w:sz="8" w:space="0" w:color="CFE2F3"/>
          <w:right w:val="single" w:sz="8" w:space="0" w:color="CFE2F3"/>
        </w:pBdr>
        <w:shd w:val="clear" w:color="auto" w:fill="C9DAF8"/>
        <w:spacing w:after="200" w:line="276" w:lineRule="auto"/>
        <w:jc w:val="both"/>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 xml:space="preserve">Example - TPOS 2020. </w:t>
      </w:r>
    </w:p>
    <w:p w14:paraId="5FC2F901" w14:textId="77777777" w:rsidR="00793F54" w:rsidRPr="00793F54" w:rsidRDefault="00793F54" w:rsidP="00793F54">
      <w:pPr>
        <w:pBdr>
          <w:top w:val="single" w:sz="8" w:space="0" w:color="CFE2F3"/>
          <w:left w:val="single" w:sz="8" w:space="0" w:color="CFE2F3"/>
          <w:bottom w:val="single" w:sz="8" w:space="0" w:color="CFE2F3"/>
          <w:right w:val="single" w:sz="8" w:space="0" w:color="CFE2F3"/>
        </w:pBdr>
        <w:shd w:val="clear" w:color="auto" w:fill="C9DAF8"/>
        <w:spacing w:after="200" w:line="276" w:lineRule="auto"/>
        <w:jc w:val="both"/>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 xml:space="preserve">In depth analysis of user requirements is included in the TPOS 2020 </w:t>
      </w:r>
      <w:hyperlink r:id="rId15">
        <w:r w:rsidRPr="00793F54">
          <w:rPr>
            <w:rFonts w:ascii="Verdana" w:eastAsia="Verdana" w:hAnsi="Verdana" w:cs="Verdana"/>
            <w:color w:val="1155CC"/>
            <w:sz w:val="20"/>
            <w:szCs w:val="20"/>
            <w:u w:val="single"/>
            <w:lang w:val="en-GB" w:eastAsia="zh-CN"/>
          </w:rPr>
          <w:t>First</w:t>
        </w:r>
      </w:hyperlink>
      <w:r w:rsidRPr="00793F54">
        <w:rPr>
          <w:rFonts w:ascii="Verdana" w:eastAsia="Verdana" w:hAnsi="Verdana" w:cs="Verdana"/>
          <w:sz w:val="20"/>
          <w:szCs w:val="20"/>
          <w:lang w:val="en-GB" w:eastAsia="zh-CN"/>
        </w:rPr>
        <w:t xml:space="preserve"> and </w:t>
      </w:r>
      <w:hyperlink r:id="rId16">
        <w:r w:rsidRPr="00793F54">
          <w:rPr>
            <w:rFonts w:ascii="Verdana" w:eastAsia="Verdana" w:hAnsi="Verdana" w:cs="Verdana"/>
            <w:color w:val="1155CC"/>
            <w:sz w:val="20"/>
            <w:szCs w:val="20"/>
            <w:u w:val="single"/>
            <w:lang w:val="en-GB" w:eastAsia="zh-CN"/>
          </w:rPr>
          <w:t>Second</w:t>
        </w:r>
      </w:hyperlink>
      <w:r w:rsidRPr="00793F54">
        <w:rPr>
          <w:rFonts w:ascii="Verdana" w:eastAsia="Verdana" w:hAnsi="Verdana" w:cs="Verdana"/>
          <w:sz w:val="20"/>
          <w:szCs w:val="20"/>
          <w:lang w:val="en-GB" w:eastAsia="zh-CN"/>
        </w:rPr>
        <w:t xml:space="preserve"> Reports, with a strong evidence backed </w:t>
      </w:r>
      <w:proofErr w:type="spellStart"/>
      <w:r w:rsidRPr="00793F54">
        <w:rPr>
          <w:rFonts w:ascii="Verdana" w:eastAsia="Verdana" w:hAnsi="Verdana" w:cs="Verdana"/>
          <w:sz w:val="20"/>
          <w:szCs w:val="20"/>
          <w:lang w:val="en-GB" w:eastAsia="zh-CN"/>
        </w:rPr>
        <w:t>assesment</w:t>
      </w:r>
      <w:proofErr w:type="spellEnd"/>
      <w:r w:rsidRPr="00793F54">
        <w:rPr>
          <w:rFonts w:ascii="Verdana" w:eastAsia="Verdana" w:hAnsi="Verdana" w:cs="Verdana"/>
          <w:sz w:val="20"/>
          <w:szCs w:val="20"/>
          <w:lang w:val="en-GB" w:eastAsia="zh-CN"/>
        </w:rPr>
        <w:t xml:space="preserve"> of how to meet these requirements. </w:t>
      </w:r>
    </w:p>
    <w:p w14:paraId="55D79053" w14:textId="77777777" w:rsidR="00793F54" w:rsidRPr="00793F54" w:rsidRDefault="00793F54" w:rsidP="00793F54">
      <w:pPr>
        <w:pBdr>
          <w:top w:val="single" w:sz="8" w:space="0" w:color="FFF2CC"/>
          <w:left w:val="single" w:sz="8" w:space="0" w:color="FFF2CC"/>
          <w:bottom w:val="single" w:sz="8" w:space="0" w:color="FFF2CC"/>
          <w:right w:val="single" w:sz="8" w:space="0" w:color="FFF2CC"/>
        </w:pBdr>
        <w:shd w:val="clear" w:color="auto" w:fill="FFF2CC"/>
        <w:spacing w:after="200"/>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Questions/recommendations for the SC:</w:t>
      </w:r>
    </w:p>
    <w:p w14:paraId="49C8AEBF" w14:textId="77777777" w:rsidR="00793F54" w:rsidRPr="00793F54" w:rsidRDefault="00793F54" w:rsidP="00793F54">
      <w:pPr>
        <w:numPr>
          <w:ilvl w:val="0"/>
          <w:numId w:val="46"/>
        </w:numPr>
        <w:pBdr>
          <w:top w:val="single" w:sz="8" w:space="0" w:color="FFF2CC"/>
          <w:left w:val="single" w:sz="8" w:space="0" w:color="FFF2CC"/>
          <w:bottom w:val="single" w:sz="8" w:space="0" w:color="FFF2CC"/>
          <w:right w:val="single" w:sz="8" w:space="0" w:color="FFF2CC"/>
        </w:pBdr>
        <w:shd w:val="clear" w:color="auto" w:fill="FFF2CC"/>
        <w:spacing w:after="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How does GOOS entrain project outcomes in engaging with users and stakeholders?</w:t>
      </w:r>
    </w:p>
    <w:p w14:paraId="32E4B320" w14:textId="77777777" w:rsidR="00793F54" w:rsidRPr="00793F54" w:rsidRDefault="00793F54" w:rsidP="00793F54">
      <w:pPr>
        <w:numPr>
          <w:ilvl w:val="0"/>
          <w:numId w:val="46"/>
        </w:numPr>
        <w:pBdr>
          <w:top w:val="single" w:sz="8" w:space="0" w:color="FFF2CC"/>
          <w:left w:val="single" w:sz="8" w:space="0" w:color="FFF2CC"/>
          <w:bottom w:val="single" w:sz="8" w:space="0" w:color="FFF2CC"/>
          <w:right w:val="single" w:sz="8" w:space="0" w:color="FFF2CC"/>
        </w:pBdr>
        <w:shd w:val="clear" w:color="auto" w:fill="FFF2CC"/>
        <w:spacing w:after="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Which element/structure of GOOS should be responsible for engaging the stakeholder and user community?</w:t>
      </w:r>
    </w:p>
    <w:p w14:paraId="0AB88F05" w14:textId="77777777" w:rsidR="00793F54" w:rsidRPr="00793F54" w:rsidRDefault="00793F54" w:rsidP="00793F54">
      <w:pPr>
        <w:numPr>
          <w:ilvl w:val="0"/>
          <w:numId w:val="46"/>
        </w:numPr>
        <w:pBdr>
          <w:top w:val="single" w:sz="8" w:space="0" w:color="FFF2CC"/>
          <w:left w:val="single" w:sz="8" w:space="0" w:color="FFF2CC"/>
          <w:bottom w:val="single" w:sz="8" w:space="0" w:color="FFF2CC"/>
          <w:right w:val="single" w:sz="8" w:space="0" w:color="FFF2CC"/>
        </w:pBdr>
        <w:shd w:val="clear" w:color="auto" w:fill="FFF2CC"/>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Can Projects establish/strengthen partnerships that help reconcile regional user and stakeholder needs with those considered globally by GOOS?</w:t>
      </w:r>
    </w:p>
    <w:p w14:paraId="655375BA" w14:textId="77777777" w:rsidR="00793F54" w:rsidRPr="00793F54" w:rsidRDefault="00793F54" w:rsidP="00793F54">
      <w:pPr>
        <w:pBdr>
          <w:top w:val="single" w:sz="8" w:space="0" w:color="FFF2CC"/>
          <w:left w:val="single" w:sz="8" w:space="0" w:color="FFF2CC"/>
          <w:bottom w:val="single" w:sz="8" w:space="0" w:color="FFF2CC"/>
          <w:right w:val="single" w:sz="8" w:space="0" w:color="FFF2CC"/>
        </w:pBdr>
        <w:shd w:val="clear" w:color="auto" w:fill="FFF2CC"/>
        <w:spacing w:after="200"/>
        <w:rPr>
          <w:rFonts w:ascii="Verdana" w:eastAsia="Verdana" w:hAnsi="Verdana" w:cs="Verdana"/>
          <w:i/>
          <w:sz w:val="20"/>
          <w:szCs w:val="20"/>
          <w:lang w:val="en-GB" w:eastAsia="zh-CN"/>
        </w:rPr>
      </w:pPr>
      <w:r w:rsidRPr="00793F54">
        <w:rPr>
          <w:rFonts w:ascii="Verdana" w:eastAsia="Verdana" w:hAnsi="Verdana" w:cs="Verdana"/>
          <w:i/>
          <w:sz w:val="20"/>
          <w:szCs w:val="20"/>
          <w:lang w:val="en-GB" w:eastAsia="zh-CN"/>
        </w:rPr>
        <w:t xml:space="preserve">Related to GOOS Strategic Objective #1: ”Strengthen partnerships to improve delivery of forecasts, services, and scientific assessments” </w:t>
      </w:r>
    </w:p>
    <w:p w14:paraId="4DD84247" w14:textId="77777777" w:rsidR="00793F54" w:rsidRPr="00793F54" w:rsidRDefault="00793F54" w:rsidP="00793F54">
      <w:pPr>
        <w:spacing w:after="200" w:line="276" w:lineRule="auto"/>
        <w:rPr>
          <w:rFonts w:ascii="Verdana" w:eastAsia="Verdana" w:hAnsi="Verdana" w:cs="Verdana"/>
          <w:sz w:val="20"/>
          <w:szCs w:val="20"/>
          <w:lang w:val="en-GB" w:eastAsia="zh-CN"/>
        </w:rPr>
      </w:pPr>
    </w:p>
    <w:p w14:paraId="7C73723C" w14:textId="77777777" w:rsidR="00793F54" w:rsidRPr="00793F54" w:rsidRDefault="00793F54" w:rsidP="00793F54">
      <w:pPr>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2.2.  Requirements for Essential Ocean Variables (EOVs)</w:t>
      </w:r>
    </w:p>
    <w:p w14:paraId="73F25CD5" w14:textId="77777777" w:rsidR="00793F54" w:rsidRPr="00793F54" w:rsidRDefault="00793F54" w:rsidP="00793F54">
      <w:pPr>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lastRenderedPageBreak/>
        <w:t>Evolving and emerging requirements for ocean observations can be taken up by GOOS Panels through updates to the EOVs/Specifications, panels can broker discussions between projects with common requirements, synergies. The requirements for EOV measurement have multiple dimensions (scale, frequency, accuracy, etc.) and can be specific to a region (</w:t>
      </w:r>
      <w:proofErr w:type="spellStart"/>
      <w:r w:rsidRPr="00793F54">
        <w:rPr>
          <w:rFonts w:ascii="Verdana" w:eastAsia="Verdana" w:hAnsi="Verdana" w:cs="Verdana"/>
          <w:sz w:val="20"/>
          <w:szCs w:val="20"/>
          <w:lang w:val="en-GB" w:eastAsia="zh-CN"/>
        </w:rPr>
        <w:t>e.g</w:t>
      </w:r>
      <w:proofErr w:type="spellEnd"/>
      <w:r w:rsidRPr="00793F54">
        <w:rPr>
          <w:rFonts w:ascii="Verdana" w:eastAsia="Verdana" w:hAnsi="Verdana" w:cs="Verdana"/>
          <w:sz w:val="20"/>
          <w:szCs w:val="20"/>
          <w:lang w:val="en-GB" w:eastAsia="zh-CN"/>
        </w:rPr>
        <w:t xml:space="preserve"> Tropical Pacific) or system (e.g. deep sea, boundary currents). When relevant, GOOS projects can recommend additional requirements for observations in these regions/systems, but within the globally accepted set of requirements.</w:t>
      </w:r>
    </w:p>
    <w:p w14:paraId="33E04D18" w14:textId="77777777" w:rsidR="00793F54" w:rsidRPr="00793F54" w:rsidRDefault="00793F54" w:rsidP="00793F54">
      <w:pPr>
        <w:shd w:val="clear" w:color="auto" w:fill="C9DAF8"/>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Example - TPOS2020</w:t>
      </w:r>
    </w:p>
    <w:p w14:paraId="3EFA52FB" w14:textId="77777777" w:rsidR="00793F54" w:rsidRPr="00793F54" w:rsidRDefault="00793F54" w:rsidP="00793F54">
      <w:pPr>
        <w:shd w:val="clear" w:color="auto" w:fill="C9DAF8"/>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Ocean surface stress and air-sea fluxes was raised with OOPC as a global issue.</w:t>
      </w:r>
    </w:p>
    <w:p w14:paraId="244E490B" w14:textId="77777777" w:rsidR="00793F54" w:rsidRPr="00793F54" w:rsidRDefault="00793F54" w:rsidP="00793F54">
      <w:pPr>
        <w:shd w:val="clear" w:color="auto" w:fill="C9DAF8"/>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Example - DOOS Project</w:t>
      </w:r>
    </w:p>
    <w:p w14:paraId="6A54E703" w14:textId="77777777" w:rsidR="00793F54" w:rsidRPr="00793F54" w:rsidRDefault="00793F54" w:rsidP="00793F54">
      <w:pPr>
        <w:shd w:val="clear" w:color="auto" w:fill="C9DAF8"/>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DOOS EOVs developed using GOOS EOV Specification Sheet templates and in close communication with GOOS Panels. Need to identify which DOOS EOVs can be integrated into existing EOVs, which should form new EOVs, and which not (based on impact vs feasibility assessment).</w:t>
      </w:r>
    </w:p>
    <w:p w14:paraId="562F4AE2" w14:textId="77777777" w:rsidR="00793F54" w:rsidRPr="00793F54" w:rsidRDefault="00793F54" w:rsidP="00793F54">
      <w:pPr>
        <w:shd w:val="clear" w:color="auto" w:fill="C9DAF8"/>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Example - AtlantOS</w:t>
      </w:r>
    </w:p>
    <w:p w14:paraId="6F58B669" w14:textId="77777777" w:rsidR="00793F54" w:rsidRPr="00793F54" w:rsidRDefault="00793F54" w:rsidP="00793F54">
      <w:pPr>
        <w:shd w:val="clear" w:color="auto" w:fill="C9DAF8"/>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 xml:space="preserve">AtlantOS workshop on setting phenomena-based targets for biogeochemical observations in the Atlantic Ocean. See workshop report </w:t>
      </w:r>
      <w:hyperlink r:id="rId17">
        <w:r w:rsidRPr="00793F54">
          <w:rPr>
            <w:rFonts w:ascii="Verdana" w:eastAsia="Verdana" w:hAnsi="Verdana" w:cs="Verdana"/>
            <w:color w:val="1155CC"/>
            <w:sz w:val="20"/>
            <w:szCs w:val="20"/>
            <w:u w:val="single"/>
            <w:lang w:val="en-GB" w:eastAsia="zh-CN"/>
          </w:rPr>
          <w:t>HERE</w:t>
        </w:r>
      </w:hyperlink>
      <w:r w:rsidRPr="00793F54">
        <w:rPr>
          <w:rFonts w:ascii="Verdana" w:eastAsia="Verdana" w:hAnsi="Verdana" w:cs="Verdana"/>
          <w:sz w:val="20"/>
          <w:szCs w:val="20"/>
          <w:lang w:val="en-GB" w:eastAsia="zh-CN"/>
        </w:rPr>
        <w:t xml:space="preserve">. Generated interest in the PICES community to repeat such an exercise in the North Pacific Ocean basin. </w:t>
      </w:r>
    </w:p>
    <w:p w14:paraId="395AD314" w14:textId="77777777" w:rsidR="00793F54" w:rsidRPr="00793F54" w:rsidRDefault="00793F54" w:rsidP="00793F54">
      <w:pPr>
        <w:spacing w:after="200" w:line="276" w:lineRule="auto"/>
        <w:rPr>
          <w:rFonts w:ascii="Verdana" w:eastAsia="Verdana" w:hAnsi="Verdana" w:cs="Verdana"/>
          <w:b/>
          <w:sz w:val="20"/>
          <w:szCs w:val="20"/>
          <w:lang w:val="en-GB" w:eastAsia="zh-CN"/>
        </w:rPr>
      </w:pPr>
    </w:p>
    <w:p w14:paraId="6C6086B2" w14:textId="77777777" w:rsidR="00793F54" w:rsidRPr="00793F54" w:rsidRDefault="00793F54" w:rsidP="00793F54">
      <w:pPr>
        <w:shd w:val="clear" w:color="auto" w:fill="FFF2CC"/>
        <w:spacing w:after="200"/>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Questions/recommendations for the SC:</w:t>
      </w:r>
    </w:p>
    <w:p w14:paraId="4E1C5219" w14:textId="77777777" w:rsidR="00793F54" w:rsidRPr="00793F54" w:rsidRDefault="00793F54" w:rsidP="00793F54">
      <w:pPr>
        <w:numPr>
          <w:ilvl w:val="0"/>
          <w:numId w:val="44"/>
        </w:numPr>
        <w:shd w:val="clear" w:color="auto" w:fill="FFF2CC"/>
        <w:spacing w:after="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Formalize the concept of “emerging EOVs” and agree on a common process for accepting new EOVs based on project outcomes and recommendations.</w:t>
      </w:r>
    </w:p>
    <w:p w14:paraId="2F86779A" w14:textId="77777777" w:rsidR="00793F54" w:rsidRPr="00793F54" w:rsidRDefault="00793F54" w:rsidP="00793F54">
      <w:pPr>
        <w:numPr>
          <w:ilvl w:val="0"/>
          <w:numId w:val="44"/>
        </w:numPr>
        <w:shd w:val="clear" w:color="auto" w:fill="FFF2CC"/>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Describe the impact vs feasibility assessment for EOVs, document the process and communicate to relevant observing system actors.</w:t>
      </w:r>
    </w:p>
    <w:p w14:paraId="54A725B6" w14:textId="77777777" w:rsidR="00793F54" w:rsidRPr="00793F54" w:rsidRDefault="00793F54" w:rsidP="00793F54">
      <w:pPr>
        <w:shd w:val="clear" w:color="auto" w:fill="FFF2CC"/>
        <w:spacing w:after="200"/>
        <w:rPr>
          <w:rFonts w:ascii="Verdana" w:eastAsia="Verdana" w:hAnsi="Verdana" w:cs="Verdana"/>
          <w:i/>
          <w:sz w:val="20"/>
          <w:szCs w:val="20"/>
          <w:lang w:val="en-GB" w:eastAsia="zh-CN"/>
        </w:rPr>
      </w:pPr>
      <w:r w:rsidRPr="00793F54">
        <w:rPr>
          <w:rFonts w:ascii="Verdana" w:eastAsia="Verdana" w:hAnsi="Verdana" w:cs="Verdana"/>
          <w:i/>
          <w:sz w:val="20"/>
          <w:szCs w:val="20"/>
          <w:lang w:val="en-GB" w:eastAsia="zh-CN"/>
        </w:rPr>
        <w:t>Related to GOOS Strategic Objective #5: “</w:t>
      </w:r>
      <w:r w:rsidRPr="00793F54">
        <w:rPr>
          <w:rFonts w:ascii="Arial" w:eastAsia="Arial" w:hAnsi="Arial" w:cs="Arial"/>
          <w:i/>
          <w:szCs w:val="22"/>
          <w:lang w:val="en-GB" w:eastAsia="zh-CN"/>
        </w:rPr>
        <w:t>Provide authoritative guidance on integrated observing system design, synthesizing across evolving requirements and identifying gaps.</w:t>
      </w:r>
      <w:r w:rsidRPr="00793F54">
        <w:rPr>
          <w:rFonts w:ascii="Verdana" w:eastAsia="Verdana" w:hAnsi="Verdana" w:cs="Verdana"/>
          <w:i/>
          <w:sz w:val="20"/>
          <w:szCs w:val="20"/>
          <w:lang w:val="en-GB" w:eastAsia="zh-CN"/>
        </w:rPr>
        <w:t>”</w:t>
      </w:r>
    </w:p>
    <w:p w14:paraId="2B5E9DFF" w14:textId="77777777" w:rsidR="00793F54" w:rsidRPr="00793F54" w:rsidRDefault="00793F54" w:rsidP="00793F54">
      <w:pPr>
        <w:spacing w:after="200" w:line="276" w:lineRule="auto"/>
        <w:rPr>
          <w:rFonts w:ascii="Verdana" w:eastAsia="Verdana" w:hAnsi="Verdana" w:cs="Verdana"/>
          <w:b/>
          <w:sz w:val="20"/>
          <w:szCs w:val="20"/>
          <w:lang w:val="en-GB" w:eastAsia="zh-CN"/>
        </w:rPr>
      </w:pPr>
    </w:p>
    <w:p w14:paraId="67E0022C" w14:textId="77777777" w:rsidR="00793F54" w:rsidRPr="00793F54" w:rsidRDefault="00793F54" w:rsidP="00793F54">
      <w:pPr>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 xml:space="preserve">2.3. Observing system design. </w:t>
      </w:r>
    </w:p>
    <w:p w14:paraId="17C03737" w14:textId="77777777" w:rsidR="00793F54" w:rsidRPr="00793F54" w:rsidRDefault="00793F54" w:rsidP="00793F54">
      <w:pPr>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 xml:space="preserve">Evolving the design of regional observing systems can be brokered through the JCOMM OCG to evolve global network targets, engaging with relevant regional alliances. Lessons learnt from one regional observing system may be globally applicable. </w:t>
      </w:r>
    </w:p>
    <w:p w14:paraId="4412FBAB" w14:textId="77777777" w:rsidR="00793F54" w:rsidRPr="00793F54" w:rsidRDefault="00793F54" w:rsidP="00793F54">
      <w:pPr>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Due to a relatively lower readiness level of the biological and ecosystem component of the observing system, multidisciplinary considerations of the design are challenging and might require different structure than OCG to coordinate the design of the biological observations.</w:t>
      </w:r>
    </w:p>
    <w:p w14:paraId="274D9BED" w14:textId="77777777" w:rsidR="00793F54" w:rsidRPr="00793F54" w:rsidRDefault="00793F54" w:rsidP="00793F54">
      <w:pPr>
        <w:shd w:val="clear" w:color="auto" w:fill="FFF2CC"/>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Questions/recommendations for the SC:</w:t>
      </w:r>
    </w:p>
    <w:p w14:paraId="67638D8A" w14:textId="77777777" w:rsidR="00793F54" w:rsidRPr="00793F54" w:rsidRDefault="00793F54" w:rsidP="00793F54">
      <w:pPr>
        <w:numPr>
          <w:ilvl w:val="0"/>
          <w:numId w:val="45"/>
        </w:numPr>
        <w:shd w:val="clear" w:color="auto" w:fill="FFF2CC"/>
        <w:spacing w:after="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How is GOOS to support regional observing system designs based on project outcomes?</w:t>
      </w:r>
    </w:p>
    <w:p w14:paraId="7139DB0B" w14:textId="77777777" w:rsidR="00793F54" w:rsidRPr="00793F54" w:rsidRDefault="00793F54" w:rsidP="00793F54">
      <w:pPr>
        <w:numPr>
          <w:ilvl w:val="0"/>
          <w:numId w:val="45"/>
        </w:numPr>
        <w:shd w:val="clear" w:color="auto" w:fill="FFF2CC"/>
        <w:spacing w:after="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lastRenderedPageBreak/>
        <w:t>Do GOOS projects propose how to enable a flexible observing system design in response to changing user needs?</w:t>
      </w:r>
    </w:p>
    <w:p w14:paraId="5395351F" w14:textId="77777777" w:rsidR="00793F54" w:rsidRPr="00793F54" w:rsidRDefault="00793F54" w:rsidP="00793F54">
      <w:pPr>
        <w:numPr>
          <w:ilvl w:val="0"/>
          <w:numId w:val="45"/>
        </w:numPr>
        <w:shd w:val="clear" w:color="auto" w:fill="FFF2CC"/>
        <w:spacing w:after="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How to strengthen the interaction between OCG and the regional alliances, to agree on and implement the design across the coastal and open ocean interface?</w:t>
      </w:r>
    </w:p>
    <w:p w14:paraId="1E23D77B" w14:textId="77777777" w:rsidR="00793F54" w:rsidRPr="00793F54" w:rsidRDefault="00793F54" w:rsidP="00793F54">
      <w:pPr>
        <w:numPr>
          <w:ilvl w:val="0"/>
          <w:numId w:val="45"/>
        </w:numPr>
        <w:shd w:val="clear" w:color="auto" w:fill="FFF2CC"/>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How to better engage (low readiness level) observing communities or emerging networks in the observing system co-design, especially for biological networks?</w:t>
      </w:r>
    </w:p>
    <w:p w14:paraId="600E4EC4" w14:textId="77777777" w:rsidR="00793F54" w:rsidRPr="00793F54" w:rsidRDefault="00793F54" w:rsidP="00793F54">
      <w:pPr>
        <w:spacing w:after="200" w:line="276" w:lineRule="auto"/>
        <w:rPr>
          <w:rFonts w:ascii="Verdana" w:eastAsia="Verdana" w:hAnsi="Verdana" w:cs="Verdana"/>
          <w:sz w:val="20"/>
          <w:szCs w:val="20"/>
          <w:lang w:val="en-GB" w:eastAsia="zh-CN"/>
        </w:rPr>
      </w:pPr>
    </w:p>
    <w:p w14:paraId="1FF0A12D" w14:textId="77777777" w:rsidR="00793F54" w:rsidRPr="00793F54" w:rsidRDefault="00793F54" w:rsidP="00793F54">
      <w:pPr>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2.4. New technologies and approaches</w:t>
      </w:r>
    </w:p>
    <w:p w14:paraId="6D640B5E" w14:textId="77777777" w:rsidR="00793F54" w:rsidRPr="00793F54" w:rsidRDefault="00793F54" w:rsidP="00793F54">
      <w:pPr>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Pilot deployments in projects at the regional level can then be discussed with OCG. New sensors may be taken up by global network, and for new platforms, potential to evolve to global pilot, global coordination. Priorities for technology development in observing system components need to be based on current readiness levels and critical gaps identified. Projects are ideally fit for testing and inter-comparing new technology before it is being adopted by networks.</w:t>
      </w:r>
    </w:p>
    <w:p w14:paraId="3215150D" w14:textId="77777777" w:rsidR="00793F54" w:rsidRPr="00793F54" w:rsidRDefault="00793F54" w:rsidP="00793F54">
      <w:pPr>
        <w:shd w:val="clear" w:color="auto" w:fill="C9DAF8"/>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Example - AtlantOS</w:t>
      </w:r>
    </w:p>
    <w:p w14:paraId="6DD56FF5" w14:textId="77777777" w:rsidR="00793F54" w:rsidRPr="00793F54" w:rsidRDefault="00793F54" w:rsidP="00793F54">
      <w:pPr>
        <w:shd w:val="clear" w:color="auto" w:fill="C9DAF8"/>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 xml:space="preserve">A ten year roadmap for strategic development of sensor and instrument technology for Integrated Atlantic Ocean Observing Systems and GOOS - </w:t>
      </w:r>
      <w:hyperlink r:id="rId18">
        <w:r w:rsidRPr="00793F54">
          <w:rPr>
            <w:rFonts w:ascii="Verdana" w:eastAsia="Verdana" w:hAnsi="Verdana" w:cs="Verdana"/>
            <w:color w:val="1155CC"/>
            <w:sz w:val="20"/>
            <w:szCs w:val="20"/>
            <w:u w:val="single"/>
            <w:lang w:val="en-GB" w:eastAsia="zh-CN"/>
          </w:rPr>
          <w:t>AtlantOS Sensors and Instrumentation Roadmap</w:t>
        </w:r>
      </w:hyperlink>
      <w:r w:rsidRPr="00793F54">
        <w:rPr>
          <w:rFonts w:ascii="Verdana" w:eastAsia="Verdana" w:hAnsi="Verdana" w:cs="Verdana"/>
          <w:sz w:val="20"/>
          <w:szCs w:val="20"/>
          <w:lang w:val="en-GB" w:eastAsia="zh-CN"/>
        </w:rPr>
        <w:t>.</w:t>
      </w:r>
    </w:p>
    <w:p w14:paraId="3034FAD9" w14:textId="77777777" w:rsidR="00793F54" w:rsidRPr="00793F54" w:rsidRDefault="00793F54" w:rsidP="00793F54">
      <w:pPr>
        <w:shd w:val="clear" w:color="auto" w:fill="C9DAF8"/>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 xml:space="preserve">Assessment of networks and gap analysis that highlights opportunities for development over three and ten year timescales - </w:t>
      </w:r>
      <w:hyperlink r:id="rId19">
        <w:r w:rsidRPr="00793F54">
          <w:rPr>
            <w:rFonts w:ascii="Verdana" w:eastAsia="Verdana" w:hAnsi="Verdana" w:cs="Verdana"/>
            <w:color w:val="1155CC"/>
            <w:sz w:val="20"/>
            <w:szCs w:val="20"/>
            <w:u w:val="single"/>
            <w:lang w:val="en-GB" w:eastAsia="zh-CN"/>
          </w:rPr>
          <w:t>AtlantOS Emerging Networks Roadmap</w:t>
        </w:r>
      </w:hyperlink>
      <w:r w:rsidRPr="00793F54">
        <w:rPr>
          <w:rFonts w:ascii="Verdana" w:eastAsia="Verdana" w:hAnsi="Verdana" w:cs="Verdana"/>
          <w:sz w:val="20"/>
          <w:szCs w:val="20"/>
          <w:lang w:val="en-GB" w:eastAsia="zh-CN"/>
        </w:rPr>
        <w:t>.</w:t>
      </w:r>
    </w:p>
    <w:p w14:paraId="7B881F96" w14:textId="77777777" w:rsidR="00793F54" w:rsidRPr="00793F54" w:rsidRDefault="00793F54" w:rsidP="00793F54">
      <w:pPr>
        <w:shd w:val="clear" w:color="auto" w:fill="C9DAF8"/>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Example - TPOS2020</w:t>
      </w:r>
    </w:p>
    <w:p w14:paraId="3030A5A5" w14:textId="77777777" w:rsidR="00793F54" w:rsidRPr="00793F54" w:rsidRDefault="00793F54" w:rsidP="00793F54">
      <w:pPr>
        <w:shd w:val="clear" w:color="auto" w:fill="C9DAF8"/>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Current state of emerging technologies and an evaluation mechanism to guide integration of new observation platforms in TPOS observational arrays of the future.</w:t>
      </w:r>
    </w:p>
    <w:p w14:paraId="554F7100" w14:textId="77777777" w:rsidR="00793F54" w:rsidRPr="00793F54" w:rsidRDefault="00793F54" w:rsidP="00793F54">
      <w:pPr>
        <w:shd w:val="clear" w:color="auto" w:fill="C9DAF8"/>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Assessment of FOO readiness levels and Technical readiness levels.</w:t>
      </w:r>
    </w:p>
    <w:p w14:paraId="63AEE078" w14:textId="77777777" w:rsidR="00793F54" w:rsidRPr="00793F54" w:rsidRDefault="00793F54" w:rsidP="00793F54">
      <w:pPr>
        <w:shd w:val="clear" w:color="auto" w:fill="C9DAF8"/>
        <w:spacing w:after="200" w:line="276" w:lineRule="auto"/>
        <w:rPr>
          <w:rFonts w:ascii="Verdana" w:eastAsia="Verdana" w:hAnsi="Verdana" w:cs="Verdana"/>
          <w:sz w:val="20"/>
          <w:szCs w:val="20"/>
          <w:lang w:val="en-GB" w:eastAsia="zh-CN"/>
        </w:rPr>
      </w:pPr>
      <w:hyperlink r:id="rId20">
        <w:r w:rsidRPr="00793F54">
          <w:rPr>
            <w:rFonts w:ascii="Verdana" w:eastAsia="Verdana" w:hAnsi="Verdana" w:cs="Verdana"/>
            <w:color w:val="1155CC"/>
            <w:sz w:val="20"/>
            <w:szCs w:val="20"/>
            <w:u w:val="single"/>
            <w:lang w:val="en-GB" w:eastAsia="zh-CN"/>
          </w:rPr>
          <w:t>Chapter 9 in the 2nd TPOS2020 Report</w:t>
        </w:r>
      </w:hyperlink>
      <w:r w:rsidRPr="00793F54">
        <w:rPr>
          <w:rFonts w:ascii="Verdana" w:eastAsia="Verdana" w:hAnsi="Verdana" w:cs="Verdana"/>
          <w:sz w:val="20"/>
          <w:szCs w:val="20"/>
          <w:lang w:val="en-GB" w:eastAsia="zh-CN"/>
        </w:rPr>
        <w:t>.</w:t>
      </w:r>
    </w:p>
    <w:p w14:paraId="46E642C5" w14:textId="77777777" w:rsidR="00793F54" w:rsidRPr="00793F54" w:rsidRDefault="00793F54" w:rsidP="00793F54">
      <w:pPr>
        <w:spacing w:after="200" w:line="276" w:lineRule="auto"/>
        <w:rPr>
          <w:rFonts w:ascii="Verdana" w:eastAsia="Verdana" w:hAnsi="Verdana" w:cs="Verdana"/>
          <w:sz w:val="20"/>
          <w:szCs w:val="20"/>
          <w:lang w:val="en-GB" w:eastAsia="zh-CN"/>
        </w:rPr>
      </w:pPr>
    </w:p>
    <w:p w14:paraId="0A9C5DFB" w14:textId="77777777" w:rsidR="00793F54" w:rsidRPr="00793F54" w:rsidRDefault="00793F54" w:rsidP="00793F54">
      <w:pPr>
        <w:shd w:val="clear" w:color="auto" w:fill="FFF2CC"/>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Questions for the SC:</w:t>
      </w:r>
    </w:p>
    <w:p w14:paraId="2BCE1491" w14:textId="77777777" w:rsidR="00793F54" w:rsidRPr="00793F54" w:rsidRDefault="00793F54" w:rsidP="00793F54">
      <w:pPr>
        <w:numPr>
          <w:ilvl w:val="0"/>
          <w:numId w:val="45"/>
        </w:numPr>
        <w:shd w:val="clear" w:color="auto" w:fill="FFF2CC"/>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How does GOOS/OCG use the project roadmaps and assessments to advise observing networks on implementing new technologies to increase the FOO readiness levels of the global system?</w:t>
      </w:r>
    </w:p>
    <w:p w14:paraId="1BF7C2DD" w14:textId="77777777" w:rsidR="00793F54" w:rsidRPr="00793F54" w:rsidRDefault="00793F54" w:rsidP="00793F54">
      <w:pPr>
        <w:shd w:val="clear" w:color="auto" w:fill="FFF2CC"/>
        <w:spacing w:after="200" w:line="276" w:lineRule="auto"/>
        <w:rPr>
          <w:rFonts w:ascii="Verdana" w:eastAsia="Verdana" w:hAnsi="Verdana" w:cs="Verdana"/>
          <w:i/>
          <w:sz w:val="20"/>
          <w:szCs w:val="20"/>
          <w:lang w:val="en-GB" w:eastAsia="zh-CN"/>
        </w:rPr>
      </w:pPr>
      <w:r w:rsidRPr="00793F54">
        <w:rPr>
          <w:rFonts w:ascii="Verdana" w:eastAsia="Verdana" w:hAnsi="Verdana" w:cs="Verdana"/>
          <w:i/>
          <w:sz w:val="20"/>
          <w:szCs w:val="20"/>
          <w:lang w:val="en-GB" w:eastAsia="zh-CN"/>
        </w:rPr>
        <w:t>Related to GOOS Strategic Objective #8: “</w:t>
      </w:r>
      <w:r w:rsidRPr="00793F54">
        <w:rPr>
          <w:rFonts w:ascii="Times New Roman" w:eastAsia="Times New Roman" w:hAnsi="Times New Roman"/>
          <w:i/>
          <w:sz w:val="14"/>
          <w:szCs w:val="14"/>
          <w:lang w:val="en-GB" w:eastAsia="zh-CN"/>
        </w:rPr>
        <w:t xml:space="preserve"> </w:t>
      </w:r>
      <w:r w:rsidRPr="00793F54">
        <w:rPr>
          <w:rFonts w:ascii="Arial" w:eastAsia="Arial" w:hAnsi="Arial" w:cs="Arial"/>
          <w:i/>
          <w:szCs w:val="22"/>
          <w:lang w:val="en-GB" w:eastAsia="zh-CN"/>
        </w:rPr>
        <w:t>Support innovation in observing technologies and networks.</w:t>
      </w:r>
      <w:r w:rsidRPr="00793F54">
        <w:rPr>
          <w:rFonts w:ascii="Verdana" w:eastAsia="Verdana" w:hAnsi="Verdana" w:cs="Verdana"/>
          <w:i/>
          <w:sz w:val="20"/>
          <w:szCs w:val="20"/>
          <w:lang w:val="en-GB" w:eastAsia="zh-CN"/>
        </w:rPr>
        <w:t>”</w:t>
      </w:r>
    </w:p>
    <w:p w14:paraId="0AFB5701" w14:textId="77777777" w:rsidR="00793F54" w:rsidRPr="00793F54" w:rsidRDefault="00793F54" w:rsidP="00793F54">
      <w:pPr>
        <w:spacing w:after="200" w:line="276" w:lineRule="auto"/>
        <w:rPr>
          <w:rFonts w:ascii="Verdana" w:eastAsia="Verdana" w:hAnsi="Verdana" w:cs="Verdana"/>
          <w:b/>
          <w:sz w:val="20"/>
          <w:szCs w:val="20"/>
          <w:lang w:val="en-GB" w:eastAsia="zh-CN"/>
        </w:rPr>
      </w:pPr>
    </w:p>
    <w:p w14:paraId="6745761C" w14:textId="77777777" w:rsidR="00793F54" w:rsidRPr="00793F54" w:rsidRDefault="00793F54" w:rsidP="00793F54">
      <w:pPr>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2.5. Data Management and information product delivery.</w:t>
      </w:r>
    </w:p>
    <w:p w14:paraId="6ED10B94" w14:textId="77777777" w:rsidR="00793F54" w:rsidRPr="00793F54" w:rsidRDefault="00793F54" w:rsidP="00793F54">
      <w:pPr>
        <w:spacing w:after="200" w:line="276" w:lineRule="auto"/>
        <w:rPr>
          <w:rFonts w:ascii="Verdana" w:eastAsia="Verdana" w:hAnsi="Verdana" w:cs="Verdana"/>
          <w:sz w:val="20"/>
          <w:szCs w:val="20"/>
          <w:u w:val="single"/>
          <w:lang w:val="en-GB" w:eastAsia="zh-CN"/>
        </w:rPr>
      </w:pPr>
      <w:r w:rsidRPr="00793F54">
        <w:rPr>
          <w:rFonts w:ascii="Verdana" w:eastAsia="Verdana" w:hAnsi="Verdana" w:cs="Verdana"/>
          <w:sz w:val="20"/>
          <w:szCs w:val="20"/>
          <w:u w:val="single"/>
          <w:lang w:val="en-GB" w:eastAsia="zh-CN"/>
        </w:rPr>
        <w:t>Data management</w:t>
      </w:r>
    </w:p>
    <w:p w14:paraId="64B60CD2" w14:textId="77777777" w:rsidR="00793F54" w:rsidRPr="00793F54" w:rsidRDefault="00793F54" w:rsidP="00793F54">
      <w:pPr>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 xml:space="preserve">Some projects might develop pilots to improve delivery of data, or be looking for a forum to engage with. </w:t>
      </w:r>
    </w:p>
    <w:p w14:paraId="3716CF66" w14:textId="77777777" w:rsidR="00793F54" w:rsidRPr="00793F54" w:rsidRDefault="00793F54" w:rsidP="00793F54">
      <w:pPr>
        <w:shd w:val="clear" w:color="auto" w:fill="C9DAF8"/>
        <w:spacing w:after="200" w:line="276" w:lineRule="auto"/>
        <w:jc w:val="both"/>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lastRenderedPageBreak/>
        <w:t>Example - AtlantOS</w:t>
      </w:r>
    </w:p>
    <w:p w14:paraId="011F403E" w14:textId="77777777" w:rsidR="00793F54" w:rsidRPr="00793F54" w:rsidRDefault="00793F54" w:rsidP="00793F54">
      <w:pPr>
        <w:shd w:val="clear" w:color="auto" w:fill="C9DAF8"/>
        <w:spacing w:after="200" w:line="276" w:lineRule="auto"/>
        <w:jc w:val="both"/>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 xml:space="preserve">An integrated data system that harmonizes work flows, data processing and distribution across in-situ observing network systems, and integrates in-situ observations into existing European and international data infrastructures, named Integrators (e.g. Copernicus INS TAC, SeaDataNet, NODCs, EMODnet, </w:t>
      </w:r>
      <w:proofErr w:type="spellStart"/>
      <w:r w:rsidRPr="00793F54">
        <w:rPr>
          <w:rFonts w:ascii="Verdana" w:eastAsia="Verdana" w:hAnsi="Verdana" w:cs="Verdana"/>
          <w:sz w:val="20"/>
          <w:szCs w:val="20"/>
          <w:lang w:val="en-GB" w:eastAsia="zh-CN"/>
        </w:rPr>
        <w:t>EurOBIS</w:t>
      </w:r>
      <w:proofErr w:type="spellEnd"/>
      <w:r w:rsidRPr="00793F54">
        <w:rPr>
          <w:rFonts w:ascii="Verdana" w:eastAsia="Verdana" w:hAnsi="Verdana" w:cs="Verdana"/>
          <w:sz w:val="20"/>
          <w:szCs w:val="20"/>
          <w:lang w:val="en-GB" w:eastAsia="zh-CN"/>
        </w:rPr>
        <w:t xml:space="preserve">, GEOSS). - </w:t>
      </w:r>
      <w:hyperlink r:id="rId21">
        <w:r w:rsidRPr="00793F54">
          <w:rPr>
            <w:rFonts w:ascii="Verdana" w:eastAsia="Verdana" w:hAnsi="Verdana" w:cs="Verdana"/>
            <w:color w:val="1155CC"/>
            <w:sz w:val="20"/>
            <w:szCs w:val="20"/>
            <w:u w:val="single"/>
            <w:lang w:val="en-GB" w:eastAsia="zh-CN"/>
          </w:rPr>
          <w:t>AtlantOS Data Services Report</w:t>
        </w:r>
      </w:hyperlink>
      <w:r w:rsidRPr="00793F54">
        <w:rPr>
          <w:rFonts w:ascii="Verdana" w:eastAsia="Verdana" w:hAnsi="Verdana" w:cs="Verdana"/>
          <w:sz w:val="20"/>
          <w:szCs w:val="20"/>
          <w:lang w:val="en-GB" w:eastAsia="zh-CN"/>
        </w:rPr>
        <w:t>.</w:t>
      </w:r>
    </w:p>
    <w:p w14:paraId="26F0493E" w14:textId="77777777" w:rsidR="00793F54" w:rsidRPr="00793F54" w:rsidRDefault="00793F54" w:rsidP="00793F54">
      <w:pPr>
        <w:shd w:val="clear" w:color="auto" w:fill="C9DAF8"/>
        <w:spacing w:after="200" w:line="276" w:lineRule="auto"/>
        <w:jc w:val="both"/>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 xml:space="preserve">Example - TPOS 2020  </w:t>
      </w:r>
    </w:p>
    <w:p w14:paraId="6B368446" w14:textId="77777777" w:rsidR="00793F54" w:rsidRPr="00793F54" w:rsidRDefault="00793F54" w:rsidP="00793F54">
      <w:pPr>
        <w:shd w:val="clear" w:color="auto" w:fill="C9DAF8"/>
        <w:spacing w:after="200" w:line="276" w:lineRule="auto"/>
        <w:jc w:val="both"/>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Prioritising capability to bring data into a single environment, using ERRDAP, and encouraging regional sharing/archival of experimental data (e.g. in the western Pacific) Consideration of a WIS 2.0 Demonstrator focussed on the Tropical Pacific (See Chapter 8 - Data Flow and Access…)</w:t>
      </w:r>
    </w:p>
    <w:p w14:paraId="257D51FA" w14:textId="77777777" w:rsidR="00793F54" w:rsidRPr="00793F54" w:rsidRDefault="00793F54" w:rsidP="00793F54">
      <w:pPr>
        <w:spacing w:after="200" w:line="276" w:lineRule="auto"/>
        <w:jc w:val="both"/>
        <w:rPr>
          <w:rFonts w:ascii="Verdana" w:eastAsia="Verdana" w:hAnsi="Verdana" w:cs="Verdana"/>
          <w:sz w:val="20"/>
          <w:szCs w:val="20"/>
          <w:lang w:val="en-GB" w:eastAsia="zh-CN"/>
        </w:rPr>
      </w:pPr>
    </w:p>
    <w:p w14:paraId="53BEAC46" w14:textId="77777777" w:rsidR="00793F54" w:rsidRPr="00793F54" w:rsidRDefault="00793F54" w:rsidP="00793F54">
      <w:pPr>
        <w:spacing w:after="200" w:line="276" w:lineRule="auto"/>
        <w:jc w:val="both"/>
        <w:rPr>
          <w:rFonts w:ascii="Verdana" w:eastAsia="Verdana" w:hAnsi="Verdana" w:cs="Verdana"/>
          <w:sz w:val="20"/>
          <w:szCs w:val="20"/>
          <w:u w:val="single"/>
          <w:lang w:val="en-GB" w:eastAsia="zh-CN"/>
        </w:rPr>
      </w:pPr>
      <w:r w:rsidRPr="00793F54">
        <w:rPr>
          <w:rFonts w:ascii="Verdana" w:eastAsia="Verdana" w:hAnsi="Verdana" w:cs="Verdana"/>
          <w:sz w:val="20"/>
          <w:szCs w:val="20"/>
          <w:u w:val="single"/>
          <w:lang w:val="en-GB" w:eastAsia="zh-CN"/>
        </w:rPr>
        <w:t>Product delivery</w:t>
      </w:r>
    </w:p>
    <w:p w14:paraId="54E3EC12" w14:textId="77777777" w:rsidR="00793F54" w:rsidRPr="00793F54" w:rsidRDefault="00793F54" w:rsidP="00793F54">
      <w:pPr>
        <w:spacing w:after="200" w:line="276" w:lineRule="auto"/>
        <w:jc w:val="both"/>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Delivery of essential ocean information products and downstream services relies on close partnership with the modelling and forecasting community. GOOS aims to enhance product delivery for applications related to weather and operational ocean forecasting, climate prediction and projection, as well as climate analysis and assessment, hazard response and early warning systems, sustainable fisheries and aquaculture management, marine spatial planning, biodiversity and environmental assessments, and other. By partnering with the modelling and forecasting community, GOOS can help transfer information product ideas and solutions to other regions; turn pilot projects into operational products; engage with the private sector to advance the delivery of adequate ocean observations.</w:t>
      </w:r>
    </w:p>
    <w:p w14:paraId="46E444EE" w14:textId="77777777" w:rsidR="00793F54" w:rsidRPr="00793F54" w:rsidRDefault="00793F54" w:rsidP="00793F54">
      <w:pPr>
        <w:shd w:val="clear" w:color="auto" w:fill="C9DAF8"/>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Example - AtlantOS products for end-users</w:t>
      </w:r>
    </w:p>
    <w:p w14:paraId="3E3548DC" w14:textId="77777777" w:rsidR="00793F54" w:rsidRPr="00793F54" w:rsidRDefault="00793F54" w:rsidP="00793F54">
      <w:pPr>
        <w:shd w:val="clear" w:color="auto" w:fill="C9DAF8"/>
        <w:spacing w:after="200" w:line="25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The following targeted products benefited from the use of forecasts and reanalyses made available by the European Centre for Medium-range Weather Forecast (ECMWF) and Copernicus Marine Environment Monitoring Service (CMEMS), among other.</w:t>
      </w:r>
    </w:p>
    <w:p w14:paraId="1D38F711" w14:textId="77777777" w:rsidR="00793F54" w:rsidRPr="00793F54" w:rsidRDefault="00793F54" w:rsidP="00793F54">
      <w:pPr>
        <w:shd w:val="clear" w:color="auto" w:fill="C9DAF8"/>
        <w:spacing w:after="200" w:line="256" w:lineRule="auto"/>
        <w:rPr>
          <w:rFonts w:ascii="Verdana" w:eastAsia="Verdana" w:hAnsi="Verdana" w:cs="Verdana"/>
          <w:sz w:val="20"/>
          <w:szCs w:val="20"/>
          <w:lang w:val="en-GB" w:eastAsia="zh-CN"/>
        </w:rPr>
      </w:pPr>
      <w:hyperlink r:id="rId22">
        <w:r w:rsidRPr="00793F54">
          <w:rPr>
            <w:rFonts w:ascii="Verdana" w:eastAsia="Verdana" w:hAnsi="Verdana" w:cs="Verdana"/>
            <w:color w:val="1155CC"/>
            <w:sz w:val="20"/>
            <w:szCs w:val="20"/>
            <w:u w:val="single"/>
            <w:lang w:val="en-GB" w:eastAsia="zh-CN"/>
          </w:rPr>
          <w:t>North West European Shelf Seas Reanalysis and Forecasting</w:t>
        </w:r>
      </w:hyperlink>
    </w:p>
    <w:p w14:paraId="2D6B042B" w14:textId="77777777" w:rsidR="00793F54" w:rsidRPr="00793F54" w:rsidRDefault="00793F54" w:rsidP="00793F54">
      <w:pPr>
        <w:shd w:val="clear" w:color="auto" w:fill="C9DAF8"/>
        <w:spacing w:after="200" w:line="256" w:lineRule="auto"/>
        <w:rPr>
          <w:rFonts w:ascii="Verdana" w:eastAsia="Verdana" w:hAnsi="Verdana" w:cs="Verdana"/>
          <w:sz w:val="20"/>
          <w:szCs w:val="20"/>
          <w:lang w:val="en-GB" w:eastAsia="zh-CN"/>
        </w:rPr>
      </w:pPr>
      <w:hyperlink r:id="rId23">
        <w:r w:rsidRPr="00793F54">
          <w:rPr>
            <w:rFonts w:ascii="Verdana" w:eastAsia="Verdana" w:hAnsi="Verdana" w:cs="Verdana"/>
            <w:color w:val="1155CC"/>
            <w:sz w:val="20"/>
            <w:szCs w:val="20"/>
            <w:u w:val="single"/>
            <w:lang w:val="en-GB" w:eastAsia="zh-CN"/>
          </w:rPr>
          <w:t>Ship routing hazard mapping</w:t>
        </w:r>
      </w:hyperlink>
    </w:p>
    <w:p w14:paraId="7D8BB9E9" w14:textId="77777777" w:rsidR="00793F54" w:rsidRPr="00793F54" w:rsidRDefault="00793F54" w:rsidP="00793F54">
      <w:pPr>
        <w:shd w:val="clear" w:color="auto" w:fill="C9DAF8"/>
        <w:spacing w:after="200" w:line="256" w:lineRule="auto"/>
        <w:rPr>
          <w:rFonts w:ascii="Verdana" w:eastAsia="Verdana" w:hAnsi="Verdana" w:cs="Verdana"/>
          <w:sz w:val="20"/>
          <w:szCs w:val="20"/>
          <w:lang w:val="en-GB" w:eastAsia="zh-CN"/>
        </w:rPr>
      </w:pPr>
      <w:hyperlink r:id="rId24">
        <w:r w:rsidRPr="00793F54">
          <w:rPr>
            <w:rFonts w:ascii="Verdana" w:eastAsia="Verdana" w:hAnsi="Verdana" w:cs="Verdana"/>
            <w:color w:val="1155CC"/>
            <w:sz w:val="20"/>
            <w:szCs w:val="20"/>
            <w:u w:val="single"/>
            <w:lang w:val="en-GB" w:eastAsia="zh-CN"/>
          </w:rPr>
          <w:t>Harmful algal bloom warning bulletins</w:t>
        </w:r>
      </w:hyperlink>
    </w:p>
    <w:p w14:paraId="74682D1B" w14:textId="77777777" w:rsidR="00793F54" w:rsidRPr="00793F54" w:rsidRDefault="00793F54" w:rsidP="00793F54">
      <w:pPr>
        <w:shd w:val="clear" w:color="auto" w:fill="C9DAF8"/>
        <w:spacing w:after="200" w:line="256" w:lineRule="auto"/>
        <w:rPr>
          <w:rFonts w:ascii="Verdana" w:eastAsia="Verdana" w:hAnsi="Verdana" w:cs="Verdana"/>
          <w:sz w:val="20"/>
          <w:szCs w:val="20"/>
          <w:lang w:val="en-GB" w:eastAsia="zh-CN"/>
        </w:rPr>
      </w:pPr>
      <w:hyperlink r:id="rId25">
        <w:r w:rsidRPr="00793F54">
          <w:rPr>
            <w:rFonts w:ascii="Verdana" w:eastAsia="Verdana" w:hAnsi="Verdana" w:cs="Verdana"/>
            <w:color w:val="1155CC"/>
            <w:sz w:val="20"/>
            <w:szCs w:val="20"/>
            <w:u w:val="single"/>
            <w:lang w:val="en-GB" w:eastAsia="zh-CN"/>
          </w:rPr>
          <w:t>Operational forecast system for Atlantic albacore tuna</w:t>
        </w:r>
      </w:hyperlink>
    </w:p>
    <w:p w14:paraId="5B97629D" w14:textId="77777777" w:rsidR="00793F54" w:rsidRPr="00793F54" w:rsidRDefault="00793F54" w:rsidP="00793F54">
      <w:pPr>
        <w:shd w:val="clear" w:color="auto" w:fill="C9DAF8"/>
        <w:spacing w:after="200" w:line="256" w:lineRule="auto"/>
        <w:rPr>
          <w:rFonts w:ascii="Verdana" w:eastAsia="Verdana" w:hAnsi="Verdana" w:cs="Verdana"/>
          <w:sz w:val="20"/>
          <w:szCs w:val="20"/>
          <w:lang w:val="en-GB" w:eastAsia="zh-CN"/>
        </w:rPr>
      </w:pPr>
      <w:hyperlink r:id="rId26">
        <w:r w:rsidRPr="00793F54">
          <w:rPr>
            <w:rFonts w:ascii="Verdana" w:eastAsia="Verdana" w:hAnsi="Verdana" w:cs="Verdana"/>
            <w:color w:val="1155CC"/>
            <w:sz w:val="20"/>
            <w:szCs w:val="20"/>
            <w:u w:val="single"/>
            <w:lang w:val="en-GB" w:eastAsia="zh-CN"/>
          </w:rPr>
          <w:t>POGO-AtlantOS collaboration on ocean products</w:t>
        </w:r>
      </w:hyperlink>
    </w:p>
    <w:p w14:paraId="59AEF9F9" w14:textId="77777777" w:rsidR="00793F54" w:rsidRPr="00793F54" w:rsidRDefault="00793F54" w:rsidP="00793F54">
      <w:pPr>
        <w:shd w:val="clear" w:color="auto" w:fill="C9DAF8"/>
        <w:spacing w:after="200" w:line="276" w:lineRule="auto"/>
        <w:rPr>
          <w:rFonts w:ascii="Verdana" w:eastAsia="Verdana" w:hAnsi="Verdana" w:cs="Verdana"/>
          <w:sz w:val="20"/>
          <w:szCs w:val="20"/>
          <w:lang w:val="en-GB" w:eastAsia="zh-CN"/>
        </w:rPr>
      </w:pPr>
      <w:r w:rsidRPr="00793F54">
        <w:rPr>
          <w:rFonts w:ascii="Verdana" w:eastAsia="Verdana" w:hAnsi="Verdana" w:cs="Verdana"/>
          <w:b/>
          <w:sz w:val="20"/>
          <w:szCs w:val="20"/>
          <w:lang w:val="en-GB" w:eastAsia="zh-CN"/>
        </w:rPr>
        <w:t xml:space="preserve">Example - VOICE </w:t>
      </w:r>
      <w:r w:rsidRPr="00793F54">
        <w:rPr>
          <w:rFonts w:ascii="Verdana" w:eastAsia="Verdana" w:hAnsi="Verdana" w:cs="Verdana"/>
          <w:sz w:val="20"/>
          <w:szCs w:val="20"/>
          <w:lang w:val="en-GB" w:eastAsia="zh-CN"/>
        </w:rPr>
        <w:t>(</w:t>
      </w:r>
      <w:hyperlink r:id="rId27">
        <w:r w:rsidRPr="00793F54">
          <w:rPr>
            <w:rFonts w:ascii="Verdana" w:eastAsia="Verdana" w:hAnsi="Verdana" w:cs="Verdana"/>
            <w:color w:val="1155CC"/>
            <w:sz w:val="20"/>
            <w:szCs w:val="20"/>
            <w:u w:val="single"/>
            <w:lang w:val="en-GB" w:eastAsia="zh-CN"/>
          </w:rPr>
          <w:t>www.ioccp.org/voice</w:t>
        </w:r>
      </w:hyperlink>
      <w:r w:rsidRPr="00793F54">
        <w:rPr>
          <w:rFonts w:ascii="Verdana" w:eastAsia="Verdana" w:hAnsi="Verdana" w:cs="Verdana"/>
          <w:sz w:val="20"/>
          <w:szCs w:val="20"/>
          <w:lang w:val="en-GB" w:eastAsia="zh-CN"/>
        </w:rPr>
        <w:t>)</w:t>
      </w:r>
    </w:p>
    <w:p w14:paraId="28B8B69A" w14:textId="77777777" w:rsidR="00793F54" w:rsidRPr="00793F54" w:rsidRDefault="00793F54" w:rsidP="00793F54">
      <w:pPr>
        <w:shd w:val="clear" w:color="auto" w:fill="C9DAF8"/>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One of the goals of the VOICE initiative is to enable the development of forecasts for improved fisheries management with respect to changes in marine habitats due to oxycline and oxygen minimum zone core variability. In an OceanObs’19 Community White Paper, VOICE points at the need for and challenges of performing regional readiness level assessments of all three components of the FOO: (</w:t>
      </w:r>
      <w:proofErr w:type="spellStart"/>
      <w:r w:rsidRPr="00793F54">
        <w:rPr>
          <w:rFonts w:ascii="Verdana" w:eastAsia="Verdana" w:hAnsi="Verdana" w:cs="Verdana"/>
          <w:sz w:val="20"/>
          <w:szCs w:val="20"/>
          <w:lang w:val="en-GB" w:eastAsia="zh-CN"/>
        </w:rPr>
        <w:t>i</w:t>
      </w:r>
      <w:proofErr w:type="spellEnd"/>
      <w:r w:rsidRPr="00793F54">
        <w:rPr>
          <w:rFonts w:ascii="Verdana" w:eastAsia="Verdana" w:hAnsi="Verdana" w:cs="Verdana"/>
          <w:sz w:val="20"/>
          <w:szCs w:val="20"/>
          <w:lang w:val="en-GB" w:eastAsia="zh-CN"/>
        </w:rPr>
        <w:t xml:space="preserve">) requirement setting, (ii) observation coordination, and (iii) data management and information product delivery. </w:t>
      </w:r>
    </w:p>
    <w:p w14:paraId="5141F00F" w14:textId="77777777" w:rsidR="00793F54" w:rsidRPr="00793F54" w:rsidRDefault="00793F54" w:rsidP="00793F54">
      <w:pPr>
        <w:spacing w:after="200" w:line="276" w:lineRule="auto"/>
        <w:rPr>
          <w:rFonts w:ascii="Verdana" w:eastAsia="Verdana" w:hAnsi="Verdana" w:cs="Verdana"/>
          <w:b/>
          <w:sz w:val="20"/>
          <w:szCs w:val="20"/>
          <w:lang w:val="en-GB" w:eastAsia="zh-CN"/>
        </w:rPr>
      </w:pPr>
    </w:p>
    <w:p w14:paraId="69A35F8A" w14:textId="77777777" w:rsidR="00793F54" w:rsidRPr="00793F54" w:rsidRDefault="00793F54" w:rsidP="00793F54">
      <w:pPr>
        <w:shd w:val="clear" w:color="auto" w:fill="FFF2CC"/>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lastRenderedPageBreak/>
        <w:t>Questions/recommendations for the SC:</w:t>
      </w:r>
    </w:p>
    <w:p w14:paraId="3B952725" w14:textId="77777777" w:rsidR="00793F54" w:rsidRPr="00793F54" w:rsidRDefault="00793F54" w:rsidP="00793F54">
      <w:pPr>
        <w:numPr>
          <w:ilvl w:val="0"/>
          <w:numId w:val="42"/>
        </w:numPr>
        <w:shd w:val="clear" w:color="auto" w:fill="FFF2CC"/>
        <w:spacing w:after="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How does GOOS guide and support project-based data management and product delivery aspirations?</w:t>
      </w:r>
    </w:p>
    <w:p w14:paraId="640B9380" w14:textId="77777777" w:rsidR="00793F54" w:rsidRPr="00793F54" w:rsidRDefault="00793F54" w:rsidP="00793F54">
      <w:pPr>
        <w:numPr>
          <w:ilvl w:val="0"/>
          <w:numId w:val="42"/>
        </w:numPr>
        <w:shd w:val="clear" w:color="auto" w:fill="FFF2CC"/>
        <w:spacing w:after="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How can GOOS facilitate/provide incentives for basin-wide FAIR data and information product delivery?</w:t>
      </w:r>
    </w:p>
    <w:p w14:paraId="2B268645" w14:textId="77777777" w:rsidR="00793F54" w:rsidRPr="00793F54" w:rsidRDefault="00793F54" w:rsidP="00793F54">
      <w:pPr>
        <w:numPr>
          <w:ilvl w:val="0"/>
          <w:numId w:val="42"/>
        </w:numPr>
        <w:shd w:val="clear" w:color="auto" w:fill="FFF2CC"/>
        <w:spacing w:after="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How to effectively bridge the gap between the national data management approach and the global data management approach?</w:t>
      </w:r>
    </w:p>
    <w:p w14:paraId="7FF9C6B3" w14:textId="77777777" w:rsidR="00793F54" w:rsidRPr="00793F54" w:rsidRDefault="00793F54" w:rsidP="00793F54">
      <w:pPr>
        <w:numPr>
          <w:ilvl w:val="0"/>
          <w:numId w:val="42"/>
        </w:numPr>
        <w:shd w:val="clear" w:color="auto" w:fill="FFF2CC"/>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Endorse and promote further development and operational use of selected pilot/demonstration products, and help transfer product ideas and solutions between regions.</w:t>
      </w:r>
    </w:p>
    <w:p w14:paraId="2C48C5BA" w14:textId="77777777" w:rsidR="00793F54" w:rsidRPr="00793F54" w:rsidRDefault="00793F54" w:rsidP="00793F54">
      <w:pPr>
        <w:shd w:val="clear" w:color="auto" w:fill="FFF2CC"/>
        <w:spacing w:after="200" w:line="276" w:lineRule="auto"/>
        <w:rPr>
          <w:rFonts w:ascii="Verdana" w:eastAsia="Verdana" w:hAnsi="Verdana" w:cs="Verdana"/>
          <w:i/>
          <w:sz w:val="20"/>
          <w:szCs w:val="20"/>
          <w:lang w:val="en-GB" w:eastAsia="zh-CN"/>
        </w:rPr>
      </w:pPr>
      <w:r w:rsidRPr="00793F54">
        <w:rPr>
          <w:rFonts w:ascii="Verdana" w:eastAsia="Verdana" w:hAnsi="Verdana" w:cs="Verdana"/>
          <w:i/>
          <w:sz w:val="20"/>
          <w:szCs w:val="20"/>
          <w:lang w:val="en-GB" w:eastAsia="zh-CN"/>
        </w:rPr>
        <w:t>Related to GOOS Strategic Objectives:</w:t>
      </w:r>
    </w:p>
    <w:p w14:paraId="7ED63E6B" w14:textId="77777777" w:rsidR="00793F54" w:rsidRPr="00793F54" w:rsidRDefault="00793F54" w:rsidP="00793F54">
      <w:pPr>
        <w:shd w:val="clear" w:color="auto" w:fill="FFF2CC"/>
        <w:spacing w:after="200" w:line="276" w:lineRule="auto"/>
        <w:rPr>
          <w:rFonts w:ascii="Verdana" w:eastAsia="Verdana" w:hAnsi="Verdana" w:cs="Verdana"/>
          <w:i/>
          <w:sz w:val="20"/>
          <w:szCs w:val="20"/>
          <w:lang w:val="en-GB" w:eastAsia="zh-CN"/>
        </w:rPr>
      </w:pPr>
      <w:r w:rsidRPr="00793F54">
        <w:rPr>
          <w:rFonts w:ascii="Verdana" w:eastAsia="Verdana" w:hAnsi="Verdana" w:cs="Verdana"/>
          <w:i/>
          <w:sz w:val="20"/>
          <w:szCs w:val="20"/>
          <w:lang w:val="en-GB" w:eastAsia="zh-CN"/>
        </w:rPr>
        <w:t xml:space="preserve">#1: “Strengthen partnerships, to improve delivery to end users from observations through forecasts, services, and scientific assessments”,  </w:t>
      </w:r>
    </w:p>
    <w:p w14:paraId="7C258481" w14:textId="77777777" w:rsidR="00793F54" w:rsidRPr="00793F54" w:rsidRDefault="00793F54" w:rsidP="00793F54">
      <w:pPr>
        <w:shd w:val="clear" w:color="auto" w:fill="FFF2CC"/>
        <w:spacing w:after="200" w:line="276" w:lineRule="auto"/>
        <w:rPr>
          <w:rFonts w:ascii="Verdana" w:eastAsia="Verdana" w:hAnsi="Verdana" w:cs="Verdana"/>
          <w:i/>
          <w:sz w:val="20"/>
          <w:szCs w:val="20"/>
          <w:lang w:val="en-GB" w:eastAsia="zh-CN"/>
        </w:rPr>
      </w:pPr>
      <w:r w:rsidRPr="00793F54">
        <w:rPr>
          <w:rFonts w:ascii="Verdana" w:eastAsia="Verdana" w:hAnsi="Verdana" w:cs="Verdana"/>
          <w:i/>
          <w:sz w:val="20"/>
          <w:szCs w:val="20"/>
          <w:lang w:val="en-GB" w:eastAsia="zh-CN"/>
        </w:rPr>
        <w:t>#7: “</w:t>
      </w:r>
      <w:r w:rsidRPr="00793F54">
        <w:rPr>
          <w:rFonts w:ascii="Arial" w:eastAsia="Arial" w:hAnsi="Arial" w:cs="Arial"/>
          <w:i/>
          <w:szCs w:val="22"/>
          <w:lang w:val="en-GB" w:eastAsia="zh-CN"/>
        </w:rPr>
        <w:t>Ensure GOOS ocean observing data and information are findable, accessible, interoperable, and reusable, with appropriate quality and latency</w:t>
      </w:r>
      <w:r w:rsidRPr="00793F54">
        <w:rPr>
          <w:rFonts w:ascii="Verdana" w:eastAsia="Verdana" w:hAnsi="Verdana" w:cs="Verdana"/>
          <w:i/>
          <w:sz w:val="20"/>
          <w:szCs w:val="20"/>
          <w:lang w:val="en-GB" w:eastAsia="zh-CN"/>
        </w:rPr>
        <w:t>”</w:t>
      </w:r>
    </w:p>
    <w:p w14:paraId="46594FF5" w14:textId="77777777" w:rsidR="00793F54" w:rsidRPr="00793F54" w:rsidRDefault="00793F54" w:rsidP="00793F54">
      <w:pPr>
        <w:spacing w:after="200" w:line="276" w:lineRule="auto"/>
        <w:rPr>
          <w:rFonts w:ascii="Verdana" w:eastAsia="Verdana" w:hAnsi="Verdana" w:cs="Verdana"/>
          <w:b/>
          <w:sz w:val="20"/>
          <w:szCs w:val="20"/>
          <w:lang w:val="en-GB" w:eastAsia="zh-CN"/>
        </w:rPr>
      </w:pPr>
    </w:p>
    <w:p w14:paraId="6B5D5706" w14:textId="77777777" w:rsidR="00793F54" w:rsidRPr="00793F54" w:rsidRDefault="00793F54" w:rsidP="00793F54">
      <w:pPr>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 xml:space="preserve">3. Outcomes from GOOS Projects - Not covered by the FOO. </w:t>
      </w:r>
    </w:p>
    <w:p w14:paraId="76E06608" w14:textId="77777777" w:rsidR="00793F54" w:rsidRPr="00793F54" w:rsidRDefault="00793F54" w:rsidP="00793F54">
      <w:pPr>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 xml:space="preserve">3.1. Specifics of design, Implementation: managing change, prioritisation. </w:t>
      </w:r>
    </w:p>
    <w:p w14:paraId="19B72DA1" w14:textId="77777777" w:rsidR="00793F54" w:rsidRPr="00793F54" w:rsidRDefault="00793F54" w:rsidP="00793F54">
      <w:pPr>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 xml:space="preserve">We need to improve guidance on how we evolve the observing system, and prioritise developments: in a time of flat budgets, particularly how we decide when to shut things down to enable new investment to meet user needs; and how this process is managed. </w:t>
      </w:r>
    </w:p>
    <w:p w14:paraId="235E428C" w14:textId="77777777" w:rsidR="00793F54" w:rsidRPr="00793F54" w:rsidRDefault="00793F54" w:rsidP="00793F54">
      <w:pPr>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 xml:space="preserve">TPOS 2020 and AtlantOS have taken very different approaches to design recommendations, with TPOS developing a detail design and evidence based set of recommendations, including transition plan (see Chapter 7 of the Second Report). AtlantOS has stopped short of providing specific guidance on observing system design, rather focussed on encouraging integration. </w:t>
      </w:r>
    </w:p>
    <w:p w14:paraId="722BAC27" w14:textId="77777777" w:rsidR="00793F54" w:rsidRPr="00793F54" w:rsidRDefault="00793F54" w:rsidP="00793F54">
      <w:pPr>
        <w:spacing w:after="200" w:line="276" w:lineRule="auto"/>
        <w:rPr>
          <w:rFonts w:ascii="Verdana" w:eastAsia="Verdana" w:hAnsi="Verdana" w:cs="Verdana"/>
          <w:b/>
          <w:sz w:val="20"/>
          <w:szCs w:val="20"/>
          <w:lang w:val="en-GB" w:eastAsia="zh-CN"/>
        </w:rPr>
      </w:pPr>
      <w:r w:rsidRPr="00793F54">
        <w:rPr>
          <w:rFonts w:ascii="Verdana" w:eastAsia="Verdana" w:hAnsi="Verdana" w:cs="Verdana"/>
          <w:b/>
          <w:sz w:val="20"/>
          <w:szCs w:val="20"/>
          <w:lang w:val="en-GB" w:eastAsia="zh-CN"/>
        </w:rPr>
        <w:t xml:space="preserve">3.2. Governance….  </w:t>
      </w:r>
    </w:p>
    <w:p w14:paraId="10785652" w14:textId="77777777" w:rsidR="00793F54" w:rsidRPr="00793F54" w:rsidRDefault="00793F54" w:rsidP="00793F54">
      <w:pPr>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 xml:space="preserve">Recommendations around ongoing governance, lessons learnt for the global observing system to be discussed with the GOOS SC. Many projects energise new partners to contribute; how do we ensure they are enabled to engage in GOOS in the longer term? How do we recognise national partners/contributions? This does not feature in the FOO, but is part of a broader discussion on the governance of the observing system for the future. </w:t>
      </w:r>
    </w:p>
    <w:p w14:paraId="73944EE5" w14:textId="77777777" w:rsidR="00793F54" w:rsidRPr="00793F54" w:rsidRDefault="00793F54" w:rsidP="00793F54">
      <w:pPr>
        <w:spacing w:after="200" w:line="276" w:lineRule="auto"/>
        <w:rPr>
          <w:rFonts w:ascii="Verdana" w:eastAsia="Verdana" w:hAnsi="Verdana" w:cs="Verdana"/>
          <w:sz w:val="20"/>
          <w:szCs w:val="20"/>
          <w:lang w:val="en-GB" w:eastAsia="zh-CN"/>
        </w:rPr>
      </w:pPr>
      <w:r w:rsidRPr="00793F54">
        <w:rPr>
          <w:rFonts w:ascii="Verdana" w:eastAsia="Verdana" w:hAnsi="Verdana" w:cs="Verdana"/>
          <w:sz w:val="20"/>
          <w:szCs w:val="20"/>
          <w:lang w:val="en-GB" w:eastAsia="zh-CN"/>
        </w:rPr>
        <w:t xml:space="preserve">TPOS 2020 established a ‘transition and implementation Task Team under JCOMM, which was also identified as a WIGOS Pre-Operational Regional Pilot; this has enabled greater engagement from regional met services; key stakeholders in TPOS. The 3rd Report of TPOS will focus on governance transition. </w:t>
      </w:r>
    </w:p>
    <w:p w14:paraId="1BA38F7E" w14:textId="77777777" w:rsidR="00793F54" w:rsidRPr="00793F54" w:rsidRDefault="00793F54" w:rsidP="00793F54">
      <w:pPr>
        <w:spacing w:after="200" w:line="276" w:lineRule="auto"/>
        <w:rPr>
          <w:rFonts w:ascii="Verdana" w:eastAsia="Verdana" w:hAnsi="Verdana" w:cs="Verdana"/>
          <w:sz w:val="20"/>
          <w:szCs w:val="20"/>
          <w:highlight w:val="yellow"/>
          <w:lang w:val="en-GB" w:eastAsia="zh-CN"/>
        </w:rPr>
      </w:pPr>
    </w:p>
    <w:p w14:paraId="0740358D" w14:textId="33918E23" w:rsidR="00422277" w:rsidRPr="00793F54" w:rsidRDefault="00793F54" w:rsidP="00793F54">
      <w:pPr>
        <w:spacing w:after="200" w:line="276" w:lineRule="auto"/>
        <w:rPr>
          <w:rFonts w:ascii="Verdana" w:eastAsia="Verdana" w:hAnsi="Verdana" w:cs="Verdana"/>
          <w:sz w:val="20"/>
          <w:szCs w:val="20"/>
          <w:highlight w:val="yellow"/>
          <w:lang w:val="en-GB" w:eastAsia="zh-CN"/>
        </w:rPr>
      </w:pPr>
      <w:r w:rsidRPr="00793F54">
        <w:rPr>
          <w:rFonts w:ascii="Verdana" w:eastAsia="Verdana" w:hAnsi="Verdana" w:cs="Verdana"/>
          <w:sz w:val="20"/>
          <w:szCs w:val="20"/>
          <w:highlight w:val="yellow"/>
          <w:lang w:val="en-GB" w:eastAsia="zh-CN"/>
        </w:rPr>
        <w:t xml:space="preserve">Others? </w:t>
      </w:r>
    </w:p>
    <w:sectPr w:rsidR="00422277" w:rsidRPr="00793F54" w:rsidSect="00422277">
      <w:headerReference w:type="default" r:id="rId28"/>
      <w:headerReference w:type="first" r:id="rId29"/>
      <w:footerReference w:type="first" r:id="rId30"/>
      <w:pgSz w:w="11899" w:h="16838"/>
      <w:pgMar w:top="1418" w:right="1418" w:bottom="1418" w:left="1418" w:header="567"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5AB79" w14:textId="77777777" w:rsidR="002849CC" w:rsidRDefault="002849CC">
      <w:pPr>
        <w:spacing w:after="0"/>
      </w:pPr>
      <w:r>
        <w:separator/>
      </w:r>
    </w:p>
  </w:endnote>
  <w:endnote w:type="continuationSeparator" w:id="0">
    <w:p w14:paraId="569F60A5" w14:textId="77777777" w:rsidR="002849CC" w:rsidRDefault="00284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C82B7" w14:textId="77777777" w:rsidR="00A770F7" w:rsidRDefault="00A770F7" w:rsidP="004222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F01F4" w14:textId="77777777" w:rsidR="002849CC" w:rsidRDefault="002849CC">
      <w:pPr>
        <w:spacing w:after="0"/>
      </w:pPr>
      <w:r>
        <w:separator/>
      </w:r>
    </w:p>
  </w:footnote>
  <w:footnote w:type="continuationSeparator" w:id="0">
    <w:p w14:paraId="40C2BE1C" w14:textId="77777777" w:rsidR="002849CC" w:rsidRDefault="00284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013D" w14:textId="6404CABB" w:rsidR="00A770F7" w:rsidRPr="00690736" w:rsidRDefault="00A770F7">
    <w:pPr>
      <w:pStyle w:val="Header"/>
      <w:rPr>
        <w:i/>
        <w:sz w:val="18"/>
      </w:rPr>
    </w:pPr>
    <w:r>
      <w:rPr>
        <w:i/>
        <w:sz w:val="18"/>
      </w:rPr>
      <w:t>SC-</w:t>
    </w:r>
    <w:r w:rsidR="00793F54">
      <w:rPr>
        <w:i/>
        <w:sz w:val="18"/>
      </w:rPr>
      <w:t>8</w:t>
    </w:r>
    <w:r>
      <w:rPr>
        <w:i/>
        <w:sz w:val="18"/>
      </w:rPr>
      <w:t xml:space="preserve"> item </w:t>
    </w:r>
    <w:r w:rsidR="00793F54">
      <w:rPr>
        <w:i/>
        <w:sz w:val="18"/>
      </w:rPr>
      <w:t>7</w:t>
    </w:r>
    <w:r>
      <w:rPr>
        <w:i/>
        <w:sz w:val="18"/>
      </w:rPr>
      <w:t xml:space="preserve"> </w:t>
    </w:r>
    <w:r w:rsidR="00793F54">
      <w:rPr>
        <w:i/>
        <w:sz w:val="18"/>
      </w:rPr>
      <w:t>Projects legacy</w:t>
    </w:r>
    <w:r w:rsidRPr="00690736">
      <w:rPr>
        <w:i/>
        <w:sz w:val="18"/>
      </w:rPr>
      <w:tab/>
    </w:r>
    <w:r w:rsidRPr="00690736">
      <w:rPr>
        <w:i/>
        <w:sz w:val="18"/>
      </w:rPr>
      <w:tab/>
    </w:r>
    <w:r w:rsidRPr="00690736">
      <w:rPr>
        <w:rStyle w:val="PageNumber"/>
        <w:i/>
        <w:sz w:val="18"/>
      </w:rPr>
      <w:fldChar w:fldCharType="begin"/>
    </w:r>
    <w:r w:rsidRPr="00690736">
      <w:rPr>
        <w:rStyle w:val="PageNumber"/>
        <w:i/>
        <w:sz w:val="18"/>
      </w:rPr>
      <w:instrText xml:space="preserve"> PAGE </w:instrText>
    </w:r>
    <w:r w:rsidRPr="00690736">
      <w:rPr>
        <w:rStyle w:val="PageNumber"/>
        <w:i/>
        <w:sz w:val="18"/>
      </w:rPr>
      <w:fldChar w:fldCharType="separate"/>
    </w:r>
    <w:r>
      <w:rPr>
        <w:rStyle w:val="PageNumber"/>
        <w:i/>
        <w:noProof/>
        <w:sz w:val="18"/>
      </w:rPr>
      <w:t>7</w:t>
    </w:r>
    <w:r w:rsidRPr="00690736">
      <w:rPr>
        <w:rStyle w:val="PageNumber"/>
        <w:i/>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3635F" w14:textId="77777777" w:rsidR="00A770F7" w:rsidRDefault="00A770F7" w:rsidP="00422277">
    <w:pPr>
      <w:pStyle w:val="Header"/>
      <w:jc w:val="center"/>
    </w:pPr>
    <w:r>
      <w:rPr>
        <w:noProof/>
      </w:rPr>
      <w:drawing>
        <wp:anchor distT="0" distB="0" distL="114300" distR="114300" simplePos="0" relativeHeight="251657216" behindDoc="0" locked="0" layoutInCell="1" allowOverlap="1" wp14:anchorId="3DE4B475" wp14:editId="09EBD1F6">
          <wp:simplePos x="0" y="0"/>
          <wp:positionH relativeFrom="column">
            <wp:posOffset>-158750</wp:posOffset>
          </wp:positionH>
          <wp:positionV relativeFrom="paragraph">
            <wp:posOffset>259716</wp:posOffset>
          </wp:positionV>
          <wp:extent cx="3195955" cy="340366"/>
          <wp:effectExtent l="25400" t="0" r="4445" b="0"/>
          <wp:wrapNone/>
          <wp:docPr id="3" name="Picture 3" descr="GOOS-SC-document-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S-SC-document-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7296" cy="34050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1F9C"/>
    <w:multiLevelType w:val="hybridMultilevel"/>
    <w:tmpl w:val="D020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84717"/>
    <w:multiLevelType w:val="multilevel"/>
    <w:tmpl w:val="1CC29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AB0946"/>
    <w:multiLevelType w:val="hybridMultilevel"/>
    <w:tmpl w:val="46B293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CAE1999"/>
    <w:multiLevelType w:val="hybridMultilevel"/>
    <w:tmpl w:val="4BC2C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87865"/>
    <w:multiLevelType w:val="multilevel"/>
    <w:tmpl w:val="3FC26A6C"/>
    <w:lvl w:ilvl="0">
      <w:start w:val="1"/>
      <w:numFmt w:val="decimal"/>
      <w:lvlText w:val="%1."/>
      <w:lvlJc w:val="left"/>
      <w:pPr>
        <w:ind w:left="720" w:firstLine="36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lef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lef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left"/>
      <w:pPr>
        <w:ind w:left="6480" w:firstLine="6300"/>
      </w:pPr>
      <w:rPr>
        <w:rFonts w:ascii="Arial" w:eastAsia="Arial" w:hAnsi="Arial" w:cs="Arial"/>
        <w:vertAlign w:val="baseline"/>
      </w:rPr>
    </w:lvl>
  </w:abstractNum>
  <w:abstractNum w:abstractNumId="5" w15:restartNumberingAfterBreak="0">
    <w:nsid w:val="142457A5"/>
    <w:multiLevelType w:val="hybridMultilevel"/>
    <w:tmpl w:val="3BBE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23000"/>
    <w:multiLevelType w:val="hybridMultilevel"/>
    <w:tmpl w:val="6F6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227CA"/>
    <w:multiLevelType w:val="hybridMultilevel"/>
    <w:tmpl w:val="446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81227"/>
    <w:multiLevelType w:val="hybridMultilevel"/>
    <w:tmpl w:val="3D1A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652F0"/>
    <w:multiLevelType w:val="hybridMultilevel"/>
    <w:tmpl w:val="EF924188"/>
    <w:lvl w:ilvl="0" w:tplc="B98A8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F1B11"/>
    <w:multiLevelType w:val="hybridMultilevel"/>
    <w:tmpl w:val="3C54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60C31"/>
    <w:multiLevelType w:val="hybridMultilevel"/>
    <w:tmpl w:val="A712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8529A"/>
    <w:multiLevelType w:val="hybridMultilevel"/>
    <w:tmpl w:val="56487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F3443"/>
    <w:multiLevelType w:val="hybridMultilevel"/>
    <w:tmpl w:val="53AEB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313C34"/>
    <w:multiLevelType w:val="multilevel"/>
    <w:tmpl w:val="88A25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E31069"/>
    <w:multiLevelType w:val="hybridMultilevel"/>
    <w:tmpl w:val="90E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87DC1"/>
    <w:multiLevelType w:val="hybridMultilevel"/>
    <w:tmpl w:val="031CA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0C66B9"/>
    <w:multiLevelType w:val="hybridMultilevel"/>
    <w:tmpl w:val="419669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E5CEC"/>
    <w:multiLevelType w:val="hybridMultilevel"/>
    <w:tmpl w:val="2316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756CF"/>
    <w:multiLevelType w:val="hybridMultilevel"/>
    <w:tmpl w:val="157E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604E65"/>
    <w:multiLevelType w:val="hybridMultilevel"/>
    <w:tmpl w:val="9FA6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E7F1B"/>
    <w:multiLevelType w:val="hybridMultilevel"/>
    <w:tmpl w:val="37D67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10582"/>
    <w:multiLevelType w:val="hybridMultilevel"/>
    <w:tmpl w:val="00BC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B23D8"/>
    <w:multiLevelType w:val="hybridMultilevel"/>
    <w:tmpl w:val="8FCAD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A2FAB"/>
    <w:multiLevelType w:val="hybridMultilevel"/>
    <w:tmpl w:val="E6BE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51A5B"/>
    <w:multiLevelType w:val="hybridMultilevel"/>
    <w:tmpl w:val="958C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E5804"/>
    <w:multiLevelType w:val="hybridMultilevel"/>
    <w:tmpl w:val="903E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C10A2"/>
    <w:multiLevelType w:val="hybridMultilevel"/>
    <w:tmpl w:val="AB7A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C0430B"/>
    <w:multiLevelType w:val="hybridMultilevel"/>
    <w:tmpl w:val="677A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225B64"/>
    <w:multiLevelType w:val="multilevel"/>
    <w:tmpl w:val="B58AE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C4F1690"/>
    <w:multiLevelType w:val="hybridMultilevel"/>
    <w:tmpl w:val="9EF2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5471E"/>
    <w:multiLevelType w:val="multilevel"/>
    <w:tmpl w:val="26747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0532D80"/>
    <w:multiLevelType w:val="hybridMultilevel"/>
    <w:tmpl w:val="7C9E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C1EFD"/>
    <w:multiLevelType w:val="hybridMultilevel"/>
    <w:tmpl w:val="109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FC06C2"/>
    <w:multiLevelType w:val="hybridMultilevel"/>
    <w:tmpl w:val="E58A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C3C04"/>
    <w:multiLevelType w:val="hybridMultilevel"/>
    <w:tmpl w:val="278C7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0F0CD2"/>
    <w:multiLevelType w:val="hybridMultilevel"/>
    <w:tmpl w:val="0590C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C63FA"/>
    <w:multiLevelType w:val="hybridMultilevel"/>
    <w:tmpl w:val="53B6CB66"/>
    <w:lvl w:ilvl="0" w:tplc="040C000F">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88B7536"/>
    <w:multiLevelType w:val="hybridMultilevel"/>
    <w:tmpl w:val="3F12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641FA"/>
    <w:multiLevelType w:val="hybridMultilevel"/>
    <w:tmpl w:val="9EC6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C1111B"/>
    <w:multiLevelType w:val="hybridMultilevel"/>
    <w:tmpl w:val="E9CC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456A"/>
    <w:multiLevelType w:val="hybridMultilevel"/>
    <w:tmpl w:val="AA20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F1A5A"/>
    <w:multiLevelType w:val="hybridMultilevel"/>
    <w:tmpl w:val="A0DCA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63CB1"/>
    <w:multiLevelType w:val="multilevel"/>
    <w:tmpl w:val="29AC3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74B485A"/>
    <w:multiLevelType w:val="hybridMultilevel"/>
    <w:tmpl w:val="F6CA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97624"/>
    <w:multiLevelType w:val="hybridMultilevel"/>
    <w:tmpl w:val="3BB84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41"/>
  </w:num>
  <w:num w:numId="4">
    <w:abstractNumId w:val="39"/>
  </w:num>
  <w:num w:numId="5">
    <w:abstractNumId w:val="20"/>
  </w:num>
  <w:num w:numId="6">
    <w:abstractNumId w:val="44"/>
  </w:num>
  <w:num w:numId="7">
    <w:abstractNumId w:val="5"/>
  </w:num>
  <w:num w:numId="8">
    <w:abstractNumId w:val="8"/>
  </w:num>
  <w:num w:numId="9">
    <w:abstractNumId w:val="33"/>
  </w:num>
  <w:num w:numId="10">
    <w:abstractNumId w:val="22"/>
  </w:num>
  <w:num w:numId="11">
    <w:abstractNumId w:val="37"/>
  </w:num>
  <w:num w:numId="12">
    <w:abstractNumId w:val="16"/>
  </w:num>
  <w:num w:numId="13">
    <w:abstractNumId w:val="19"/>
  </w:num>
  <w:num w:numId="14">
    <w:abstractNumId w:val="26"/>
  </w:num>
  <w:num w:numId="15">
    <w:abstractNumId w:val="34"/>
  </w:num>
  <w:num w:numId="16">
    <w:abstractNumId w:val="2"/>
  </w:num>
  <w:num w:numId="17">
    <w:abstractNumId w:val="18"/>
  </w:num>
  <w:num w:numId="18">
    <w:abstractNumId w:val="27"/>
  </w:num>
  <w:num w:numId="19">
    <w:abstractNumId w:val="40"/>
  </w:num>
  <w:num w:numId="20">
    <w:abstractNumId w:val="25"/>
  </w:num>
  <w:num w:numId="21">
    <w:abstractNumId w:val="45"/>
  </w:num>
  <w:num w:numId="22">
    <w:abstractNumId w:val="42"/>
  </w:num>
  <w:num w:numId="23">
    <w:abstractNumId w:val="11"/>
  </w:num>
  <w:num w:numId="24">
    <w:abstractNumId w:val="36"/>
  </w:num>
  <w:num w:numId="25">
    <w:abstractNumId w:val="38"/>
  </w:num>
  <w:num w:numId="26">
    <w:abstractNumId w:val="17"/>
  </w:num>
  <w:num w:numId="27">
    <w:abstractNumId w:val="30"/>
  </w:num>
  <w:num w:numId="28">
    <w:abstractNumId w:val="9"/>
  </w:num>
  <w:num w:numId="29">
    <w:abstractNumId w:val="10"/>
  </w:num>
  <w:num w:numId="30">
    <w:abstractNumId w:val="4"/>
  </w:num>
  <w:num w:numId="31">
    <w:abstractNumId w:val="24"/>
  </w:num>
  <w:num w:numId="32">
    <w:abstractNumId w:val="21"/>
  </w:num>
  <w:num w:numId="33">
    <w:abstractNumId w:val="35"/>
  </w:num>
  <w:num w:numId="34">
    <w:abstractNumId w:val="3"/>
  </w:num>
  <w:num w:numId="35">
    <w:abstractNumId w:val="13"/>
  </w:num>
  <w:num w:numId="36">
    <w:abstractNumId w:val="32"/>
  </w:num>
  <w:num w:numId="37">
    <w:abstractNumId w:val="7"/>
  </w:num>
  <w:num w:numId="38">
    <w:abstractNumId w:val="0"/>
  </w:num>
  <w:num w:numId="39">
    <w:abstractNumId w:val="15"/>
  </w:num>
  <w:num w:numId="40">
    <w:abstractNumId w:val="6"/>
  </w:num>
  <w:num w:numId="41">
    <w:abstractNumId w:val="28"/>
  </w:num>
  <w:num w:numId="42">
    <w:abstractNumId w:val="31"/>
  </w:num>
  <w:num w:numId="43">
    <w:abstractNumId w:val="1"/>
  </w:num>
  <w:num w:numId="44">
    <w:abstractNumId w:val="14"/>
  </w:num>
  <w:num w:numId="45">
    <w:abstractNumId w:val="43"/>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C2"/>
    <w:rsid w:val="000106DE"/>
    <w:rsid w:val="0001350F"/>
    <w:rsid w:val="0001361F"/>
    <w:rsid w:val="00044CE3"/>
    <w:rsid w:val="00097341"/>
    <w:rsid w:val="000A6076"/>
    <w:rsid w:val="000C5B2A"/>
    <w:rsid w:val="00134E77"/>
    <w:rsid w:val="0017041F"/>
    <w:rsid w:val="001B5459"/>
    <w:rsid w:val="0020524E"/>
    <w:rsid w:val="00224CCF"/>
    <w:rsid w:val="00243695"/>
    <w:rsid w:val="0024741A"/>
    <w:rsid w:val="002849CC"/>
    <w:rsid w:val="00294807"/>
    <w:rsid w:val="002B0570"/>
    <w:rsid w:val="002B37FD"/>
    <w:rsid w:val="00325DC4"/>
    <w:rsid w:val="003345A5"/>
    <w:rsid w:val="003561EE"/>
    <w:rsid w:val="00376C4B"/>
    <w:rsid w:val="00381D38"/>
    <w:rsid w:val="00385443"/>
    <w:rsid w:val="00422277"/>
    <w:rsid w:val="00432EFB"/>
    <w:rsid w:val="00464C83"/>
    <w:rsid w:val="0048703F"/>
    <w:rsid w:val="00487EF9"/>
    <w:rsid w:val="004A14A1"/>
    <w:rsid w:val="004F5408"/>
    <w:rsid w:val="004F7DF2"/>
    <w:rsid w:val="005076D5"/>
    <w:rsid w:val="00524111"/>
    <w:rsid w:val="0055571F"/>
    <w:rsid w:val="005E64BE"/>
    <w:rsid w:val="0061120C"/>
    <w:rsid w:val="00620088"/>
    <w:rsid w:val="006541D4"/>
    <w:rsid w:val="00690736"/>
    <w:rsid w:val="006E04A0"/>
    <w:rsid w:val="006E5780"/>
    <w:rsid w:val="006F6DBF"/>
    <w:rsid w:val="0070413A"/>
    <w:rsid w:val="00746005"/>
    <w:rsid w:val="00787D84"/>
    <w:rsid w:val="00791D31"/>
    <w:rsid w:val="00793198"/>
    <w:rsid w:val="00793F54"/>
    <w:rsid w:val="007C77C5"/>
    <w:rsid w:val="007F2D11"/>
    <w:rsid w:val="008412B4"/>
    <w:rsid w:val="00857A60"/>
    <w:rsid w:val="008879FF"/>
    <w:rsid w:val="008A2F33"/>
    <w:rsid w:val="008B1BE8"/>
    <w:rsid w:val="008C3E7B"/>
    <w:rsid w:val="008C4FD3"/>
    <w:rsid w:val="009238A0"/>
    <w:rsid w:val="00931DE4"/>
    <w:rsid w:val="00935196"/>
    <w:rsid w:val="00957FA5"/>
    <w:rsid w:val="00970A0D"/>
    <w:rsid w:val="00993A1F"/>
    <w:rsid w:val="009A036F"/>
    <w:rsid w:val="009B1C75"/>
    <w:rsid w:val="009D01B0"/>
    <w:rsid w:val="009F1DD4"/>
    <w:rsid w:val="00A16AEE"/>
    <w:rsid w:val="00A46D90"/>
    <w:rsid w:val="00A70120"/>
    <w:rsid w:val="00A70F01"/>
    <w:rsid w:val="00A7112F"/>
    <w:rsid w:val="00A770F7"/>
    <w:rsid w:val="00AA577D"/>
    <w:rsid w:val="00AB7B9A"/>
    <w:rsid w:val="00AE3DE0"/>
    <w:rsid w:val="00B66B30"/>
    <w:rsid w:val="00B81E61"/>
    <w:rsid w:val="00BE19E0"/>
    <w:rsid w:val="00C44FAF"/>
    <w:rsid w:val="00C6433D"/>
    <w:rsid w:val="00C863F3"/>
    <w:rsid w:val="00CB7BEE"/>
    <w:rsid w:val="00D07761"/>
    <w:rsid w:val="00D3278E"/>
    <w:rsid w:val="00D464B5"/>
    <w:rsid w:val="00D774BA"/>
    <w:rsid w:val="00D97A45"/>
    <w:rsid w:val="00DA6726"/>
    <w:rsid w:val="00DC1029"/>
    <w:rsid w:val="00DE6A28"/>
    <w:rsid w:val="00E25C27"/>
    <w:rsid w:val="00E52F40"/>
    <w:rsid w:val="00EA5D2C"/>
    <w:rsid w:val="00EF6C55"/>
    <w:rsid w:val="00F0666B"/>
    <w:rsid w:val="00F2682B"/>
    <w:rsid w:val="00F26F7D"/>
    <w:rsid w:val="00F8496C"/>
    <w:rsid w:val="00F85BC2"/>
    <w:rsid w:val="00FD0312"/>
    <w:rsid w:val="00FD5427"/>
    <w:rsid w:val="00FE0598"/>
    <w:rsid w:val="00FE23C5"/>
    <w:rsid w:val="00FF56BB"/>
  </w:rsids>
  <m:mathPr>
    <m:mathFont m:val="Cambria Math"/>
    <m:brkBin m:val="before"/>
    <m:brkBinSub m:val="--"/>
    <m:smallFrac/>
    <m:dispDef/>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AC5D06"/>
  <w15:docId w15:val="{403858AA-E972-984E-99DD-0A740553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236C"/>
    <w:pPr>
      <w:spacing w:after="120"/>
    </w:pPr>
    <w:rPr>
      <w:rFonts w:ascii="Helvetica" w:hAnsi="Helvetica"/>
      <w:sz w:val="22"/>
    </w:rPr>
  </w:style>
  <w:style w:type="paragraph" w:styleId="Heading1">
    <w:name w:val="heading 1"/>
    <w:basedOn w:val="Normal"/>
    <w:next w:val="Normal"/>
    <w:link w:val="Heading1Char"/>
    <w:uiPriority w:val="9"/>
    <w:qFormat/>
    <w:rsid w:val="00D5236C"/>
    <w:pPr>
      <w:keepNext/>
      <w:keepLines/>
      <w:spacing w:before="240" w:after="240"/>
      <w:outlineLvl w:val="0"/>
    </w:pPr>
    <w:rPr>
      <w:rFonts w:eastAsia="Times New Roman"/>
      <w:b/>
      <w:bCs/>
      <w:sz w:val="28"/>
      <w:szCs w:val="32"/>
    </w:rPr>
  </w:style>
  <w:style w:type="paragraph" w:styleId="Heading2">
    <w:name w:val="heading 2"/>
    <w:basedOn w:val="Normal"/>
    <w:next w:val="Normal"/>
    <w:link w:val="Heading2Char"/>
    <w:uiPriority w:val="9"/>
    <w:qFormat/>
    <w:rsid w:val="004B6ECB"/>
    <w:pPr>
      <w:keepNext/>
      <w:keepLines/>
      <w:spacing w:before="360" w:after="240"/>
      <w:outlineLvl w:val="1"/>
    </w:pPr>
    <w:rPr>
      <w:rFonts w:eastAsia="Times New Roman"/>
      <w:b/>
      <w:bCs/>
      <w:sz w:val="24"/>
      <w:szCs w:val="26"/>
    </w:rPr>
  </w:style>
  <w:style w:type="paragraph" w:styleId="Heading3">
    <w:name w:val="heading 3"/>
    <w:basedOn w:val="Normal"/>
    <w:next w:val="Normal"/>
    <w:link w:val="Heading3Char"/>
    <w:uiPriority w:val="9"/>
    <w:qFormat/>
    <w:rsid w:val="00D5236C"/>
    <w:pPr>
      <w:keepNext/>
      <w:keepLines/>
      <w:spacing w:before="240"/>
      <w:outlineLvl w:val="2"/>
    </w:pPr>
    <w:rPr>
      <w:rFonts w:eastAsia="Times New Roman"/>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36C"/>
    <w:rPr>
      <w:rFonts w:ascii="Helvetica" w:eastAsia="Times New Roman" w:hAnsi="Helvetica" w:cs="Times New Roman"/>
      <w:b/>
      <w:bCs/>
      <w:sz w:val="28"/>
      <w:szCs w:val="32"/>
    </w:rPr>
  </w:style>
  <w:style w:type="character" w:customStyle="1" w:styleId="Heading2Char">
    <w:name w:val="Heading 2 Char"/>
    <w:basedOn w:val="DefaultParagraphFont"/>
    <w:link w:val="Heading2"/>
    <w:uiPriority w:val="9"/>
    <w:rsid w:val="004B6ECB"/>
    <w:rPr>
      <w:rFonts w:ascii="Helvetica" w:eastAsia="Times New Roman" w:hAnsi="Helvetica"/>
      <w:b/>
      <w:bCs/>
      <w:sz w:val="24"/>
      <w:szCs w:val="26"/>
    </w:rPr>
  </w:style>
  <w:style w:type="character" w:customStyle="1" w:styleId="Heading3Char">
    <w:name w:val="Heading 3 Char"/>
    <w:basedOn w:val="DefaultParagraphFont"/>
    <w:link w:val="Heading3"/>
    <w:uiPriority w:val="9"/>
    <w:rsid w:val="00D5236C"/>
    <w:rPr>
      <w:rFonts w:ascii="Helvetica" w:eastAsia="Times New Roman" w:hAnsi="Helvetica" w:cs="Times New Roman"/>
      <w:bCs/>
      <w:sz w:val="22"/>
      <w:szCs w:val="24"/>
      <w:u w:val="single"/>
    </w:rPr>
  </w:style>
  <w:style w:type="paragraph" w:customStyle="1" w:styleId="AgendaItemHeader">
    <w:name w:val="Agenda Item Header"/>
    <w:basedOn w:val="Normal"/>
    <w:autoRedefine/>
    <w:qFormat/>
    <w:rsid w:val="00C31D19"/>
    <w:pPr>
      <w:pBdr>
        <w:top w:val="single" w:sz="4" w:space="1" w:color="auto"/>
        <w:left w:val="single" w:sz="4" w:space="4" w:color="auto"/>
        <w:bottom w:val="single" w:sz="4" w:space="1" w:color="auto"/>
        <w:right w:val="single" w:sz="4" w:space="4" w:color="auto"/>
      </w:pBdr>
      <w:shd w:val="clear" w:color="auto" w:fill="99CCFF"/>
      <w:suppressAutoHyphens/>
      <w:spacing w:after="0"/>
    </w:pPr>
    <w:rPr>
      <w:rFonts w:eastAsia="Batang"/>
      <w:b/>
      <w:sz w:val="28"/>
      <w:lang w:eastAsia="ar-SA"/>
    </w:rPr>
  </w:style>
  <w:style w:type="paragraph" w:customStyle="1" w:styleId="AtPodium">
    <w:name w:val="At Podium"/>
    <w:basedOn w:val="Normal"/>
    <w:autoRedefine/>
    <w:qFormat/>
    <w:rsid w:val="00C31D19"/>
    <w:pPr>
      <w:pBdr>
        <w:top w:val="single" w:sz="4" w:space="12" w:color="auto"/>
        <w:left w:val="single" w:sz="4" w:space="12" w:color="auto"/>
        <w:bottom w:val="single" w:sz="4" w:space="12" w:color="auto"/>
        <w:right w:val="single" w:sz="4" w:space="12" w:color="auto"/>
      </w:pBdr>
      <w:shd w:val="clear" w:color="auto" w:fill="F3F3F3"/>
      <w:tabs>
        <w:tab w:val="left" w:pos="1701"/>
      </w:tabs>
      <w:suppressAutoHyphens/>
      <w:spacing w:after="0"/>
    </w:pPr>
    <w:rPr>
      <w:rFonts w:eastAsia="Batang"/>
      <w:sz w:val="28"/>
      <w:lang w:eastAsia="ar-SA"/>
    </w:rPr>
  </w:style>
  <w:style w:type="paragraph" w:customStyle="1" w:styleId="ColorfulList-Accent11">
    <w:name w:val="Colorful List - Accent 11"/>
    <w:basedOn w:val="Normal"/>
    <w:uiPriority w:val="34"/>
    <w:qFormat/>
    <w:rsid w:val="00F85BC2"/>
    <w:pPr>
      <w:ind w:left="720"/>
      <w:contextualSpacing/>
    </w:pPr>
  </w:style>
  <w:style w:type="paragraph" w:styleId="Header">
    <w:name w:val="header"/>
    <w:basedOn w:val="Normal"/>
    <w:link w:val="HeaderChar"/>
    <w:unhideWhenUsed/>
    <w:rsid w:val="00CD301D"/>
    <w:pPr>
      <w:tabs>
        <w:tab w:val="center" w:pos="4320"/>
        <w:tab w:val="right" w:pos="8640"/>
      </w:tabs>
    </w:pPr>
  </w:style>
  <w:style w:type="character" w:customStyle="1" w:styleId="HeaderChar">
    <w:name w:val="Header Char"/>
    <w:basedOn w:val="DefaultParagraphFont"/>
    <w:link w:val="Header"/>
    <w:rsid w:val="00CD301D"/>
    <w:rPr>
      <w:rFonts w:ascii="Helvetica" w:hAnsi="Helvetica"/>
      <w:sz w:val="22"/>
      <w:szCs w:val="24"/>
    </w:rPr>
  </w:style>
  <w:style w:type="paragraph" w:styleId="Footer">
    <w:name w:val="footer"/>
    <w:basedOn w:val="Normal"/>
    <w:link w:val="FooterChar"/>
    <w:unhideWhenUsed/>
    <w:rsid w:val="00CD301D"/>
    <w:pPr>
      <w:tabs>
        <w:tab w:val="center" w:pos="4320"/>
        <w:tab w:val="right" w:pos="8640"/>
      </w:tabs>
    </w:pPr>
  </w:style>
  <w:style w:type="character" w:customStyle="1" w:styleId="FooterChar">
    <w:name w:val="Footer Char"/>
    <w:basedOn w:val="DefaultParagraphFont"/>
    <w:link w:val="Footer"/>
    <w:rsid w:val="00CD301D"/>
    <w:rPr>
      <w:rFonts w:ascii="Helvetica" w:hAnsi="Helvetica"/>
      <w:sz w:val="22"/>
      <w:szCs w:val="24"/>
    </w:rPr>
  </w:style>
  <w:style w:type="character" w:styleId="Hyperlink">
    <w:name w:val="Hyperlink"/>
    <w:basedOn w:val="DefaultParagraphFont"/>
    <w:uiPriority w:val="99"/>
    <w:unhideWhenUsed/>
    <w:rsid w:val="003A47D9"/>
    <w:rPr>
      <w:color w:val="0000FF"/>
      <w:u w:val="single"/>
    </w:rPr>
  </w:style>
  <w:style w:type="character" w:styleId="CommentReference">
    <w:name w:val="annotation reference"/>
    <w:basedOn w:val="DefaultParagraphFont"/>
    <w:rsid w:val="00F2682B"/>
    <w:rPr>
      <w:sz w:val="16"/>
      <w:szCs w:val="16"/>
    </w:rPr>
  </w:style>
  <w:style w:type="paragraph" w:styleId="CommentText">
    <w:name w:val="annotation text"/>
    <w:basedOn w:val="Normal"/>
    <w:link w:val="CommentTextChar"/>
    <w:rsid w:val="00F2682B"/>
    <w:rPr>
      <w:sz w:val="20"/>
      <w:szCs w:val="20"/>
    </w:rPr>
  </w:style>
  <w:style w:type="character" w:customStyle="1" w:styleId="CommentTextChar">
    <w:name w:val="Comment Text Char"/>
    <w:basedOn w:val="DefaultParagraphFont"/>
    <w:link w:val="CommentText"/>
    <w:rsid w:val="00F2682B"/>
    <w:rPr>
      <w:rFonts w:ascii="Helvetica" w:hAnsi="Helvetica"/>
    </w:rPr>
  </w:style>
  <w:style w:type="paragraph" w:styleId="CommentSubject">
    <w:name w:val="annotation subject"/>
    <w:basedOn w:val="CommentText"/>
    <w:next w:val="CommentText"/>
    <w:link w:val="CommentSubjectChar"/>
    <w:uiPriority w:val="99"/>
    <w:rsid w:val="00F2682B"/>
    <w:rPr>
      <w:b/>
      <w:bCs/>
    </w:rPr>
  </w:style>
  <w:style w:type="character" w:customStyle="1" w:styleId="CommentSubjectChar">
    <w:name w:val="Comment Subject Char"/>
    <w:basedOn w:val="CommentTextChar"/>
    <w:link w:val="CommentSubject"/>
    <w:uiPriority w:val="99"/>
    <w:rsid w:val="00F2682B"/>
    <w:rPr>
      <w:rFonts w:ascii="Helvetica" w:hAnsi="Helvetica"/>
      <w:b/>
      <w:bCs/>
    </w:rPr>
  </w:style>
  <w:style w:type="paragraph" w:styleId="BalloonText">
    <w:name w:val="Balloon Text"/>
    <w:basedOn w:val="Normal"/>
    <w:link w:val="BalloonTextChar"/>
    <w:uiPriority w:val="99"/>
    <w:rsid w:val="00F2682B"/>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2682B"/>
    <w:rPr>
      <w:rFonts w:ascii="Tahoma" w:hAnsi="Tahoma" w:cs="Tahoma"/>
      <w:sz w:val="16"/>
      <w:szCs w:val="16"/>
    </w:rPr>
  </w:style>
  <w:style w:type="character" w:styleId="PageNumber">
    <w:name w:val="page number"/>
    <w:basedOn w:val="DefaultParagraphFont"/>
    <w:rsid w:val="00690736"/>
  </w:style>
  <w:style w:type="paragraph" w:styleId="ListParagraph">
    <w:name w:val="List Paragraph"/>
    <w:basedOn w:val="Normal"/>
    <w:qFormat/>
    <w:rsid w:val="00D774BA"/>
    <w:pPr>
      <w:ind w:left="720"/>
      <w:contextualSpacing/>
    </w:pPr>
  </w:style>
  <w:style w:type="paragraph" w:styleId="FootnoteText">
    <w:name w:val="footnote text"/>
    <w:basedOn w:val="Normal"/>
    <w:link w:val="FootnoteTextChar"/>
    <w:uiPriority w:val="99"/>
    <w:unhideWhenUsed/>
    <w:rsid w:val="00325DC4"/>
    <w:rPr>
      <w:sz w:val="18"/>
    </w:rPr>
  </w:style>
  <w:style w:type="character" w:customStyle="1" w:styleId="FootnoteTextChar">
    <w:name w:val="Footnote Text Char"/>
    <w:basedOn w:val="DefaultParagraphFont"/>
    <w:link w:val="FootnoteText"/>
    <w:uiPriority w:val="99"/>
    <w:rsid w:val="00325DC4"/>
    <w:rPr>
      <w:rFonts w:ascii="Helvetica" w:hAnsi="Helvetica"/>
      <w:sz w:val="18"/>
    </w:rPr>
  </w:style>
  <w:style w:type="character" w:styleId="FootnoteReference">
    <w:name w:val="footnote reference"/>
    <w:uiPriority w:val="99"/>
    <w:unhideWhenUsed/>
    <w:rsid w:val="00325DC4"/>
    <w:rPr>
      <w:vertAlign w:val="superscript"/>
    </w:rPr>
  </w:style>
  <w:style w:type="character" w:styleId="FollowedHyperlink">
    <w:name w:val="FollowedHyperlink"/>
    <w:rsid w:val="00325DC4"/>
    <w:rPr>
      <w:color w:val="800080"/>
      <w:u w:val="single"/>
    </w:rPr>
  </w:style>
  <w:style w:type="paragraph" w:customStyle="1" w:styleId="Normal1">
    <w:name w:val="Normal1"/>
    <w:rsid w:val="00325DC4"/>
    <w:pPr>
      <w:widowControl w:val="0"/>
      <w:spacing w:after="120"/>
    </w:pPr>
    <w:rPr>
      <w:rFonts w:ascii="Helvetica Neue" w:eastAsia="Helvetica Neue" w:hAnsi="Helvetica Neue" w:cs="Helvetica Neue"/>
      <w:color w:val="000000"/>
      <w:sz w:val="22"/>
    </w:rPr>
  </w:style>
  <w:style w:type="paragraph" w:customStyle="1" w:styleId="Heading12">
    <w:name w:val="Heading 1.2"/>
    <w:basedOn w:val="Heading2"/>
    <w:link w:val="Heading12Char"/>
    <w:qFormat/>
    <w:rsid w:val="00325DC4"/>
    <w:pPr>
      <w:keepNext w:val="0"/>
      <w:keepLines w:val="0"/>
      <w:spacing w:before="200" w:after="0" w:line="276" w:lineRule="auto"/>
    </w:pPr>
    <w:rPr>
      <w:rFonts w:ascii="Cambria" w:hAnsi="Cambria"/>
      <w:sz w:val="26"/>
    </w:rPr>
  </w:style>
  <w:style w:type="character" w:customStyle="1" w:styleId="Heading12Char">
    <w:name w:val="Heading 1.2 Char"/>
    <w:link w:val="Heading12"/>
    <w:rsid w:val="00325DC4"/>
    <w:rPr>
      <w:rFonts w:eastAsia="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3413">
      <w:bodyDiv w:val="1"/>
      <w:marLeft w:val="0"/>
      <w:marRight w:val="0"/>
      <w:marTop w:val="0"/>
      <w:marBottom w:val="0"/>
      <w:divBdr>
        <w:top w:val="none" w:sz="0" w:space="0" w:color="auto"/>
        <w:left w:val="none" w:sz="0" w:space="0" w:color="auto"/>
        <w:bottom w:val="none" w:sz="0" w:space="0" w:color="auto"/>
        <w:right w:val="none" w:sz="0" w:space="0" w:color="auto"/>
      </w:divBdr>
      <w:divsChild>
        <w:div w:id="1571580422">
          <w:marLeft w:val="0"/>
          <w:marRight w:val="0"/>
          <w:marTop w:val="0"/>
          <w:marBottom w:val="0"/>
          <w:divBdr>
            <w:top w:val="none" w:sz="0" w:space="0" w:color="auto"/>
            <w:left w:val="none" w:sz="0" w:space="0" w:color="auto"/>
            <w:bottom w:val="none" w:sz="0" w:space="0" w:color="auto"/>
            <w:right w:val="none" w:sz="0" w:space="0" w:color="auto"/>
          </w:divBdr>
          <w:divsChild>
            <w:div w:id="822891575">
              <w:marLeft w:val="0"/>
              <w:marRight w:val="0"/>
              <w:marTop w:val="0"/>
              <w:marBottom w:val="0"/>
              <w:divBdr>
                <w:top w:val="none" w:sz="0" w:space="0" w:color="auto"/>
                <w:left w:val="none" w:sz="0" w:space="0" w:color="auto"/>
                <w:bottom w:val="none" w:sz="0" w:space="0" w:color="auto"/>
                <w:right w:val="none" w:sz="0" w:space="0" w:color="auto"/>
              </w:divBdr>
              <w:divsChild>
                <w:div w:id="2077583802">
                  <w:marLeft w:val="0"/>
                  <w:marRight w:val="0"/>
                  <w:marTop w:val="0"/>
                  <w:marBottom w:val="0"/>
                  <w:divBdr>
                    <w:top w:val="none" w:sz="0" w:space="0" w:color="auto"/>
                    <w:left w:val="none" w:sz="0" w:space="0" w:color="auto"/>
                    <w:bottom w:val="none" w:sz="0" w:space="0" w:color="auto"/>
                    <w:right w:val="none" w:sz="0" w:space="0" w:color="auto"/>
                  </w:divBdr>
                  <w:divsChild>
                    <w:div w:id="20539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59838">
      <w:bodyDiv w:val="1"/>
      <w:marLeft w:val="0"/>
      <w:marRight w:val="0"/>
      <w:marTop w:val="0"/>
      <w:marBottom w:val="0"/>
      <w:divBdr>
        <w:top w:val="none" w:sz="0" w:space="0" w:color="auto"/>
        <w:left w:val="none" w:sz="0" w:space="0" w:color="auto"/>
        <w:bottom w:val="none" w:sz="0" w:space="0" w:color="auto"/>
        <w:right w:val="none" w:sz="0" w:space="0" w:color="auto"/>
      </w:divBdr>
    </w:div>
    <w:div w:id="720445224">
      <w:bodyDiv w:val="1"/>
      <w:marLeft w:val="0"/>
      <w:marRight w:val="0"/>
      <w:marTop w:val="0"/>
      <w:marBottom w:val="0"/>
      <w:divBdr>
        <w:top w:val="none" w:sz="0" w:space="0" w:color="auto"/>
        <w:left w:val="none" w:sz="0" w:space="0" w:color="auto"/>
        <w:bottom w:val="none" w:sz="0" w:space="0" w:color="auto"/>
        <w:right w:val="none" w:sz="0" w:space="0" w:color="auto"/>
      </w:divBdr>
      <w:divsChild>
        <w:div w:id="2114671056">
          <w:marLeft w:val="0"/>
          <w:marRight w:val="0"/>
          <w:marTop w:val="0"/>
          <w:marBottom w:val="0"/>
          <w:divBdr>
            <w:top w:val="none" w:sz="0" w:space="0" w:color="auto"/>
            <w:left w:val="none" w:sz="0" w:space="0" w:color="auto"/>
            <w:bottom w:val="none" w:sz="0" w:space="0" w:color="auto"/>
            <w:right w:val="none" w:sz="0" w:space="0" w:color="auto"/>
          </w:divBdr>
          <w:divsChild>
            <w:div w:id="593981701">
              <w:marLeft w:val="0"/>
              <w:marRight w:val="0"/>
              <w:marTop w:val="0"/>
              <w:marBottom w:val="0"/>
              <w:divBdr>
                <w:top w:val="none" w:sz="0" w:space="0" w:color="auto"/>
                <w:left w:val="none" w:sz="0" w:space="0" w:color="auto"/>
                <w:bottom w:val="none" w:sz="0" w:space="0" w:color="auto"/>
                <w:right w:val="none" w:sz="0" w:space="0" w:color="auto"/>
              </w:divBdr>
              <w:divsChild>
                <w:div w:id="17769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79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tlantos-h2020.eu/download/Full-document-European-Strategy-for-All-Atlantic-Ocean-Observing-System.pdf" TargetMode="External"/><Relationship Id="rId18" Type="http://schemas.openxmlformats.org/officeDocument/2006/relationships/hyperlink" Target="https://www.atlantos-h2020.eu/download/deliverables/6.1%20Sensors%20and%20Instrumentation%20Roadmap.pdf" TargetMode="External"/><Relationship Id="rId26" Type="http://schemas.openxmlformats.org/officeDocument/2006/relationships/hyperlink" Target="https://www.atlantos-h2020.eu/targeted-product/pogo-atlantos-collaboration-on-ocean-products/" TargetMode="External"/><Relationship Id="rId3" Type="http://schemas.openxmlformats.org/officeDocument/2006/relationships/settings" Target="settings.xml"/><Relationship Id="rId21" Type="http://schemas.openxmlformats.org/officeDocument/2006/relationships/hyperlink" Target="https://www.atlantos-h2020.eu/download/deliverables/AtlantOS_D7.15.pdf" TargetMode="External"/><Relationship Id="rId7" Type="http://schemas.openxmlformats.org/officeDocument/2006/relationships/hyperlink" Target="http://goosocean.org/goos-sc-8" TargetMode="External"/><Relationship Id="rId12" Type="http://schemas.openxmlformats.org/officeDocument/2006/relationships/hyperlink" Target="https://www.atlantos-h2020.eu/download/deliverables/AtlantOS_D8.16.pdf" TargetMode="External"/><Relationship Id="rId17" Type="http://schemas.openxmlformats.org/officeDocument/2006/relationships/hyperlink" Target="http://www.goosocean.org/index.php?option=com_oe&amp;task=viewDocumentRecord&amp;docID=20428" TargetMode="External"/><Relationship Id="rId25" Type="http://schemas.openxmlformats.org/officeDocument/2006/relationships/hyperlink" Target="https://www.atlantos-h2020.eu/targeted-product/operational-forecast-system-for-atlantic-albacore-tuna/" TargetMode="External"/><Relationship Id="rId2" Type="http://schemas.openxmlformats.org/officeDocument/2006/relationships/styles" Target="styles.xml"/><Relationship Id="rId16" Type="http://schemas.openxmlformats.org/officeDocument/2006/relationships/hyperlink" Target="http://tpos2020.org/project-reports/second-report/" TargetMode="External"/><Relationship Id="rId20" Type="http://schemas.openxmlformats.org/officeDocument/2006/relationships/hyperlink" Target="http://tpos2020.org/wp-content/uploads/TPOS%202020%20Second%20Report%20Draft%20for%20Review_FINAL_28Feb2019.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lantos-h2020.eu/download/deliverables/AtlantOS_D8.11.pdf" TargetMode="External"/><Relationship Id="rId24" Type="http://schemas.openxmlformats.org/officeDocument/2006/relationships/hyperlink" Target="https://www.atlantos-h2020.eu/targeted-product/harmful-algal-bloom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pos2020.org/first-report/" TargetMode="External"/><Relationship Id="rId23" Type="http://schemas.openxmlformats.org/officeDocument/2006/relationships/hyperlink" Target="https://www.atlantos-h2020.eu/targeted-product/ship-routing-hazard-mapping/" TargetMode="External"/><Relationship Id="rId28" Type="http://schemas.openxmlformats.org/officeDocument/2006/relationships/header" Target="header1.xml"/><Relationship Id="rId10" Type="http://schemas.openxmlformats.org/officeDocument/2006/relationships/hyperlink" Target="https://www.atlantos-h2020.eu/download/deliverables/AtlantOS_D8.9_CLS_rev.pdf" TargetMode="External"/><Relationship Id="rId19" Type="http://schemas.openxmlformats.org/officeDocument/2006/relationships/hyperlink" Target="https://www.atlantos-h2020.eu/download/deliverables/AtlantOS_D6.2_reworked.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tlantos-h2020.eu/download/deliverables/1.1%20Initial%20AtlantOS%20Requirements%20Report.pdf" TargetMode="External"/><Relationship Id="rId14" Type="http://schemas.openxmlformats.org/officeDocument/2006/relationships/hyperlink" Target="http://www.eoos-ocean.eu/eoos-strategy-and-implementation-plan-2018-2022-released/" TargetMode="External"/><Relationship Id="rId22" Type="http://schemas.openxmlformats.org/officeDocument/2006/relationships/hyperlink" Target="https://www.atlantos-h2020.eu/targeted-product/nws-reanalysis-and-forecasting/" TargetMode="External"/><Relationship Id="rId27" Type="http://schemas.openxmlformats.org/officeDocument/2006/relationships/hyperlink" Target="http://www.ioccp.org/voice"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IOC/UNESCO</Company>
  <LinksUpToDate>false</LinksUpToDate>
  <CharactersWithSpaces>14652</CharactersWithSpaces>
  <SharedDoc>false</SharedDoc>
  <HLinks>
    <vt:vector size="18" baseType="variant">
      <vt:variant>
        <vt:i4>1572906</vt:i4>
      </vt:variant>
      <vt:variant>
        <vt:i4>0</vt:i4>
      </vt:variant>
      <vt:variant>
        <vt:i4>0</vt:i4>
      </vt:variant>
      <vt:variant>
        <vt:i4>5</vt:i4>
      </vt:variant>
      <vt:variant>
        <vt:lpwstr>http://ioc-goos.org/goos-sc-3</vt:lpwstr>
      </vt:variant>
      <vt:variant>
        <vt:lpwstr/>
      </vt:variant>
      <vt:variant>
        <vt:i4>2424860</vt:i4>
      </vt:variant>
      <vt:variant>
        <vt:i4>-1</vt:i4>
      </vt:variant>
      <vt:variant>
        <vt:i4>2051</vt:i4>
      </vt:variant>
      <vt:variant>
        <vt:i4>1</vt:i4>
      </vt:variant>
      <vt:variant>
        <vt:lpwstr>GOOS-SC-document-header</vt:lpwstr>
      </vt:variant>
      <vt:variant>
        <vt:lpwstr/>
      </vt:variant>
      <vt:variant>
        <vt:i4>6160429</vt:i4>
      </vt:variant>
      <vt:variant>
        <vt:i4>-1</vt:i4>
      </vt:variant>
      <vt:variant>
        <vt:i4>2052</vt:i4>
      </vt:variant>
      <vt:variant>
        <vt:i4>1</vt:i4>
      </vt:variant>
      <vt:variant>
        <vt:lpwstr>GOOS_sponsors_logos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Fischer</dc:creator>
  <cp:lastModifiedBy>Fischer, Albert</cp:lastModifiedBy>
  <cp:revision>3</cp:revision>
  <cp:lastPrinted>2014-07-18T09:21:00Z</cp:lastPrinted>
  <dcterms:created xsi:type="dcterms:W3CDTF">2019-04-27T10:09:00Z</dcterms:created>
  <dcterms:modified xsi:type="dcterms:W3CDTF">2019-04-27T10:11:00Z</dcterms:modified>
</cp:coreProperties>
</file>