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CF" w:rsidRPr="002D7FAA" w:rsidRDefault="00EC6B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WMO’s capability to coordinate the p</w:t>
      </w:r>
      <w:r w:rsidR="004C6CB9">
        <w:rPr>
          <w:rFonts w:ascii="Arial" w:hAnsi="Arial" w:cs="Arial"/>
          <w:b/>
          <w:sz w:val="24"/>
          <w:szCs w:val="24"/>
        </w:rPr>
        <w:t xml:space="preserve">rovision of </w:t>
      </w:r>
      <w:r w:rsidR="00AB22AC">
        <w:rPr>
          <w:rFonts w:ascii="Arial" w:hAnsi="Arial" w:cs="Arial"/>
          <w:b/>
          <w:sz w:val="24"/>
          <w:szCs w:val="24"/>
        </w:rPr>
        <w:t>Capacity Building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6611"/>
        <w:gridCol w:w="4446"/>
      </w:tblGrid>
      <w:tr w:rsidR="00C41BF0" w:rsidTr="00E52BC5">
        <w:tc>
          <w:tcPr>
            <w:tcW w:w="6611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4446" w:type="dxa"/>
          </w:tcPr>
          <w:p w:rsidR="00C41BF0" w:rsidRPr="00C41BF0" w:rsidRDefault="00C41BF0" w:rsidP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Weaknesses</w:t>
            </w:r>
          </w:p>
        </w:tc>
      </w:tr>
      <w:tr w:rsidR="00C41BF0" w:rsidRPr="000240CF" w:rsidTr="00E52BC5">
        <w:tc>
          <w:tcPr>
            <w:tcW w:w="6611" w:type="dxa"/>
          </w:tcPr>
          <w:p w:rsidR="00C41BF0" w:rsidRPr="00E31629" w:rsidRDefault="00DD4EAF" w:rsidP="00E52B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0CF">
              <w:rPr>
                <w:sz w:val="24"/>
                <w:szCs w:val="24"/>
              </w:rPr>
              <w:t xml:space="preserve">Robust </w:t>
            </w:r>
            <w:r w:rsidR="00EE36B1" w:rsidRPr="000240CF">
              <w:rPr>
                <w:sz w:val="24"/>
                <w:szCs w:val="24"/>
              </w:rPr>
              <w:t>Preparation and management of </w:t>
            </w:r>
            <w:r w:rsidR="00EE36B1" w:rsidRPr="000240CF">
              <w:rPr>
                <w:b/>
                <w:bCs/>
                <w:sz w:val="24"/>
                <w:szCs w:val="24"/>
              </w:rPr>
              <w:t>technical guidance material</w:t>
            </w:r>
            <w:r w:rsidR="00EE36B1" w:rsidRPr="000240CF">
              <w:rPr>
                <w:sz w:val="24"/>
                <w:szCs w:val="24"/>
              </w:rPr>
              <w:t xml:space="preserve">, in conjunction with the regular review and update of the Guides and </w:t>
            </w:r>
            <w:r w:rsidR="003A77B4">
              <w:rPr>
                <w:sz w:val="24"/>
                <w:szCs w:val="24"/>
              </w:rPr>
              <w:t xml:space="preserve">Technical </w:t>
            </w:r>
            <w:r w:rsidR="00EE36B1" w:rsidRPr="000240CF">
              <w:rPr>
                <w:sz w:val="24"/>
                <w:szCs w:val="24"/>
              </w:rPr>
              <w:t>Manuals;</w:t>
            </w:r>
          </w:p>
          <w:p w:rsidR="00E31629" w:rsidRPr="000240CF" w:rsidRDefault="00E31629" w:rsidP="00E3162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A77B4" w:rsidRPr="003A77B4" w:rsidRDefault="00EE36B1" w:rsidP="00E52B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A77B4">
              <w:rPr>
                <w:sz w:val="24"/>
                <w:szCs w:val="24"/>
              </w:rPr>
              <w:t>Strengthened </w:t>
            </w:r>
            <w:r w:rsidRPr="003A77B4">
              <w:rPr>
                <w:b/>
                <w:bCs/>
                <w:sz w:val="24"/>
                <w:szCs w:val="24"/>
              </w:rPr>
              <w:t>liaison and contacts with wider WMO-IOC capacity development programmes</w:t>
            </w:r>
            <w:r w:rsidRPr="003A77B4">
              <w:rPr>
                <w:sz w:val="24"/>
                <w:szCs w:val="24"/>
              </w:rPr>
              <w:t xml:space="preserve">, particularly for the application of developed marine meteorological and oceanographic training material and for the development of training programmes - for </w:t>
            </w:r>
            <w:r w:rsidR="00DD4EAF" w:rsidRPr="003A77B4">
              <w:rPr>
                <w:sz w:val="24"/>
                <w:szCs w:val="24"/>
              </w:rPr>
              <w:t>e</w:t>
            </w:r>
            <w:r w:rsidR="003A77B4" w:rsidRPr="003A77B4">
              <w:rPr>
                <w:sz w:val="24"/>
                <w:szCs w:val="24"/>
              </w:rPr>
              <w:t xml:space="preserve">xample, </w:t>
            </w:r>
            <w:r w:rsidR="003A77B4">
              <w:rPr>
                <w:sz w:val="24"/>
                <w:szCs w:val="24"/>
              </w:rPr>
              <w:t xml:space="preserve">The </w:t>
            </w:r>
            <w:proofErr w:type="spellStart"/>
            <w:r w:rsidR="003A77B4" w:rsidRPr="003A77B4">
              <w:rPr>
                <w:sz w:val="24"/>
                <w:szCs w:val="24"/>
              </w:rPr>
              <w:t>Bilko</w:t>
            </w:r>
            <w:proofErr w:type="spellEnd"/>
            <w:r w:rsidR="003A77B4" w:rsidRPr="003A77B4">
              <w:rPr>
                <w:sz w:val="24"/>
                <w:szCs w:val="24"/>
              </w:rPr>
              <w:t xml:space="preserve"> software, </w:t>
            </w:r>
            <w:r w:rsidR="003A77B4" w:rsidRPr="003A77B4">
              <w:rPr>
                <w:noProof/>
                <w:lang w:val="en-US"/>
              </w:rPr>
              <w:t>WMO Digital Library, EuMetrain, etc</w:t>
            </w:r>
            <w:r w:rsidR="003A77B4">
              <w:rPr>
                <w:noProof/>
                <w:lang w:val="en-US"/>
              </w:rPr>
              <w:t>;</w:t>
            </w:r>
          </w:p>
          <w:p w:rsidR="000240CF" w:rsidRPr="003A77B4" w:rsidRDefault="00DD4EAF" w:rsidP="003A77B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A77B4">
              <w:rPr>
                <w:sz w:val="24"/>
                <w:szCs w:val="24"/>
              </w:rPr>
              <w:t xml:space="preserve"> </w:t>
            </w:r>
          </w:p>
          <w:p w:rsidR="003A77B4" w:rsidRPr="000240CF" w:rsidRDefault="00CB3EDD" w:rsidP="00E52B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0CF">
              <w:rPr>
                <w:sz w:val="24"/>
                <w:szCs w:val="24"/>
              </w:rPr>
              <w:t> </w:t>
            </w:r>
            <w:r w:rsidR="003A77B4">
              <w:rPr>
                <w:bCs/>
                <w:sz w:val="24"/>
                <w:szCs w:val="24"/>
              </w:rPr>
              <w:t>Web-based tools</w:t>
            </w:r>
            <w:r w:rsidR="0081038B">
              <w:rPr>
                <w:sz w:val="24"/>
                <w:szCs w:val="24"/>
              </w:rPr>
              <w:t xml:space="preserve"> to document, consolidate and </w:t>
            </w:r>
            <w:r w:rsidRPr="000240CF">
              <w:rPr>
                <w:sz w:val="24"/>
                <w:szCs w:val="24"/>
              </w:rPr>
              <w:t>visualize overall Capacity Developm</w:t>
            </w:r>
            <w:r w:rsidR="00D21173">
              <w:rPr>
                <w:sz w:val="24"/>
                <w:szCs w:val="24"/>
              </w:rPr>
              <w:t>ent activities of JCOMM</w:t>
            </w:r>
            <w:r w:rsidRPr="000240CF">
              <w:rPr>
                <w:sz w:val="24"/>
                <w:szCs w:val="24"/>
              </w:rPr>
              <w:t>, particularly those initiated and dire</w:t>
            </w:r>
            <w:r w:rsidR="000240CF">
              <w:rPr>
                <w:sz w:val="24"/>
                <w:szCs w:val="24"/>
              </w:rPr>
              <w:t xml:space="preserve">ctly supported </w:t>
            </w:r>
            <w:r w:rsidR="00D21173">
              <w:rPr>
                <w:sz w:val="24"/>
                <w:szCs w:val="24"/>
              </w:rPr>
              <w:t>by Members/</w:t>
            </w:r>
            <w:r w:rsidRPr="000240CF">
              <w:rPr>
                <w:sz w:val="24"/>
                <w:szCs w:val="24"/>
              </w:rPr>
              <w:t>Member States</w:t>
            </w:r>
            <w:r w:rsidR="00407929">
              <w:rPr>
                <w:sz w:val="24"/>
                <w:szCs w:val="24"/>
              </w:rPr>
              <w:t>, examples: JCOMM website;</w:t>
            </w:r>
            <w:r w:rsidR="003A77B4">
              <w:rPr>
                <w:sz w:val="24"/>
                <w:szCs w:val="24"/>
              </w:rPr>
              <w:t xml:space="preserve"> </w:t>
            </w:r>
            <w:hyperlink r:id="rId5" w:history="1">
              <w:r w:rsidR="00407929" w:rsidRPr="00926F68">
                <w:rPr>
                  <w:rStyle w:val="Hyperlink"/>
                  <w:sz w:val="24"/>
                  <w:szCs w:val="24"/>
                </w:rPr>
                <w:t>http://www.jcomm.info/CD</w:t>
              </w:r>
            </w:hyperlink>
            <w:r w:rsidR="00407929">
              <w:rPr>
                <w:sz w:val="24"/>
                <w:szCs w:val="24"/>
              </w:rPr>
              <w:t xml:space="preserve">; </w:t>
            </w:r>
            <w:r w:rsidR="003A77B4" w:rsidRPr="000240CF">
              <w:rPr>
                <w:sz w:val="24"/>
                <w:szCs w:val="24"/>
              </w:rPr>
              <w:t>Ocean</w:t>
            </w:r>
            <w:r w:rsidR="00407929">
              <w:rPr>
                <w:sz w:val="24"/>
                <w:szCs w:val="24"/>
              </w:rPr>
              <w:t xml:space="preserve"> </w:t>
            </w:r>
            <w:r w:rsidR="003A77B4" w:rsidRPr="000240CF">
              <w:rPr>
                <w:sz w:val="24"/>
                <w:szCs w:val="24"/>
              </w:rPr>
              <w:t xml:space="preserve">Teacher </w:t>
            </w:r>
            <w:r w:rsidR="00407929">
              <w:rPr>
                <w:sz w:val="24"/>
                <w:szCs w:val="24"/>
              </w:rPr>
              <w:t xml:space="preserve">Web interface </w:t>
            </w:r>
            <w:r w:rsidR="003A77B4" w:rsidRPr="000240CF">
              <w:rPr>
                <w:sz w:val="24"/>
                <w:szCs w:val="24"/>
              </w:rPr>
              <w:t>(</w:t>
            </w:r>
            <w:hyperlink r:id="rId6" w:history="1">
              <w:r w:rsidR="003A77B4" w:rsidRPr="000240CF">
                <w:rPr>
                  <w:rStyle w:val="Hyperlink"/>
                  <w:sz w:val="24"/>
                  <w:szCs w:val="24"/>
                </w:rPr>
                <w:t>http://www.oceanteacher.org</w:t>
              </w:r>
            </w:hyperlink>
            <w:r w:rsidR="003A77B4" w:rsidRPr="000240CF">
              <w:rPr>
                <w:sz w:val="24"/>
                <w:szCs w:val="24"/>
              </w:rPr>
              <w:t xml:space="preserve">) developed by the IODE of UNESCO/IOC, and </w:t>
            </w:r>
            <w:r w:rsidR="003A77B4">
              <w:rPr>
                <w:sz w:val="24"/>
                <w:szCs w:val="24"/>
              </w:rPr>
              <w:t xml:space="preserve">the </w:t>
            </w:r>
            <w:r w:rsidR="003A77B4" w:rsidRPr="000240CF">
              <w:rPr>
                <w:sz w:val="24"/>
                <w:szCs w:val="24"/>
              </w:rPr>
              <w:t xml:space="preserve">Met e-learning </w:t>
            </w:r>
            <w:r w:rsidR="00407929">
              <w:rPr>
                <w:sz w:val="24"/>
                <w:szCs w:val="24"/>
              </w:rPr>
              <w:t>M</w:t>
            </w:r>
            <w:r w:rsidR="003A77B4">
              <w:rPr>
                <w:sz w:val="24"/>
                <w:szCs w:val="24"/>
              </w:rPr>
              <w:t xml:space="preserve">oodle </w:t>
            </w:r>
            <w:r w:rsidR="003A77B4" w:rsidRPr="000240CF">
              <w:rPr>
                <w:sz w:val="24"/>
                <w:szCs w:val="24"/>
              </w:rPr>
              <w:t>(</w:t>
            </w:r>
            <w:hyperlink r:id="rId7" w:history="1">
              <w:r w:rsidR="003A77B4" w:rsidRPr="000240CF">
                <w:rPr>
                  <w:rStyle w:val="Hyperlink"/>
                  <w:sz w:val="24"/>
                  <w:szCs w:val="24"/>
                </w:rPr>
                <w:t>http://www.met-elearning.org</w:t>
              </w:r>
            </w:hyperlink>
            <w:r w:rsidR="003A77B4" w:rsidRPr="000240CF">
              <w:rPr>
                <w:sz w:val="24"/>
                <w:szCs w:val="24"/>
              </w:rPr>
              <w:t>) managed by the WMO Education and Training Programme (ETRP);</w:t>
            </w:r>
          </w:p>
          <w:p w:rsidR="000240CF" w:rsidRPr="000240CF" w:rsidRDefault="000240CF" w:rsidP="000240C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52BC5" w:rsidRPr="00E52BC5" w:rsidRDefault="00E52BC5" w:rsidP="00E52BC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52BC5" w:rsidRDefault="00E52BC5" w:rsidP="00E52B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JCOMM programmes and projects that </w:t>
            </w:r>
            <w:r w:rsidR="00E323CB">
              <w:rPr>
                <w:rFonts w:cs="Arial"/>
                <w:sz w:val="24"/>
                <w:szCs w:val="24"/>
              </w:rPr>
              <w:t xml:space="preserve">complement or 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>support capacity b</w:t>
            </w:r>
            <w:r w:rsidR="00ED7F52">
              <w:rPr>
                <w:rFonts w:cs="Arial"/>
                <w:sz w:val="24"/>
                <w:szCs w:val="24"/>
              </w:rPr>
              <w:t>uilding activities such as IODE</w:t>
            </w:r>
            <w:r>
              <w:rPr>
                <w:rFonts w:cs="Arial"/>
                <w:sz w:val="24"/>
                <w:szCs w:val="24"/>
              </w:rPr>
              <w:t xml:space="preserve">, ETOOFS,GOOS, </w:t>
            </w:r>
            <w:proofErr w:type="spellStart"/>
            <w:r>
              <w:rPr>
                <w:rFonts w:cs="Arial"/>
                <w:sz w:val="24"/>
                <w:szCs w:val="24"/>
              </w:rPr>
              <w:t>EUMeTRain</w:t>
            </w:r>
            <w:proofErr w:type="spellEnd"/>
            <w:r>
              <w:rPr>
                <w:rFonts w:cs="Arial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sz w:val="24"/>
                <w:szCs w:val="24"/>
              </w:rPr>
              <w:t>EUMetCal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0240CF" w:rsidRPr="000240CF" w:rsidRDefault="000240CF" w:rsidP="000240C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40CF" w:rsidRPr="000240CF" w:rsidRDefault="000240CF" w:rsidP="00024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A94E44" w:rsidRPr="00E52BC5" w:rsidRDefault="00CB3EDD" w:rsidP="00E52B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0CF">
              <w:rPr>
                <w:sz w:val="24"/>
                <w:szCs w:val="24"/>
              </w:rPr>
              <w:t>Enhanced collaboration through the Partnership for New GEOSS Applications (PANGEA), a concept developed by JCOMM with the goal to develop resource sharing partnerships to realize the socio-economic benefits of ocean observing systems at global and regional scales. </w:t>
            </w:r>
            <w:r w:rsidR="00D44B30" w:rsidRPr="000240CF">
              <w:rPr>
                <w:sz w:val="24"/>
                <w:szCs w:val="24"/>
              </w:rPr>
              <w:t xml:space="preserve">Hence ensuring adequate data flow to the modelling and </w:t>
            </w:r>
            <w:r w:rsidR="00E52BC5">
              <w:rPr>
                <w:sz w:val="24"/>
                <w:szCs w:val="24"/>
              </w:rPr>
              <w:t xml:space="preserve">education &amp; </w:t>
            </w:r>
            <w:r w:rsidR="00D44B30" w:rsidRPr="000240CF">
              <w:rPr>
                <w:sz w:val="24"/>
                <w:szCs w:val="24"/>
              </w:rPr>
              <w:t>training</w:t>
            </w:r>
            <w:r w:rsidR="000240CF">
              <w:rPr>
                <w:sz w:val="24"/>
                <w:szCs w:val="24"/>
              </w:rPr>
              <w:t>/capacity building</w:t>
            </w:r>
            <w:r w:rsidR="00D44B30" w:rsidRPr="000240CF">
              <w:rPr>
                <w:sz w:val="24"/>
                <w:szCs w:val="24"/>
              </w:rPr>
              <w:t xml:space="preserve"> institutions</w:t>
            </w:r>
            <w:r w:rsidR="00A94E44">
              <w:rPr>
                <w:sz w:val="24"/>
                <w:szCs w:val="24"/>
              </w:rPr>
              <w:t>.</w:t>
            </w:r>
          </w:p>
          <w:p w:rsidR="00E52BC5" w:rsidRPr="00E52BC5" w:rsidRDefault="00E52BC5" w:rsidP="00E52BC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52BC5" w:rsidRPr="00BE5908" w:rsidRDefault="00E52BC5" w:rsidP="00E52B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BE5908">
              <w:rPr>
                <w:rFonts w:cs="Arial"/>
                <w:sz w:val="24"/>
                <w:szCs w:val="24"/>
              </w:rPr>
              <w:t>Implementation of the  WMO QMF and Marine Forecasters Competencies  in NMHSs requires more capacity development in the total quality standards implementation programme (QSIP);</w:t>
            </w:r>
          </w:p>
          <w:p w:rsidR="00E52BC5" w:rsidRPr="00BE5908" w:rsidRDefault="00E52BC5" w:rsidP="00E52BC5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  <w:p w:rsidR="00E52BC5" w:rsidRDefault="00E52BC5" w:rsidP="00E52B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WMO has well established </w:t>
            </w:r>
            <w:r w:rsidRPr="00BE5908">
              <w:rPr>
                <w:rFonts w:cs="Arial"/>
                <w:sz w:val="24"/>
                <w:szCs w:val="24"/>
              </w:rPr>
              <w:t xml:space="preserve">RTCs in every Regional </w:t>
            </w:r>
            <w:r w:rsidRPr="00BE5908">
              <w:rPr>
                <w:rFonts w:cs="Arial"/>
                <w:sz w:val="24"/>
                <w:szCs w:val="24"/>
              </w:rPr>
              <w:lastRenderedPageBreak/>
              <w:t>Association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E52BC5" w:rsidRPr="00470BF1" w:rsidRDefault="00E52BC5" w:rsidP="00E52BC5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E52BC5" w:rsidRDefault="00E52BC5" w:rsidP="00E52BC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well-established WMO Fellowship Programme, Travel and Study Grants for expert competencies and continuous professional development (CPD) of ocean and marine experts;</w:t>
            </w:r>
          </w:p>
          <w:p w:rsidR="00E52BC5" w:rsidRPr="00A94E44" w:rsidRDefault="00E52BC5" w:rsidP="00E52BC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B3EDD" w:rsidRPr="00A94E44" w:rsidRDefault="00D44B30" w:rsidP="00A94E44">
            <w:pPr>
              <w:rPr>
                <w:rFonts w:ascii="Arial" w:hAnsi="Arial" w:cs="Arial"/>
                <w:sz w:val="24"/>
                <w:szCs w:val="24"/>
              </w:rPr>
            </w:pPr>
            <w:r w:rsidRPr="00A94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</w:tcPr>
          <w:p w:rsidR="00865A0C" w:rsidRPr="00E31629" w:rsidRDefault="000240CF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161087" w:rsidRPr="000240CF">
              <w:rPr>
                <w:sz w:val="24"/>
                <w:szCs w:val="24"/>
              </w:rPr>
              <w:t>o</w:t>
            </w:r>
            <w:r w:rsidR="003A77B4">
              <w:rPr>
                <w:sz w:val="24"/>
                <w:szCs w:val="24"/>
              </w:rPr>
              <w:t>ordination at the national, regional and international level as the oceanographic community</w:t>
            </w:r>
            <w:r w:rsidR="00161087" w:rsidRPr="000240CF">
              <w:rPr>
                <w:sz w:val="24"/>
                <w:szCs w:val="24"/>
              </w:rPr>
              <w:t xml:space="preserve"> is diverse and includes not only the National Meteorological and Hydrological Services</w:t>
            </w:r>
            <w:r>
              <w:rPr>
                <w:sz w:val="24"/>
                <w:szCs w:val="24"/>
              </w:rPr>
              <w:t xml:space="preserve"> (NMHSs)</w:t>
            </w:r>
            <w:r w:rsidR="00161087" w:rsidRPr="000240CF">
              <w:rPr>
                <w:sz w:val="24"/>
                <w:szCs w:val="24"/>
              </w:rPr>
              <w:t xml:space="preserve">, but also </w:t>
            </w:r>
            <w:r w:rsidR="00D44B30" w:rsidRPr="000240CF">
              <w:rPr>
                <w:sz w:val="24"/>
                <w:szCs w:val="24"/>
              </w:rPr>
              <w:t>other</w:t>
            </w:r>
            <w:r w:rsidR="00161087" w:rsidRPr="000240CF">
              <w:rPr>
                <w:sz w:val="24"/>
                <w:szCs w:val="24"/>
              </w:rPr>
              <w:t xml:space="preserve"> oceanographic institutions and </w:t>
            </w:r>
            <w:r w:rsidR="003A77B4">
              <w:rPr>
                <w:sz w:val="24"/>
                <w:szCs w:val="24"/>
              </w:rPr>
              <w:t>operational and research agencies</w:t>
            </w:r>
            <w:r w:rsidR="00161087" w:rsidRPr="000240CF">
              <w:rPr>
                <w:sz w:val="24"/>
                <w:szCs w:val="24"/>
              </w:rPr>
              <w:t>.</w:t>
            </w:r>
          </w:p>
          <w:p w:rsidR="00E31629" w:rsidRPr="000240CF" w:rsidRDefault="00E31629" w:rsidP="00E3162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5126" w:rsidRPr="00E31629" w:rsidRDefault="004475C8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interaction between ocean and meteorological communities at national and regional levels</w:t>
            </w:r>
          </w:p>
          <w:p w:rsidR="00E31629" w:rsidRPr="00E31629" w:rsidRDefault="00E31629" w:rsidP="00E3162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E400F" w:rsidRPr="005E400F" w:rsidRDefault="00C25126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0CF">
              <w:rPr>
                <w:sz w:val="24"/>
                <w:szCs w:val="24"/>
              </w:rPr>
              <w:t>Organizing training workshops and on-line learning modules for Capacity Development at the different stages of the production line.</w:t>
            </w:r>
            <w:r w:rsidR="00CB313A" w:rsidRPr="000240CF">
              <w:rPr>
                <w:sz w:val="24"/>
                <w:szCs w:val="24"/>
              </w:rPr>
              <w:t xml:space="preserve">  </w:t>
            </w:r>
          </w:p>
          <w:p w:rsidR="005E400F" w:rsidRPr="005E400F" w:rsidRDefault="005E400F" w:rsidP="005E400F">
            <w:pPr>
              <w:pStyle w:val="ListParagraph"/>
              <w:rPr>
                <w:sz w:val="24"/>
                <w:szCs w:val="24"/>
              </w:rPr>
            </w:pPr>
          </w:p>
          <w:p w:rsidR="00161087" w:rsidRPr="000240CF" w:rsidRDefault="005E400F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High marine staff turnover and/or brain drain from marine institutions;</w:t>
            </w:r>
            <w:r w:rsidR="00CB313A" w:rsidRPr="000240C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59D8" w:rsidRPr="000240CF" w:rsidRDefault="003D59D8" w:rsidP="00AB2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BF0" w:rsidRPr="000240CF" w:rsidTr="00E52BC5">
        <w:tc>
          <w:tcPr>
            <w:tcW w:w="6611" w:type="dxa"/>
          </w:tcPr>
          <w:p w:rsidR="00C41BF0" w:rsidRPr="000240CF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0CF">
              <w:rPr>
                <w:rFonts w:ascii="Arial" w:hAnsi="Arial" w:cs="Arial"/>
                <w:b/>
                <w:sz w:val="24"/>
                <w:szCs w:val="24"/>
              </w:rPr>
              <w:t>Opportunities</w:t>
            </w:r>
          </w:p>
        </w:tc>
        <w:tc>
          <w:tcPr>
            <w:tcW w:w="4446" w:type="dxa"/>
          </w:tcPr>
          <w:p w:rsid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0CF">
              <w:rPr>
                <w:rFonts w:ascii="Arial" w:hAnsi="Arial" w:cs="Arial"/>
                <w:b/>
                <w:sz w:val="24"/>
                <w:szCs w:val="24"/>
              </w:rPr>
              <w:t>Threats</w:t>
            </w:r>
          </w:p>
          <w:p w:rsidR="000240CF" w:rsidRPr="000240CF" w:rsidRDefault="00024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BF0" w:rsidRPr="000240CF" w:rsidTr="00E52BC5">
        <w:tc>
          <w:tcPr>
            <w:tcW w:w="6611" w:type="dxa"/>
          </w:tcPr>
          <w:p w:rsidR="00E52BC5" w:rsidRPr="00E52BC5" w:rsidRDefault="00E52BC5" w:rsidP="00E52BC5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4475C8" w:rsidRPr="00E52BC5" w:rsidRDefault="004475C8" w:rsidP="004475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Strong partnerships among </w:t>
            </w:r>
            <w:r w:rsidRPr="000240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</w:t>
            </w:r>
            <w:r w:rsidRPr="000240CF">
              <w:rPr>
                <w:sz w:val="24"/>
                <w:szCs w:val="24"/>
              </w:rPr>
              <w:t>learning programmes, such as USA’s Cooperative Programme for Operational Meteorology, Education and Training (COMET, </w:t>
            </w:r>
            <w:hyperlink r:id="rId8" w:history="1">
              <w:r w:rsidRPr="000240CF">
                <w:rPr>
                  <w:rStyle w:val="Hyperlink"/>
                  <w:sz w:val="24"/>
                  <w:szCs w:val="24"/>
                </w:rPr>
                <w:t>http://www.meted.ucar.edu/</w:t>
              </w:r>
            </w:hyperlink>
            <w:r>
              <w:rPr>
                <w:sz w:val="24"/>
                <w:szCs w:val="24"/>
              </w:rPr>
              <w:t>), POGO SCOR;</w:t>
            </w:r>
          </w:p>
          <w:p w:rsidR="004475C8" w:rsidRPr="004475C8" w:rsidRDefault="004475C8" w:rsidP="004475C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52BC5" w:rsidRPr="00065AB0" w:rsidRDefault="00E52BC5" w:rsidP="00065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240CF">
              <w:rPr>
                <w:sz w:val="24"/>
                <w:szCs w:val="24"/>
              </w:rPr>
              <w:t>Enhanced support for </w:t>
            </w:r>
            <w:r w:rsidRPr="000240CF">
              <w:rPr>
                <w:b/>
                <w:bCs/>
                <w:i/>
                <w:sz w:val="24"/>
                <w:szCs w:val="24"/>
              </w:rPr>
              <w:t>time-bound</w:t>
            </w:r>
            <w:r w:rsidRPr="000240CF">
              <w:rPr>
                <w:bCs/>
                <w:sz w:val="24"/>
                <w:szCs w:val="24"/>
              </w:rPr>
              <w:t xml:space="preserve"> Capacity building activities and projects</w:t>
            </w:r>
            <w:r w:rsidRPr="000240CF">
              <w:rPr>
                <w:sz w:val="24"/>
                <w:szCs w:val="24"/>
              </w:rPr>
              <w:t> with clear objectives and plans for del</w:t>
            </w:r>
            <w:r>
              <w:rPr>
                <w:sz w:val="24"/>
                <w:szCs w:val="24"/>
              </w:rPr>
              <w:t xml:space="preserve">ivery, which serve for </w:t>
            </w:r>
            <w:r w:rsidRPr="000240CF">
              <w:rPr>
                <w:sz w:val="24"/>
                <w:szCs w:val="24"/>
              </w:rPr>
              <w:t xml:space="preserve"> Member States’ capacity development and technology transfer needs, with a view to leveraging other potential funding sources </w:t>
            </w:r>
            <w:r>
              <w:rPr>
                <w:sz w:val="24"/>
                <w:szCs w:val="24"/>
              </w:rPr>
              <w:t xml:space="preserve">such as other UN bodies, academic institutions, marine industry, etc. </w:t>
            </w:r>
            <w:r w:rsidRPr="000240CF">
              <w:rPr>
                <w:sz w:val="24"/>
                <w:szCs w:val="24"/>
              </w:rPr>
              <w:t>and respondi</w:t>
            </w:r>
            <w:r>
              <w:rPr>
                <w:sz w:val="24"/>
                <w:szCs w:val="24"/>
              </w:rPr>
              <w:t xml:space="preserve">ng to expressed priorities of </w:t>
            </w:r>
            <w:r w:rsidRPr="000240CF">
              <w:rPr>
                <w:sz w:val="24"/>
                <w:szCs w:val="24"/>
              </w:rPr>
              <w:t>Member States;</w:t>
            </w:r>
            <w:r w:rsidR="00065AB0">
              <w:rPr>
                <w:sz w:val="24"/>
                <w:szCs w:val="24"/>
              </w:rPr>
              <w:t xml:space="preserve"> </w:t>
            </w:r>
            <w:r w:rsidR="00065AB0" w:rsidRPr="00065AB0">
              <w:rPr>
                <w:sz w:val="24"/>
                <w:szCs w:val="24"/>
              </w:rPr>
              <w:t>(</w:t>
            </w:r>
            <w:r w:rsidR="00065AB0" w:rsidRPr="00065AB0">
              <w:rPr>
                <w:b/>
                <w:color w:val="FF0000"/>
                <w:sz w:val="24"/>
                <w:szCs w:val="24"/>
              </w:rPr>
              <w:t>This could be either her</w:t>
            </w:r>
            <w:r w:rsidR="006B3852">
              <w:rPr>
                <w:b/>
                <w:color w:val="FF0000"/>
                <w:sz w:val="24"/>
                <w:szCs w:val="24"/>
              </w:rPr>
              <w:t>e or in the Strengths</w:t>
            </w:r>
            <w:r w:rsidR="00065AB0" w:rsidRPr="00065AB0">
              <w:rPr>
                <w:sz w:val="24"/>
                <w:szCs w:val="24"/>
              </w:rPr>
              <w:t>)</w:t>
            </w:r>
          </w:p>
          <w:p w:rsidR="00BE5908" w:rsidRPr="00BE5908" w:rsidRDefault="00BE5908" w:rsidP="00BE5908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81038B" w:rsidRDefault="0081038B" w:rsidP="004475C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Mutual assistance and Technology transfer</w:t>
            </w:r>
            <w:r w:rsidR="001E3799">
              <w:rPr>
                <w:rFonts w:cs="Arial"/>
                <w:sz w:val="24"/>
                <w:szCs w:val="24"/>
              </w:rPr>
              <w:t xml:space="preserve"> of ocean and marine technology</w:t>
            </w:r>
            <w:r w:rsidR="00470BF1">
              <w:rPr>
                <w:rFonts w:cs="Arial"/>
                <w:sz w:val="24"/>
                <w:szCs w:val="24"/>
              </w:rPr>
              <w:t xml:space="preserve"> and activities such as the second International Indian Ocean Expedition (IIOE)</w:t>
            </w:r>
            <w:r w:rsidR="001E3799">
              <w:rPr>
                <w:rFonts w:cs="Arial"/>
                <w:sz w:val="24"/>
                <w:szCs w:val="24"/>
              </w:rPr>
              <w:t xml:space="preserve"> can only be realized through CB related</w:t>
            </w:r>
            <w:r w:rsidR="00470BF1">
              <w:rPr>
                <w:rFonts w:cs="Arial"/>
                <w:sz w:val="24"/>
                <w:szCs w:val="24"/>
              </w:rPr>
              <w:t xml:space="preserve"> activities;</w:t>
            </w:r>
          </w:p>
          <w:p w:rsidR="00470BF1" w:rsidRPr="00470BF1" w:rsidRDefault="00470BF1" w:rsidP="00470BF1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81038B" w:rsidRDefault="00470BF1" w:rsidP="004475C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Other UN agencies </w:t>
            </w:r>
            <w:r w:rsidR="00C50DD0">
              <w:rPr>
                <w:rFonts w:cs="Arial"/>
                <w:sz w:val="24"/>
                <w:szCs w:val="24"/>
              </w:rPr>
              <w:t>with</w:t>
            </w:r>
            <w:r>
              <w:rPr>
                <w:rFonts w:cs="Arial"/>
                <w:sz w:val="24"/>
                <w:szCs w:val="24"/>
              </w:rPr>
              <w:t xml:space="preserve"> marine</w:t>
            </w:r>
            <w:r w:rsidR="00E52BC5">
              <w:rPr>
                <w:rFonts w:cs="Arial"/>
                <w:sz w:val="24"/>
                <w:szCs w:val="24"/>
              </w:rPr>
              <w:t xml:space="preserve"> and oceanic</w:t>
            </w:r>
            <w:r>
              <w:rPr>
                <w:rFonts w:cs="Arial"/>
                <w:sz w:val="24"/>
                <w:szCs w:val="24"/>
              </w:rPr>
              <w:t xml:space="preserve"> interests such as executing agency</w:t>
            </w:r>
            <w:r w:rsidR="00C50DD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status for ISDR, Regional Seas programme, GEF projects and marine DRR</w:t>
            </w:r>
            <w:r w:rsidR="00E52BC5">
              <w:rPr>
                <w:rFonts w:cs="Arial"/>
                <w:sz w:val="24"/>
                <w:szCs w:val="24"/>
              </w:rPr>
              <w:t xml:space="preserve"> are potential partners</w:t>
            </w:r>
            <w:r w:rsidR="00A94E44">
              <w:rPr>
                <w:rFonts w:cs="Arial"/>
                <w:sz w:val="24"/>
                <w:szCs w:val="24"/>
              </w:rPr>
              <w:t>;</w:t>
            </w:r>
          </w:p>
          <w:p w:rsidR="00A94E44" w:rsidRPr="00A94E44" w:rsidRDefault="00A94E44" w:rsidP="00A94E44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A94E44" w:rsidRPr="00470BF1" w:rsidRDefault="00A94E44" w:rsidP="004475C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JCOMM pilot programmes</w:t>
            </w:r>
            <w:r w:rsidR="00856506">
              <w:rPr>
                <w:rFonts w:cs="Arial"/>
                <w:sz w:val="24"/>
                <w:szCs w:val="24"/>
              </w:rPr>
              <w:t xml:space="preserve"> that support capacity building like</w:t>
            </w:r>
            <w:r>
              <w:rPr>
                <w:rFonts w:cs="Arial"/>
                <w:sz w:val="24"/>
                <w:szCs w:val="24"/>
              </w:rPr>
              <w:t xml:space="preserve"> the CIFDP and operational programmes such as GODAE provide CB opportunities for the SID, LDC and developing Member States</w:t>
            </w:r>
          </w:p>
          <w:p w:rsidR="0081038B" w:rsidRPr="0081038B" w:rsidRDefault="0081038B" w:rsidP="0081038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46" w:type="dxa"/>
          </w:tcPr>
          <w:p w:rsidR="002D7FAA" w:rsidRPr="00BE5908" w:rsidRDefault="0081038B" w:rsidP="00C2512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CB activities c</w:t>
            </w:r>
            <w:r w:rsidR="00864C6C">
              <w:rPr>
                <w:rFonts w:cs="Arial"/>
                <w:sz w:val="24"/>
                <w:szCs w:val="24"/>
              </w:rPr>
              <w:t>oordination at the</w:t>
            </w:r>
            <w:r w:rsidR="000240CF" w:rsidRPr="00BE5908">
              <w:rPr>
                <w:rFonts w:cs="Arial"/>
                <w:sz w:val="24"/>
                <w:szCs w:val="24"/>
              </w:rPr>
              <w:t xml:space="preserve"> regional and international </w:t>
            </w:r>
            <w:r w:rsidR="00161087" w:rsidRPr="00BE5908">
              <w:rPr>
                <w:rFonts w:cs="Arial"/>
                <w:sz w:val="24"/>
                <w:szCs w:val="24"/>
              </w:rPr>
              <w:t xml:space="preserve"> level as the </w:t>
            </w:r>
            <w:r w:rsidR="00864C6C">
              <w:rPr>
                <w:rFonts w:cs="Arial"/>
                <w:sz w:val="24"/>
                <w:szCs w:val="24"/>
              </w:rPr>
              <w:t>need to address</w:t>
            </w:r>
            <w:r w:rsidR="000240CF" w:rsidRPr="00BE5908">
              <w:rPr>
                <w:rFonts w:cs="Arial"/>
                <w:sz w:val="24"/>
                <w:szCs w:val="24"/>
              </w:rPr>
              <w:t xml:space="preserve"> the complex interlinkages within JCOMM increase</w:t>
            </w:r>
            <w:r w:rsidR="00BE5908" w:rsidRPr="00BE5908">
              <w:rPr>
                <w:rFonts w:cs="Arial"/>
                <w:sz w:val="24"/>
                <w:szCs w:val="24"/>
              </w:rPr>
              <w:t>;</w:t>
            </w:r>
          </w:p>
          <w:p w:rsidR="00BE5908" w:rsidRPr="00BE5908" w:rsidRDefault="00BE5908" w:rsidP="00BE5908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  <w:p w:rsidR="004475C8" w:rsidRDefault="00864C6C" w:rsidP="00C2512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Receding </w:t>
            </w:r>
            <w:r w:rsidR="008040B6">
              <w:rPr>
                <w:rFonts w:cs="Arial"/>
                <w:sz w:val="24"/>
                <w:szCs w:val="24"/>
              </w:rPr>
              <w:t>budget lines</w:t>
            </w:r>
            <w:r w:rsidR="004475C8">
              <w:rPr>
                <w:rFonts w:cs="Arial"/>
                <w:sz w:val="24"/>
                <w:szCs w:val="24"/>
              </w:rPr>
              <w:t xml:space="preserve"> and possibly lack of donors in support</w:t>
            </w:r>
            <w:r w:rsidR="00E31629" w:rsidRPr="00BE5908">
              <w:rPr>
                <w:rFonts w:cs="Arial"/>
                <w:sz w:val="24"/>
                <w:szCs w:val="24"/>
              </w:rPr>
              <w:t xml:space="preserve"> for capacity building activities at the national, regional and global level</w:t>
            </w:r>
            <w:r>
              <w:rPr>
                <w:rFonts w:cs="Arial"/>
                <w:sz w:val="24"/>
                <w:szCs w:val="24"/>
              </w:rPr>
              <w:t xml:space="preserve">?? </w:t>
            </w:r>
          </w:p>
          <w:p w:rsidR="004475C8" w:rsidRPr="004475C8" w:rsidRDefault="004475C8" w:rsidP="004475C8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0240CF" w:rsidRPr="004475C8" w:rsidRDefault="00864C6C" w:rsidP="00C25126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FF0000"/>
                <w:sz w:val="24"/>
                <w:szCs w:val="24"/>
              </w:rPr>
            </w:pPr>
            <w:r w:rsidRPr="004475C8">
              <w:rPr>
                <w:rFonts w:cs="Arial"/>
                <w:color w:val="FF0000"/>
                <w:sz w:val="24"/>
                <w:szCs w:val="24"/>
              </w:rPr>
              <w:t>(</w:t>
            </w:r>
            <w:r w:rsidRPr="004475C8">
              <w:rPr>
                <w:rFonts w:cs="Arial"/>
                <w:b/>
                <w:i/>
                <w:color w:val="FF0000"/>
                <w:sz w:val="24"/>
                <w:szCs w:val="24"/>
              </w:rPr>
              <w:t>Secretariat</w:t>
            </w:r>
            <w:r w:rsidR="004475C8" w:rsidRPr="004475C8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and PAs</w:t>
            </w:r>
            <w:r w:rsidR="004475C8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may need to</w:t>
            </w:r>
            <w:r w:rsidRPr="004475C8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confirm</w:t>
            </w:r>
            <w:r w:rsidR="004475C8" w:rsidRPr="004475C8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 and add more threats in view of a longer institutional memory</w:t>
            </w:r>
            <w:r w:rsidRPr="004475C8">
              <w:rPr>
                <w:rFonts w:cs="Arial"/>
                <w:color w:val="FF0000"/>
                <w:sz w:val="24"/>
                <w:szCs w:val="24"/>
              </w:rPr>
              <w:t>)</w:t>
            </w:r>
            <w:r w:rsidR="00856506" w:rsidRPr="004475C8">
              <w:rPr>
                <w:rFonts w:cs="Arial"/>
                <w:color w:val="FF0000"/>
                <w:sz w:val="24"/>
                <w:szCs w:val="24"/>
              </w:rPr>
              <w:t xml:space="preserve">; </w:t>
            </w:r>
          </w:p>
          <w:p w:rsidR="00856506" w:rsidRPr="00856506" w:rsidRDefault="00856506" w:rsidP="00856506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856506" w:rsidRPr="00BE5908" w:rsidRDefault="00856506" w:rsidP="00E52BC5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</w:tbl>
    <w:p w:rsidR="00C41BF0" w:rsidRPr="000240CF" w:rsidRDefault="00C41BF0">
      <w:pPr>
        <w:rPr>
          <w:rFonts w:ascii="Arial" w:hAnsi="Arial" w:cs="Arial"/>
          <w:sz w:val="24"/>
          <w:szCs w:val="24"/>
        </w:rPr>
      </w:pPr>
    </w:p>
    <w:sectPr w:rsidR="00C41BF0" w:rsidRPr="00024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5009"/>
    <w:multiLevelType w:val="hybridMultilevel"/>
    <w:tmpl w:val="762E67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344E0"/>
    <w:multiLevelType w:val="hybridMultilevel"/>
    <w:tmpl w:val="F028B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F0"/>
    <w:rsid w:val="000240CF"/>
    <w:rsid w:val="00065AB0"/>
    <w:rsid w:val="000C5481"/>
    <w:rsid w:val="001055F2"/>
    <w:rsid w:val="001504D3"/>
    <w:rsid w:val="00161087"/>
    <w:rsid w:val="00195F13"/>
    <w:rsid w:val="001E3799"/>
    <w:rsid w:val="00255413"/>
    <w:rsid w:val="002A4DFA"/>
    <w:rsid w:val="002D7FAA"/>
    <w:rsid w:val="002F5B19"/>
    <w:rsid w:val="003A77B4"/>
    <w:rsid w:val="003D59D8"/>
    <w:rsid w:val="00407929"/>
    <w:rsid w:val="00410A3D"/>
    <w:rsid w:val="004475C8"/>
    <w:rsid w:val="00470BF1"/>
    <w:rsid w:val="004811A2"/>
    <w:rsid w:val="004C6CB9"/>
    <w:rsid w:val="00533224"/>
    <w:rsid w:val="005E400F"/>
    <w:rsid w:val="00605E1A"/>
    <w:rsid w:val="0065730A"/>
    <w:rsid w:val="006B3852"/>
    <w:rsid w:val="00730D2D"/>
    <w:rsid w:val="008040B6"/>
    <w:rsid w:val="0081038B"/>
    <w:rsid w:val="00814922"/>
    <w:rsid w:val="00856506"/>
    <w:rsid w:val="00864C6C"/>
    <w:rsid w:val="00865A0C"/>
    <w:rsid w:val="00876021"/>
    <w:rsid w:val="008D3836"/>
    <w:rsid w:val="00921776"/>
    <w:rsid w:val="00952E25"/>
    <w:rsid w:val="00A2216A"/>
    <w:rsid w:val="00A67515"/>
    <w:rsid w:val="00A94B3F"/>
    <w:rsid w:val="00A94E44"/>
    <w:rsid w:val="00AB22AC"/>
    <w:rsid w:val="00B839A9"/>
    <w:rsid w:val="00BE5908"/>
    <w:rsid w:val="00C25126"/>
    <w:rsid w:val="00C41BF0"/>
    <w:rsid w:val="00C50DD0"/>
    <w:rsid w:val="00CB313A"/>
    <w:rsid w:val="00CB3EDD"/>
    <w:rsid w:val="00D02DA9"/>
    <w:rsid w:val="00D21173"/>
    <w:rsid w:val="00D321A0"/>
    <w:rsid w:val="00D44B30"/>
    <w:rsid w:val="00D7742C"/>
    <w:rsid w:val="00DD4EAF"/>
    <w:rsid w:val="00DF4E0F"/>
    <w:rsid w:val="00E31629"/>
    <w:rsid w:val="00E323CB"/>
    <w:rsid w:val="00E52BC5"/>
    <w:rsid w:val="00EA5FBF"/>
    <w:rsid w:val="00EC2D74"/>
    <w:rsid w:val="00EC6B7D"/>
    <w:rsid w:val="00ED7F52"/>
    <w:rsid w:val="00EE36B1"/>
    <w:rsid w:val="00F76F9F"/>
    <w:rsid w:val="00FC08CF"/>
    <w:rsid w:val="00F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A4ABC-9868-46F5-B00F-27B1346D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BF0"/>
    <w:pPr>
      <w:ind w:left="720"/>
      <w:contextualSpacing/>
    </w:pPr>
  </w:style>
  <w:style w:type="paragraph" w:customStyle="1" w:styleId="Default">
    <w:name w:val="Default"/>
    <w:rsid w:val="00921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styleId="Emphasis">
    <w:name w:val="Emphasis"/>
    <w:basedOn w:val="DefaultParagraphFont"/>
    <w:uiPriority w:val="20"/>
    <w:qFormat/>
    <w:rsid w:val="00C25126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6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d.ucar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-elearn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eanteacher.org/" TargetMode="External"/><Relationship Id="rId5" Type="http://schemas.openxmlformats.org/officeDocument/2006/relationships/hyperlink" Target="http://www.jcomm.info/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Parker,John [Dartmouth]</dc:creator>
  <cp:lastModifiedBy>John Mungai</cp:lastModifiedBy>
  <cp:revision>6</cp:revision>
  <dcterms:created xsi:type="dcterms:W3CDTF">2016-10-30T16:01:00Z</dcterms:created>
  <dcterms:modified xsi:type="dcterms:W3CDTF">2016-10-31T11:14:00Z</dcterms:modified>
</cp:coreProperties>
</file>